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64" w:lineRule="exact"/>
        <w:rPr>
          <w:sz w:val="24"/>
          <w:szCs w:val="24"/>
          <w:color w:val="auto"/>
        </w:rPr>
      </w:pPr>
    </w:p>
    <w:p>
      <w:pPr>
        <w:ind w:right="40"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-419735</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260" w:firstLine="432"/>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43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744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 at October 31, 2017</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9100" w:type="dxa"/>
            <w:vAlign w:val="bottom"/>
            <w:gridSpan w:val="3"/>
          </w:tcPr>
          <w:p>
            <w:pPr>
              <w:jc w:val="center"/>
              <w:ind w:right="6120"/>
              <w:spacing w:after="0"/>
              <w:rPr>
                <w:sz w:val="20"/>
                <w:szCs w:val="20"/>
                <w:color w:val="auto"/>
              </w:rPr>
            </w:pPr>
            <w:r>
              <w:rPr>
                <w:rFonts w:ascii="Arial" w:cs="Arial" w:eastAsia="Arial" w:hAnsi="Arial"/>
                <w:sz w:val="18"/>
                <w:szCs w:val="18"/>
                <w:color w:val="auto"/>
                <w:w w:val="90"/>
              </w:rPr>
              <w:t>Common stock, $0.01 par value</w:t>
            </w:r>
          </w:p>
        </w:tc>
        <w:tc>
          <w:tcPr>
            <w:tcW w:w="2000" w:type="dxa"/>
            <w:vAlign w:val="bottom"/>
          </w:tcPr>
          <w:p>
            <w:pPr>
              <w:jc w:val="right"/>
              <w:ind w:right="459"/>
              <w:spacing w:after="0"/>
              <w:rPr>
                <w:sz w:val="20"/>
                <w:szCs w:val="20"/>
                <w:color w:val="auto"/>
              </w:rPr>
            </w:pPr>
            <w:r>
              <w:rPr>
                <w:rFonts w:ascii="Arial" w:cs="Arial" w:eastAsia="Arial" w:hAnsi="Arial"/>
                <w:sz w:val="18"/>
                <w:szCs w:val="18"/>
                <w:color w:val="auto"/>
              </w:rPr>
              <w:t>102,782,543</w:t>
            </w:r>
          </w:p>
        </w:tc>
        <w:tc>
          <w:tcPr>
            <w:tcW w:w="3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2017 (unaudited) and December 31, 2016</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Three and Nine Months Ended September 30, 2017</w:t>
              </w:r>
            </w:hyperlink>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2016</w:t>
              </w:r>
            </w:hyperlink>
          </w:p>
        </w:tc>
        <w:tc>
          <w:tcPr>
            <w:tcW w:w="846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(unaudited) – Three and Nine Months Ended</w:t>
              </w:r>
            </w:hyperlink>
          </w:p>
        </w:tc>
        <w:tc>
          <w:tcPr>
            <w:tcW w:w="7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2017 and 2016</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Stockholders' Equity (unaudited) – Nine Months Ended September 30, 2017</w:t>
              </w:r>
            </w:hyperlink>
          </w:p>
        </w:tc>
        <w:tc>
          <w:tcPr>
            <w:tcW w:w="8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(unaudited) – Nine Months Ended September 30,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7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Controls and Procedures</w:t>
              </w:r>
            </w:hyperlink>
          </w:p>
        </w:tc>
        <w:tc>
          <w:tcPr>
            <w:tcW w:w="7680" w:type="dxa"/>
            <w:vAlign w:val="bottom"/>
            <w:gridSpan w:val="1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0"/>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2,935,985</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2,453,122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156,866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173,437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224,132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218,968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91,541</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156,672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53,299</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3,556,552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2,990,367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8,386,843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8,259,631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192,823</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163,368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128,023</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113,588</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194,175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269,125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12,427,954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279,416</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298,505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405,339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883,204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599,566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Gaming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162,706</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144,798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165,501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98,118</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90,697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91,905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2,062,058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1,416,301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9,771,815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10,125,352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87,462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87,281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66,561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12,029,744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11,695,676</w:t>
            </w:r>
          </w:p>
        </w:tc>
        <w:tc>
          <w:tcPr>
            <w:tcW w:w="0" w:type="dxa"/>
            <w:vAlign w:val="bottom"/>
          </w:tcPr>
          <w:p>
            <w:pPr>
              <w:spacing w:after="0"/>
              <w:rPr>
                <w:sz w:val="1"/>
                <w:szCs w:val="1"/>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116,113,032 and 115,036,945 shares issued; 102,782,543</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101,799,471 shares outstanding,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13,330,489 and 13,237,474 shares,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(1,175,186)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(1,166,697)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1,308,960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1,226,915</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194,814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95,097</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equity</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329,076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157,949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99,932</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398,210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257,881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12,427,954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1,256,602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788,219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3,574,059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2,263,608</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431,047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190,854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167,997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537,807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469,072</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93,230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257,256</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1,728,064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1,202,054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4,954,060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3,420,983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(255,119)</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1,612,331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1,109,822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4,617,272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3,165,864</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799,978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505,620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2,303,435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1,428,532</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115,937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113,452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109,333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294,480</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116,126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178,506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144,206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381,156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70,778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150,496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264,187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31,366</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1,032,891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3,863,126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2,783,096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76,931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754,146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382,768</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9,940</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105,512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350,330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177,048</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175,903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(47,728)</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255,499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128,175</w:t>
            </w:r>
          </w:p>
        </w:tc>
      </w:tr>
      <w:tr>
        <w:trPr>
          <w:trHeight w:val="67"/>
        </w:trPr>
        <w:tc>
          <w:tcPr>
            <w:tcW w:w="55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101,423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101,835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97"/>
        </w:trPr>
        <w:tc>
          <w:tcPr>
            <w:tcW w:w="10060" w:type="dxa"/>
            <w:vAlign w:val="bottom"/>
            <w:gridSpan w:val="10"/>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175,903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w w:val="94"/>
              </w:rPr>
              <w:t>Unrealized gain (loss) on investment securities, before and after tax</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1,069</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176,780</w:t>
            </w: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(47,675)</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129,105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49"/>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Balances, December 31, 2016</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101,799,471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1,150</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(1,166,697)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1,226,915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1,484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95,097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157,949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99,932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257,881</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Effect of change in accounting for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r>
      <w:tr>
        <w:trPr>
          <w:trHeight w:val="124"/>
        </w:trPr>
        <w:tc>
          <w:tcPr>
            <w:tcW w:w="1960" w:type="dxa"/>
            <w:vAlign w:val="bottom"/>
          </w:tcPr>
          <w:p>
            <w:pPr>
              <w:ind w:left="40"/>
              <w:spacing w:after="0" w:line="124" w:lineRule="exact"/>
              <w:rPr>
                <w:sz w:val="20"/>
                <w:szCs w:val="20"/>
                <w:color w:val="auto"/>
              </w:rPr>
            </w:pPr>
            <w:r>
              <w:rPr>
                <w:rFonts w:ascii="Arial" w:cs="Arial" w:eastAsia="Arial" w:hAnsi="Arial"/>
                <w:sz w:val="13"/>
                <w:szCs w:val="13"/>
                <w:b w:val="1"/>
                <w:bCs w:val="1"/>
                <w:color w:val="auto"/>
                <w:w w:val="93"/>
              </w:rPr>
              <w:t>Balances, December 31, 2016, as</w:t>
            </w: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72"/>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adjusted</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101,799,471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w w:val="90"/>
              </w:rPr>
              <w:t>(1,166,697)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1,229,722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92,401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158,060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99,932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257,992</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255,499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255,499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89,791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345,290</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(3,495)</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Net unrealized gain on investment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575,792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18,566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18,572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19,225</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(13,333)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513,628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48,434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48,439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48,653</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(93,015)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(8,489)</w:t>
            </w: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(153,086)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(153,086)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(116,578)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(269,664)</w:t>
            </w: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noncontrolling</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(6,201)</w:t>
            </w:r>
          </w:p>
        </w:tc>
      </w:tr>
      <w:tr>
        <w:trPr>
          <w:trHeight w:val="264"/>
        </w:trPr>
        <w:tc>
          <w:tcPr>
            <w:tcW w:w="19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12,238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12,238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14,533</w:t>
            </w:r>
          </w:p>
        </w:tc>
      </w:tr>
      <w:tr>
        <w:trPr>
          <w:trHeight w:val="242"/>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September 30, 2017</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102,782,543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0"/>
              </w:rPr>
              <w:t>(1,175,186)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1,308,960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194,814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398,210</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line="53"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345,290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175,903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415,488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264,187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29,290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29,360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18,542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18,116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provision for doubtful accounts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interest rate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Redemption Note fair value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69,982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19,239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19,004</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(37,101)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92,944</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17,755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87,425</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680,843</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(650,282)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(954,709)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Return of investment in unconsolidated affiliates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(126,635)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or maturity of investment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171,375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73,576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intangible assets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20,303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3,929</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(663,159)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(1,015,228)</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(263,680)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Distribution to noncontrolling interest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2,429,988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505,484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(2,416,319)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(240,386)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(200,790)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paid from sale of ownership interest in subsidiary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Shares of subsidiary repurchased for share award plan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(7,580)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on long-term land concession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(5,340)</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(234,440)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on cash</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482,863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(569,281)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2,453,122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2,080,089</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Balance,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2,935,985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1,510,808</w:t>
            </w:r>
          </w:p>
        </w:tc>
      </w:tr>
      <w:tr>
        <w:trPr>
          <w:trHeight w:val="73"/>
        </w:trPr>
        <w:tc>
          <w:tcPr>
            <w:tcW w:w="83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disclosures: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199,388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acquired under capital lease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16,593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accounts and construction payables related to property and equipment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86,680</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596</w:t>
            </w:r>
          </w:p>
        </w:tc>
      </w:tr>
    </w:tbl>
    <w:p>
      <w:pPr>
        <w:sectPr>
          <w:pgSz w:w="11900" w:h="16891"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341" w:right="1440"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281,000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August 22, 2016, the Company opened Wynn Palace, an integrated resort in the Cotai area of Macau. Wynn Palace features a luxury hotel with 1,706 guest rooms, suites and villas, approximately 420,000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jc w:val="both"/>
        <w:ind w:right="480" w:firstLine="405"/>
        <w:spacing w:after="0" w:line="286" w:lineRule="auto"/>
        <w:rPr>
          <w:sz w:val="20"/>
          <w:szCs w:val="20"/>
          <w:color w:val="auto"/>
        </w:rPr>
      </w:pPr>
      <w:r>
        <w:rPr>
          <w:rFonts w:ascii="Arial" w:cs="Arial" w:eastAsia="Arial" w:hAnsi="Arial"/>
          <w:sz w:val="17"/>
          <w:szCs w:val="17"/>
          <w:color w:val="auto"/>
        </w:rPr>
        <w:t>Wynn Las Vegas features two luxury hotel towers with a total of 4,748 guest rooms, suites and villas, approximately 192,000 square feet of casino space, 33 food and beverage outlets, an on-site 18-hole golf course, approximately 290,000 square feet of meeting and convention space, approximately 103,000 square feet of retail space, as well as two theaters, three nightclubs and a beach club, and recreation and leisure facilities.</w:t>
      </w:r>
    </w:p>
    <w:p>
      <w:pPr>
        <w:spacing w:after="0" w:line="16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December 2016, the Company formed a joint venture with Crown Acquisitions Inc. ("Crown") to own and operate approximately 88,000 square feet of existing retail space (of which the Company owns 50.1%) and signed an agreement with Crown to form a joint venture to own and operate approximately 73,000 square feet of additional retail space currently under construction at Wynn Las Vegas. The Company expects to open the majority of the additional retail space in the third quarter of 2018. For more information on the joint venture, see Note 3 "Retail Joint Venture."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constructing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8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Company is in the planning phase for the re-development of the Wynn Las Vegas golf course, which the Company expects to close prior to December 31, 2017. Phase 1 of the project is expected to include a lagoon and additional meeting and convention space.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"Summary of Significant Accounting Policies: Prior Period Adjustments") necessary for a fair presentation of the results for the interim periods have been made. The results for the three and nine months ended September 30, 2017 are not necessarily indicative of results to be expected for the full fiscal year.</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 the Company's Annual Report on Form 10-K for the year ended December 31, 2016.</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a variable interest entity ("VIE") and of which the Company is determined to be the primary beneficiary. In April 2016, the Company dissolved its 50%-owned joint venture operating the Ferrari and Maserati automobile dealership inside Wynn Las Vegas, which was closed in October 2015 and was accounted for under the equity method. All intercompany accounts and transactions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Cash and cash equivalents are comprised of highly liquid investments with original maturities of three months or less and include both U.S. dollar-denominated and foreign-currency denominated securities. Cash equivalents are carried at cost, which approximates fair value. Cash equivalents of $334.1 million and $1.11 billion as of September 30, 2017 and December 31, 2016, respectively, were invested in bank time deposits, money market funds and commercial paper. In addition, the Company held bank deposits and cash on hand of approximately $2.60 billion and $1.34 billion as of September 30, 2017 and December 31, 2016, respectively. The cash on hand as of September 30, 2017 included $403.6 million that was used to redeem the remaining principal amount of the untendered 5 1/4% Senior Notes due 2021 (the "2021 Notes") on October 20,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Company's restricted cash consists of cash held in trust in accordance with WML's share award plan and additionally as of December 31, 2016, collateral associated with borrowings under a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2017 and December 31, 2016, approximately 84.0% and 88.1%,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the specific review of outstanding customer and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Derivative financial instruments are used to manage interest rate and foreign currency exposures. These derivative financial instruments include interest rate swaps and foreign currency forward contracts. The fair value of derivative financial</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instruments is recognized as an asset or liability at each balance sheet date, with changes in fair value affecting net income (loss) as the Company's derivative financial instruments do not qualify for hedge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Redemption Price Promissory Note (the "Redemption Note") is recorded at fair value in accordance with applicable accounting guidance. As of September 30, 2017 and December 31, 2016, the fair value of the Redemption Note was $1.89 billion and $1.82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Casino revenues are measured by the aggregate net difference between gaming wins and losses. The commissions rebated directly or indirectly through games promoters to customers, cash discounts, other cash incentives and points earned by customers from the Company's loyalty programs are recorded as a reduction of casino revenues. Rooms, food and beverage, entertainment and other operating revenues are recognized when services are performed or events are held.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is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42,204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118,875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95,330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17,685</w:t>
            </w:r>
          </w:p>
        </w:tc>
      </w:tr>
      <w:tr>
        <w:trPr>
          <w:trHeight w:val="237"/>
        </w:trPr>
        <w:tc>
          <w:tcPr>
            <w:tcW w:w="5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115,733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92,232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336,788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255,119</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36,312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104,621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80,377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10,542</w:t>
            </w:r>
          </w:p>
        </w:tc>
      </w:tr>
      <w:tr>
        <w:trPr>
          <w:trHeight w:val="237"/>
        </w:trPr>
        <w:tc>
          <w:tcPr>
            <w:tcW w:w="5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62,997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182,583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132,500</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Operations. These taxes totaled $544.7 million and $320.0 million for the three months ended September 30, 2017 and 2016, respectively, and $1.56 billion and $900.0 million for the nine months ended September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334,086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333,593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320,234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1,889,341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1,889,341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gridSpan w:val="6"/>
            <w:shd w:val="clear" w:color="auto" w:fill="CCEEFF"/>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1,106,606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1,102,738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192,823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192,823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1,819,359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1,819,359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November 2016, the Financial Accounting Standards Board ("FASB") issued an accounting standards update that changes the classification of restricted cash in the statement of cash flows. The new guidance requires that amounts generally described as restricted cash or restricted cash equivalents should be included with cash and cash equivalents when reconciling the beginning-of-period and end-of-period total amounts shown on the statement of cash flows. This guidance is effective for financial statements with fiscal years beginning after December 15, 2017, and interim periods within those fiscal periods and early adoption is permitted. The new guidance should be adopted on a retrospective basis. The Company is currently assessing the impact the adoption of this standard will have on its consolidated financial statements.</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October 2016, the FASB issued an accounting standards update to require the recognition of the income tax consequences of an intra-entity transfer of an asset, other than inventory, when the transfer occurs, rather than deferring such recognition until the asset is sold to an outside party. This guidance is effective for financial statements with fiscal years beginning after December 15, 2017, and interim periods within those fiscal periods and early adoption is permitted. The amendments in the new guidance should be adopted on a retrospective basis. The Company does not expect the adoption of this update to have a material effect on its consolidated financial statements.</w:t>
      </w:r>
    </w:p>
    <w:p>
      <w:pPr>
        <w:spacing w:after="0" w:line="18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In August 2016, the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This guidance is effective for financial statements with fiscal years beginning after December 15, 2017,</w:t>
      </w:r>
    </w:p>
    <w:p>
      <w:pPr>
        <w:sectPr>
          <w:pgSz w:w="11900" w:h="16838" w:orient="portrait"/>
          <w:cols w:equalWidth="0" w:num="1">
            <w:col w:w="11420"/>
          </w:cols>
          <w:pgMar w:left="240" w:top="122"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58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interim periods within those fiscal periods and early adoption is permitted. The Company is currently assessing the impact the adoption of this standard will have on its consolidated financial statements.</w:t>
      </w:r>
    </w:p>
    <w:p>
      <w:pPr>
        <w:spacing w:after="0" w:line="170"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In March 2016, the FASB issued an accounting standards update that involves several aspects of the accounting for share-based payment transactions, including income tax consequences, classification of awards as either equity or liabilities, and classification on the statement of cash flows. The Company adopted the guidance on January 1, 2017 with the following amendments having an impact to the Company’s consolidated financial statements:</w:t>
      </w:r>
    </w:p>
    <w:p>
      <w:pPr>
        <w:spacing w:after="0" w:line="147" w:lineRule="exact"/>
        <w:rPr>
          <w:sz w:val="20"/>
          <w:szCs w:val="20"/>
          <w:color w:val="auto"/>
        </w:rPr>
      </w:pPr>
    </w:p>
    <w:p>
      <w:pPr>
        <w:jc w:val="both"/>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Accounting for income taxes</w:t>
      </w:r>
      <w:r>
        <w:rPr>
          <w:rFonts w:ascii="Arial" w:cs="Arial" w:eastAsia="Arial" w:hAnsi="Arial"/>
          <w:sz w:val="18"/>
          <w:szCs w:val="18"/>
          <w:color w:val="auto"/>
        </w:rPr>
        <w:t>. Under the new guidance, income tax benefits and deficiencies will be recognized as income tax expense or benefit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income statement and the tax effects of exercised or vested awards will be treated as discrete items in the reporting period in which they occur. The amendment was applied prospectively.</w:t>
      </w:r>
    </w:p>
    <w:p>
      <w:pPr>
        <w:spacing w:after="0" w:line="18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Forfeitures.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to make an accounting policy change to account for forfeitures when they occur. The Company applied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using the modified retrospective transition method, which resulted in a cumulative-effect expense adjustment of $2.7 million, net of tax to retained earnings as of December 31, 2016. The adjustment represents the impact of estimated forfeitures on previously recorded compensation expense as of December 31, 2016 from outstanding stock options and unvested share awards under the previous accounting policy.</w:t>
      </w:r>
    </w:p>
    <w:p>
      <w:pPr>
        <w:spacing w:after="0" w:line="154"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 of excess tax benefits on the cash flow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new guidance, excess tax benefits will be classified along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cash flows as an operating activity. The amendment was applied prospectively.</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This guidance is effective for financial statements with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This guidance is effective for financial statements with fiscal years beginning after December 15, 2017, and interim periods within those fiscal periods and early adoption is permitted. The Company is currently assessing the impact the adoption of this new standard will have on its consolidated financial statements. The Company expects a portion of the change in its Redemption Note fair value currently included in the Consolidated Statements of Operations will be recorded in accumulated other comprehensive income (loss) on its Consolidated Balance Sheet.</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The Company will adopt this standard effective January 1, 2018, on a full retrospective basis. The Company continues to assess the impact the adoption of this standard will have on its consolidated financial statements. Upon adoption, the Company expects the standard will change the presentation of, and accounting for, goods and</w:t>
      </w: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2" w:right="29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services provided to customers without charge currently included in both gross revenues and promotional allowances in the Condensed Consolidated Statements of Operations. The Company expects the total promotional allowances will be netted against gross revenues with the majority of the impact resulting in a decrease in casino revenues. Additionally, the Company expects the estimated cost of providing the promotional allowances will no longer be allocated primarily to casino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During the three months ended March 31, 2016, the Company identified $25.6 million of additional interest that should have been capitalized instead of being expensed during the years ended December 31, 2015 and 2014. Considering both quantitative and qualitative factors, the Company determined the amounts were immaterial to any previously issued financial statements and immaterial to the full year results for 2016. Accordingly, the Company corrected these immaterial amounts during the first quarter of the nine months ended September 30, 2016, resulting in a decrease to interest expense of $25.6 million and increases to net income attributable to Wynn Resorts, Limited of $18.5 million and basic and diluted net income per common share of $0.18.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Retail Joint Venture</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December 2016, the Company formed a joint venture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$217.0 million in cash and a $75.0 million interest-free note that matures in full on January 3, 2018. As of September 30, 2017, the present value of the note was $74.4 million and is included in prepaid expenses and other on the Condensed Consolidated Balance Sheets. As of December 31, 2016, the present value of the note was $72.5 million and was included in other assets on the Consolidated Balance Sheets.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Also in December 2016, the Company entered into an agreement with Crown to form a joint venture that will own approximately 73,000 square feet of additional retail space that is currently under construction at Wynn Las Vegas. Crown is expected to pay the Company $180.0 million for a 49.9% ownership interest in the new joint venture in the fourth quarter of 2017.</w:t>
      </w:r>
    </w:p>
    <w:p>
      <w:pPr>
        <w:spacing w:after="0" w:line="181"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2017 and December 31, 2016, the Retail Joint Venture had total assets of $38.1 million and $33.6 million, respectively, and total liabilities of $0.9 million and $2.1 million, respectively.</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Limited by the weighted average number of common shares outstanding during the period. Diluted EPS is computed by dividing net income (loss)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79,767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255,499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128,175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101,423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Weighted average common and common equivalent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basic</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 diluted</w:t>
            </w:r>
          </w:p>
        </w:tc>
        <w:tc>
          <w:tcPr>
            <w:tcW w:w="2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Anti-dilutive stock options and restricted stock excluded from the</w:t>
            </w:r>
          </w:p>
        </w:tc>
        <w:tc>
          <w:tcPr>
            <w:tcW w:w="220" w:type="dxa"/>
            <w:vAlign w:val="bottom"/>
          </w:tcPr>
          <w:p>
            <w:pPr>
              <w:spacing w:after="0"/>
              <w:rPr>
                <w:sz w:val="19"/>
                <w:szCs w:val="19"/>
                <w:color w:val="auto"/>
              </w:rPr>
            </w:pP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calculation of diluted net income per share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presents the changes by component, net of tax and noncontrolling interests, in accumulated other comprehensive income (loss) of the Company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304,654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304,291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244,724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56,764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U.S. government agency bonds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320,597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320,234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302,189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301,460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432"/>
        <w:spacing w:after="0" w:line="336" w:lineRule="auto"/>
        <w:rPr>
          <w:sz w:val="20"/>
          <w:szCs w:val="20"/>
          <w:color w:val="auto"/>
        </w:rPr>
      </w:pPr>
      <w:r>
        <w:rPr>
          <w:rFonts w:ascii="Arial" w:cs="Arial" w:eastAsia="Arial" w:hAnsi="Arial"/>
          <w:sz w:val="17"/>
          <w:szCs w:val="17"/>
          <w:color w:val="auto"/>
        </w:rPr>
        <w:t>For investments with unrealized losses as of September 30, 2017 and December 31, 2016,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ectPr>
          <w:pgSz w:w="11900" w:h="16838" w:orient="portrait"/>
          <w:cols w:equalWidth="0" w:num="1">
            <w:col w:w="11420"/>
          </w:cols>
          <w:pgMar w:left="240" w:top="122" w:right="239" w:bottom="1440" w:gutter="0" w:footer="0" w:header="0"/>
        </w:sect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these investment securities as of September 30, 2017,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156,866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Receivables, net</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Arial" w:cs="Arial" w:eastAsia="Arial" w:hAnsi="Arial"/>
                <w:sz w:val="18"/>
                <w:szCs w:val="18"/>
                <w:color w:val="auto"/>
              </w:rPr>
              <w:t>Receivables, net consisted of the following (in thousands):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258,759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273,710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224,132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218,968</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834,420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7,577,194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7,623,069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316,516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802,393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299,686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11,906,044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11,434,936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(3,519,201)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(3,175,305)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8,386,843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8,259,631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As of September 30, 2017 and December 31, 2016, construction in progress consisted primarily of costs capitalized, including interest, for the construction of Wynn Boston Harbor.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Senior Term Loan Facility, due September 2021, interest at LIBOR or HIBOR plus 1.50%—2.25% (2.70% as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140" w:type="dxa"/>
            <w:vAlign w:val="bottom"/>
            <w:shd w:val="clear" w:color="auto" w:fill="CCEEFF"/>
          </w:tcPr>
          <w:p>
            <w:pPr>
              <w:spacing w:after="0"/>
              <w:rPr>
                <w:sz w:val="18"/>
                <w:szCs w:val="18"/>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September 30, 2017 and 2.76% as of December 31, 2016), net of debt issuance costs and original issue discount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$22,670 as of September 30, 2017 and $28,091 as of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2,276,894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2,278,682</w:t>
            </w:r>
          </w:p>
        </w:tc>
      </w:tr>
      <w:tr>
        <w:trPr>
          <w:trHeight w:val="229"/>
        </w:trPr>
        <w:tc>
          <w:tcPr>
            <w:tcW w:w="140" w:type="dxa"/>
            <w:vAlign w:val="bottom"/>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w w:val="98"/>
              </w:rPr>
              <w:t>Senior Revolving Credit Facility, due September 2020, interest at LIBOR or HIBOR plus 1.50%—2.25%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(2.64% as of September 30, 2017 and 2.75% as of December 31, 2016)</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139,913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340,846</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1/4% Senior Notes, due October 15, 2021, net of debt issuance costs and original issue premium of $1,726 as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 and $6,709 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401,858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1,343,291</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w w:val="98"/>
              </w:rPr>
              <w:t>7/8% Senior Notes, due October 1, 2024, net of debt issuance costs $12,454 as of September 30, 2017</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587,546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1/2% Senior Notes, due October 1, 2027, net of debt issuance costs $11,054 as of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WML Finance Revolving Credit Facility, due July 2018, interest at 1.50%</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189,651</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America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Senior Term Loan Facility, various maturities, interest at base rate plus 0.75% or LIBOR plus 1.75% (2.99% as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140" w:type="dxa"/>
            <w:vAlign w:val="bottom"/>
            <w:shd w:val="clear" w:color="auto" w:fill="CCEEFF"/>
          </w:tcPr>
          <w:p>
            <w:pPr>
              <w:spacing w:after="0"/>
              <w:rPr>
                <w:sz w:val="18"/>
                <w:szCs w:val="18"/>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of September 30, 2017 and 2.52% as of December 31, 2016), net of debt issuance costs of $15,071 as of</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 and $15,436 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984,929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984,564</w:t>
            </w:r>
          </w:p>
        </w:tc>
      </w:tr>
      <w:tr>
        <w:trPr>
          <w:trHeight w:val="229"/>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w w:val="89"/>
              </w:rPr>
              <w:t>1/4% Senior Notes, due May 30, 2023, net of debt issuance costs of $2,534 as of September 30, 2017 and $2,819</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as of December 31, 2016</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497,466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497,181</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1/2% Senior Notes, due March 1, 2025, net of debt issuance costs of $19,926 as of September 30, 2017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$21,513 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1,778,487</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w w:val="98"/>
              </w:rPr>
              <w:t>1/4% Senior Notes, due May 15, 2027, net of debt issuance costs of $19,813 as of September 30, 2017</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880,187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 net of fair value adjustment of $47,103 as of September 30, 2017 and $117,085 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1,889,341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1,819,359</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w w:val="91"/>
              </w:rPr>
              <w:t>3/8% First Mortgage Notes, due March 15, 2022, net of debt issuance costs of $6,709 as of December 31, 2016</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893,291</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10,177,154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10,125,352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9,771,815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10,125,352</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As of September 30, 2017, the Company had $608.6 million of available borrowing capacity under the Wynn Macau Senior Revolving Credit Facility.</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Company's credit facilities include a HK$3.87 billion (approximately $495.5 million) cash-collateralized revolving credit facility ("WML Finance Credit Facility") under which WML Finance I, Limited, an indirect wholly owned subsidiary of WML, is the borrower. The WML Finance Credit Facility bears interest initially at 1.50% per annum, such rate calculated as the interest rate paid by the lender as the deposit bank for the cash collateral deposited and pledged with the lender plus a margin of 0.40%. As of September 30, 2017, the Company had no borrowings under the WML Finance Credit Facility.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5 1/4% Senior Notes due 2021</w:t>
      </w:r>
    </w:p>
    <w:p>
      <w:pPr>
        <w:spacing w:after="0" w:line="225"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On September 11, 2017, WML commenced a cash offer for any and all of the outstanding aggregate principal amount of the 2021 Notes. The Company accepted for purchase valid tenders with respect to $946.4 million and paid a tender premium of $27.2 million. As of September 30, 2017, the $403.6 million principal amount of the untendered 2021 Notes is classified as current portion of long-term debt on the Condensed Consolidated Balance Sheet.</w:t>
      </w:r>
    </w:p>
    <w:p>
      <w:pPr>
        <w:spacing w:after="0" w:line="14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October 20, 2017, WML redeemed the remaining $403.6 million principal amount of the untendered 2021 Notes and discharged the indenture under which the 2021 Notes were issued. The Company paid a premium of $10.6 million related to this redemption and will record a loss on extinguishment of debt of approximately $12 million during the three months ended December 31,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4 7/8% Senior Notes due 2024 and 5 1/2% Senior Notes due 2027</w:t>
      </w:r>
    </w:p>
    <w:p>
      <w:pPr>
        <w:spacing w:after="0" w:line="225"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On September 20, 2017, WML completed the issuance of $600 million aggregate principal amount of 4 7/8% Senior Notes due 2024 (the "2024 WML Notes") and $750 million aggregate principal amount of 5 1/2% Senior Notes due 2027 (the "2027 WML Notes" and together with the 2024 WML Notes, the "WML Notes"). WML used the net proceeds from the WML Notes and cash on hand to fund the cost of extinguishing the 2021 Notes.</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2024 WML Notes bear interest at the rate of 4 7/8% per annum and mature on October 1, 2024. The 2027 WML Notes bear interest at the rate of 5 1/2% per annum and mature on October 1, 2027. Interest on the WML Notes is payable semi-annually in arrears on April 1 and October 1 of each year, beginning on April 1, 2018.</w:t>
      </w:r>
    </w:p>
    <w:p>
      <w:pPr>
        <w:spacing w:after="0" w:line="10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At any time prior to October 1, 2020 and October 1, 2022, WML may redeem the 2024 WML Notes and 2027 WML Notes, respectively, in whole or in part, at a redemption price equal to the greater of (a) 100% of the principal amount of the WML Notes or (b) a "make-whole" amount as determined by an independent investment banker in accordance with the terms of the indentures for the WML Notes, dated as of September 20, 2017 (the "WML Indentures"). In either case, the redemption price would include accrued and unpaid interest. In addition, at any time prior to October 1, 2020, WML may use the net cash proceeds from certain equity offerings to redeem up to 35% of the aggregate principal amount of the 2024 WML Notes and the 2027 WML Notes, at a redemption price equal to 104.875% of the aggregate principal amount of the 2024 WML Notes and 105.5% of the aggregate principal amount of the 2027 WML Notes, as applicable.</w:t>
      </w:r>
    </w:p>
    <w:p>
      <w:pPr>
        <w:spacing w:after="0" w:line="10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or after October 1, 2020 and October 1, 2022, WML may redeem the 2024 WML Notes and 2027 WML Notes, respectively, in whole or in part, at a premium decreasing annually from 102.438% and 102.75%, respectively, of the applicable principal amount to zero, plus accrued and unpaid interest. 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9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repurchase all or any part of such holders' WML Notes at a purchase price in cash equal to 100% of the principal amount thereof, plus accrued and unpaid interest.</w:t>
      </w:r>
    </w:p>
    <w:p>
      <w:pPr>
        <w:spacing w:after="0" w:line="8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15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connection with the WML Notes issuance and the 2021 Notes cash tender offer, the Company recorded a loss on extinguishment of debt of $20.8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Corporate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an indirect wholly owned subsidiary of the Company. As of September 30, 2017, the Company had available borrowing capacity of $358.0 million, net of $17.0 million in outstanding letters of credit, under the WA Senior Revolving Credit Facility.</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April 24, 2017, the Company amended the Wynn America Credit Facilities to, among other things, extend the maturity of portions of the credit facilities. Pursuant to the amendment, (i) the maturity date with respect to $805.4 million of the WA Senior Term Loan Facility I was extended from November 2020 to December 2021, with repayment in quarterly installments of $20.1 million commencing in March 2020 and a final installment of $664.5 million in December 2021; (ii) the maturity date of the $125 million WA Senior Term Loan Facility II was extended from November 2020 to December 2021, with no required scheduled repayments until maturity in December 2021; and (iii) the maturity date with respect to $333.0 million of the WA Senior Revolving Credit Facility was extended from November 2019 to December 2021. In connection with the amendment, the Company recorded a loss on extinguishment of debt of $1.5 million.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5 1/4% Senior Notes due 2027</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11, 2017, Wynn Las Vegas, LLC and Wynn Las Vegas Capital Corp. ("Capital Corp.," and together with Wynn Las Vegas, LLC, the "Issuers") completed the issuance of $900 million aggregate principal amount of 5 1/4% Senior Notes due 2027 (the "2027 WLV Notes") pursuant to an indenture, dated as of May 11, 2017 (the "2027 Indenture"), among the Issuers, all of the Company’s subsidiaries other than Capital Corp. (the "Guarantors") and U.S. Bank National Association, as trustee. The 2027 WLV Notes were issued at par. The Issuers used the net proceeds from the 2027 WLV Notes and cash on hand to fund the cost of extinguishing the 5 3/8% First Mortgage Notes due 2022 (the "2022 Notes").</w:t>
      </w:r>
    </w:p>
    <w:p>
      <w:pPr>
        <w:spacing w:after="0" w:line="17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2027 WLV Notes will mature on May 15, 2027 and bear interest at the rate of 5 1/4% per annum. The Issuers may, at their option, redeem the 2027 WLV Notes, in whole or in part, at any time or from time to time prior to their stated maturity. The redemption price for 2027 WLV Notes that are redeemed before February 15, 2027 will be equal to the greater of (a) 100% of the principal amount of the 2027 WLV Notes to be redeemed and (b) a "make-whole" amount described in the 2027 Indenture, plus in either case accrued and unpaid interest, if any, to, but not including, the redemption date. The redemption price for the 2027 WLV Notes that are redeemed on or after February 15, 2027 will be equal to 100% of the principal amount of the 2027 WLV Notes to be redeemed, plus accrued and unpaid interest, if any, to, but not including, the redemption date. In the event of a change of control triggering event, the Issuers will be required to offer to repurchase the 2027 WLV Notes at 101% of the principal amount, plus accrued and unpaid interest, if any, to, but not including, the repurchase date. The 2027 WLV Notes are also subject to mandatory redemption requirements imposed by gaming laws and regulations of gaming authorities in Nevada.</w:t>
      </w:r>
    </w:p>
    <w:p>
      <w:pPr>
        <w:spacing w:after="0" w:line="19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2027 WLV Notes are the Issuers’ senior unsecured obligations and rank pari passu in right of payment with the Issuers’ outstanding 4 1/4% Senior Notes due 2023 (the "2023 Notes") and 5 1/2% Senior Notes due 2025 (the "2025 Notes," and together with the 2023 Notes, the "Existing Notes"), and rank equally in right of payment with the Issuers’ guarantee of the Wynn America Credit Facilities, and rank senior in right of payment to all of the Issuers’ existing and future subordinated debt.</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2027 WLV Notes are effectively subordinated in right of payment to all of the Issuers’ existing and future secured debt (to the extent of the value of the collateral securing such debt), and structurally subordinated to all of the liabilities of any of the Issuers’ subsidiaries that do not guarantee the 2027 WLV Notes.</w:t>
      </w:r>
    </w:p>
    <w:p>
      <w:pPr>
        <w:spacing w:after="0" w:line="181"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2027 WLV Notes are jointly and severally guaranteed by all of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2027 WLV Notes are unsecured, except for the first priority pledge by Wynn Las Vegas Holdings, LLC, a direct wholly owned subsidiary of Wynn America, LLC, of its equity interests in Wynn Las Vegas, LLC, the effectiveness of which is subject to the prior approval of the Nevada gaming authorities. The equity interests in Wynn Las Vegas, LLC also secure the Existing Notes. If Wynn Resorts, Limited receives an investment grade rating from one or more ratings agencies, the first priority pledge securing the 2027 WLV Notes will be released.</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Issuers and their subsidiaries are restricted subsidiaries under the Wynn America Credit Facilities and are required to guarantee and pledge their assets to secure the obligations of Wynn America, LLC to the extent permitted by any indenture governing the Existing Notes or the 2027 WLV Notes, subject to applicable gaming approvals. The Issuers and their subsidiaries will guarantee and secure their obligations under the Wynn America Credit Facilities with liens on substantially all of their assets, with such liens limiting the amount of such obligations secured to 15% of their Total Assets (as defined in the indenture for the 2025 Notes).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obligations under the 2027 Indenture and the 2027 WLV Notes if certain conditions set forth in the 2027 Indenture are met.</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Events of default under the 2027 Indenture include, among others, the following: default for 30 days in the payment when due of interest on the 2027 WLV Notes; default in payment when due of the principal of, or premium, if any, on the 2027 WLV Notes; failure to comply with certain covenants in the 2027 Indenture; and certain events of bankruptcy or insolvency. In the case of an event of default arising from certain events of bankruptcy or insolvency with respect to the Issuers or any Guarantor, all 2027 WLV Notes then outstanding will become due and payable immediately without further action or notice.</w:t>
      </w:r>
    </w:p>
    <w:p>
      <w:pPr>
        <w:spacing w:after="0" w:line="15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2027 WLV Notes were offered pursuant to an exemption under the Securities Act. The 2027 WLV Notes were offered only to qualified institutional buyers in reliance on Rule 144A under the Securities Act or outside the United States to certain persons in reliance on Regulation S under the Securities Act. The 2027 WLV Notes have not been and will not be registered under the Securities Act or under any state securities laws. Therefore, the 2027 WLV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On May 4, 2017, the Issuers commenced a cash tender offer for any and all of the outstanding aggregate principal amount of the 2022 Notes. The Company accepted for purchase valid tenders with respect to $498.0 million and paid a tender premium of $14.6 million.</w:t>
      </w:r>
    </w:p>
    <w:p>
      <w:pPr>
        <w:spacing w:after="0" w:line="147"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On June 12, 2017, the Issuers redeemed the remaining $402.0 million principal amount of the untendered 2022 Notes and discharged the indenture under which the 2022 Notes were issued. The Company paid a premium of $10.8 million related to this redemption.</w:t>
      </w:r>
    </w:p>
    <w:p>
      <w:pPr>
        <w:spacing w:after="0" w:line="14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connection with the 2027 WLV Notes issuance and the 2022 Notes cash tender offer and subsequent redemption, the Company recorded a loss on extinguishment of debt of $20.8 million.</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September 30, 2017,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estimated fair value of the Company's long-term debt, excluding the Redemption Note, as of September 30, 2017 and December 31, 2016 was $8.49 billion and $8.33 billion, respectively, compared to its carrying value, excluding debt issuance costs and original issue discount and original issue premium, of $8.39 billion.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periodically provides services to Stephen A. Wynn, Chairman of the Board of Directors and Chief Executive Officer ("Mr. Wynn"), and certain other executive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$0.2 million and $0.3 million as of September 30, 2017 and December 31,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224</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29,360</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29,434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$4.9 million and $4.8 million for the three months ended September 30, 2017 and 2016, respectively, and $14.8 million and $15.1 million for the nine months ended September 30, 2017 and 2016, respectively. The Company settles this obligation by issuing immediately vested shares in January of the following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June 20, 2017, WML paid a dividend of HK$0.42 per share for a total of $279.9 million. The Company's share of this dividend was $202.0 million with a reduction of $77.9 million to noncontrolling interest in the accompanying Condensed Consolidated Balance Sheet.</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On September 15, 2017, WML paid a dividend of HK$0.21 per share for a total of $139.4 million. The Company's share of this dividend was $100.6 million with a reduction of $38.8 million to noncontrolling interest in the accompanying Condensed Consolidated Balance Sheet.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the three months ended September 30, 2017 and 2016, the Company recorded a tax benefit of $0.5 million and a tax expense of $0.1 million, respectively. For the nine months ended September 30, 2017 and 2016, the Company recorded a tax expense of $5.0 million and $1.1 million, respectively. The Company's income tax expense and benefit for these periods primarily related to changes in the domestic valuation allowance for U.S. foreign tax credits ("FTCs").</w:t>
      </w:r>
    </w:p>
    <w:p>
      <w:pPr>
        <w:spacing w:after="0" w:line="187"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The Company does not consider its portion of the tax earnings and profits of WML to be permanently invested. The Company has not provided deferred U.S. federal income taxes or foreign withholding taxes on temporary differences and expects FTCs to be sufficient to eliminate any U.S. federal income tax in the event of repatriation.</w:t>
      </w:r>
    </w:p>
    <w:p>
      <w:pPr>
        <w:spacing w:after="0" w:line="181" w:lineRule="exact"/>
        <w:rPr>
          <w:sz w:val="20"/>
          <w:szCs w:val="20"/>
          <w:color w:val="auto"/>
        </w:rPr>
      </w:pPr>
    </w:p>
    <w:p>
      <w:pPr>
        <w:ind w:right="20" w:firstLine="392"/>
        <w:spacing w:after="0" w:line="312" w:lineRule="auto"/>
        <w:rPr>
          <w:sz w:val="20"/>
          <w:szCs w:val="20"/>
          <w:color w:val="auto"/>
        </w:rPr>
      </w:pPr>
      <w:r>
        <w:rPr>
          <w:rFonts w:ascii="Arial" w:cs="Arial" w:eastAsia="Arial" w:hAnsi="Arial"/>
          <w:sz w:val="16"/>
          <w:szCs w:val="16"/>
          <w:color w:val="auto"/>
        </w:rPr>
        <w:t>The Company recorded valuation allowances on certain of its U.S. and foreign deferred tax assets. In assessing the need for a valuation allowance, the Company relies solely on the reversal of net taxable temporary differences. The valuation allowance for FTCs was determined by scheduling the existing U.S. taxable temporary differences that are expected to reverse and result in foreign source income during the 10-year FTC carryover period.</w:t>
      </w:r>
    </w:p>
    <w:p>
      <w:pPr>
        <w:spacing w:after="0" w:line="147"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Wynn Macau SA has received a five-year exemption from complementary tax on profits generated by gaming operations through December 31, 2020. For the three months ended September 30, 2017 and 2016, the Company was exempt from the payment of such taxes totaling $15.0 million and $2.2 million, respectively. For the nine months ended September 30, 2017 and 2016, the Company was exempt from the payment of such taxes totaling $41.6 million and $23.1 million, respectively.</w:t>
      </w:r>
    </w:p>
    <w:p>
      <w:pPr>
        <w:spacing w:after="0" w:line="187"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12.8 million Macau patacas (approximately $1.6 million) as complementary tax otherwise due by shareholders of Wynn Macau SA on dividend distributions through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Boston Harbor Development</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Wynn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14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88"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On May 5, 2016, the court granted Wynn Resorts' and Wynn Resorts' General Counsel's motions to dismiss and denied Mr. Wynn's motion to dismiss. On May 26, 2016, the court denied the Wynn Cross Defendants' motion to sever. On May 1, 2017, the court granted Elaine Wynn leave to file an amended cross claim against the Wynn Cross Defendants which substantially repeats the allegations contained in the previous version of Ms. Wynn’s cross claim. Elaine Wynn filed such amended cross claim on May 17, 2017. On July 10, 2017, the court denied Wynn Resorts' and Wynn Resorts' General Counsel’s motions to dismiss, and on July 24, 2017, the court denied Wynn Resorts' motion to sever. The Wynn Cross Defendants will vigorously defend against the claims asserted against them.</w:t>
      </w:r>
    </w:p>
    <w:p>
      <w:pPr>
        <w:spacing w:after="0" w:line="181"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The indenture for the 2023 Notes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the 2025 Notes (the "2025 Indenture") and the 2027 Indenture each provides that if any event constitutes a "change of control" under the 2023 Indenture, it will constitute a change of control under the 2025 Indenture and the 2027 Indenture, respectively.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the 2025 Indenture and the 2027 Indenture, if (1) a change of control occurs and (2) at any time within 60 days after that occurrence, the 2023 Notes or the 2025 Notes, as applicable, are rated below investment grade by both rating agencies that rate such notes and, in the case of the 2027 Indenture, the ratings of the 2027 WLV Notes have decreased below the ratings assigned to the 2027 WLV Notes on the date they were issued as described in the 2027 Indenture,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February 12, 2016, and February 13, 2017, the Company issued a check for the interest payment due at those times to the clerk of the court for deposit into the clerk's trust account.</w:t>
      </w:r>
    </w:p>
    <w:p>
      <w:pPr>
        <w:spacing w:after="0" w:line="19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(the "Discovery Stay"), pending an evidentiary disqualification hearing. On January 23, 2017, the court issued a temporary restraining order that halted QE’s participation in the case, with the sole exception of contesting its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Company information. On March 27, 2017, the Discovery Stay was lifted.</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September 5, 2017, the Wynn Parties filed a motion for summary judgment related to the redemption of Aruze's shares. A court hearing is scheduled for November 13, 2017. Fact discovery closed on November 3, 2017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21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believes the action commenced by Mr. Okada is without merit and will vigorously defend itself against the claims pleaded against it.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Macau Court has served the complaint on the defendants and the Wynn Macau Parties filed their response on May 17, 2016. On July 11, 2017, the Macau Court dismissed all claims by the Okada Parties as unfounded, fined the Okada Parties as vexatious litigants, and ordered the Okada Parties to pay for court costs and the Wynn Macau Parties' attorney's fees. On September 14, 2017, the Macau Court informed Wynn Macau SA that the Okada Parties filed a notice of intention to appeal. As of the date of this filing, Wynn Macau has not received formal notice of the Okada Parties' appeal.</w:t>
      </w:r>
    </w:p>
    <w:p>
      <w:pPr>
        <w:spacing w:after="0" w:line="17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Company believes the action commenced by the Okada Parties is without merit and will vigorously defend itself against the claims pleaded against it.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four federal actions brought by the plaintiffs (collectively, the "Federal Plaintiffs") were consolidated.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8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0"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w:t>
      </w:r>
    </w:p>
    <w:p>
      <w:pPr>
        <w:spacing w:after="0" w:line="225"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SJC granted the City of Revere and IBEW's application for direct appellate review.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MGC's opposition is due on or before December 12, 2017. The SJC reversed the court’s dismissal of the individual plaintiffs' open meeting law claim and remanded that claim to the Suffolk Superior Court. The parties are currently in the discovery phase.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above complaint. The MGC retained private legal representation at its own nontaxpayer-funded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(collectively, "Macau Operations")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Wynn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1,765,652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555,322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164,625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1,445,747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164,625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3,312,910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1,930,277</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459,587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427,103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1,304,362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1,235,587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1,612,331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1,109,822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4,617,272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3,165,864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183,219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151,009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574,723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532,643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37"/>
        </w:trPr>
        <w:tc>
          <w:tcPr>
            <w:tcW w:w="5620" w:type="dxa"/>
            <w:vAlign w:val="bottom"/>
          </w:tcPr>
          <w:p>
            <w:pPr>
              <w:ind w:left="660"/>
              <w:spacing w:after="0"/>
              <w:rPr>
                <w:sz w:val="20"/>
                <w:szCs w:val="20"/>
                <w:color w:val="auto"/>
              </w:rPr>
            </w:pPr>
            <w:r>
              <w:rPr>
                <w:rFonts w:ascii="Arial" w:cs="Arial" w:eastAsia="Arial" w:hAnsi="Arial"/>
                <w:sz w:val="18"/>
                <w:szCs w:val="18"/>
                <w:color w:val="auto"/>
              </w:rPr>
              <w:t>Total Macau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321,447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176,556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912,210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558,190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360,193</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472,956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305,435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1,330,506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918,383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150,496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264,187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10,503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other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215,629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228,504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576,360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535,615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382,768</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(193,698)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other non-operating income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177,048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175,903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652"/>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Property EBITDA" is net income (loss) before interest,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w:t>
      </w:r>
    </w:p>
    <w:p>
      <w:pPr>
        <w:sectPr>
          <w:pgSz w:w="11900" w:h="16838" w:orient="portrait"/>
          <w:cols w:equalWidth="0" w:num="1">
            <w:col w:w="11420"/>
          </w:cols>
          <w:pgMar w:left="240" w:top="121"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jc w:val="both"/>
        <w:ind w:left="660"/>
        <w:spacing w:after="0" w:line="339" w:lineRule="auto"/>
        <w:rPr>
          <w:sz w:val="20"/>
          <w:szCs w:val="20"/>
          <w:color w:val="auto"/>
        </w:rPr>
      </w:pPr>
      <w:r>
        <w:rPr>
          <w:rFonts w:ascii="Arial" w:cs="Arial" w:eastAsia="Arial" w:hAnsi="Arial"/>
          <w:sz w:val="16"/>
          <w:szCs w:val="16"/>
          <w:color w:val="auto"/>
        </w:rPr>
        <w:t>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1,161,670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4,066,782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4,317,458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494,801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28,927</w:t>
            </w: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color w:val="auto"/>
              </w:rPr>
              <w:t>Total Macau Operations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5,621,472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5,508,055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3,264,926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3,275,780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Boston Harbor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876,746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419,001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2,664,810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2,750,721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12,427,954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11,953,557</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On October 26, 2017, the Company announced a cash dividend of $0.50 per share, payable on November 28, 2017 to stockholders of record as of November 16,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2016.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("WML") and we operate the Wynn Macau and Wynn Palace resorts, which we refer to as our Macau Operations. In Las Vegas, Nevada, we operate and, with the exception of the majority of the retail space, we own 100% of Wynn Las Vegas, which we also refer to as our Las Vegas Operations. We are currently constructing Wynn Boston Harbor,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October 14, 2017:</w:t>
      </w:r>
    </w:p>
    <w:p>
      <w:pPr>
        <w:spacing w:after="0" w:line="279" w:lineRule="exact"/>
        <w:rPr>
          <w:sz w:val="20"/>
          <w:szCs w:val="20"/>
          <w:color w:val="auto"/>
        </w:rPr>
      </w:pPr>
    </w:p>
    <w:p>
      <w:pPr>
        <w:ind w:left="1300" w:right="1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281,000 square feet of casino space, offering 24-hour gaming and a full range of games with 301 table games and 925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Eight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shopping;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rotunda show featuring a Chinese zodiac-inspired ceiling along with gold "prosperity tree" and "dragon of fortune" attractions.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October 14, 2017:</w:t>
      </w:r>
    </w:p>
    <w:p>
      <w:pPr>
        <w:spacing w:after="0" w:line="279" w:lineRule="exact"/>
        <w:rPr>
          <w:sz w:val="20"/>
          <w:szCs w:val="20"/>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420,000 square feet of casino space, offering 24-hour gaming and a full range of games with 307 table games and 1,034 slot machines, including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shopping;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improved with an employee parking garage, and approximately five acres adjacent to the golf course upon which an office building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October 14, 2017:</w:t>
      </w:r>
    </w:p>
    <w:p>
      <w:pPr>
        <w:spacing w:after="0" w:line="387"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240 table games and 1,838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103,000 square feet of high-end, brand-name retail shopping (of which, effective December 2016, approximately 88,000 square feet is owned and operated by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 and</w:t>
      </w:r>
    </w:p>
    <w:p>
      <w:pPr>
        <w:spacing w:after="0" w:line="62"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December 2016, we formed a joint venture (the "Retail Joint Venture") with Crown Acquisitions Inc. ("Crown") to own and operate approximately 88,000 square feet of existing retail space (of which we own 50.1%) and signed an agreement with Crown to form a joint venture to own and operate approximately 73,000 square feet of additional retail space that is currently under construction at Wynn Las Vegas. We expect to open the majority of the additional retail space in the third quarter of 2018.</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September 30, 2017, we have incurred $935.6 million in total project costs. We expect to open Wynn Boston Harbor in mid-2019.</w:t>
      </w:r>
    </w:p>
    <w:p>
      <w:pPr>
        <w:spacing w:after="0" w:line="188"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are in the planning phase for the re-development of the Wynn Las Vegas golf course, which we expect to close prior to December 31, 2017. Phase 1 of the project is expected to include a lagoon and additional meeting and convention space. Based on current designs, we estimate the total project budget for Phase 1 to be approximately $500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Certain key operating measures specific to the gaming industry are included in our discussion of our operational performance for the periods for which a Condensed Consolidated Statement of Operations is presented. Below are definitions of these key operating measures discussed:</w:t>
      </w:r>
    </w:p>
    <w:p>
      <w:pPr>
        <w:spacing w:after="0" w:line="147" w:lineRule="exact"/>
        <w:rPr>
          <w:sz w:val="20"/>
          <w:szCs w:val="20"/>
          <w:color w:val="auto"/>
        </w:rPr>
      </w:pPr>
    </w:p>
    <w:p>
      <w:pPr>
        <w:ind w:left="1300" w:right="2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46"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w:t>
      </w:r>
    </w:p>
    <w:p>
      <w:pPr>
        <w:spacing w:after="0" w:line="32" w:lineRule="exact"/>
        <w:rPr>
          <w:rFonts w:ascii="Arial" w:cs="Arial" w:eastAsia="Arial" w:hAnsi="Arial"/>
          <w:sz w:val="16"/>
          <w:szCs w:val="16"/>
          <w:color w:val="auto"/>
        </w:rPr>
      </w:pPr>
    </w:p>
    <w:p>
      <w:pPr>
        <w:ind w:left="1300" w:right="4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third quarter 2017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02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90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1,612,331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4,617,272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3,165,864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Wynn Resorts,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79,767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255,499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128,175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472,956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305,435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1,330,506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918,383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During the three months ended September 30, 2017, our net income attributable to Wynn Resorts, Limited was $79.8 million, or $0.78 per diluted share, compared to a net loss attributable to Wynn Resorts, Limited of $17.4 million, or $0.17 per diluted share, for the same period of 2016. The increase in net income attributable to Wynn Resorts, Limited was primarily the result of a full quarter of income from Wynn Palace and increased operating income from Wynn Macau and our Las Vegas Operations, partially offset by a loss on extinguishment of debt, an increase in net income attributable to noncontrolling</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interests and an increase in property charges and other. Our results for the three months ended September 30, 2016 include 40 days of operations of Wynn Palace.</w:t>
      </w:r>
    </w:p>
    <w:p>
      <w:pPr>
        <w:spacing w:after="0" w:line="17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During the nine months ended September 30, 2017, our net income attributable to Wynn Resorts, Limited was $255.5 million, an increase of $127.3 million, or 99.3% over $128.2 million for the same period of 2016, resulting in diluted earnings per share of $2.49. The increase in net income attributable to Wynn Resorts, Limited was primarily due to increased operating income from Wynn Palace, Wynn Macau and our Las Vegas Operations, partially offset by increases in interest expense, net income attributable to noncontrolling interests and the Redemption Note fair value, and losses on extinguishment of debt. The increase in interest expense results from the Company no longer capitalizing interest on Wynn Palace and a $25.6 million out-of-period adjustment recorded in the first quarter of 2016 related to capitalized interest that reduced interest expense.</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Adjusted Property EBITDA increased 54.8%, or $167.5 million, to $473.0 million for the three months ended September 30, 2017, from $305.4 million for the same period of 2016, primarily as a result of increases of $112.7 million, $32.2 million and $22.6 million, from Wynn Palace, Wynn Macau and our Las Vegas Operations, respectively.</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Adjusted Property EBITDA increased 44.9%, or $412.1 million, to $1.33 billion for the nine months ended September 30, 2017, from $918.4 million for the same period of 2016, primarily as a result of increases of $311.9 million, $58.1 million and $42.1 million, from Wynn Palace, our Las Vegas Operations and Wynn Macau,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2017 compared to the three months ended September 30, 2016.</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results for the three months ended September 30, 2017 reflect the operations of Wynn Palace for the full quarter versus 40 days of operations for the three months ended September 30,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597,422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518,094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555,322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164,625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1,152,744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682,719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459,587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427,103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1,612,331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1,109,822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(1) Wynn Palace opened on August 22, 2016.</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Net revenues increased 45.3%, or $502.5 million, to $1.61 billion for the three months ended September 30, 2017, from $1.11 billion for the same period of 2016. The increase was the result of increases of $390.7 million, $79.3 million and $32.5 million from Wynn Palace, Wynn Macau and our Las Vegas Operations, respectively.</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1,256,602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788,219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355,729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321,603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1,612,331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1,109,822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940" w:type="dxa"/>
            <w:vAlign w:val="bottom"/>
            <w:vMerge w:val="restart"/>
          </w:tcPr>
          <w:p>
            <w:pPr>
              <w:jc w:val="right"/>
              <w:ind w:right="770"/>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Casino revenues were 77.9% of total net revenues for the three months ended September 30, 2017, compared to 71.0% for the same period of 2016, while non-casino revenues were 22.1% of total net revenues, compared to 29.0% for the same period of 2016.</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Casino revenues increased 59.4%, or $468.4 million, to $1.26 billion for the three months ended September 30, 2017, from $788.2 million for the same period of 2016. The increase was primarily due to increases of $367.8 million and $79.3 million from Wynn Palace and Wynn Macau, respectively. The increase in casino revenues from Wynn Macau was driven by a 22.2% increase in VIP turnover and an increase in mass market table games win percentage from 18.6% to 20.2%.</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share table games between Wynn Macau and Wynn Palace, subject to the aggregate cap, to optimize our casino operations. As of October 14, 2017, we had a total of 301 table games at Wynn Macau and 307 at Wynn Palace.</w:t>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567,667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488,346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13,373,060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10,941,100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2,431,960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451,136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1,070,119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1,105,938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(35,819)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864,553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681,552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35,522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29,327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514,518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146,708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367,810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13,694,250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9,543,802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409,648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120,455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289,193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42,117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866,637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590,739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194,294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142,769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817,543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204,515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613,028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8"/>
        </w:trPr>
        <w:tc>
          <w:tcPr>
            <w:tcW w:w="5060" w:type="dxa"/>
            <w:vAlign w:val="bottom"/>
          </w:tcPr>
          <w:p>
            <w:pPr>
              <w:spacing w:after="0"/>
              <w:rPr>
                <w:sz w:val="20"/>
                <w:szCs w:val="20"/>
                <w:color w:val="auto"/>
              </w:rPr>
            </w:pPr>
            <w:r>
              <w:rPr>
                <w:rFonts w:ascii="Arial" w:cs="Arial" w:eastAsia="Arial" w:hAnsi="Arial"/>
                <w:sz w:val="14"/>
                <w:szCs w:val="14"/>
                <w:color w:val="auto"/>
              </w:rPr>
              <w:t>(1) Wynn Palace opened on August 22, 2016.</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3"/>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174,417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153,166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21,251</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496,233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483,382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132,227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4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819,462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818,719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59,605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52,460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Non-casino revenues increased 10.6%, or $34.1 million, to $355.7 million for the three months ended September 30, 2017, from $321.6 million for the same period of 2016, primarily due to increases of $22.9 million and $11.2 million from Wynn Palace and our Las Vegas Operations, respectively.</w:t>
      </w:r>
    </w:p>
    <w:p>
      <w:pPr>
        <w:spacing w:after="0" w:line="12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Room revenues increased 14.7%, or $22.5 million, to $175.1 million for the three months ended September 30, 2017, from $152.6 million for the same period of 2016, primarily due to increases of $18.7 million and $5.9 million from Wynn Palace and our Las Vegas Operations, respectively, partially offset by a decrease of $2.1 million from Wynn Macau.</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180" w:type="dxa"/>
            <w:vAlign w:val="bottom"/>
          </w:tcPr>
          <w:p>
            <w:pPr>
              <w:jc w:val="right"/>
              <w:ind w:right="13"/>
              <w:spacing w:after="0" w:line="139" w:lineRule="exact"/>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26,184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32,905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118,088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112,185</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0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Except occupancy, which is presented as a percentage point change.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Food and beverage revenues increased 13.6%, or $22.9 million, to $190.9 million for the three months ended September 30, 2017, from $168.0 million for the same period of 2016, primarily due to increases of $14.0 million and $9.6 million from Wynn Palace and our Las Vegas Operations, respectively. The increase from our Las Vegas Operations was primarily driven by an increase in revenues at our nightclubs.</w:t>
      </w:r>
    </w:p>
    <w:p>
      <w:pPr>
        <w:spacing w:after="0" w:line="18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Entertainment, retail and other revenues increased 13.2%, or $12.3 million, to $105.5 million for the three months ended September 30, 2017, from $93.2 million for the same period of 2016. The increase was primarily due to increases of $12.9 million and $1.3 million from Wynn Palace and Wynn Macau, respectively, partially offset by a decrease of $1.9 million from our Las Vegas Operations.</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Promotional allowances increased 25.5%, or $23.5 million, to $115.7 million for the three months ended September 30, 2017, from $92.2 million for the same period of 2016. The increase was primarily due to increases of $22.7 million and $2.3 million from Wynn Palace and our Las Vegas Operations, respectively, partially offset by a decrease of $1.5 million from Wynn Macau.</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Operating expenses increased 31.2%, or $322.1 million, to $1.36 billion for the three months ended September 30, 2017, from $1.03 billion for the same period of 2016, primarily due to increases in casino expenses of $294.4 million, general and administrative expenses of $34.3 million and depreciation and amortization of $31.5 million, partially offset by a decrease in pre-opening expenses of $63.9 million, all mainly related to the opening of Wynn Palace.</w:t>
      </w:r>
    </w:p>
    <w:p>
      <w:pPr>
        <w:spacing w:after="0" w:line="1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Casino expenses increased 58.2%, or $294.4 million, to $800.0 million for the three months ended September 30, 2017, from $505.6 million for the same period of 2016, primarily due to increases of $244.9 million and $47.2 million from Wynn Palace and Wynn Macau, respectively. The increase at Wynn Macau was driven by gaming taxes, which increased commensurate with the 16.2% increase in casino revenues, partially offset by a decrease in the cost of providing complimentaries.</w:t>
      </w:r>
    </w:p>
    <w:p>
      <w:pPr>
        <w:spacing w:after="0" w:line="18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Room expenses increased 9.7%, or $3.9 million, to $44.1 million for the three months ended September 30, 2017, from $40.2 million for the same period of 2016, primarily related to Wynn Palace.</w:t>
      </w:r>
    </w:p>
    <w:p>
      <w:pPr>
        <w:spacing w:after="0" w:line="17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Food and beverage expenses increased 3.8%, or $4.1 million, to $113.5 million for the three months ended September 30, 2017, from $109.3 million for the same period of 2016. The increase was primarily due to an increase of $3.3 million from our Las Vegas Operations driven by increased labor costs.</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Entertainment, retail, and other expenses increased 10.0%, or $4.0 million, to $44.2 million for the three months ended September 30, 2017, from $40.2 million for the same period of 2016, primarily related to Wynn Palace.</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General and administrative expenses increased 23.8%, or $34.3 million, to $178.5 million for the three months ended September 30, 2017, from $144.2 million for the same period of 2016, primarily related to Wynn Palace.</w:t>
      </w:r>
    </w:p>
    <w:p>
      <w:pPr>
        <w:spacing w:after="0" w:line="170"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Provision for doubtful accounts was $1.7 million for the three months ended September 30, 2017, compared to a benefit of $2.4 million for the same period of 2016.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Pre-opening expenses were $6.9 million for the three months ended September 30, 2017, compared to $70.8 million for the same period of 2016. During the three months ended September 30, 2017, we incurred pre-opening expenses of $6.5 million related to Wynn Boston Harbor and $0.3 million at our Las Vegas Operations. During the three months ended September 30, 2016, we incurred pre-opening expenses of $65.5 million related to Wynn Palace and $5.2 million related to Wynn Boston Harbor.</w:t>
      </w:r>
    </w:p>
    <w:p>
      <w:pPr>
        <w:spacing w:after="0" w:line="18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Depreciation and amortization increased 29.6%, or $31.5 million, to $138.0 million for the three months ended September 30, 2017, from $106.5 million for the same period of 2016. The increase was primarily due to the opening of Wynn Palace with the associated building and furniture, fixtures and equipment being placed in service.</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Property charges and other was $28.3 million for the three months ended September 30, 2017, compared to $18.5 million for the same period of 2016. During the three months ended September 30, 2017, property charges and other included $19.1 million in estimated costs primarily related to property damage caused by a typhoon that impacted Macau during the quarter. During the three months ended September 30, 2016, our Las Vegas Operations incurred a $15.3 million exit fee for the right to procure energy from the wholesale energy markets instead of from the local public electric utility.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380"/>
              <w:spacing w:after="0"/>
              <w:rPr>
                <w:sz w:val="20"/>
                <w:szCs w:val="20"/>
                <w:color w:val="auto"/>
              </w:rPr>
            </w:pPr>
            <w:r>
              <w:rPr>
                <w:rFonts w:ascii="Arial" w:cs="Arial" w:eastAsia="Arial" w:hAnsi="Arial"/>
                <w:sz w:val="18"/>
                <w:szCs w:val="18"/>
                <w:color w:val="auto"/>
                <w:w w:val="96"/>
              </w:rPr>
              <w:t>Interest cost, including amortization of deferred financing costs and original issue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101,402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96,895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(17,226)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79,669</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311"/>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9,959,989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9,593,292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Interest cost increased $4.5 million for the three months ended September 30, 2017, compared to the same period of 2016, primarily due to an increase in our weighted average total debt balance from borrowings under the Wynn America credit facilities. Capitalized interest decreased $11.7 million for the three months ended September 30, 2017, compared to the same period of 2016, primarily due to the completion of Wynn Palace construction activities in August 2016.</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incurred losses of $41.7 million and $22.2 million for the three months ended September 30, 2017 and 2016, respectively, from the change in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46"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Interest income was $8.4 million for the three months ended September 30, 2017, compared to $3.7 million for the three months ended September 30, 2016. During 2017 and 2016, our short-term investment strategy has been to preserve capital while retaining sufficient liquidity. The majority of our short-term investment amounts were in time deposits, fixed deposits and money market accounts with a maturity of three months or less.</w:t>
      </w:r>
    </w:p>
    <w:p>
      <w:pPr>
        <w:spacing w:after="0" w:line="14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incurred a loss on the extinguishment of debt of $20.8 million for the three months ended September 30, 2017. During the three months ended September 30, 2017, we completed a cash tender offer our 5 1/4% Senior Notes due 2021 (the "2021 Notes") and issued our 4 7/8% Senior Notes due 2024 (the "2024 WML Notes") and our 5 1/2% Senior Notes due 2027 (the "2027 WML Notes" and together with the 2024 WML Notes, the "WML Notes"). In connection with this refinancing, we recorded a loss on extinguishment of debt of $20.8 million. We incurred no losses on the extinguishment of debt for the same period of 2016.</w:t>
      </w:r>
    </w:p>
    <w:p>
      <w:pPr>
        <w:spacing w:after="0" w:line="18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incurred a loss of $1.9 million and a gain of $0.9 million for the three months ended September 30, 2017 and 2016, respectively, from foreign currency remeasurements.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We recorded an income tax benefit of $0.5 million for the three months ended September 30, 2017, compared to an income tax expense of $0.1 million for the same period of 2016. These amounts primarily related to changes in the domestic valuation allowance for U.S. foreign tax credits ("FTCs").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2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Net income attributable to noncontrolling interests was $26.2 million for the three months ended September 30, 2017, compared to a net loss of $1.9 million for the same period of 2016. These amounts were primarily related to the noncontrolling interests' share of net income (loss) from WML.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2017 compared to the nine months ended September 30, 2016.</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results for the nine months ended September 30, 2017 reflect the operations of Wynn Palace for the full period versus 40 days of operations for the nine months ended September 30,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00" w:lineRule="exact"/>
        <w:rPr>
          <w:sz w:val="20"/>
          <w:szCs w:val="20"/>
          <w:color w:val="auto"/>
        </w:rPr>
      </w:pPr>
    </w:p>
    <w:p>
      <w:pPr>
        <w:spacing w:after="0" w:line="24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1,867,163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1,765,652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1,445,747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164,625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1,930,277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1,304,362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1,235,587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4,617,272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3,165,864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(1) Wynn Palace opened on August 22, 2016.</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Net revenues increased 45.8%, or $1.45 billion, to $4.62 billion for the nine months ended September 30, 2017, from $3.17 billion for the same period of 2016. The increase was primarily due to increases of $1.28 billion, $101.5 million and $68.8 million from Wynn Palace, Wynn Macau and our Las Vegas Operations, respectively.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revenues from our casino and non-casino revenues (dollars in thousands):</w:t>
      </w:r>
    </w:p>
    <w:p>
      <w:pPr>
        <w:spacing w:after="0" w:line="200" w:lineRule="exact"/>
        <w:rPr>
          <w:sz w:val="20"/>
          <w:szCs w:val="20"/>
          <w:color w:val="auto"/>
        </w:rPr>
      </w:pPr>
    </w:p>
    <w:p>
      <w:pPr>
        <w:spacing w:after="0" w:line="24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3,574,059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2,263,608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1,043,213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902,256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4,617,272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3,165,864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Casino revenues were 77.4% of total net revenues for the nine months ended September 30, 2017, compared to 71.5% for the same period of 2016, while non-casino revenues were 22.6% of total net revenues, compared to 28.5% for the same period of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Casino revenues increased 57.9%, or $1.31 billion, to $3.57 billion for the nine months ended September 30, 2017, from $2.26 billion for the same period of 2016. The increase was due to increases of $1.17 billion, $107.4 million and $33.0 million from Wynn Palace, Wynn Macau and our Las Vegas Operations, respectively. The increase in casino revenues from Wynn Macau was driven by a 17.7% increase in VIP turnover, partially offset by a decrease in table drop of 6.1%. The increase in casino revenues from our Las Vegas Operations was primarily due to an increase in the table games win percentage of 1.9 percentage points from 24.6% to 26.5%, partially offset by a 0.9% decrease in table drop.</w:t>
      </w:r>
    </w:p>
    <w:p>
      <w:pPr>
        <w:spacing w:after="0" w:line="17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1,777,305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1,669,871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42,680,904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36,252,239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6,428,665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1,456,139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1,214,675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241,464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3,274,733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3,489,272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(214,539)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650,911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2,589,125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2,584,342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113,607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113,098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Palace (1):</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1,316,713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146,708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1,170,005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36,340,603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32,190,155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997,031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120,455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876,576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36,290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42,117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2,365,661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2,089,763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530,668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479,143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9,507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2,132,973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204,515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1,928,458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Wynn Palace opened on August 22, 2016.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480,041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447,030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33,011</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1,374,167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1,385,963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364,374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340,572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2,350,162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2,286,559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162,340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150,786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11,554</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Non-casino revenues increased 15.6%, or $141 million, to $1.04 billion for the nine months ended September 30, 2017, from $902.3 million for the same period of 2016, primarily due to increases of $111.1 million and $35.8 million from Wynn Palace and our Las Vegas Operations, respectively, partially offset by a decrease of $5.9 million from Wynn Macau.</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Room revenues increased 23.3%, or $100.5 million, to $531.6 million for the nine months ended September 30, 2017, from $431.0 million for the same period of 2016, primarily due to increases of $93.8 million and $17.3 million from Wynn Palace and our Las Vegas Operations, respectively, partially offset by a decrease of $10.6 million from Wynn Macau. The increase experienced by our Las Vegas Operations was driven by a 2.8 percentage point increase in occupancy and an ADR increase of 2.3% while the decrease from Wynn Macau was a result of an ADR decline of 15.8%, partially offset by a 3.1 percentage point increase in occupancy.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85,915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Palace (2):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108,050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14,239</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658.8</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32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348,200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330,893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0"/>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Except occupancy, which is presented as a percentage point change.</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(2) Wynn Palace opened on August 22, 2016.</w:t>
      </w:r>
    </w:p>
    <w:p>
      <w:pPr>
        <w:spacing w:after="0" w:line="16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Food and beverage revenues increased 14.7%, or $68.7 million, to $537.8 million for the nine months ended September 30, 2017, from $469.1 million for the same period of 2016, primarily due to increases of $53.9 million and $22.3 million from Wynn Palace and our Las Vegas Operations, respectively, partially offset by a decrease of $7.5 million from Wynn Macau. The increase from our Las Vegas Operations was primarily driven by an increase in revenues at our nightclubs.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Entertainment, retail and other revenues increased 20.7%, or $53.4 million, to $310.6 million for the nine months ended September 30, 2017, from</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$257.3 million for the same period of 2016. The increase was primarily due to an increase of $62.9 million from Wynn Palace, partially offset by decreases of $7.0 million and $2.6 million from our Las Vegas Operations and Wynn Macau, respectively.</w:t>
      </w:r>
    </w:p>
    <w:p>
      <w:pPr>
        <w:spacing w:after="0" w:line="18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Promotional allowances increased 32.0%, or $81.7 million, to $336.8 million for the nine months ended September 30, 2017, from $255.1 million for the same period of 2016. The increase was primarily due to an increase of $99.6 million from Wynn Palace, partially offset by decreases of $14.8 million and $3.1 million from Wynn Macau and our Las Vegas Operations, respectively. The decreases from Wynn Macau and our Las Vegas Operations were primarily a result of a greater percentage of cash paying guests in our rooms and food and beverage outlets.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Operating expenses increased 38.8%, or $1.08 billion, to $3.86 billion for the nine months ended September 30, 2017, from $2.78 billion for the same period of 2016, primarily due to increases in casino expenses of $874.9 million, depreciation and amortization of $151.3 million, and general and administrative expenses of $121.5 million, partially offset by a decrease of $131.1 million in pre-opening expenses, all mainly related to the opening of Wynn Palace.</w:t>
      </w:r>
    </w:p>
    <w:p>
      <w:pPr>
        <w:spacing w:after="0" w:line="18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Casino expenses increased 61.2%, or $874.9 million, to $2.30 billion for the nine months ended September 30, 2017, from $1.43 billion for the same period of 2016, primarily due to increases of $811.3 million and $65.5 million from Wynn Palace and Wynn Macau, respectively. The increase at Wynn Macau was driven by gaming taxes, which increased commensurate with the 6.4% increase in casino revenues, partially offset by a decrease in the cost of providing complimentaries.</w:t>
      </w:r>
    </w:p>
    <w:p>
      <w:pPr>
        <w:spacing w:after="0" w:line="187"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Room expenses increased 15.9%, or $18.5 million, to $134.4 million for the nine months ended September 30, 2017, from $115.9 million for the same period of 2016. The increase was primarily due to increases of $8.8 million and $9.5 million from our Las Vegas Operations and Wynn Palace, respectively, mainly attributable to expenses associated with the increase in occupancy and an increase in labor costs.</w:t>
      </w:r>
    </w:p>
    <w:p>
      <w:pPr>
        <w:spacing w:after="0" w:line="166" w:lineRule="exact"/>
        <w:rPr>
          <w:sz w:val="20"/>
          <w:szCs w:val="20"/>
          <w:color w:val="auto"/>
        </w:rPr>
      </w:pPr>
    </w:p>
    <w:p>
      <w:pPr>
        <w:jc w:val="both"/>
        <w:ind w:right="160" w:firstLine="405"/>
        <w:spacing w:after="0" w:line="308" w:lineRule="auto"/>
        <w:rPr>
          <w:sz w:val="20"/>
          <w:szCs w:val="20"/>
          <w:color w:val="auto"/>
        </w:rPr>
      </w:pPr>
      <w:r>
        <w:rPr>
          <w:rFonts w:ascii="Arial" w:cs="Arial" w:eastAsia="Arial" w:hAnsi="Arial"/>
          <w:sz w:val="17"/>
          <w:szCs w:val="17"/>
          <w:color w:val="auto"/>
        </w:rPr>
        <w:t>Food and beverage expenses increased 10.0%, or $29.4 million, to $323.8 million for the nine months ended September 30, 2017, from $294.5 million for the same period of 2016, primarily due to an increase of $9.0 million from our Las Vegas Operations driven by increased labor costs.</w:t>
      </w:r>
    </w:p>
    <w:p>
      <w:pPr>
        <w:spacing w:after="0" w:line="14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Entertainment, retail and other expenses increased 11.9%, or $13.9 million, to $130.0 million for the nine months ended September 30, 2017, from $116.1 million for the same period of 2016, primarily related to Wynn Palace.</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General and administrative expenses increased 31.9%, or $121.5 million, to $502.6 million for the nine months ended September 30, 2017, from $381.2 million for the same period of 2016, primarily related to Wynn Palace.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Provision for doubtful accounts was a benefit of $4.6 million for the nine months ended September 30, 2017, compared to an expense of $0.8 million for the same period of 2016. The change was due to the collection of casino accounts receivable that resulted in the reversal of previously recorded allowance for doubtful accounts.</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Pre-opening expenses were $19.4 million for the nine months ended September 30, 2017, compared to $150.5 million for the same period of 2016. During the nine months ended September 30, 2017, we incurred pre-opening expenses of $18.5 million related to Wynn Boston Harbor and $0.9 million related to our Las Vegas Operations. During the nine months ended September 30, 2016, we incurred pre-opening costs of $131.1 million related to Wynn Palace, $17.2 million related to Wynn Boston Harbor and $2.2 million at our Las Vegas Operations.</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Depreciation and amortization increased 57.3%, or $151.3 million, to $415.5 million for the nine months ended September 30, 2017, from $264.2 million for the same period of 2016. The increase was primarily due to the opening of Wynn Palace with the associated building and furniture, fixtures and equipment being placed in service.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Property charges and other was $38.5 million for the nine months ended September 30, 2017, compared to $31.4 million for the same period of 2016. During the nine months ended September 30, 2017, property charges and other included $19.1 million in estimated costs primarily related to property damage caused by a typhoon that impacted Macau during the third quarter of 2017 and charges incurred from our Las Vegas Operations related to miscellaneous renovations and abandonments. During the nine months ended September 30, 2016, our Las Vegas Operations incurred a $15.3 million exit fee for the right to leave the public electric utility and $9.0 million in asset abandonment charges associated with the current construction of additional retail space. The majority of the remaining expenses for the nine months ended September 30, 2016 were due to losses from the sale of assets and asset abandonment charges at Wynn Macau and our Las Vegas Operations.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w w:val="97"/>
              </w:rPr>
              <w:t>Interest cost, including amortization of deferred financing costs and original issue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discount and premium</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303,509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286,126</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6.1</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(92,428)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97"/>
        </w:trPr>
        <w:tc>
          <w:tcPr>
            <w:tcW w:w="66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291,875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193,698</w:t>
            </w:r>
          </w:p>
        </w:tc>
        <w:tc>
          <w:tcPr>
            <w:tcW w:w="13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50.7</w:t>
            </w:r>
          </w:p>
        </w:tc>
      </w:tr>
      <w:tr>
        <w:trPr>
          <w:trHeight w:val="311"/>
        </w:trPr>
        <w:tc>
          <w:tcPr>
            <w:tcW w:w="66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10,047,355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9,515,177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6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Interest cost increased $17.4 million for the nine months ended September 30, 2017, compared to the same period of 2016, primarily due to an increase in our weighted average total debt balance from borrowings under the Wynn America credit facilities. Capitalized interest decreased $80.8 million for the nine months ended September 30, 2017, compared to the same period of 2016, primarily due to the completion of Wynn Palace construction activities in August 2016 and a $25.6 million out-of-period adjustment recorded in the first quarter of 2016. During the first quarter of 2016, we corrected immaterial amounts of additional interest that should have been capitalized instead of being expensed during the years ended December 31, 2015 and 2014.</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incurred losses of $70.0 million and $19.2 million for the nine months ended September 30, 2017 and 2016, respectively, from the change in the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8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Interest income was $22.0 million for the nine months ended September 30, 2017, compared to $9.9 million for the same period of 2016. During 2017 and 2016, our short-term investment strategy has been to preserve capital while retaining sufficient liquidity. The majority of our short-term investment amounts were in time deposits, fixed deposits and money market accounts with a maturity of three months or less.</w:t>
      </w:r>
    </w:p>
    <w:p>
      <w:pPr>
        <w:spacing w:after="0" w:line="16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incurred losses on the extinguishment of debt of $43.1 million for the nine months ended September 30, 2017. During the nine months ended September 30, 2017, we completed a cash tender offer and subsequent redemption of our 5 3/8% First Mortgage Notes due 2022 (the "2022 Notes") and issued our 5 1/4% Senior Notes due 2027 (the "2027 WLV Notes"). We also completed a cash tender offer for our 2021 Notes and issued our WML Notes. In connection with each of these transactions, we recorded a loss on extinguishment of debt of $20.8 million for a total of $41.6 million. Finally, in connection with an amendment of our Wynn America credit facilities, we recorded a loss on extinguishment of debt of $1.5 million. We incurred no losses from the extinguishment of debt for the same period of 2016.</w:t>
      </w:r>
    </w:p>
    <w:p>
      <w:pPr>
        <w:spacing w:after="0" w:line="19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We incurred losses of $19.8 million and $1.0 million for the nine months ended September 30, 2017 and 2016, respectively, from foreign currency remeasurements. The losses were primarily due to the impact of the exchange rate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fluctuation of the Macau pataca, in relation to the U.S. dollar, on the remeasurements of U.S. dollar denominated debt and other obligations from our Macau-related entities.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recorded income tax expense of $5.0 million and $1.1 million for the nine months ended September 30, 2017 and 2016, respectively. These amounts are primarily related to changes in the domestic valuation allowance for FTCs.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Net income attributable to noncontrolling interests was $89.8 million for the nine months ended September 30, 2017, compared to $47.7 million for the same period of 2016. These amounts were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15 "Segment Information." That footnote also presents a reconciliation of Adjusted Property EBITDA to net income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574,723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532,643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Wynn Palace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138,228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25,547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337,487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25,547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151,509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128,879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418,296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360,193</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00" w:firstLine="432"/>
        <w:spacing w:after="0" w:line="342" w:lineRule="auto"/>
        <w:rPr>
          <w:sz w:val="20"/>
          <w:szCs w:val="20"/>
          <w:color w:val="auto"/>
        </w:rPr>
      </w:pPr>
      <w:r>
        <w:rPr>
          <w:rFonts w:ascii="Arial" w:cs="Arial" w:eastAsia="Arial" w:hAnsi="Arial"/>
          <w:sz w:val="16"/>
          <w:szCs w:val="16"/>
          <w:color w:val="auto"/>
        </w:rPr>
        <w:t>Adjusted Property EBITDA at Wynn Macau increased 21.3% and 7.9% for the three and nine months ended September 30, 2017, respectively, compared to the same period of 2016, primarily due to improved VIP operations driven by year-over-year increases in VIP turnover.</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Adjusted Property EBITDA at Wynn Palace was $138.2 million and $337.5 million for the three and nine months ended September 30, 2017, respectively, compared to $25.5 million for the three and nine months ended September 30, 2016. Although the ramp up of Wynn Palace continues to be impacted by construction surrounding the property, we experienced business volume increases in both VIP and mass market operations when compared to the three months ended June 30, 2017 and March 31, 2017. VIP turnover increased 18.0% and 24.0% for the three months ended September 30, 2017, compared to the three months ended June 30, 2017 and March 31, 2017, respectively. Table drop increased 18.9% and 12.5% for the three months ended September 30, 2017, compared to the three months ended June 30, 2017 and March 31, 2017, respectively.</w:t>
      </w:r>
    </w:p>
    <w:p>
      <w:pPr>
        <w:spacing w:after="0" w:line="17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at our Las Vegas Operations increased 17.6% and 16.1% for the three and nine months ended September 30, 2017, respectively, compared to the same period of 2016. The increases in Adjusted Property EBITDA were primarily due to improved casino operations and food and beverage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operating cash flows primarily consist of our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both in Macau and Las Vegas is a mix of cash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flows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7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Net cash provided by operations for the nine months ended September 30, 2017 was $1.28 billion, compared to $680.8 million for the same period of 2016. The increase was primarily due to the operations of Wynn Palace, which generated $311.9 million of additional Adjusted Property EBITDA, and a $196.0 million increase in customer deposits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Net cash used in investing activities for the nine months ended September 30, 2017 was $663.2 million, compared to $1.02 billion for the same period of 2016 and was primarily attributable to capital expenditures, net of construction payables and retention. Capital expenditures, net of construction payables and retention, of $650.3 million for the nine months ended September 30, 2017, were primarily for Wynn Boston Harbor and capital expenditures, net of construction payables and retention, of $954.7 million for the nine months ended September 30, 2016, were primarily for Wynn Palace.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Net cash used in financing activities for the nine months ended September 30, 2017 was $128.0 million, compared to $234.4 million for the same the period of 2016. During the nine months ended September 30, 2017, we used cash of $2.42 billion for the repayment of long-term debt and $270.1 million for the payment of dividends. Our repayments consisted of $946.4 million to redeem our 2021 Notes and $900.0 million to redeem our 2022 Notes, $380.3 million for repayment of borrowings under our Wynn Macau credit facilities and $189.6 million for repayment of borrowings under our WML Finance Credit Facility (defined below). These uses of cash were partially offset by proceeds of $1.35 billion from the issuance of the WML Notes and $900.0 million from the issuance of our 2027 WLV Notes, $180.0 million in proceeds from borrowings under our Wynn Macau Credit Facilities and $189.9 million of cash released from restriction as collateral associated with our WML Finance Credit Facility. During the nine months ended September 30, 2016, we used cash of $263.7 million for the payment of dividends, $240.4 million for the repayment of borrowings under our Wynn Macau credit facilities and $200.8 million was restricted as collateral associated with our WML Finance revolving credit facility. These uses were partially offset by $505.5 million of proceeds provided from borrowings under our credit facilities.</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September 30, 2017, we had $2.94 billion of cash and cash equivalents and $320.2 million of available-for-sale investments in domestic and foreign debt securities and commercial paper. Cash and cash equivalents include cash on hand, cash in bank and fixed deposits, investments in money market funds, domestic and foreign bank time deposits and commercial paper, all with original maturities of less than 90 days. Of these amounts, WML and its subsidiaries (of which we own approximately 72%) held $755.2 million in cash. If our portion of this cash was repatriated to the U.S. on September 30, 2017, it would be subject to minimal U.S. taxes in the year of repatriation. Wynn America, LLC and Wynn Las Vegas, LLC held cash balances of $323.4 million and $231.7 million, respectively. Wynn Resorts, Limited (including its subsidiaries other than WML, Wynn America, LLC and Wynn Las Vegas, LLC), which is not a guarantor of the debt of its subsidiaries, held $1.63 billion of cash and cash equivalents and $320.2 million of available-for-sale investments.</w:t>
      </w:r>
    </w:p>
    <w:p>
      <w:pPr>
        <w:spacing w:after="0" w:line="16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The Wynn Macau credit facilities consist of a $2.30 billion equivalent fully funded senior secured term loan facility and a $750 million equivalent senior secured revolving credit facility (the "Wynn Macau Credit Facilities"). Borrowings under the Wynn Macau Credit Facilities consist of both United States dollar and Hong Kong dollar tranches and were used to refinance Wynn Resorts (Macau) S.A.'s ("Wynn Macau SA") existing indebtedness and fund the construction and development of Wynn Palace and will be used for general corporate purposes. As of September 30, 2017, we had $608.6 million of available borrowing capacity under the senior secured revolving credit facility.</w:t>
      </w:r>
    </w:p>
    <w:p>
      <w:pPr>
        <w:spacing w:after="0" w:line="188"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Wynn America credit facilities consist of a $875 million fully funded senior secured term loan facility ("WA Senior Term Loan Facility I"), a $125 million fully funded senior term loan facility (the "WA Senior Term Loan Facility II") and a $375 million senior secured revolving credit facility ("WA Senior Revolving Credit Facility", collectively, the "Wynn America Credit Facilities"). Borrowings under the Wynn America Credit Facilities have been and will be used to fund the development, construction and pre-opening expenses of Wynn Boston Harbor and for general corporate purposes. As of September 30, 2017, we had available borrowing capacity of $358.0 million, net of $17.0 million in outstanding letters of credit, under the WA Senior Revolving Credit Facility.</w:t>
      </w:r>
    </w:p>
    <w:p>
      <w:pPr>
        <w:spacing w:after="0" w:line="15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April 24, 2017, we amended the Wynn America Credit Facilities to, among other things, extend the maturity of portions of the credit facilities. Pursuant to the amendment, (i) the maturity date with respect to $805.4 million in aggregate principal amount of the WA Senior Term Loan Facility I was extended from November 2020 to December 2021, with repayment in quarterly installments of $20.1 million commencing in March 2020 and a final installment of $664.5 million in December 2021; (ii) the maturity date of the $125.0 million in aggregate principal amount of the WA Senior Term Loan Facility II was extended from November 2020 to December 2021, with no required scheduled repayments until maturity in December 2021; (iii) the maturity date with respect to $333.0 million in aggregate principal amount of the WA Senior Revolving Credit Facility was extended from November 2019 to December 2021.</w:t>
      </w:r>
    </w:p>
    <w:p>
      <w:pPr>
        <w:spacing w:after="0" w:line="108"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WML Finance I, Limited credit facility consists of a HK$3.87 billion (approximately $495.5 million) cash-collateralized revolving credit facility ("WML Finance Credit Facility"). Borrowings under the WML Finance Credit Facility are in Hong Kong dollars and are used for working capital requirements and general corporate purposes. As of September 30, 2017, we had no borrowings under the WML Finance Credit Facility.</w:t>
      </w:r>
    </w:p>
    <w:p>
      <w:pPr>
        <w:spacing w:after="0" w:line="1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September 2017, WML completed a cash tender offer for a portion of the $1.35 billion 2021 Notes. In October 2017, WML used $403.6 million to redeem the remaining principal amount of the untendered 2021 Notes. In connection with this transaction, we issued $1.35 billion in aggregate of senior notes, consisting of $600 million principal amount of 2024 WML Notes and $750 million principal amount of 2027 WML Notes, and used the net proceeds to fund the majority of the cost of extinguishing the 2021 Notes.</w:t>
      </w:r>
    </w:p>
    <w:p>
      <w:pPr>
        <w:spacing w:after="0" w:line="18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During the second quarter of 2017, we completed a cash tender offer and subsequent redemption of the $900 million 2022 Notes. In connection with this transaction, we issued $900 million 2027 WLV Notes and used the net proceeds to fund the majority of the cost of extinguishing the 2022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issuance of the 2024 WML Notes, 2027 WML Notes and 2027 WLV Notes extended our scheduled maturities of long-term debt.</w:t>
      </w:r>
    </w:p>
    <w:p>
      <w:pPr>
        <w:spacing w:after="0" w:line="22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September 30, 2017, we had outstanding letters of credit totaling $17.0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the nine months ended September 30, 2017, there have been no material changes to the contractual obligations previously reported in our Annual Report on Form 10-K for the year ended December 31, 2016, other than the increase of $1.32 billion to our future construction contracts and commitments based on the agreement entered into by Wynn MA, LLC on April 28, 2017 concerning the construction of Wynn Boston Harbor. We expect to open Wynn Boston Harbor in mid-2019. For further information on the agreement, see Item 1—"Notes to Condensed Consolidated Financial Statements," Note 14 "Commitments and Contingencies."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Wynn Resorts, Limited is a holding company and, as a result, our ability to pay dividends is highly dependent on our ability to obtain funds and our subsidiaries' ability to provide funds to us.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September 30, 2017, we had $1.0 billion in repurchase authority under the program.</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2016. There have been no significant changes to these policies for the nine months ended September 30, 2017.</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2016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have in the past entered into floating-for-fixed interest rate swap arrangements relating to certain of our floating-rate debt facilities. We measured the fair value of our interest rate swaps on a recurring basis. Changes in the fair values of our interest rate swaps for each reporting period were recognized as a change in interest rate swap fair value in our Condensed Consolidated Statements of Operations, as the swaps did not qualify for hedge accounting.</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had three interest rate swap agreements intended to hedge a portion of the underlying interest rate risk on borrowings under our Wynn Macau Credit Facilities. These interest rate swap agreements matured in July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30, 2017, approximately 66.5% of our long-term debt was based on fixed rates. Based on our borrowings as of September 30, 2017, an assumed 100 basis point change in the variable rates would cause our annual interest cost to change by $34.4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manage exposure to foreign currency risks associated with certain of our future scheduled interest payments through the use of foreign currency forward contracts. These contracts involve the exchange of one currency for a second currency at a future date and are with a counter-party, which is a major international financial institution.</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September 30, 2017, an assumed 1% change in the U.S. dollar/Hong Kong dollar exchange rate would cause a foreign currency transaction gain/loss of $27.2 million.</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2" w:right="27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has cooperated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2016. There were no material changes to those risk factors during the nine months ended September 30, 2017.</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2017,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1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0">
        <w:r>
          <w:rPr>
            <w:rFonts w:ascii="Arial" w:cs="Arial" w:eastAsia="Arial" w:hAnsi="Arial"/>
            <w:sz w:val="18"/>
            <w:szCs w:val="18"/>
            <w:u w:val="single" w:color="auto"/>
            <w:color w:val="0000FF"/>
          </w:rPr>
          <w:t>Third Amended and Restated Articles of Incorporation of the Registrant. (Incorporated by reference from the Quarterly Report on Form 10-Q</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filed by the Registrant on May 8, 2015.)</w:t>
        </w:r>
      </w:hyperlink>
    </w:p>
    <w:p>
      <w:pPr>
        <w:spacing w:after="0" w:line="8" w:lineRule="exact"/>
        <w:rPr>
          <w:sz w:val="20"/>
          <w:szCs w:val="20"/>
          <w:color w:val="auto"/>
        </w:rPr>
      </w:pPr>
    </w:p>
    <w:p>
      <w:pPr>
        <w:ind w:left="1080" w:right="4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1">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jc w:val="both"/>
        <w:ind w:left="1080" w:right="280" w:hanging="580"/>
        <w:spacing w:after="0" w:line="305"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56">
        <w:r>
          <w:rPr>
            <w:rFonts w:ascii="Arial" w:cs="Arial" w:eastAsia="Arial" w:hAnsi="Arial"/>
            <w:sz w:val="16"/>
            <w:szCs w:val="16"/>
            <w:u w:val="single" w:color="auto"/>
            <w:color w:val="0000FF"/>
          </w:rPr>
          <w:t>Joinder Agreement, dated as of August 9, 2017, by Wynn Las Vegas, LLC and Wynn Sunrise, LLC as guarantors, to the Credit Agreement,</w:t>
        </w:r>
      </w:hyperlink>
      <w:r>
        <w:rPr>
          <w:rFonts w:ascii="Arial" w:cs="Arial" w:eastAsia="Arial" w:hAnsi="Arial"/>
          <w:sz w:val="16"/>
          <w:szCs w:val="16"/>
          <w:u w:val="single" w:color="auto"/>
          <w:color w:val="0000FF"/>
        </w:rPr>
        <w:t xml:space="preserve"> </w:t>
      </w:r>
      <w:hyperlink w:anchor="page56">
        <w:r>
          <w:rPr>
            <w:rFonts w:ascii="Arial" w:cs="Arial" w:eastAsia="Arial" w:hAnsi="Arial"/>
            <w:sz w:val="16"/>
            <w:szCs w:val="16"/>
            <w:u w:val="single" w:color="auto"/>
            <w:color w:val="0000FF"/>
          </w:rPr>
          <w:t>dated as of November 14, 2014, by and among Wynn America, LLC, as borrower, the Guarantors named therein, Deutsche Bank AG New</w:t>
        </w:r>
      </w:hyperlink>
      <w:r>
        <w:rPr>
          <w:rFonts w:ascii="Arial" w:cs="Arial" w:eastAsia="Arial" w:hAnsi="Arial"/>
          <w:sz w:val="16"/>
          <w:szCs w:val="16"/>
          <w:u w:val="single" w:color="auto"/>
          <w:color w:val="0000FF"/>
        </w:rPr>
        <w:t xml:space="preserve"> </w:t>
      </w:r>
      <w:hyperlink w:anchor="page56">
        <w:r>
          <w:rPr>
            <w:rFonts w:ascii="Arial" w:cs="Arial" w:eastAsia="Arial" w:hAnsi="Arial"/>
            <w:sz w:val="16"/>
            <w:szCs w:val="16"/>
            <w:u w:val="single" w:color="auto"/>
            <w:color w:val="0000FF"/>
          </w:rPr>
          <w:t>York Branch, as administrative agent on behalf of the several banks and other financial institutions or entities from time to time.</w:t>
        </w:r>
      </w:hyperlink>
    </w:p>
    <w:p>
      <w:pPr>
        <w:spacing w:after="0" w:line="1" w:lineRule="exact"/>
        <w:rPr>
          <w:rFonts w:ascii="Arial" w:cs="Arial" w:eastAsia="Arial" w:hAnsi="Arial"/>
          <w:sz w:val="16"/>
          <w:szCs w:val="16"/>
          <w:u w:val="single" w:color="auto"/>
          <w:color w:val="0000FF"/>
        </w:rPr>
      </w:pPr>
    </w:p>
    <w:p>
      <w:pPr>
        <w:ind w:left="1080" w:right="80" w:hanging="58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63">
        <w:r>
          <w:rPr>
            <w:rFonts w:ascii="Arial" w:cs="Arial" w:eastAsia="Arial" w:hAnsi="Arial"/>
            <w:sz w:val="18"/>
            <w:szCs w:val="18"/>
            <w:u w:val="single" w:color="auto"/>
            <w:color w:val="0000FF"/>
          </w:rPr>
          <w:t>Joinder Agreement, dated as of August 9, 2017, by Wynn Las Vegas, LLC and Wynn Sunrise, LLC, as pledgors, and Deutsche Bank AG New</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York Branch, as collateral agent, to the Security Agreement, dated as of November 20, 2014.</w:t>
        </w:r>
      </w:hyperlink>
    </w:p>
    <w:p>
      <w:pPr>
        <w:spacing w:after="0" w:line="8" w:lineRule="exact"/>
        <w:rPr>
          <w:sz w:val="20"/>
          <w:szCs w:val="20"/>
          <w:color w:val="auto"/>
        </w:rPr>
      </w:pPr>
    </w:p>
    <w:p>
      <w:pPr>
        <w:ind w:left="1080" w:right="20" w:hanging="58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71">
        <w:r>
          <w:rPr>
            <w:rFonts w:ascii="Arial" w:cs="Arial" w:eastAsia="Arial" w:hAnsi="Arial"/>
            <w:sz w:val="18"/>
            <w:szCs w:val="18"/>
            <w:u w:val="single" w:color="auto"/>
            <w:color w:val="0000FF"/>
          </w:rPr>
          <w:t>Indenture, dated September 20, 2017, by and between Wynn Macau, Limited and Deutsche Bank Trust Company Americas, as trustee, relating</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to senior notes due 2024.</w:t>
        </w:r>
      </w:hyperlink>
    </w:p>
    <w:p>
      <w:pPr>
        <w:spacing w:after="0" w:line="8" w:lineRule="exact"/>
        <w:rPr>
          <w:sz w:val="20"/>
          <w:szCs w:val="20"/>
          <w:color w:val="auto"/>
        </w:rPr>
      </w:pPr>
    </w:p>
    <w:p>
      <w:pPr>
        <w:ind w:left="1080" w:right="20" w:hanging="58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w:anchor="page176">
        <w:r>
          <w:rPr>
            <w:rFonts w:ascii="Arial" w:cs="Arial" w:eastAsia="Arial" w:hAnsi="Arial"/>
            <w:sz w:val="18"/>
            <w:szCs w:val="18"/>
            <w:u w:val="single" w:color="auto"/>
            <w:color w:val="0000FF"/>
          </w:rPr>
          <w:t>Indenture, dated September 20, 2017, by and between Wynn Macau, Limited and Deutsche Bank Trust Company Americas, as trustee, relating</w:t>
        </w:r>
      </w:hyperlink>
      <w:r>
        <w:rPr>
          <w:rFonts w:ascii="Arial" w:cs="Arial" w:eastAsia="Arial" w:hAnsi="Arial"/>
          <w:sz w:val="18"/>
          <w:szCs w:val="18"/>
          <w:u w:val="single" w:color="auto"/>
          <w:color w:val="0000FF"/>
        </w:rPr>
        <w:t xml:space="preserve"> </w:t>
      </w:r>
      <w:hyperlink w:anchor="page176">
        <w:r>
          <w:rPr>
            <w:rFonts w:ascii="Arial" w:cs="Arial" w:eastAsia="Arial" w:hAnsi="Arial"/>
            <w:sz w:val="18"/>
            <w:szCs w:val="18"/>
            <w:u w:val="single" w:color="auto"/>
            <w:color w:val="0000FF"/>
          </w:rPr>
          <w:t>to senior notes due 2027.</w:t>
        </w:r>
      </w:hyperlink>
    </w:p>
    <w:p>
      <w:pPr>
        <w:spacing w:after="0" w:line="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81">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82">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283">
        <w:r>
          <w:rPr>
            <w:rFonts w:ascii="Arial" w:cs="Arial" w:eastAsia="Arial" w:hAnsi="Arial"/>
            <w:sz w:val="16"/>
            <w:szCs w:val="16"/>
            <w:u w:val="single" w:color="auto"/>
            <w:color w:val="0000FF"/>
          </w:rPr>
          <w:t>Certification of CEO and CFO Pursuant to 18 U.S.C. Section 1350.</w:t>
        </w:r>
      </w:hyperlink>
    </w:p>
    <w:p>
      <w:pPr>
        <w:spacing w:after="0" w:line="63" w:lineRule="exact"/>
        <w:rPr>
          <w:sz w:val="20"/>
          <w:szCs w:val="20"/>
          <w:color w:val="auto"/>
        </w:rPr>
      </w:pPr>
    </w:p>
    <w:p>
      <w:pPr>
        <w:ind w:left="1080" w:hanging="539"/>
        <w:spacing w:after="0" w:line="285"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September 30, 2017, filed with the SEC on November 8, 2017 formatted in Extensible Business Reporting Language (XBRL): (i) the Condensed Consolidated Balance Sheets as of September 30, 2017 and December 31, 2016, (ii) the Condensed Consolidated Statements of Operations for the three and nine months ended September 30, 2017 and 2016, (iii) the Condensed Consolidated Statements of Comprehensive Income (Loss) for the three and nine months ended September 30, 2017 and 2016, (iv) the Condensed Consolidated Statement of Stockholders' Equity as of September 30, 2017,</w:t>
      </w:r>
    </w:p>
    <w:p>
      <w:pPr>
        <w:spacing w:after="0" w:line="2" w:lineRule="exact"/>
        <w:rPr>
          <w:sz w:val="20"/>
          <w:szCs w:val="20"/>
          <w:color w:val="auto"/>
        </w:rPr>
      </w:pPr>
    </w:p>
    <w:p>
      <w:pPr>
        <w:ind w:left="1080" w:right="640" w:hanging="5"/>
        <w:spacing w:after="0" w:line="261" w:lineRule="auto"/>
        <w:tabs>
          <w:tab w:leader="none" w:pos="1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nine months ended September 30, 2017 and 2016, and (vi) Notes to Condensed Consolidated Financial Statements.</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122" w:right="87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10.1</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JOINDER AGREEMENT</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JOINDER AGREEMENT, dated as of August 9, 2017, made by Wynn Las Vegas, LLC and Wynn Sunrise, LLC (collectively,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Parties</w:t>
      </w:r>
      <w:r>
        <w:rPr>
          <w:rFonts w:ascii="Arial" w:cs="Arial" w:eastAsia="Arial" w:hAnsi="Arial"/>
          <w:sz w:val="18"/>
          <w:szCs w:val="18"/>
          <w:color w:val="auto"/>
        </w:rPr>
        <w:t>”), in favor of Deutsche Bank AG New York Branch, as administrative agent (in such capacity, “</w:t>
      </w:r>
      <w:r>
        <w:rPr>
          <w:rFonts w:ascii="Arial" w:cs="Arial" w:eastAsia="Arial" w:hAnsi="Arial"/>
          <w:sz w:val="18"/>
          <w:szCs w:val="18"/>
          <w:b w:val="1"/>
          <w:bCs w:val="1"/>
          <w:color w:val="auto"/>
        </w:rPr>
        <w:t>Administrative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Agent</w:t>
      </w:r>
      <w:r>
        <w:rPr>
          <w:rFonts w:ascii="Arial" w:cs="Arial" w:eastAsia="Arial" w:hAnsi="Arial"/>
          <w:sz w:val="19"/>
          <w:szCs w:val="19"/>
          <w:color w:val="auto"/>
        </w:rPr>
        <w:t>”) for the several banks and other financial institutions (“</w:t>
      </w:r>
      <w:r>
        <w:rPr>
          <w:rFonts w:ascii="Arial" w:cs="Arial" w:eastAsia="Arial" w:hAnsi="Arial"/>
          <w:sz w:val="19"/>
          <w:szCs w:val="19"/>
          <w:b w:val="1"/>
          <w:bCs w:val="1"/>
          <w:color w:val="auto"/>
        </w:rPr>
        <w:t>Lenders</w:t>
      </w:r>
      <w:r>
        <w:rPr>
          <w:rFonts w:ascii="Arial" w:cs="Arial" w:eastAsia="Arial" w:hAnsi="Arial"/>
          <w:sz w:val="19"/>
          <w:szCs w:val="19"/>
          <w:color w:val="auto"/>
        </w:rPr>
        <w:t>”) from time to time party to the Credit Agreement, dated as of</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2014 (as amended, amended and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defined herein have the same meanings given to them in the Credit Agreement), among Wynn America,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the Guarantors from time to time party thereto, the Lenders from time to time party thereto, Administrative Agent, Deutsche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Bank AG New York Branch, as Collateral Agent, and the other parties party thereto.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56" w:lineRule="exact"/>
        <w:rPr>
          <w:sz w:val="20"/>
          <w:szCs w:val="20"/>
          <w:color w:val="auto"/>
        </w:rPr>
      </w:pPr>
    </w:p>
    <w:p>
      <w:pPr>
        <w:ind w:right="820" w:firstLine="648"/>
        <w:spacing w:after="0" w:line="303" w:lineRule="auto"/>
        <w:rPr>
          <w:sz w:val="20"/>
          <w:szCs w:val="20"/>
          <w:color w:val="auto"/>
        </w:rPr>
      </w:pPr>
      <w:r>
        <w:rPr>
          <w:rFonts w:ascii="Arial" w:cs="Arial" w:eastAsia="Arial" w:hAnsi="Arial"/>
          <w:sz w:val="20"/>
          <w:szCs w:val="20"/>
          <w:color w:val="auto"/>
        </w:rPr>
        <w:t>WHEREAS, the parties to this Joinder Agreement wish to add the Additional Credit Parties as Credit Parties under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in consideration of the premises herein contained, the parties hereto hereby agree as follows:</w:t>
      </w:r>
    </w:p>
    <w:p>
      <w:pPr>
        <w:spacing w:after="0" w:line="256" w:lineRule="exact"/>
        <w:rPr>
          <w:sz w:val="20"/>
          <w:szCs w:val="20"/>
          <w:color w:val="auto"/>
        </w:rPr>
      </w:pPr>
    </w:p>
    <w:p>
      <w:pPr>
        <w:ind w:right="420" w:firstLine="1305"/>
        <w:spacing w:after="0" w:line="303" w:lineRule="auto"/>
        <w:tabs>
          <w:tab w:leader="none" w:pos="1643" w:val="left"/>
        </w:tabs>
        <w:numPr>
          <w:ilvl w:val="0"/>
          <w:numId w:val="16"/>
        </w:numPr>
        <w:rPr>
          <w:rFonts w:ascii="Arial" w:cs="Arial" w:eastAsia="Arial" w:hAnsi="Arial"/>
          <w:sz w:val="20"/>
          <w:szCs w:val="20"/>
          <w:color w:val="auto"/>
        </w:rPr>
      </w:pPr>
      <w:r>
        <w:rPr>
          <w:rFonts w:ascii="Arial" w:cs="Arial" w:eastAsia="Arial" w:hAnsi="Arial"/>
          <w:sz w:val="20"/>
          <w:szCs w:val="20"/>
          <w:color w:val="auto"/>
        </w:rPr>
        <w:t>Each undersigned Additional Credit Party hereby acknowledges that it has received and reviewed a copy of the Credit Agreement and acknowledges and agrees to:</w:t>
      </w:r>
    </w:p>
    <w:p>
      <w:pPr>
        <w:spacing w:after="0" w:line="175" w:lineRule="exact"/>
        <w:rPr>
          <w:rFonts w:ascii="Arial" w:cs="Arial" w:eastAsia="Arial" w:hAnsi="Arial"/>
          <w:sz w:val="20"/>
          <w:szCs w:val="20"/>
          <w:color w:val="auto"/>
        </w:rPr>
      </w:pPr>
    </w:p>
    <w:p>
      <w:pPr>
        <w:ind w:left="2380" w:hanging="427"/>
        <w:spacing w:after="0"/>
        <w:tabs>
          <w:tab w:leader="none" w:pos="23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join the Credit Agreement as a “Guarantor”, as indicated with its signature below;</w:t>
      </w:r>
    </w:p>
    <w:p>
      <w:pPr>
        <w:spacing w:after="0" w:line="256" w:lineRule="exact"/>
        <w:rPr>
          <w:rFonts w:ascii="Arial" w:cs="Arial" w:eastAsia="Arial" w:hAnsi="Arial"/>
          <w:sz w:val="20"/>
          <w:szCs w:val="20"/>
          <w:color w:val="auto"/>
        </w:rPr>
      </w:pPr>
    </w:p>
    <w:p>
      <w:pPr>
        <w:ind w:left="1300" w:right="980" w:firstLine="653"/>
        <w:spacing w:after="0" w:line="303" w:lineRule="auto"/>
        <w:tabs>
          <w:tab w:leader="none" w:pos="2377" w:val="left"/>
        </w:tabs>
        <w:numPr>
          <w:ilvl w:val="1"/>
          <w:numId w:val="16"/>
        </w:numPr>
        <w:rPr>
          <w:rFonts w:ascii="Arial" w:cs="Arial" w:eastAsia="Arial" w:hAnsi="Arial"/>
          <w:sz w:val="20"/>
          <w:szCs w:val="20"/>
          <w:color w:val="auto"/>
        </w:rPr>
      </w:pPr>
      <w:r>
        <w:rPr>
          <w:rFonts w:ascii="Arial" w:cs="Arial" w:eastAsia="Arial" w:hAnsi="Arial"/>
          <w:sz w:val="20"/>
          <w:szCs w:val="20"/>
          <w:color w:val="auto"/>
        </w:rPr>
        <w:t>be bound by all covenants, agreements and acknowledgments attributable to a Guarantor in the Credit Agreement; and</w:t>
      </w:r>
    </w:p>
    <w:p>
      <w:pPr>
        <w:spacing w:after="0" w:line="175" w:lineRule="exact"/>
        <w:rPr>
          <w:rFonts w:ascii="Arial" w:cs="Arial" w:eastAsia="Arial" w:hAnsi="Arial"/>
          <w:sz w:val="20"/>
          <w:szCs w:val="20"/>
          <w:color w:val="auto"/>
        </w:rPr>
      </w:pPr>
    </w:p>
    <w:p>
      <w:pPr>
        <w:ind w:left="2380" w:hanging="427"/>
        <w:spacing w:after="0"/>
        <w:tabs>
          <w:tab w:leader="none" w:pos="23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perform all obligations and duties required of it by the Credit Agreement as a Guarantor.</w:t>
      </w:r>
    </w:p>
    <w:p>
      <w:pPr>
        <w:spacing w:after="0" w:line="256" w:lineRule="exact"/>
        <w:rPr>
          <w:rFonts w:ascii="Arial" w:cs="Arial" w:eastAsia="Arial" w:hAnsi="Arial"/>
          <w:sz w:val="20"/>
          <w:szCs w:val="20"/>
          <w:color w:val="auto"/>
        </w:rPr>
      </w:pPr>
    </w:p>
    <w:p>
      <w:pPr>
        <w:ind w:right="500" w:firstLine="1305"/>
        <w:spacing w:after="0" w:line="288" w:lineRule="auto"/>
        <w:tabs>
          <w:tab w:leader="none" w:pos="1639" w:val="left"/>
        </w:tabs>
        <w:numPr>
          <w:ilvl w:val="0"/>
          <w:numId w:val="16"/>
        </w:numPr>
        <w:rPr>
          <w:rFonts w:ascii="Arial" w:cs="Arial" w:eastAsia="Arial" w:hAnsi="Arial"/>
          <w:sz w:val="20"/>
          <w:szCs w:val="20"/>
          <w:color w:val="auto"/>
        </w:rPr>
      </w:pPr>
      <w:r>
        <w:rPr>
          <w:rFonts w:ascii="Arial" w:cs="Arial" w:eastAsia="Arial" w:hAnsi="Arial"/>
          <w:sz w:val="20"/>
          <w:szCs w:val="20"/>
          <w:color w:val="auto"/>
        </w:rPr>
        <w:t>Without limiting the foregoing, each Additional Credit Party, jointly and severally with Borrower and each other Guarantor, hereby guarantees as primary obligor and not as surety to each Secured Party and its successors and assigns, as provided in the Guarantee, prompt payment and performance in full when due (whether at stated maturity, by acceleration, demand or otherwise) of the Guaranteed Obligations strictly in accordance with the terms thereof.</w:t>
      </w:r>
    </w:p>
    <w:p>
      <w:pPr>
        <w:spacing w:after="0" w:line="192" w:lineRule="exact"/>
        <w:rPr>
          <w:rFonts w:ascii="Arial" w:cs="Arial" w:eastAsia="Arial" w:hAnsi="Arial"/>
          <w:sz w:val="20"/>
          <w:szCs w:val="20"/>
          <w:color w:val="auto"/>
        </w:rPr>
      </w:pPr>
    </w:p>
    <w:p>
      <w:pPr>
        <w:ind w:right="360" w:firstLine="1305"/>
        <w:spacing w:after="0" w:line="303" w:lineRule="auto"/>
        <w:tabs>
          <w:tab w:leader="none" w:pos="1643" w:val="left"/>
        </w:tabs>
        <w:numPr>
          <w:ilvl w:val="0"/>
          <w:numId w:val="16"/>
        </w:numPr>
        <w:rPr>
          <w:rFonts w:ascii="Arial" w:cs="Arial" w:eastAsia="Arial" w:hAnsi="Arial"/>
          <w:sz w:val="20"/>
          <w:szCs w:val="20"/>
          <w:color w:val="auto"/>
        </w:rPr>
      </w:pPr>
      <w:r>
        <w:rPr>
          <w:rFonts w:ascii="Arial" w:cs="Arial" w:eastAsia="Arial" w:hAnsi="Arial"/>
          <w:sz w:val="20"/>
          <w:szCs w:val="20"/>
          <w:color w:val="auto"/>
        </w:rPr>
        <w:t>Each undersigned hereby represents and warrants that the representations and warranties with respect to it contained in Article VIII of the Credit Agreement and in each of the other</w:t>
      </w:r>
    </w:p>
    <w:p>
      <w:pPr>
        <w:sectPr>
          <w:pgSz w:w="11900" w:h="16838" w:orient="portrait"/>
          <w:cols w:equalWidth="0" w:num="1">
            <w:col w:w="11420"/>
          </w:cols>
          <w:pgMar w:left="240" w:top="855" w:right="239" w:bottom="1440" w:gutter="0" w:footer="0" w:header="0"/>
        </w:sectPr>
      </w:pPr>
    </w:p>
    <w:bookmarkStart w:id="56" w:name="page57"/>
    <w:bookmarkEnd w:id="56"/>
    <w:p>
      <w:pPr>
        <w:ind w:right="200"/>
        <w:spacing w:after="0" w:line="292" w:lineRule="auto"/>
        <w:rPr>
          <w:sz w:val="20"/>
          <w:szCs w:val="20"/>
          <w:color w:val="auto"/>
        </w:rPr>
      </w:pPr>
      <w:r>
        <w:rPr>
          <w:rFonts w:ascii="Arial" w:cs="Arial" w:eastAsia="Arial" w:hAnsi="Arial"/>
          <w:sz w:val="20"/>
          <w:szCs w:val="20"/>
          <w:color w:val="auto"/>
        </w:rPr>
        <w:t>Credit Documents to which such signatory is a party, by virtue of this Joinder Agreement or otherwise, are true and correct in all material respects (and in all respects with respect to any representation and warranty that is qualified as to “materiality,” “Material Adverse Effect” or similar language) on the date hereof as if made on and as of the date hereof.</w:t>
      </w:r>
    </w:p>
    <w:p>
      <w:pPr>
        <w:spacing w:after="0" w:line="18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The address and jurisdiction of organization of each Additional Credit Party is set forth below its name on the signature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pages hereto.</w:t>
      </w:r>
    </w:p>
    <w:p>
      <w:pPr>
        <w:spacing w:after="0" w:line="256" w:lineRule="exact"/>
        <w:rPr>
          <w:sz w:val="20"/>
          <w:szCs w:val="20"/>
          <w:color w:val="auto"/>
        </w:rPr>
      </w:pPr>
    </w:p>
    <w:p>
      <w:pPr>
        <w:ind w:firstLine="1305"/>
        <w:spacing w:after="0" w:line="292" w:lineRule="auto"/>
        <w:tabs>
          <w:tab w:leader="none" w:pos="163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spacing w:after="0" w:line="186" w:lineRule="exact"/>
        <w:rPr>
          <w:rFonts w:ascii="Arial" w:cs="Arial" w:eastAsia="Arial" w:hAnsi="Arial"/>
          <w:sz w:val="20"/>
          <w:szCs w:val="20"/>
          <w:color w:val="auto"/>
        </w:rPr>
      </w:pPr>
    </w:p>
    <w:p>
      <w:pPr>
        <w:ind w:right="200" w:firstLine="1305"/>
        <w:spacing w:after="0" w:line="287" w:lineRule="auto"/>
        <w:tabs>
          <w:tab w:leader="none" w:pos="163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THIS JOINDER AGREEMENT AND ANY CLAIMS, CONTROVERSIES, DISPUTES, OR CAUSES OF ACTION (WHETHER ARISING UNDER CONTRACT LAW, TORT LAW OR OTHERWISE) BASED UPON OR RELATING TO THIS JOINDER AGREEMENT, SHALL BE GOVERNED BY, AND CONSTRUED IN ACCORDANCE WITH, THE LAW OF THE STATE OF NEW YORK WITHOUT GIVING EFFECT TO ANY CHOICE OF LAW PRINCIPLES THAT WOULD APPLY THE LAWS OF ANOTHER JURISDICTION.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360"/>
          </w:cols>
          <w:pgMar w:left="240" w:top="865" w:right="299" w:bottom="1440" w:gutter="0" w:footer="0" w:header="0"/>
        </w:sectPr>
      </w:pPr>
    </w:p>
    <w:bookmarkStart w:id="57" w:name="page58"/>
    <w:bookmarkEnd w:id="57"/>
    <w:p>
      <w:pPr>
        <w:ind w:firstLine="648"/>
        <w:spacing w:after="0" w:line="260" w:lineRule="auto"/>
        <w:rPr>
          <w:sz w:val="20"/>
          <w:szCs w:val="20"/>
          <w:color w:val="auto"/>
        </w:rPr>
      </w:pPr>
      <w:r>
        <w:rPr>
          <w:rFonts w:ascii="Arial" w:cs="Arial" w:eastAsia="Arial" w:hAnsi="Arial"/>
          <w:sz w:val="20"/>
          <w:szCs w:val="20"/>
          <w:color w:val="auto"/>
        </w:rPr>
        <w:t>IN WITNESS WHEREOF, each of the undersigned has caused this Joinder Agreement to be duly executed and delivered by its proper and duly authorized officer as of the date set forth below.</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Dated: August 9, 2017</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WYNN LAS VEGAS, LLC,</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Las Vegas Holdings, LLC,</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Wynn Resorts, Limited,</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 Nevada corporation,</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274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9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Name: Craig S. Billings</w:t>
      </w:r>
    </w:p>
    <w:p>
      <w:pPr>
        <w:spacing w:after="0" w:line="21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Title: Chief Financial Officer and Treasurer</w:t>
      </w:r>
    </w:p>
    <w:p>
      <w:pPr>
        <w:sectPr>
          <w:pgSz w:w="11900" w:h="16838" w:orient="portrait"/>
          <w:cols w:equalWidth="0" w:num="1">
            <w:col w:w="11300"/>
          </w:cols>
          <w:pgMar w:left="240" w:top="839" w:right="359" w:bottom="1440" w:gutter="0" w:footer="0" w:header="0"/>
        </w:sectPr>
      </w:pPr>
    </w:p>
    <w:bookmarkStart w:id="58" w:name="page59"/>
    <w:bookmarkEnd w:id="58"/>
    <w:p>
      <w:pPr>
        <w:ind w:left="2700"/>
        <w:spacing w:after="0"/>
        <w:tabs>
          <w:tab w:leader="none" w:pos="3620" w:val="left"/>
        </w:tabs>
        <w:rPr>
          <w:sz w:val="20"/>
          <w:szCs w:val="20"/>
          <w:color w:val="auto"/>
        </w:rPr>
      </w:pPr>
      <w:r>
        <w:rPr>
          <w:rFonts w:ascii="Arial" w:cs="Arial" w:eastAsia="Arial" w:hAnsi="Arial"/>
          <w:sz w:val="16"/>
          <w:szCs w:val="16"/>
          <w:color w:val="auto"/>
        </w:rPr>
        <w:t>Address:</w:t>
        <w:tab/>
        <w:t>3131 Las Vegas Blvd. South</w:t>
      </w:r>
    </w:p>
    <w:p>
      <w:pPr>
        <w:spacing w:after="0" w:line="262"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Las Vegas, NV 89109</w:t>
      </w: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Jurisdiction of Organization: Nevada</w:t>
      </w:r>
    </w:p>
    <w:p>
      <w:pPr>
        <w:sectPr>
          <w:pgSz w:w="11900" w:h="16838" w:orient="portrait"/>
          <w:cols w:equalWidth="0" w:num="1">
            <w:col w:w="9019"/>
          </w:cols>
          <w:pgMar w:left="1440" w:top="865" w:right="1440" w:bottom="1440" w:gutter="0" w:footer="0" w:header="0"/>
        </w:sectPr>
      </w:pPr>
    </w:p>
    <w:bookmarkStart w:id="59" w:name="page60"/>
    <w:bookmarkEnd w:id="59"/>
    <w:p>
      <w:pPr>
        <w:ind w:left="2700"/>
        <w:spacing w:after="0"/>
        <w:rPr>
          <w:sz w:val="20"/>
          <w:szCs w:val="20"/>
          <w:color w:val="auto"/>
        </w:rPr>
      </w:pPr>
      <w:r>
        <w:rPr>
          <w:rFonts w:ascii="Arial" w:cs="Arial" w:eastAsia="Arial" w:hAnsi="Arial"/>
          <w:sz w:val="20"/>
          <w:szCs w:val="20"/>
          <w:color w:val="auto"/>
        </w:rPr>
        <w:t>WYNN SUNRISE, LLC,</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Wynn Las Vegas, LLC,</w:t>
      </w:r>
    </w:p>
    <w:p>
      <w:pPr>
        <w:spacing w:after="0" w:line="5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Las Vegas Holdings, LLC,</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21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 Nevada limited liability company,</w:t>
      </w:r>
    </w:p>
    <w:p>
      <w:pPr>
        <w:spacing w:after="0" w:line="239"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Nevada limited liability company,</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0"/>
          <w:szCs w:val="20"/>
          <w:color w:val="auto"/>
        </w:rPr>
        <w:t>By:</w:t>
        <w:tab/>
        <w:t>Wynn Resorts, Limited,</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Nevada corporation,</w:t>
      </w:r>
    </w:p>
    <w:p>
      <w:pPr>
        <w:spacing w:after="0" w:line="216"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74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9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 Chief Financial Officer and Treasurer</w:t>
      </w:r>
    </w:p>
    <w:p>
      <w:pPr>
        <w:sectPr>
          <w:pgSz w:w="11900" w:h="16838" w:orient="portrait"/>
          <w:cols w:equalWidth="0" w:num="1">
            <w:col w:w="9019"/>
          </w:cols>
          <w:pgMar w:left="1440" w:top="1311" w:right="1440" w:bottom="1440" w:gutter="0" w:footer="0" w:header="0"/>
        </w:sectPr>
      </w:pPr>
    </w:p>
    <w:bookmarkStart w:id="60" w:name="page61"/>
    <w:bookmarkEnd w:id="60"/>
    <w:p>
      <w:pPr>
        <w:spacing w:after="0" w:line="128" w:lineRule="exact"/>
        <w:rPr>
          <w:sz w:val="20"/>
          <w:szCs w:val="20"/>
          <w:color w:val="auto"/>
        </w:rPr>
      </w:pPr>
    </w:p>
    <w:p>
      <w:pPr>
        <w:ind w:left="2700"/>
        <w:spacing w:after="0"/>
        <w:tabs>
          <w:tab w:leader="none" w:pos="3620" w:val="left"/>
        </w:tabs>
        <w:rPr>
          <w:sz w:val="20"/>
          <w:szCs w:val="20"/>
          <w:color w:val="auto"/>
        </w:rPr>
      </w:pPr>
      <w:r>
        <w:rPr>
          <w:rFonts w:ascii="Arial" w:cs="Arial" w:eastAsia="Arial" w:hAnsi="Arial"/>
          <w:sz w:val="16"/>
          <w:szCs w:val="16"/>
          <w:color w:val="auto"/>
        </w:rPr>
        <w:t>Address:</w:t>
        <w:tab/>
        <w:t>3131 Las Vegas Blvd. South</w:t>
      </w:r>
    </w:p>
    <w:p>
      <w:pPr>
        <w:spacing w:after="0" w:line="262"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Las Vegas, NV 89109</w:t>
      </w: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Jurisdiction of Organization: Nevada</w:t>
      </w:r>
    </w:p>
    <w:p>
      <w:pPr>
        <w:sectPr>
          <w:pgSz w:w="11900" w:h="16838" w:orient="portrait"/>
          <w:cols w:equalWidth="0" w:num="1">
            <w:col w:w="9019"/>
          </w:cols>
          <w:pgMar w:left="1440" w:top="1440" w:right="1440"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ACKNOWLEDGED AND AGREED TO:</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DEUTSCHE BANK AG NEW YORK BRANCH,</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20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Name: Mary Kay Coyle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882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Name: Anca Trifan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219"/>
          </w:cols>
          <w:pgMar w:left="240" w:top="866"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10.2</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JOINDER AGREEMENT</w:t>
      </w:r>
    </w:p>
    <w:p>
      <w:pPr>
        <w:spacing w:after="0" w:line="200" w:lineRule="exact"/>
        <w:rPr>
          <w:sz w:val="20"/>
          <w:szCs w:val="20"/>
          <w:color w:val="auto"/>
        </w:rPr>
      </w:pPr>
    </w:p>
    <w:p>
      <w:pPr>
        <w:spacing w:after="0" w:line="238"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Wynn Las Vegas,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3131 Las Vegas Blvd. South</w:t>
      </w:r>
    </w:p>
    <w:p>
      <w:pPr>
        <w:jc w:val="right"/>
        <w:spacing w:after="0"/>
        <w:rPr>
          <w:sz w:val="20"/>
          <w:szCs w:val="20"/>
          <w:color w:val="auto"/>
        </w:rPr>
      </w:pPr>
      <w:r>
        <w:rPr>
          <w:rFonts w:ascii="Arial" w:cs="Arial" w:eastAsia="Arial" w:hAnsi="Arial"/>
          <w:sz w:val="20"/>
          <w:szCs w:val="20"/>
          <w:color w:val="auto"/>
        </w:rPr>
        <w:t>Las Vegas, NV 89109</w:t>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Wynn Sunrise,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3131 Las Vegas Blvd. South</w:t>
      </w:r>
    </w:p>
    <w:p>
      <w:pPr>
        <w:jc w:val="right"/>
        <w:spacing w:after="0"/>
        <w:rPr>
          <w:sz w:val="20"/>
          <w:szCs w:val="20"/>
          <w:color w:val="auto"/>
        </w:rPr>
      </w:pPr>
      <w:r>
        <w:rPr>
          <w:rFonts w:ascii="Arial" w:cs="Arial" w:eastAsia="Arial" w:hAnsi="Arial"/>
          <w:sz w:val="20"/>
          <w:szCs w:val="20"/>
          <w:color w:val="auto"/>
        </w:rPr>
        <w:t>Las Vegas, NV 89109</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August 9, 2017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Deutsche Bank AG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Collateral Agent</w:t>
      </w:r>
    </w:p>
    <w:p>
      <w:pPr>
        <w:spacing w:after="0"/>
        <w:rPr>
          <w:sz w:val="20"/>
          <w:szCs w:val="20"/>
          <w:color w:val="auto"/>
        </w:rPr>
      </w:pPr>
      <w:r>
        <w:rPr>
          <w:rFonts w:ascii="Arial" w:cs="Arial" w:eastAsia="Arial" w:hAnsi="Arial"/>
          <w:sz w:val="20"/>
          <w:szCs w:val="20"/>
          <w:color w:val="auto"/>
        </w:rPr>
        <w:t>60 Wall Street</w:t>
      </w:r>
    </w:p>
    <w:p>
      <w:pPr>
        <w:spacing w:after="0"/>
        <w:rPr>
          <w:sz w:val="20"/>
          <w:szCs w:val="20"/>
          <w:color w:val="auto"/>
        </w:rPr>
      </w:pPr>
      <w:r>
        <w:rPr>
          <w:rFonts w:ascii="Arial" w:cs="Arial" w:eastAsia="Arial" w:hAnsi="Arial"/>
          <w:sz w:val="20"/>
          <w:szCs w:val="20"/>
          <w:color w:val="auto"/>
        </w:rPr>
        <w:t>New York, NY 10005</w:t>
      </w:r>
    </w:p>
    <w:p>
      <w:pPr>
        <w:spacing w:after="0"/>
        <w:rPr>
          <w:sz w:val="20"/>
          <w:szCs w:val="20"/>
          <w:color w:val="auto"/>
        </w:rPr>
      </w:pPr>
      <w:r>
        <w:rPr>
          <w:rFonts w:ascii="Arial" w:cs="Arial" w:eastAsia="Arial" w:hAnsi="Arial"/>
          <w:sz w:val="20"/>
          <w:szCs w:val="20"/>
          <w:color w:val="auto"/>
        </w:rPr>
        <w:t>Attention: MaryKay Coyle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Reference is made to the Security Agreement, dated as of November 20, 2014 (as amended, amended and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capitalized terms used but not otherwise defined herein shall have the meanings assigned to such terms in the Security Agreement), made by WYNN AMERICA, LLC, a Nevada limited liability company (“</w:t>
      </w:r>
      <w:r>
        <w:rPr>
          <w:rFonts w:ascii="Arial" w:cs="Arial" w:eastAsia="Arial" w:hAnsi="Arial"/>
          <w:sz w:val="22"/>
          <w:szCs w:val="22"/>
          <w:u w:val="single" w:color="auto"/>
          <w:color w:val="auto"/>
        </w:rPr>
        <w:t>Borrower</w:t>
      </w:r>
      <w:r>
        <w:rPr>
          <w:rFonts w:ascii="Arial" w:cs="Arial" w:eastAsia="Arial" w:hAnsi="Arial"/>
          <w:sz w:val="22"/>
          <w:szCs w:val="22"/>
          <w:color w:val="auto"/>
        </w:rPr>
        <w:t>”), and each of the GUARANTORS from time to time party thereto in favor of DEUTSCHE BANK AG NEW YORK BRANCH, as collateral agent (in such capacity and together with any successors in such capacity,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joinder agreement (“</w:t>
      </w:r>
      <w:r>
        <w:rPr>
          <w:rFonts w:ascii="Arial" w:cs="Arial" w:eastAsia="Arial" w:hAnsi="Arial"/>
          <w:sz w:val="19"/>
          <w:szCs w:val="19"/>
          <w:u w:val="single" w:color="auto"/>
          <w:color w:val="auto"/>
        </w:rPr>
        <w:t>Joinder Agreement</w:t>
      </w:r>
      <w:r>
        <w:rPr>
          <w:rFonts w:ascii="Arial" w:cs="Arial" w:eastAsia="Arial" w:hAnsi="Arial"/>
          <w:sz w:val="19"/>
          <w:szCs w:val="19"/>
          <w:color w:val="auto"/>
        </w:rPr>
        <w:t>”) supplements the Security Agreement and is delivered by the undersigned, Wynn Las Vegas, LLC, a Nevada limited liability company, and Wynn Sunrise, LLC, a Nevada limited liability company (collectively, the “</w:t>
      </w:r>
      <w:r>
        <w:rPr>
          <w:rFonts w:ascii="Arial" w:cs="Arial" w:eastAsia="Arial" w:hAnsi="Arial"/>
          <w:sz w:val="19"/>
          <w:szCs w:val="19"/>
          <w:u w:val="single" w:color="auto"/>
          <w:color w:val="auto"/>
        </w:rPr>
        <w:t>New Pledgors</w:t>
      </w:r>
      <w:r>
        <w:rPr>
          <w:rFonts w:ascii="Arial" w:cs="Arial" w:eastAsia="Arial" w:hAnsi="Arial"/>
          <w:sz w:val="19"/>
          <w:szCs w:val="19"/>
          <w:color w:val="auto"/>
        </w:rPr>
        <w:t xml:space="preserve">”), pursuant to Section 3.5 of the Security Agreement. Subject to the provisions of </w:t>
      </w:r>
      <w:r>
        <w:rPr>
          <w:rFonts w:ascii="Arial" w:cs="Arial" w:eastAsia="Arial" w:hAnsi="Arial"/>
          <w:sz w:val="19"/>
          <w:szCs w:val="19"/>
          <w:u w:val="single" w:color="auto"/>
          <w:color w:val="auto"/>
        </w:rPr>
        <w:t>Schedule 1</w:t>
      </w:r>
      <w:r>
        <w:rPr>
          <w:rFonts w:ascii="Arial" w:cs="Arial" w:eastAsia="Arial" w:hAnsi="Arial"/>
          <w:sz w:val="19"/>
          <w:szCs w:val="19"/>
          <w:color w:val="auto"/>
        </w:rPr>
        <w:t>, the New Pledgors hereby agree to be bound as Guarantors and as Pledgors by all of the terms, covenants and conditions set forth in the Security Agreement to the same extent that they would have been bound if they had been signatories to the Security Agreement on the execution date of the Security Agreement and without limiting the generality of the foregoing, hereby grant and pledge to Collateral Agent, as collateral security for the full, prompt and complete payment and performance when due (whether at stated maturity, by acceleration or otherwise) of the Secured Obligations, and in favor of the</w:t>
      </w:r>
    </w:p>
    <w:p>
      <w:pPr>
        <w:sectPr>
          <w:pgSz w:w="11900" w:h="16838" w:orient="portrait"/>
          <w:cols w:equalWidth="0" w:num="1">
            <w:col w:w="11420"/>
          </w:cols>
          <w:pgMar w:left="240" w:top="895" w:right="2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21"/>
          <w:szCs w:val="21"/>
          <w:color w:val="auto"/>
        </w:rPr>
        <w:t xml:space="preserve">Secured Parties a Lien on and security interest in, all of their right, title and interest in, to and under the Pledged Collateral and expressly assume all obligations and liabilities of a Guarantor and Pledgor thereunder, except to the extent not permitted pursuant to any applicable Gaming Law. Notwithstanding anything to the contrary in this Joinder Agreement or any other Credit Document, the security interest created by this Joinder Agreement and the Security Agreement shall not attach to, and the term “Pledged Collateral” shall not include, any Excluded Property (other than Proceeds and the right to Proceeds of Excluded Property to the extent such Proceeds or right to Proceeds independently constitutes Excluded Property);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portion of any property ceases to constitute “Excluded Property” then, immediately upon such cessation, the term “Pledged Collateral” shall also include such portion of property and such security interest and lien in favor of Collateral Agent created by this Agreement shall attach to such portion of property.</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New Pledgors hereby make each of the representations and warranties and agree to each of the covenants applicable to the Pledgors contained in the Security Agreement as of the date 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Attached hereto is an updated Perfection Certificate. The information contained in such Perfection Certificate shall be deemed to be part of the Security Agreement.</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 New Pledgors hereby irrevocably authorize Collateral Agent at any time and from time to time in accordance with the Security Agreement to file in any filing office and/or recording or registration office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without limitation, (i) whether such New Pledgor is an organization, the type of organization and any organizational identification number issued to such New Pledgor, (ii) any financing or continuation statements or other documents without the signature of such New Pledgor where permitted by law and (iii) in the case of a financing statement filed as a fixture filing a sufficient description of the real property to which such Pledged Collateral relates. Such financing statements may describe the Pledged Collateral in the same manner as described in the Security Agreement or may contain an indication or description of collateral that describes such property in any other manner as Collateral Agent may determine is necessary, advisable or prudent to ensure the perfection of the security interest in the Pledged Collateral granted to Collateral Agent herein, including, without limitation, describing such property as “all assets whether now owned or hereafter acquired” or “all personal property whether now owned or hereafter acquired” or words of similar import. Each New Pledgor agrees to provide all information described in clauses</w:t>
      </w:r>
    </w:p>
    <w:p>
      <w:pPr>
        <w:spacing w:after="0" w:line="5" w:lineRule="exact"/>
        <w:rPr>
          <w:sz w:val="20"/>
          <w:szCs w:val="20"/>
          <w:color w:val="auto"/>
        </w:rPr>
      </w:pPr>
    </w:p>
    <w:p>
      <w:pPr>
        <w:jc w:val="both"/>
        <w:ind w:firstLine="8"/>
        <w:spacing w:after="0" w:line="302" w:lineRule="auto"/>
        <w:tabs>
          <w:tab w:leader="none" w:pos="259"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through (iii) above in this paragraph to Collateral Agent promptly upon request. Collateral Agent shall provide reasonable notice to Borrower of all such financing statement filings made by Collateral Agent on or about the Closing Date, and, upon Borrower's request, any subsequent filings or amendments, supplements or terminations of existing filings, made from time to time thereafter.</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w:t>
      </w:r>
    </w:p>
    <w:p>
      <w:pPr>
        <w:sectPr>
          <w:pgSz w:w="11900" w:h="16838" w:orient="portrait"/>
          <w:cols w:equalWidth="0" w:num="1">
            <w:col w:w="11420"/>
          </w:cols>
          <w:pgMar w:left="240" w:top="888" w:right="239" w:bottom="1440" w:gutter="0" w:footer="0" w:header="0"/>
        </w:sectPr>
      </w:pPr>
    </w:p>
    <w:bookmarkStart w:id="64" w:name="page65"/>
    <w:bookmarkEnd w:id="64"/>
    <w:p>
      <w:pPr>
        <w:jc w:val="both"/>
        <w:spacing w:after="0" w:line="343" w:lineRule="auto"/>
        <w:rPr>
          <w:sz w:val="20"/>
          <w:szCs w:val="20"/>
          <w:color w:val="auto"/>
        </w:rPr>
      </w:pPr>
      <w:r>
        <w:rPr>
          <w:rFonts w:ascii="Arial" w:cs="Arial" w:eastAsia="Arial" w:hAnsi="Arial"/>
          <w:sz w:val="19"/>
          <w:szCs w:val="19"/>
          <w:color w:val="auto"/>
        </w:rPr>
        <w:t>counterparts together shall constitute one and the same agreement. Delivery of an executed counterpart of a signature page of this Agreement by facsimile or electronic mail shall be effective as delivery of a manually executed counterpart of this Agreement.</w:t>
      </w:r>
    </w:p>
    <w:p>
      <w:pPr>
        <w:spacing w:after="0" w:line="1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JOINDER AGREEMENT AND ANY CLAIMS, CONTROVERSIES, DISPUTES, OR CAUSES OF ACTION (WHETHER ARISING UNDER CONTRACT LAW, TORT LAW OR OTHERWISE) BASED UPON OR RELATING TO THIS JOINDER AGREEMENT, SHALL BE GOVERNED BY, AND CONSTRUED IN ACCORDANCE WITH, THE LAW OF THE STATE OF NEW YORK WITHOUT GIVING EFFECT TO ANY CHOICE OF LAW PRINCIPLES THAT WOULD APPLY THE LAWS OF ANOTHER JURISDICTION.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Joinder Agreement shall in all cases be qualified by, and subject to, the terms and conditions on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23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11420"/>
          </w:cols>
          <w:pgMar w:left="240" w:top="888" w:right="239" w:bottom="1440" w:gutter="0" w:footer="0" w:header="0"/>
        </w:sectPr>
      </w:pPr>
    </w:p>
    <w:bookmarkStart w:id="65" w:name="page66"/>
    <w:bookmarkEnd w:id="65"/>
    <w:p>
      <w:pPr>
        <w:ind w:firstLine="648"/>
        <w:spacing w:after="0" w:line="263" w:lineRule="auto"/>
        <w:rPr>
          <w:sz w:val="20"/>
          <w:szCs w:val="20"/>
          <w:color w:val="auto"/>
        </w:rPr>
      </w:pPr>
      <w:r>
        <w:rPr>
          <w:rFonts w:ascii="Arial" w:cs="Arial" w:eastAsia="Arial" w:hAnsi="Arial"/>
          <w:sz w:val="22"/>
          <w:szCs w:val="22"/>
          <w:color w:val="auto"/>
        </w:rPr>
        <w:t>IN WITNESS WHEREOF, each New Pledgor has caused this Joinder Agreement to be executed and delivered by its duly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LLC,</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Las Vegas Holdings, LLC,</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 Nevada limited liability company,</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America, LLC,</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 Nevada limited liability company,</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Resorts Holdings, LLC,</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 Nevada limited liability company,</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Wynn Resorts, Limited,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19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0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Craig S. Billings</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Chief Financial Officer and Treasurer</w:t>
      </w:r>
    </w:p>
    <w:p>
      <w:pPr>
        <w:sectPr>
          <w:pgSz w:w="11900" w:h="16838" w:orient="portrait"/>
          <w:cols w:equalWidth="0" w:num="1">
            <w:col w:w="11420"/>
          </w:cols>
          <w:pgMar w:left="240" w:top="888" w:right="239"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2700"/>
        <w:spacing w:after="0"/>
        <w:rPr>
          <w:sz w:val="20"/>
          <w:szCs w:val="20"/>
          <w:color w:val="auto"/>
        </w:rPr>
      </w:pPr>
      <w:r>
        <w:rPr>
          <w:rFonts w:ascii="Arial" w:cs="Arial" w:eastAsia="Arial" w:hAnsi="Arial"/>
          <w:sz w:val="22"/>
          <w:szCs w:val="22"/>
          <w:color w:val="auto"/>
        </w:rPr>
        <w:t>WYNN SUNRISE, LLC,</w:t>
      </w:r>
    </w:p>
    <w:p>
      <w:pPr>
        <w:spacing w:after="0" w:line="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Las Vegas, LLC,</w:t>
      </w:r>
    </w:p>
    <w:p>
      <w:pPr>
        <w:spacing w:after="0" w:line="5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25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Las Vegas Holdings, LLC,</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25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America, LLC,</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25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Resorts Holdings, LLC,</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25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Wynn Resorts, Limited,</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ectPr>
          <w:pgSz w:w="11900" w:h="16838" w:orient="portrait"/>
          <w:cols w:equalWidth="0" w:num="1">
            <w:col w:w="9019"/>
          </w:cols>
          <w:pgMar w:left="1440" w:top="1374" w:right="1440" w:bottom="1440" w:gutter="0" w:footer="0" w:header="0"/>
        </w:sectPr>
      </w:pPr>
    </w:p>
    <w:bookmarkStart w:id="68" w:name="page69"/>
    <w:bookmarkEnd w:id="68"/>
    <w:p>
      <w:pPr>
        <w:ind w:left="2700"/>
        <w:spacing w:after="0"/>
        <w:rPr>
          <w:sz w:val="20"/>
          <w:szCs w:val="20"/>
          <w:color w:val="auto"/>
        </w:rPr>
      </w:pPr>
      <w:r>
        <w:rPr>
          <w:rFonts w:ascii="Arial" w:cs="Arial" w:eastAsia="Arial" w:hAnsi="Arial"/>
          <w:sz w:val="22"/>
          <w:szCs w:val="22"/>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19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00"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Name: Craig S. Billings</w:t>
      </w:r>
    </w:p>
    <w:p>
      <w:pPr>
        <w:spacing w:after="0" w:line="220"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Title: Chief Financial Officer and Treasurer</w:t>
      </w:r>
    </w:p>
    <w:p>
      <w:pPr>
        <w:sectPr>
          <w:pgSz w:w="11900" w:h="16838" w:orient="portrait"/>
          <w:cols w:equalWidth="0" w:num="1">
            <w:col w:w="9019"/>
          </w:cols>
          <w:pgMar w:left="1440" w:top="1374" w:right="1440"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AGREED TO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DEUTSCHE BANK AG NEW YORK BRANCH, as Collateral Agent</w:t>
      </w:r>
    </w:p>
    <w:p>
      <w:pPr>
        <w:spacing w:after="0" w:line="200" w:lineRule="exact"/>
        <w:rPr>
          <w:sz w:val="20"/>
          <w:szCs w:val="20"/>
          <w:color w:val="auto"/>
        </w:rPr>
      </w:pP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120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Mary Kay Coyle</w:t>
      </w:r>
    </w:p>
    <w:p>
      <w:pPr>
        <w:ind w:left="2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882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Anca Trifan</w:t>
      </w:r>
    </w:p>
    <w:p>
      <w:pPr>
        <w:ind w:left="20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219"/>
          </w:cols>
          <w:pgMar w:left="240" w:top="1325"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10.3</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946785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4.875% SENIOR NOTES DUE 2024</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September 20,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6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DEUTSCHE BANK TRUST COMPANY AMERICAS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Trustee</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354965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9"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5"/>
              </w:rPr>
              <w:t>TABLE OF CONTENTS</w:t>
            </w:r>
          </w:p>
        </w:tc>
        <w:tc>
          <w:tcPr>
            <w:tcW w:w="2320" w:type="dxa"/>
            <w:vAlign w:val="bottom"/>
          </w:tcPr>
          <w:p>
            <w:pPr>
              <w:spacing w:after="0"/>
              <w:rPr>
                <w:sz w:val="20"/>
                <w:szCs w:val="20"/>
                <w:color w:val="auto"/>
              </w:rPr>
            </w:pPr>
          </w:p>
        </w:tc>
      </w:tr>
      <w:tr>
        <w:trPr>
          <w:trHeight w:val="483"/>
        </w:trPr>
        <w:tc>
          <w:tcPr>
            <w:tcW w:w="13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516"/>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76">
              <w:r>
                <w:rPr>
                  <w:rFonts w:ascii="Arial" w:cs="Arial" w:eastAsia="Arial" w:hAnsi="Arial"/>
                  <w:sz w:val="18"/>
                  <w:szCs w:val="18"/>
                  <w:color w:val="auto"/>
                  <w:w w:val="98"/>
                </w:rPr>
                <w:t>ARTICLE 1</w:t>
              </w:r>
            </w:hyperlink>
          </w:p>
        </w:tc>
        <w:tc>
          <w:tcPr>
            <w:tcW w:w="232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color w:val="auto"/>
                <w:w w:val="97"/>
              </w:rPr>
              <w:t>DEFINITIONS AND INCORPORATION</w:t>
            </w:r>
          </w:p>
        </w:tc>
        <w:tc>
          <w:tcPr>
            <w:tcW w:w="23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Arial" w:cs="Arial" w:eastAsia="Arial" w:hAnsi="Arial"/>
                <w:sz w:val="18"/>
                <w:szCs w:val="18"/>
                <w:color w:val="auto"/>
                <w:w w:val="94"/>
              </w:rPr>
              <w:t>BY REFERENCE</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776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7760" w:type="dxa"/>
            <w:vAlign w:val="bottom"/>
          </w:tcPr>
          <w:p>
            <w:pPr>
              <w:ind w:left="420"/>
              <w:spacing w:after="0"/>
              <w:rPr>
                <w:sz w:val="20"/>
                <w:szCs w:val="20"/>
                <w:color w:val="auto"/>
              </w:rPr>
            </w:pPr>
            <w:r>
              <w:rPr>
                <w:rFonts w:ascii="Arial" w:cs="Arial" w:eastAsia="Arial" w:hAnsi="Arial"/>
                <w:sz w:val="18"/>
                <w:szCs w:val="18"/>
                <w:color w:val="auto"/>
              </w:rPr>
              <w:t>Other Definitions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7760" w:type="dxa"/>
            <w:vAlign w:val="bottom"/>
          </w:tcPr>
          <w:p>
            <w:pPr>
              <w:ind w:left="420"/>
              <w:spacing w:after="0"/>
              <w:rPr>
                <w:sz w:val="20"/>
                <w:szCs w:val="20"/>
                <w:color w:val="auto"/>
              </w:rPr>
            </w:pPr>
            <w:r>
              <w:rPr>
                <w:rFonts w:ascii="Arial" w:cs="Arial" w:eastAsia="Arial" w:hAnsi="Arial"/>
                <w:sz w:val="18"/>
                <w:szCs w:val="18"/>
                <w:color w:val="auto"/>
              </w:rPr>
              <w:t>Rules of Construction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90">
              <w:r>
                <w:rPr>
                  <w:rFonts w:ascii="Arial" w:cs="Arial" w:eastAsia="Arial" w:hAnsi="Arial"/>
                  <w:sz w:val="18"/>
                  <w:szCs w:val="18"/>
                  <w:color w:val="auto"/>
                  <w:w w:val="98"/>
                </w:rPr>
                <w:t>ARTICLE 2</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5"/>
              </w:rPr>
              <w:t>THE NOTES</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7760" w:type="dxa"/>
            <w:vAlign w:val="bottom"/>
          </w:tcPr>
          <w:p>
            <w:pPr>
              <w:ind w:left="420"/>
              <w:spacing w:after="0"/>
              <w:rPr>
                <w:sz w:val="20"/>
                <w:szCs w:val="20"/>
                <w:color w:val="auto"/>
              </w:rPr>
            </w:pPr>
            <w:r>
              <w:rPr>
                <w:rFonts w:ascii="Arial" w:cs="Arial" w:eastAsia="Arial" w:hAnsi="Arial"/>
                <w:sz w:val="18"/>
                <w:szCs w:val="18"/>
                <w:color w:val="auto"/>
              </w:rPr>
              <w:t>Form and Dating</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7760" w:type="dxa"/>
            <w:vAlign w:val="bottom"/>
          </w:tcPr>
          <w:p>
            <w:pPr>
              <w:ind w:left="420"/>
              <w:spacing w:after="0"/>
              <w:rPr>
                <w:sz w:val="20"/>
                <w:szCs w:val="20"/>
                <w:color w:val="auto"/>
              </w:rPr>
            </w:pPr>
            <w:r>
              <w:rPr>
                <w:rFonts w:ascii="Arial" w:cs="Arial" w:eastAsia="Arial" w:hAnsi="Arial"/>
                <w:sz w:val="18"/>
                <w:szCs w:val="18"/>
                <w:color w:val="auto"/>
              </w:rPr>
              <w:t>Execution and Authentication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7760" w:type="dxa"/>
            <w:vAlign w:val="bottom"/>
          </w:tcPr>
          <w:p>
            <w:pPr>
              <w:ind w:left="420"/>
              <w:spacing w:after="0"/>
              <w:rPr>
                <w:sz w:val="20"/>
                <w:szCs w:val="20"/>
                <w:color w:val="auto"/>
              </w:rPr>
            </w:pPr>
            <w:r>
              <w:rPr>
                <w:rFonts w:ascii="Arial" w:cs="Arial" w:eastAsia="Arial" w:hAnsi="Arial"/>
                <w:sz w:val="18"/>
                <w:szCs w:val="18"/>
                <w:color w:val="auto"/>
              </w:rPr>
              <w:t>Registrar and Paying Agent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7760" w:type="dxa"/>
            <w:vAlign w:val="bottom"/>
          </w:tcPr>
          <w:p>
            <w:pPr>
              <w:ind w:left="420"/>
              <w:spacing w:after="0"/>
              <w:rPr>
                <w:sz w:val="20"/>
                <w:szCs w:val="20"/>
                <w:color w:val="auto"/>
              </w:rPr>
            </w:pPr>
            <w:r>
              <w:rPr>
                <w:rFonts w:ascii="Arial" w:cs="Arial" w:eastAsia="Arial" w:hAnsi="Arial"/>
                <w:sz w:val="18"/>
                <w:szCs w:val="18"/>
                <w:color w:val="auto"/>
              </w:rPr>
              <w:t>Paying Agent to Hold Money in Trust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7760" w:type="dxa"/>
            <w:vAlign w:val="bottom"/>
          </w:tcPr>
          <w:p>
            <w:pPr>
              <w:ind w:left="420"/>
              <w:spacing w:after="0"/>
              <w:rPr>
                <w:sz w:val="20"/>
                <w:szCs w:val="20"/>
                <w:color w:val="auto"/>
              </w:rPr>
            </w:pPr>
            <w:r>
              <w:rPr>
                <w:rFonts w:ascii="Arial" w:cs="Arial" w:eastAsia="Arial" w:hAnsi="Arial"/>
                <w:sz w:val="18"/>
                <w:szCs w:val="18"/>
                <w:color w:val="auto"/>
              </w:rPr>
              <w:t>Holder Lists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7760" w:type="dxa"/>
            <w:vAlign w:val="bottom"/>
          </w:tcPr>
          <w:p>
            <w:pPr>
              <w:ind w:left="420"/>
              <w:spacing w:after="0"/>
              <w:rPr>
                <w:sz w:val="20"/>
                <w:szCs w:val="20"/>
                <w:color w:val="auto"/>
              </w:rPr>
            </w:pPr>
            <w:r>
              <w:rPr>
                <w:rFonts w:ascii="Arial" w:cs="Arial" w:eastAsia="Arial" w:hAnsi="Arial"/>
                <w:sz w:val="18"/>
                <w:szCs w:val="18"/>
                <w:color w:val="auto"/>
              </w:rPr>
              <w:t>Transfer and Exchange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7760" w:type="dxa"/>
            <w:vAlign w:val="bottom"/>
          </w:tcPr>
          <w:p>
            <w:pPr>
              <w:ind w:left="420"/>
              <w:spacing w:after="0"/>
              <w:rPr>
                <w:sz w:val="20"/>
                <w:szCs w:val="20"/>
                <w:color w:val="auto"/>
              </w:rPr>
            </w:pPr>
            <w:r>
              <w:rPr>
                <w:rFonts w:ascii="Arial" w:cs="Arial" w:eastAsia="Arial" w:hAnsi="Arial"/>
                <w:sz w:val="18"/>
                <w:szCs w:val="18"/>
                <w:color w:val="auto"/>
              </w:rPr>
              <w:t>Replacement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7760" w:type="dxa"/>
            <w:vAlign w:val="bottom"/>
          </w:tcPr>
          <w:p>
            <w:pPr>
              <w:ind w:left="420"/>
              <w:spacing w:after="0"/>
              <w:rPr>
                <w:sz w:val="20"/>
                <w:szCs w:val="20"/>
                <w:color w:val="auto"/>
              </w:rPr>
            </w:pPr>
            <w:r>
              <w:rPr>
                <w:rFonts w:ascii="Arial" w:cs="Arial" w:eastAsia="Arial" w:hAnsi="Arial"/>
                <w:sz w:val="18"/>
                <w:szCs w:val="18"/>
                <w:color w:val="auto"/>
              </w:rPr>
              <w:t>Outstanding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7760" w:type="dxa"/>
            <w:vAlign w:val="bottom"/>
          </w:tcPr>
          <w:p>
            <w:pPr>
              <w:ind w:left="420"/>
              <w:spacing w:after="0"/>
              <w:rPr>
                <w:sz w:val="20"/>
                <w:szCs w:val="20"/>
                <w:color w:val="auto"/>
              </w:rPr>
            </w:pPr>
            <w:r>
              <w:rPr>
                <w:rFonts w:ascii="Arial" w:cs="Arial" w:eastAsia="Arial" w:hAnsi="Arial"/>
                <w:sz w:val="18"/>
                <w:szCs w:val="18"/>
                <w:color w:val="auto"/>
              </w:rPr>
              <w:t>Treasury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7760" w:type="dxa"/>
            <w:vAlign w:val="bottom"/>
          </w:tcPr>
          <w:p>
            <w:pPr>
              <w:ind w:left="420"/>
              <w:spacing w:after="0"/>
              <w:rPr>
                <w:sz w:val="20"/>
                <w:szCs w:val="20"/>
                <w:color w:val="auto"/>
              </w:rPr>
            </w:pPr>
            <w:r>
              <w:rPr>
                <w:rFonts w:ascii="Arial" w:cs="Arial" w:eastAsia="Arial" w:hAnsi="Arial"/>
                <w:sz w:val="18"/>
                <w:szCs w:val="18"/>
                <w:color w:val="auto"/>
              </w:rPr>
              <w:t>Temporary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7760" w:type="dxa"/>
            <w:vAlign w:val="bottom"/>
          </w:tcPr>
          <w:p>
            <w:pPr>
              <w:ind w:left="420"/>
              <w:spacing w:after="0"/>
              <w:rPr>
                <w:sz w:val="20"/>
                <w:szCs w:val="20"/>
                <w:color w:val="auto"/>
              </w:rPr>
            </w:pPr>
            <w:r>
              <w:rPr>
                <w:rFonts w:ascii="Arial" w:cs="Arial" w:eastAsia="Arial" w:hAnsi="Arial"/>
                <w:sz w:val="18"/>
                <w:szCs w:val="18"/>
                <w:color w:val="auto"/>
              </w:rPr>
              <w:t>Cancelation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2.12</w:t>
            </w:r>
          </w:p>
        </w:tc>
        <w:tc>
          <w:tcPr>
            <w:tcW w:w="7760" w:type="dxa"/>
            <w:vAlign w:val="bottom"/>
          </w:tcPr>
          <w:p>
            <w:pPr>
              <w:ind w:left="420"/>
              <w:spacing w:after="0"/>
              <w:rPr>
                <w:sz w:val="20"/>
                <w:szCs w:val="20"/>
                <w:color w:val="auto"/>
              </w:rPr>
            </w:pPr>
            <w:r>
              <w:rPr>
                <w:rFonts w:ascii="Arial" w:cs="Arial" w:eastAsia="Arial" w:hAnsi="Arial"/>
                <w:sz w:val="18"/>
                <w:szCs w:val="18"/>
                <w:color w:val="auto"/>
              </w:rPr>
              <w:t>Defaulted Interest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2.13</w:t>
            </w:r>
          </w:p>
        </w:tc>
        <w:tc>
          <w:tcPr>
            <w:tcW w:w="7760" w:type="dxa"/>
            <w:vAlign w:val="bottom"/>
          </w:tcPr>
          <w:p>
            <w:pPr>
              <w:ind w:left="420"/>
              <w:spacing w:after="0"/>
              <w:rPr>
                <w:sz w:val="20"/>
                <w:szCs w:val="20"/>
                <w:color w:val="auto"/>
              </w:rPr>
            </w:pPr>
            <w:r>
              <w:rPr>
                <w:rFonts w:ascii="Arial" w:cs="Arial" w:eastAsia="Arial" w:hAnsi="Arial"/>
                <w:sz w:val="18"/>
                <w:szCs w:val="18"/>
                <w:color w:val="auto"/>
              </w:rPr>
              <w:t>Issuance of Additional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107">
              <w:r>
                <w:rPr>
                  <w:rFonts w:ascii="Arial" w:cs="Arial" w:eastAsia="Arial" w:hAnsi="Arial"/>
                  <w:sz w:val="18"/>
                  <w:szCs w:val="18"/>
                  <w:color w:val="auto"/>
                  <w:w w:val="98"/>
                </w:rPr>
                <w:t>ARTICLE 3</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Arial" w:cs="Arial" w:eastAsia="Arial" w:hAnsi="Arial"/>
                <w:sz w:val="18"/>
                <w:szCs w:val="18"/>
                <w:color w:val="auto"/>
                <w:w w:val="95"/>
              </w:rPr>
              <w:t>REDEMPTION AND PREPAYMENT</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7760" w:type="dxa"/>
            <w:vAlign w:val="bottom"/>
          </w:tcPr>
          <w:p>
            <w:pPr>
              <w:ind w:left="420"/>
              <w:spacing w:after="0"/>
              <w:rPr>
                <w:sz w:val="20"/>
                <w:szCs w:val="20"/>
                <w:color w:val="auto"/>
              </w:rPr>
            </w:pPr>
            <w:r>
              <w:rPr>
                <w:rFonts w:ascii="Arial" w:cs="Arial" w:eastAsia="Arial" w:hAnsi="Arial"/>
                <w:sz w:val="18"/>
                <w:szCs w:val="18"/>
                <w:color w:val="auto"/>
              </w:rPr>
              <w:t>Notices to Trustee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7760" w:type="dxa"/>
            <w:vAlign w:val="bottom"/>
          </w:tcPr>
          <w:p>
            <w:pPr>
              <w:ind w:left="420"/>
              <w:spacing w:after="0"/>
              <w:rPr>
                <w:sz w:val="20"/>
                <w:szCs w:val="20"/>
                <w:color w:val="auto"/>
              </w:rPr>
            </w:pPr>
            <w:r>
              <w:rPr>
                <w:rFonts w:ascii="Arial" w:cs="Arial" w:eastAsia="Arial" w:hAnsi="Arial"/>
                <w:sz w:val="18"/>
                <w:szCs w:val="18"/>
                <w:color w:val="auto"/>
              </w:rPr>
              <w:t>Selection of Notes to Be Redeemed or Purchased</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776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7760" w:type="dxa"/>
            <w:vAlign w:val="bottom"/>
          </w:tcPr>
          <w:p>
            <w:pPr>
              <w:ind w:left="420"/>
              <w:spacing w:after="0"/>
              <w:rPr>
                <w:sz w:val="20"/>
                <w:szCs w:val="20"/>
                <w:color w:val="auto"/>
              </w:rPr>
            </w:pPr>
            <w:r>
              <w:rPr>
                <w:rFonts w:ascii="Arial" w:cs="Arial" w:eastAsia="Arial" w:hAnsi="Arial"/>
                <w:sz w:val="18"/>
                <w:szCs w:val="18"/>
                <w:color w:val="auto"/>
              </w:rPr>
              <w:t>Effect of Notice of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7760" w:type="dxa"/>
            <w:vAlign w:val="bottom"/>
          </w:tcPr>
          <w:p>
            <w:pPr>
              <w:ind w:left="420"/>
              <w:spacing w:after="0"/>
              <w:rPr>
                <w:sz w:val="20"/>
                <w:szCs w:val="20"/>
                <w:color w:val="auto"/>
              </w:rPr>
            </w:pPr>
            <w:r>
              <w:rPr>
                <w:rFonts w:ascii="Arial" w:cs="Arial" w:eastAsia="Arial" w:hAnsi="Arial"/>
                <w:sz w:val="18"/>
                <w:szCs w:val="18"/>
                <w:color w:val="auto"/>
              </w:rPr>
              <w:t>Deposit of Redemption or Purchase Price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7760" w:type="dxa"/>
            <w:vAlign w:val="bottom"/>
          </w:tcPr>
          <w:p>
            <w:pPr>
              <w:ind w:left="420"/>
              <w:spacing w:after="0"/>
              <w:rPr>
                <w:sz w:val="20"/>
                <w:szCs w:val="20"/>
                <w:color w:val="auto"/>
              </w:rPr>
            </w:pPr>
            <w:r>
              <w:rPr>
                <w:rFonts w:ascii="Arial" w:cs="Arial" w:eastAsia="Arial" w:hAnsi="Arial"/>
                <w:sz w:val="18"/>
                <w:szCs w:val="18"/>
                <w:color w:val="auto"/>
              </w:rPr>
              <w:t>Notes Redeemed or Purchased in Part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7760" w:type="dxa"/>
            <w:vAlign w:val="bottom"/>
          </w:tcPr>
          <w:p>
            <w:pPr>
              <w:ind w:left="420"/>
              <w:spacing w:after="0"/>
              <w:rPr>
                <w:sz w:val="20"/>
                <w:szCs w:val="20"/>
                <w:color w:val="auto"/>
              </w:rPr>
            </w:pPr>
            <w:r>
              <w:rPr>
                <w:rFonts w:ascii="Arial" w:cs="Arial" w:eastAsia="Arial" w:hAnsi="Arial"/>
                <w:sz w:val="18"/>
                <w:szCs w:val="18"/>
                <w:color w:val="auto"/>
              </w:rPr>
              <w:t>Optional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7760" w:type="dxa"/>
            <w:vAlign w:val="bottom"/>
          </w:tcPr>
          <w:p>
            <w:pPr>
              <w:ind w:left="420"/>
              <w:spacing w:after="0"/>
              <w:rPr>
                <w:sz w:val="20"/>
                <w:szCs w:val="20"/>
                <w:color w:val="auto"/>
              </w:rPr>
            </w:pPr>
            <w:r>
              <w:rPr>
                <w:rFonts w:ascii="Arial" w:cs="Arial" w:eastAsia="Arial" w:hAnsi="Arial"/>
                <w:sz w:val="18"/>
                <w:szCs w:val="18"/>
                <w:color w:val="auto"/>
              </w:rPr>
              <w:t>Mandatory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3.09</w:t>
            </w:r>
          </w:p>
        </w:tc>
        <w:tc>
          <w:tcPr>
            <w:tcW w:w="7760" w:type="dxa"/>
            <w:vAlign w:val="bottom"/>
          </w:tcPr>
          <w:p>
            <w:pPr>
              <w:ind w:left="420"/>
              <w:spacing w:after="0"/>
              <w:rPr>
                <w:sz w:val="20"/>
                <w:szCs w:val="20"/>
                <w:color w:val="auto"/>
              </w:rPr>
            </w:pPr>
            <w:r>
              <w:rPr>
                <w:rFonts w:ascii="Arial" w:cs="Arial" w:eastAsia="Arial" w:hAnsi="Arial"/>
                <w:sz w:val="18"/>
                <w:szCs w:val="18"/>
                <w:color w:val="auto"/>
              </w:rPr>
              <w:t>Mandatory Disposition or Redemption Pursuant to Gaming Laws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3.10</w:t>
            </w:r>
          </w:p>
        </w:tc>
        <w:tc>
          <w:tcPr>
            <w:tcW w:w="7760" w:type="dxa"/>
            <w:vAlign w:val="bottom"/>
          </w:tcPr>
          <w:p>
            <w:pPr>
              <w:ind w:left="420"/>
              <w:spacing w:after="0"/>
              <w:rPr>
                <w:sz w:val="20"/>
                <w:szCs w:val="20"/>
                <w:color w:val="auto"/>
              </w:rPr>
            </w:pPr>
            <w:r>
              <w:rPr>
                <w:rFonts w:ascii="Arial" w:cs="Arial" w:eastAsia="Arial" w:hAnsi="Arial"/>
                <w:sz w:val="18"/>
                <w:szCs w:val="18"/>
                <w:color w:val="auto"/>
              </w:rPr>
              <w:t>Redemption Upon Changes in Withholding Taxes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39</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114">
              <w:r>
                <w:rPr>
                  <w:rFonts w:ascii="Arial" w:cs="Arial" w:eastAsia="Arial" w:hAnsi="Arial"/>
                  <w:sz w:val="18"/>
                  <w:szCs w:val="18"/>
                  <w:color w:val="auto"/>
                  <w:w w:val="98"/>
                </w:rPr>
                <w:t>ARTICLE 4</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8"/>
              </w:rPr>
              <w:t>COVENANTS</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7760" w:type="dxa"/>
            <w:vAlign w:val="bottom"/>
          </w:tcPr>
          <w:p>
            <w:pPr>
              <w:ind w:left="420"/>
              <w:spacing w:after="0"/>
              <w:rPr>
                <w:sz w:val="20"/>
                <w:szCs w:val="20"/>
                <w:color w:val="auto"/>
              </w:rPr>
            </w:pPr>
            <w:r>
              <w:rPr>
                <w:rFonts w:ascii="Arial" w:cs="Arial" w:eastAsia="Arial" w:hAnsi="Arial"/>
                <w:sz w:val="18"/>
                <w:szCs w:val="18"/>
                <w:color w:val="auto"/>
              </w:rPr>
              <w:t>Payment of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7760" w:type="dxa"/>
            <w:vAlign w:val="bottom"/>
          </w:tcPr>
          <w:p>
            <w:pPr>
              <w:ind w:left="420"/>
              <w:spacing w:after="0"/>
              <w:rPr>
                <w:sz w:val="20"/>
                <w:szCs w:val="20"/>
                <w:color w:val="auto"/>
              </w:rPr>
            </w:pPr>
            <w:r>
              <w:rPr>
                <w:rFonts w:ascii="Arial" w:cs="Arial" w:eastAsia="Arial" w:hAnsi="Arial"/>
                <w:sz w:val="18"/>
                <w:szCs w:val="18"/>
                <w:color w:val="auto"/>
              </w:rPr>
              <w:t>Maintenance of Office or Agency</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7760" w:type="dxa"/>
            <w:vAlign w:val="bottom"/>
          </w:tcPr>
          <w:p>
            <w:pPr>
              <w:ind w:left="420"/>
              <w:spacing w:after="0"/>
              <w:rPr>
                <w:sz w:val="20"/>
                <w:szCs w:val="20"/>
                <w:color w:val="auto"/>
              </w:rPr>
            </w:pPr>
            <w:r>
              <w:rPr>
                <w:rFonts w:ascii="Arial" w:cs="Arial" w:eastAsia="Arial" w:hAnsi="Arial"/>
                <w:sz w:val="18"/>
                <w:szCs w:val="18"/>
                <w:color w:val="auto"/>
              </w:rPr>
              <w:t>Reports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7760" w:type="dxa"/>
            <w:vAlign w:val="bottom"/>
          </w:tcPr>
          <w:p>
            <w:pPr>
              <w:ind w:left="420"/>
              <w:spacing w:after="0"/>
              <w:rPr>
                <w:sz w:val="20"/>
                <w:szCs w:val="20"/>
                <w:color w:val="auto"/>
              </w:rPr>
            </w:pPr>
            <w:r>
              <w:rPr>
                <w:rFonts w:ascii="Arial" w:cs="Arial" w:eastAsia="Arial" w:hAnsi="Arial"/>
                <w:sz w:val="18"/>
                <w:szCs w:val="18"/>
                <w:color w:val="auto"/>
              </w:rPr>
              <w:t>Compliance Certificate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7760" w:type="dxa"/>
            <w:vAlign w:val="bottom"/>
          </w:tcPr>
          <w:p>
            <w:pPr>
              <w:ind w:left="420"/>
              <w:spacing w:after="0"/>
              <w:rPr>
                <w:sz w:val="20"/>
                <w:szCs w:val="20"/>
                <w:color w:val="auto"/>
              </w:rPr>
            </w:pPr>
            <w:r>
              <w:rPr>
                <w:rFonts w:ascii="Arial" w:cs="Arial" w:eastAsia="Arial" w:hAnsi="Arial"/>
                <w:sz w:val="18"/>
                <w:szCs w:val="18"/>
                <w:color w:val="auto"/>
              </w:rPr>
              <w:t>Taxes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ectPr>
          <w:pgSz w:w="11900" w:h="16838" w:orient="portrait"/>
          <w:cols w:equalWidth="0" w:num="1">
            <w:col w:w="11380"/>
          </w:cols>
          <w:pgMar w:left="280" w:top="8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841"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85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854"/>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8580" w:type="dxa"/>
            <w:vAlign w:val="bottom"/>
          </w:tcPr>
          <w:p>
            <w:pPr>
              <w:ind w:left="420"/>
              <w:spacing w:after="0"/>
              <w:rPr>
                <w:sz w:val="20"/>
                <w:szCs w:val="20"/>
                <w:color w:val="auto"/>
              </w:rPr>
            </w:pPr>
            <w:r>
              <w:rPr>
                <w:rFonts w:ascii="Arial" w:cs="Arial" w:eastAsia="Arial" w:hAnsi="Arial"/>
                <w:sz w:val="18"/>
                <w:szCs w:val="18"/>
                <w:color w:val="auto"/>
              </w:rPr>
              <w:t>Stay, Extension and Usury Laws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8580" w:type="dxa"/>
            <w:vAlign w:val="bottom"/>
          </w:tcPr>
          <w:p>
            <w:pPr>
              <w:ind w:left="420"/>
              <w:spacing w:after="0"/>
              <w:rPr>
                <w:sz w:val="20"/>
                <w:szCs w:val="20"/>
                <w:color w:val="auto"/>
              </w:rPr>
            </w:pPr>
            <w:r>
              <w:rPr>
                <w:rFonts w:ascii="Arial" w:cs="Arial" w:eastAsia="Arial" w:hAnsi="Arial"/>
                <w:sz w:val="18"/>
                <w:szCs w:val="18"/>
                <w:color w:val="auto"/>
              </w:rPr>
              <w:t>Corporate and Organizational Existence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4.08</w:t>
            </w:r>
          </w:p>
        </w:tc>
        <w:tc>
          <w:tcPr>
            <w:tcW w:w="8580" w:type="dxa"/>
            <w:vAlign w:val="bottom"/>
          </w:tcPr>
          <w:p>
            <w:pPr>
              <w:ind w:left="420"/>
              <w:spacing w:after="0"/>
              <w:rPr>
                <w:sz w:val="20"/>
                <w:szCs w:val="20"/>
                <w:color w:val="auto"/>
              </w:rPr>
            </w:pPr>
            <w:r>
              <w:rPr>
                <w:rFonts w:ascii="Arial" w:cs="Arial" w:eastAsia="Arial" w:hAnsi="Arial"/>
                <w:sz w:val="18"/>
                <w:szCs w:val="18"/>
                <w:color w:val="auto"/>
              </w:rPr>
              <w:t>Offer to Purchase Upon Change of Control Triggering Event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4.09</w:t>
            </w:r>
          </w:p>
        </w:tc>
        <w:tc>
          <w:tcPr>
            <w:tcW w:w="8580" w:type="dxa"/>
            <w:vAlign w:val="bottom"/>
          </w:tcPr>
          <w:p>
            <w:pPr>
              <w:ind w:left="420"/>
              <w:spacing w:after="0"/>
              <w:rPr>
                <w:sz w:val="20"/>
                <w:szCs w:val="20"/>
                <w:color w:val="auto"/>
              </w:rPr>
            </w:pPr>
            <w:r>
              <w:rPr>
                <w:rFonts w:ascii="Arial" w:cs="Arial" w:eastAsia="Arial" w:hAnsi="Arial"/>
                <w:sz w:val="18"/>
                <w:szCs w:val="18"/>
                <w:color w:val="auto"/>
              </w:rPr>
              <w:t>Additional Amounts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4.10</w:t>
            </w:r>
          </w:p>
        </w:tc>
        <w:tc>
          <w:tcPr>
            <w:tcW w:w="8580" w:type="dxa"/>
            <w:vAlign w:val="bottom"/>
          </w:tcPr>
          <w:p>
            <w:pPr>
              <w:ind w:left="420"/>
              <w:spacing w:after="0"/>
              <w:rPr>
                <w:sz w:val="20"/>
                <w:szCs w:val="20"/>
                <w:color w:val="auto"/>
              </w:rPr>
            </w:pPr>
            <w:r>
              <w:rPr>
                <w:rFonts w:ascii="Arial" w:cs="Arial" w:eastAsia="Arial" w:hAnsi="Arial"/>
                <w:sz w:val="18"/>
                <w:szCs w:val="18"/>
                <w:color w:val="auto"/>
              </w:rPr>
              <w:t>Special Put Option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49</w:t>
            </w:r>
          </w:p>
        </w:tc>
      </w:tr>
      <w:tr>
        <w:trPr>
          <w:trHeight w:val="337"/>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124">
              <w:r>
                <w:rPr>
                  <w:rFonts w:ascii="Arial" w:cs="Arial" w:eastAsia="Arial" w:hAnsi="Arial"/>
                  <w:sz w:val="18"/>
                  <w:szCs w:val="18"/>
                  <w:color w:val="auto"/>
                  <w:w w:val="98"/>
                </w:rPr>
                <w:t>ARTICLE 5</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0"/>
              </w:rPr>
              <w:t>SUCCESSORS</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580" w:type="dxa"/>
            <w:vAlign w:val="bottom"/>
          </w:tcPr>
          <w:p>
            <w:pPr>
              <w:ind w:left="420"/>
              <w:spacing w:after="0"/>
              <w:rPr>
                <w:sz w:val="20"/>
                <w:szCs w:val="20"/>
                <w:color w:val="auto"/>
              </w:rPr>
            </w:pPr>
            <w:r>
              <w:rPr>
                <w:rFonts w:ascii="Arial" w:cs="Arial" w:eastAsia="Arial" w:hAnsi="Arial"/>
                <w:sz w:val="18"/>
                <w:szCs w:val="18"/>
                <w:color w:val="auto"/>
              </w:rPr>
              <w:t>Merger, Consolidation or Sale of Assets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580" w:type="dxa"/>
            <w:vAlign w:val="bottom"/>
          </w:tcPr>
          <w:p>
            <w:pPr>
              <w:ind w:left="420"/>
              <w:spacing w:after="0"/>
              <w:rPr>
                <w:sz w:val="20"/>
                <w:szCs w:val="20"/>
                <w:color w:val="auto"/>
              </w:rPr>
            </w:pPr>
            <w:r>
              <w:rPr>
                <w:rFonts w:ascii="Arial" w:cs="Arial" w:eastAsia="Arial" w:hAnsi="Arial"/>
                <w:sz w:val="18"/>
                <w:szCs w:val="18"/>
                <w:color w:val="auto"/>
              </w:rPr>
              <w:t>Successor Corporation Substituted</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51</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125">
              <w:r>
                <w:rPr>
                  <w:rFonts w:ascii="Arial" w:cs="Arial" w:eastAsia="Arial" w:hAnsi="Arial"/>
                  <w:sz w:val="18"/>
                  <w:szCs w:val="18"/>
                  <w:color w:val="auto"/>
                  <w:w w:val="98"/>
                </w:rPr>
                <w:t>ARTICLE 6</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5"/>
              </w:rPr>
              <w:t>DEFAULTS AND REMEDIES</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580" w:type="dxa"/>
            <w:vAlign w:val="bottom"/>
          </w:tcPr>
          <w:p>
            <w:pPr>
              <w:ind w:left="420"/>
              <w:spacing w:after="0"/>
              <w:rPr>
                <w:sz w:val="20"/>
                <w:szCs w:val="20"/>
                <w:color w:val="auto"/>
              </w:rPr>
            </w:pPr>
            <w:r>
              <w:rPr>
                <w:rFonts w:ascii="Arial" w:cs="Arial" w:eastAsia="Arial" w:hAnsi="Arial"/>
                <w:sz w:val="18"/>
                <w:szCs w:val="18"/>
                <w:color w:val="auto"/>
              </w:rPr>
              <w:t>Events of Default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8580" w:type="dxa"/>
            <w:vAlign w:val="bottom"/>
          </w:tcPr>
          <w:p>
            <w:pPr>
              <w:ind w:left="420"/>
              <w:spacing w:after="0"/>
              <w:rPr>
                <w:sz w:val="20"/>
                <w:szCs w:val="20"/>
                <w:color w:val="auto"/>
              </w:rPr>
            </w:pPr>
            <w:r>
              <w:rPr>
                <w:rFonts w:ascii="Arial" w:cs="Arial" w:eastAsia="Arial" w:hAnsi="Arial"/>
                <w:sz w:val="18"/>
                <w:szCs w:val="18"/>
                <w:color w:val="auto"/>
              </w:rPr>
              <w:t>Acceleration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8580" w:type="dxa"/>
            <w:vAlign w:val="bottom"/>
          </w:tcPr>
          <w:p>
            <w:pPr>
              <w:ind w:left="420"/>
              <w:spacing w:after="0"/>
              <w:rPr>
                <w:sz w:val="20"/>
                <w:szCs w:val="20"/>
                <w:color w:val="auto"/>
              </w:rPr>
            </w:pPr>
            <w:r>
              <w:rPr>
                <w:rFonts w:ascii="Arial" w:cs="Arial" w:eastAsia="Arial" w:hAnsi="Arial"/>
                <w:sz w:val="18"/>
                <w:szCs w:val="18"/>
                <w:color w:val="auto"/>
              </w:rPr>
              <w:t>Other Remedies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8580" w:type="dxa"/>
            <w:vAlign w:val="bottom"/>
          </w:tcPr>
          <w:p>
            <w:pPr>
              <w:ind w:left="420"/>
              <w:spacing w:after="0"/>
              <w:rPr>
                <w:sz w:val="20"/>
                <w:szCs w:val="20"/>
                <w:color w:val="auto"/>
              </w:rPr>
            </w:pPr>
            <w:r>
              <w:rPr>
                <w:rFonts w:ascii="Arial" w:cs="Arial" w:eastAsia="Arial" w:hAnsi="Arial"/>
                <w:sz w:val="18"/>
                <w:szCs w:val="18"/>
                <w:color w:val="auto"/>
              </w:rPr>
              <w:t>Waiver of Defaults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8580" w:type="dxa"/>
            <w:vAlign w:val="bottom"/>
          </w:tcPr>
          <w:p>
            <w:pPr>
              <w:ind w:left="420"/>
              <w:spacing w:after="0"/>
              <w:rPr>
                <w:sz w:val="20"/>
                <w:szCs w:val="20"/>
                <w:color w:val="auto"/>
              </w:rPr>
            </w:pPr>
            <w:r>
              <w:rPr>
                <w:rFonts w:ascii="Arial" w:cs="Arial" w:eastAsia="Arial" w:hAnsi="Arial"/>
                <w:sz w:val="18"/>
                <w:szCs w:val="18"/>
                <w:color w:val="auto"/>
              </w:rPr>
              <w:t>Control by Majority</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8580" w:type="dxa"/>
            <w:vAlign w:val="bottom"/>
          </w:tcPr>
          <w:p>
            <w:pPr>
              <w:ind w:left="420"/>
              <w:spacing w:after="0"/>
              <w:rPr>
                <w:sz w:val="20"/>
                <w:szCs w:val="20"/>
                <w:color w:val="auto"/>
              </w:rPr>
            </w:pPr>
            <w:r>
              <w:rPr>
                <w:rFonts w:ascii="Arial" w:cs="Arial" w:eastAsia="Arial" w:hAnsi="Arial"/>
                <w:sz w:val="18"/>
                <w:szCs w:val="18"/>
                <w:color w:val="auto"/>
              </w:rPr>
              <w:t>Limitation on Suits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8580" w:type="dxa"/>
            <w:vAlign w:val="bottom"/>
          </w:tcPr>
          <w:p>
            <w:pPr>
              <w:ind w:left="420"/>
              <w:spacing w:after="0"/>
              <w:rPr>
                <w:sz w:val="20"/>
                <w:szCs w:val="20"/>
                <w:color w:val="auto"/>
              </w:rPr>
            </w:pPr>
            <w:r>
              <w:rPr>
                <w:rFonts w:ascii="Arial" w:cs="Arial" w:eastAsia="Arial" w:hAnsi="Arial"/>
                <w:sz w:val="18"/>
                <w:szCs w:val="18"/>
                <w:color w:val="auto"/>
              </w:rPr>
              <w:t>Rights of Holders of Notes to Receive Payment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8580" w:type="dxa"/>
            <w:vAlign w:val="bottom"/>
          </w:tcPr>
          <w:p>
            <w:pPr>
              <w:ind w:left="420"/>
              <w:spacing w:after="0"/>
              <w:rPr>
                <w:sz w:val="20"/>
                <w:szCs w:val="20"/>
                <w:color w:val="auto"/>
              </w:rPr>
            </w:pPr>
            <w:r>
              <w:rPr>
                <w:rFonts w:ascii="Arial" w:cs="Arial" w:eastAsia="Arial" w:hAnsi="Arial"/>
                <w:sz w:val="18"/>
                <w:szCs w:val="18"/>
                <w:color w:val="auto"/>
              </w:rPr>
              <w:t>Collection Suit by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8580" w:type="dxa"/>
            <w:vAlign w:val="bottom"/>
          </w:tcPr>
          <w:p>
            <w:pPr>
              <w:ind w:left="420"/>
              <w:spacing w:after="0"/>
              <w:rPr>
                <w:sz w:val="20"/>
                <w:szCs w:val="20"/>
                <w:color w:val="auto"/>
              </w:rPr>
            </w:pPr>
            <w:r>
              <w:rPr>
                <w:rFonts w:ascii="Arial" w:cs="Arial" w:eastAsia="Arial" w:hAnsi="Arial"/>
                <w:sz w:val="18"/>
                <w:szCs w:val="18"/>
                <w:color w:val="auto"/>
              </w:rPr>
              <w:t>Trustee May File Proofs of Claim</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8580" w:type="dxa"/>
            <w:vAlign w:val="bottom"/>
          </w:tcPr>
          <w:p>
            <w:pPr>
              <w:ind w:left="420"/>
              <w:spacing w:after="0"/>
              <w:rPr>
                <w:sz w:val="20"/>
                <w:szCs w:val="20"/>
                <w:color w:val="auto"/>
              </w:rPr>
            </w:pPr>
            <w:r>
              <w:rPr>
                <w:rFonts w:ascii="Arial" w:cs="Arial" w:eastAsia="Arial" w:hAnsi="Arial"/>
                <w:sz w:val="18"/>
                <w:szCs w:val="18"/>
                <w:color w:val="auto"/>
              </w:rPr>
              <w:t>Priorities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6.11</w:t>
            </w:r>
          </w:p>
        </w:tc>
        <w:tc>
          <w:tcPr>
            <w:tcW w:w="8580" w:type="dxa"/>
            <w:vAlign w:val="bottom"/>
          </w:tcPr>
          <w:p>
            <w:pPr>
              <w:ind w:left="420"/>
              <w:spacing w:after="0"/>
              <w:rPr>
                <w:sz w:val="20"/>
                <w:szCs w:val="20"/>
                <w:color w:val="auto"/>
              </w:rPr>
            </w:pPr>
            <w:r>
              <w:rPr>
                <w:rFonts w:ascii="Arial" w:cs="Arial" w:eastAsia="Arial" w:hAnsi="Arial"/>
                <w:sz w:val="18"/>
                <w:szCs w:val="18"/>
                <w:color w:val="auto"/>
              </w:rPr>
              <w:t>Undertaking for Costs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57</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131">
              <w:r>
                <w:rPr>
                  <w:rFonts w:ascii="Arial" w:cs="Arial" w:eastAsia="Arial" w:hAnsi="Arial"/>
                  <w:sz w:val="18"/>
                  <w:szCs w:val="18"/>
                  <w:color w:val="auto"/>
                  <w:w w:val="98"/>
                </w:rPr>
                <w:t>ARTICLE 7</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2"/>
              </w:rPr>
              <w:t>TRUSTEE</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8580" w:type="dxa"/>
            <w:vAlign w:val="bottom"/>
          </w:tcPr>
          <w:p>
            <w:pPr>
              <w:ind w:left="420"/>
              <w:spacing w:after="0"/>
              <w:rPr>
                <w:sz w:val="20"/>
                <w:szCs w:val="20"/>
                <w:color w:val="auto"/>
              </w:rPr>
            </w:pPr>
            <w:r>
              <w:rPr>
                <w:rFonts w:ascii="Arial" w:cs="Arial" w:eastAsia="Arial" w:hAnsi="Arial"/>
                <w:sz w:val="18"/>
                <w:szCs w:val="18"/>
                <w:color w:val="auto"/>
              </w:rPr>
              <w:t>Duties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8580" w:type="dxa"/>
            <w:vAlign w:val="bottom"/>
          </w:tcPr>
          <w:p>
            <w:pPr>
              <w:ind w:left="420"/>
              <w:spacing w:after="0"/>
              <w:rPr>
                <w:sz w:val="20"/>
                <w:szCs w:val="20"/>
                <w:color w:val="auto"/>
              </w:rPr>
            </w:pPr>
            <w:r>
              <w:rPr>
                <w:rFonts w:ascii="Arial" w:cs="Arial" w:eastAsia="Arial" w:hAnsi="Arial"/>
                <w:sz w:val="18"/>
                <w:szCs w:val="18"/>
                <w:color w:val="auto"/>
              </w:rPr>
              <w:t>Rights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8580" w:type="dxa"/>
            <w:vAlign w:val="bottom"/>
          </w:tcPr>
          <w:p>
            <w:pPr>
              <w:ind w:left="420"/>
              <w:spacing w:after="0"/>
              <w:rPr>
                <w:sz w:val="20"/>
                <w:szCs w:val="20"/>
                <w:color w:val="auto"/>
              </w:rPr>
            </w:pPr>
            <w:r>
              <w:rPr>
                <w:rFonts w:ascii="Arial" w:cs="Arial" w:eastAsia="Arial" w:hAnsi="Arial"/>
                <w:sz w:val="18"/>
                <w:szCs w:val="18"/>
                <w:color w:val="auto"/>
              </w:rPr>
              <w:t>Individual Rights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8580" w:type="dxa"/>
            <w:vAlign w:val="bottom"/>
          </w:tcPr>
          <w:p>
            <w:pPr>
              <w:ind w:left="420"/>
              <w:spacing w:after="0"/>
              <w:rPr>
                <w:sz w:val="20"/>
                <w:szCs w:val="20"/>
                <w:color w:val="auto"/>
              </w:rPr>
            </w:pPr>
            <w:r>
              <w:rPr>
                <w:rFonts w:ascii="Arial" w:cs="Arial" w:eastAsia="Arial" w:hAnsi="Arial"/>
                <w:sz w:val="18"/>
                <w:szCs w:val="18"/>
                <w:color w:val="auto"/>
              </w:rPr>
              <w:t>Trustee's Disclaimer</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8580" w:type="dxa"/>
            <w:vAlign w:val="bottom"/>
          </w:tcPr>
          <w:p>
            <w:pPr>
              <w:ind w:left="420"/>
              <w:spacing w:after="0"/>
              <w:rPr>
                <w:sz w:val="20"/>
                <w:szCs w:val="20"/>
                <w:color w:val="auto"/>
              </w:rPr>
            </w:pPr>
            <w:r>
              <w:rPr>
                <w:rFonts w:ascii="Arial" w:cs="Arial" w:eastAsia="Arial" w:hAnsi="Arial"/>
                <w:sz w:val="18"/>
                <w:szCs w:val="18"/>
                <w:color w:val="auto"/>
              </w:rPr>
              <w:t>Notice of Defaults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8580" w:type="dxa"/>
            <w:vAlign w:val="bottom"/>
          </w:tcPr>
          <w:p>
            <w:pPr>
              <w:ind w:left="420"/>
              <w:spacing w:after="0"/>
              <w:rPr>
                <w:sz w:val="20"/>
                <w:szCs w:val="20"/>
                <w:color w:val="auto"/>
              </w:rPr>
            </w:pPr>
            <w:r>
              <w:rPr>
                <w:rFonts w:ascii="Arial" w:cs="Arial" w:eastAsia="Arial" w:hAnsi="Arial"/>
                <w:sz w:val="18"/>
                <w:szCs w:val="18"/>
                <w:color w:val="auto"/>
              </w:rPr>
              <w:t>Compensation and Indemnity</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7.07</w:t>
            </w:r>
          </w:p>
        </w:tc>
        <w:tc>
          <w:tcPr>
            <w:tcW w:w="8580" w:type="dxa"/>
            <w:vAlign w:val="bottom"/>
          </w:tcPr>
          <w:p>
            <w:pPr>
              <w:ind w:left="420"/>
              <w:spacing w:after="0"/>
              <w:rPr>
                <w:sz w:val="20"/>
                <w:szCs w:val="20"/>
                <w:color w:val="auto"/>
              </w:rPr>
            </w:pPr>
            <w:r>
              <w:rPr>
                <w:rFonts w:ascii="Arial" w:cs="Arial" w:eastAsia="Arial" w:hAnsi="Arial"/>
                <w:sz w:val="18"/>
                <w:szCs w:val="18"/>
                <w:color w:val="auto"/>
              </w:rPr>
              <w:t>Replacement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7.08</w:t>
            </w:r>
          </w:p>
        </w:tc>
        <w:tc>
          <w:tcPr>
            <w:tcW w:w="8580" w:type="dxa"/>
            <w:vAlign w:val="bottom"/>
          </w:tcPr>
          <w:p>
            <w:pPr>
              <w:ind w:left="420"/>
              <w:spacing w:after="0"/>
              <w:rPr>
                <w:sz w:val="20"/>
                <w:szCs w:val="20"/>
                <w:color w:val="auto"/>
              </w:rPr>
            </w:pPr>
            <w:r>
              <w:rPr>
                <w:rFonts w:ascii="Arial" w:cs="Arial" w:eastAsia="Arial" w:hAnsi="Arial"/>
                <w:sz w:val="18"/>
                <w:szCs w:val="18"/>
                <w:color w:val="auto"/>
              </w:rPr>
              <w:t>Successor Trustee by Merger, etc.</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7.09</w:t>
            </w:r>
          </w:p>
        </w:tc>
        <w:tc>
          <w:tcPr>
            <w:tcW w:w="8580" w:type="dxa"/>
            <w:vAlign w:val="bottom"/>
          </w:tcPr>
          <w:p>
            <w:pPr>
              <w:ind w:left="420"/>
              <w:spacing w:after="0"/>
              <w:rPr>
                <w:sz w:val="20"/>
                <w:szCs w:val="20"/>
                <w:color w:val="auto"/>
              </w:rPr>
            </w:pPr>
            <w:r>
              <w:rPr>
                <w:rFonts w:ascii="Arial" w:cs="Arial" w:eastAsia="Arial" w:hAnsi="Arial"/>
                <w:sz w:val="18"/>
                <w:szCs w:val="18"/>
                <w:color w:val="auto"/>
              </w:rPr>
              <w:t>Eligibility; Disqualification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62</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136">
              <w:r>
                <w:rPr>
                  <w:rFonts w:ascii="Arial" w:cs="Arial" w:eastAsia="Arial" w:hAnsi="Arial"/>
                  <w:sz w:val="18"/>
                  <w:szCs w:val="18"/>
                  <w:color w:val="auto"/>
                  <w:w w:val="98"/>
                </w:rPr>
                <w:t>ARTICLE 8</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7"/>
              </w:rPr>
              <w:t>LEGAL DEFEASANCE AND COVENANT DEFEASANCE</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8580" w:type="dxa"/>
            <w:vAlign w:val="bottom"/>
          </w:tcPr>
          <w:p>
            <w:pPr>
              <w:ind w:left="420"/>
              <w:spacing w:after="0"/>
              <w:rPr>
                <w:sz w:val="20"/>
                <w:szCs w:val="20"/>
                <w:color w:val="auto"/>
              </w:rPr>
            </w:pPr>
            <w:r>
              <w:rPr>
                <w:rFonts w:ascii="Arial" w:cs="Arial" w:eastAsia="Arial" w:hAnsi="Arial"/>
                <w:sz w:val="18"/>
                <w:szCs w:val="18"/>
                <w:color w:val="auto"/>
              </w:rPr>
              <w:t>Option to Effect Legal Defeasance or 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8580" w:type="dxa"/>
            <w:vAlign w:val="bottom"/>
          </w:tcPr>
          <w:p>
            <w:pPr>
              <w:ind w:left="420"/>
              <w:spacing w:after="0"/>
              <w:rPr>
                <w:sz w:val="20"/>
                <w:szCs w:val="20"/>
                <w:color w:val="auto"/>
              </w:rPr>
            </w:pPr>
            <w:r>
              <w:rPr>
                <w:rFonts w:ascii="Arial" w:cs="Arial" w:eastAsia="Arial" w:hAnsi="Arial"/>
                <w:sz w:val="18"/>
                <w:szCs w:val="18"/>
                <w:color w:val="auto"/>
              </w:rPr>
              <w:t>Legal Defeasance and Discharge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8.03</w:t>
            </w:r>
          </w:p>
        </w:tc>
        <w:tc>
          <w:tcPr>
            <w:tcW w:w="8580" w:type="dxa"/>
            <w:vAlign w:val="bottom"/>
          </w:tcPr>
          <w:p>
            <w:pPr>
              <w:ind w:left="420"/>
              <w:spacing w:after="0"/>
              <w:rPr>
                <w:sz w:val="20"/>
                <w:szCs w:val="20"/>
                <w:color w:val="auto"/>
              </w:rPr>
            </w:pPr>
            <w:r>
              <w:rPr>
                <w:rFonts w:ascii="Arial" w:cs="Arial" w:eastAsia="Arial" w:hAnsi="Arial"/>
                <w:sz w:val="18"/>
                <w:szCs w:val="18"/>
                <w:color w:val="auto"/>
              </w:rPr>
              <w:t>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8580" w:type="dxa"/>
            <w:vAlign w:val="bottom"/>
          </w:tcPr>
          <w:p>
            <w:pPr>
              <w:ind w:left="420"/>
              <w:spacing w:after="0"/>
              <w:rPr>
                <w:sz w:val="20"/>
                <w:szCs w:val="20"/>
                <w:color w:val="auto"/>
              </w:rPr>
            </w:pPr>
            <w:r>
              <w:rPr>
                <w:rFonts w:ascii="Arial" w:cs="Arial" w:eastAsia="Arial" w:hAnsi="Arial"/>
                <w:sz w:val="18"/>
                <w:szCs w:val="18"/>
                <w:color w:val="auto"/>
              </w:rPr>
              <w:t>Conditions to Legal or 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8580" w:type="dxa"/>
            <w:vAlign w:val="bottom"/>
          </w:tcPr>
          <w:p>
            <w:pPr>
              <w:ind w:left="4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8.06</w:t>
            </w:r>
          </w:p>
        </w:tc>
        <w:tc>
          <w:tcPr>
            <w:tcW w:w="8580" w:type="dxa"/>
            <w:vAlign w:val="bottom"/>
          </w:tcPr>
          <w:p>
            <w:pPr>
              <w:ind w:left="420"/>
              <w:spacing w:after="0"/>
              <w:rPr>
                <w:sz w:val="20"/>
                <w:szCs w:val="20"/>
                <w:color w:val="auto"/>
              </w:rPr>
            </w:pPr>
            <w:r>
              <w:rPr>
                <w:rFonts w:ascii="Arial" w:cs="Arial" w:eastAsia="Arial" w:hAnsi="Arial"/>
                <w:sz w:val="18"/>
                <w:szCs w:val="18"/>
                <w:color w:val="auto"/>
              </w:rPr>
              <w:t>Repayment to Issuer</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8.07</w:t>
            </w:r>
          </w:p>
        </w:tc>
        <w:tc>
          <w:tcPr>
            <w:tcW w:w="8580" w:type="dxa"/>
            <w:vAlign w:val="bottom"/>
          </w:tcPr>
          <w:p>
            <w:pPr>
              <w:ind w:left="420"/>
              <w:spacing w:after="0"/>
              <w:rPr>
                <w:sz w:val="20"/>
                <w:szCs w:val="20"/>
                <w:color w:val="auto"/>
              </w:rPr>
            </w:pPr>
            <w:r>
              <w:rPr>
                <w:rFonts w:ascii="Arial" w:cs="Arial" w:eastAsia="Arial" w:hAnsi="Arial"/>
                <w:sz w:val="18"/>
                <w:szCs w:val="18"/>
                <w:color w:val="auto"/>
              </w:rPr>
              <w:t>Reinstatement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ectPr>
          <w:pgSz w:w="11900" w:h="16838" w:orient="portrait"/>
          <w:cols w:equalWidth="0" w:num="1">
            <w:col w:w="11380"/>
          </w:cols>
          <w:pgMar w:left="280" w:top="1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145" w:right="239" w:bottom="1440" w:gutter="0" w:footer="0" w:header="0"/>
          <w:type w:val="continuous"/>
        </w:sectPr>
      </w:pPr>
    </w:p>
    <w:bookmarkStart w:id="73" w:name="page74"/>
    <w:bookmarkEnd w:id="73"/>
    <w:tbl>
      <w:tblPr>
        <w:tblLayout w:type="fixed"/>
        <w:tblInd w:w="40" w:type="dxa"/>
        <w:tblCellMar>
          <w:top w:w="0" w:type="dxa"/>
          <w:left w:w="0" w:type="dxa"/>
          <w:bottom w:w="0" w:type="dxa"/>
          <w:right w:w="0" w:type="dxa"/>
        </w:tblCellMar>
      </w:tblPr>
      <w:tr>
        <w:trPr>
          <w:trHeight w:val="275"/>
        </w:trPr>
        <w:tc>
          <w:tcPr>
            <w:tcW w:w="1360" w:type="dxa"/>
            <w:vAlign w:val="bottom"/>
          </w:tcPr>
          <w:p>
            <w:pPr>
              <w:spacing w:after="0"/>
              <w:rPr>
                <w:sz w:val="23"/>
                <w:szCs w:val="23"/>
                <w:color w:val="auto"/>
              </w:rPr>
            </w:pPr>
          </w:p>
        </w:tc>
        <w:tc>
          <w:tcPr>
            <w:tcW w:w="79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786"/>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8"/>
              </w:rPr>
            </w:pPr>
            <w:hyperlink w:anchor="page140">
              <w:r>
                <w:rPr>
                  <w:rFonts w:ascii="Arial" w:cs="Arial" w:eastAsia="Arial" w:hAnsi="Arial"/>
                  <w:sz w:val="18"/>
                  <w:szCs w:val="18"/>
                  <w:color w:val="auto"/>
                  <w:w w:val="98"/>
                </w:rPr>
                <w:t>ARTICLE 9</w:t>
              </w:r>
            </w:hyperlink>
          </w:p>
        </w:tc>
        <w:tc>
          <w:tcPr>
            <w:tcW w:w="21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900" w:type="dxa"/>
            <w:vAlign w:val="bottom"/>
          </w:tcPr>
          <w:p>
            <w:pPr>
              <w:jc w:val="center"/>
              <w:ind w:left="630"/>
              <w:spacing w:after="0"/>
              <w:rPr>
                <w:sz w:val="20"/>
                <w:szCs w:val="20"/>
                <w:color w:val="auto"/>
              </w:rPr>
            </w:pPr>
            <w:r>
              <w:rPr>
                <w:rFonts w:ascii="Arial" w:cs="Arial" w:eastAsia="Arial" w:hAnsi="Arial"/>
                <w:sz w:val="18"/>
                <w:szCs w:val="18"/>
                <w:color w:val="auto"/>
                <w:w w:val="97"/>
              </w:rPr>
              <w:t>AMENDMENT, SUPPLEMENT AND WAIVER</w:t>
            </w:r>
          </w:p>
        </w:tc>
        <w:tc>
          <w:tcPr>
            <w:tcW w:w="2120" w:type="dxa"/>
            <w:vAlign w:val="bottom"/>
          </w:tcPr>
          <w:p>
            <w:pPr>
              <w:spacing w:after="0"/>
              <w:rPr>
                <w:sz w:val="20"/>
                <w:szCs w:val="20"/>
                <w:color w:val="auto"/>
              </w:rPr>
            </w:pPr>
          </w:p>
        </w:tc>
      </w:tr>
      <w:tr>
        <w:trPr>
          <w:trHeight w:val="378"/>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7900" w:type="dxa"/>
            <w:vAlign w:val="bottom"/>
          </w:tcPr>
          <w:p>
            <w:pPr>
              <w:ind w:left="360"/>
              <w:spacing w:after="0"/>
              <w:rPr>
                <w:sz w:val="20"/>
                <w:szCs w:val="20"/>
                <w:color w:val="auto"/>
              </w:rPr>
            </w:pPr>
            <w:r>
              <w:rPr>
                <w:rFonts w:ascii="Arial" w:cs="Arial" w:eastAsia="Arial" w:hAnsi="Arial"/>
                <w:sz w:val="18"/>
                <w:szCs w:val="18"/>
                <w:color w:val="auto"/>
              </w:rPr>
              <w:t>Without Consent of Holders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7900" w:type="dxa"/>
            <w:vAlign w:val="bottom"/>
          </w:tcPr>
          <w:p>
            <w:pPr>
              <w:ind w:left="360"/>
              <w:spacing w:after="0"/>
              <w:rPr>
                <w:sz w:val="20"/>
                <w:szCs w:val="20"/>
                <w:color w:val="auto"/>
              </w:rPr>
            </w:pPr>
            <w:r>
              <w:rPr>
                <w:rFonts w:ascii="Arial" w:cs="Arial" w:eastAsia="Arial" w:hAnsi="Arial"/>
                <w:sz w:val="18"/>
                <w:szCs w:val="18"/>
                <w:color w:val="auto"/>
              </w:rPr>
              <w:t>With Consent of Holders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7900" w:type="dxa"/>
            <w:vAlign w:val="bottom"/>
          </w:tcPr>
          <w:p>
            <w:pPr>
              <w:ind w:left="360"/>
              <w:spacing w:after="0"/>
              <w:rPr>
                <w:sz w:val="20"/>
                <w:szCs w:val="20"/>
                <w:color w:val="auto"/>
              </w:rPr>
            </w:pPr>
            <w:r>
              <w:rPr>
                <w:rFonts w:ascii="Arial" w:cs="Arial" w:eastAsia="Arial" w:hAnsi="Arial"/>
                <w:sz w:val="18"/>
                <w:szCs w:val="18"/>
                <w:color w:val="auto"/>
              </w:rPr>
              <w:t>Revocation and Effect of Consents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7900" w:type="dxa"/>
            <w:vAlign w:val="bottom"/>
          </w:tcPr>
          <w:p>
            <w:pPr>
              <w:ind w:left="360"/>
              <w:spacing w:after="0"/>
              <w:rPr>
                <w:sz w:val="20"/>
                <w:szCs w:val="20"/>
                <w:color w:val="auto"/>
              </w:rPr>
            </w:pPr>
            <w:r>
              <w:rPr>
                <w:rFonts w:ascii="Arial" w:cs="Arial" w:eastAsia="Arial" w:hAnsi="Arial"/>
                <w:sz w:val="18"/>
                <w:szCs w:val="18"/>
                <w:color w:val="auto"/>
              </w:rPr>
              <w:t>Notation on or Exchange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7900" w:type="dxa"/>
            <w:vAlign w:val="bottom"/>
          </w:tcPr>
          <w:p>
            <w:pPr>
              <w:ind w:left="360"/>
              <w:spacing w:after="0"/>
              <w:rPr>
                <w:sz w:val="20"/>
                <w:szCs w:val="20"/>
                <w:color w:val="auto"/>
              </w:rPr>
            </w:pPr>
            <w:r>
              <w:rPr>
                <w:rFonts w:ascii="Arial" w:cs="Arial" w:eastAsia="Arial" w:hAnsi="Arial"/>
                <w:sz w:val="18"/>
                <w:szCs w:val="18"/>
                <w:color w:val="auto"/>
              </w:rPr>
              <w:t>Trustee to Sign Amendments, etc.</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445"/>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6"/>
              </w:rPr>
            </w:pPr>
            <w:hyperlink w:anchor="page144">
              <w:r>
                <w:rPr>
                  <w:rFonts w:ascii="Arial" w:cs="Arial" w:eastAsia="Arial" w:hAnsi="Arial"/>
                  <w:sz w:val="18"/>
                  <w:szCs w:val="18"/>
                  <w:color w:val="auto"/>
                  <w:w w:val="96"/>
                </w:rPr>
                <w:t>ARTICLE 10</w:t>
              </w:r>
            </w:hyperlink>
          </w:p>
        </w:tc>
        <w:tc>
          <w:tcPr>
            <w:tcW w:w="21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900" w:type="dxa"/>
            <w:vAlign w:val="bottom"/>
          </w:tcPr>
          <w:p>
            <w:pPr>
              <w:jc w:val="center"/>
              <w:ind w:left="650"/>
              <w:spacing w:after="0"/>
              <w:rPr>
                <w:sz w:val="20"/>
                <w:szCs w:val="20"/>
                <w:color w:val="auto"/>
              </w:rPr>
            </w:pPr>
            <w:r>
              <w:rPr>
                <w:rFonts w:ascii="Arial" w:cs="Arial" w:eastAsia="Arial" w:hAnsi="Arial"/>
                <w:sz w:val="18"/>
                <w:szCs w:val="18"/>
                <w:color w:val="auto"/>
                <w:w w:val="96"/>
              </w:rPr>
              <w:t>SATISFACTION AND DISCHARGE</w:t>
            </w:r>
          </w:p>
        </w:tc>
        <w:tc>
          <w:tcPr>
            <w:tcW w:w="2120" w:type="dxa"/>
            <w:vAlign w:val="bottom"/>
          </w:tcPr>
          <w:p>
            <w:pPr>
              <w:spacing w:after="0"/>
              <w:rPr>
                <w:sz w:val="20"/>
                <w:szCs w:val="20"/>
                <w:color w:val="auto"/>
              </w:rPr>
            </w:pPr>
          </w:p>
        </w:tc>
      </w:tr>
      <w:tr>
        <w:trPr>
          <w:trHeight w:val="378"/>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7900" w:type="dxa"/>
            <w:vAlign w:val="bottom"/>
          </w:tcPr>
          <w:p>
            <w:pPr>
              <w:ind w:left="360"/>
              <w:spacing w:after="0"/>
              <w:rPr>
                <w:sz w:val="20"/>
                <w:szCs w:val="20"/>
                <w:color w:val="auto"/>
              </w:rPr>
            </w:pPr>
            <w:r>
              <w:rPr>
                <w:rFonts w:ascii="Arial" w:cs="Arial" w:eastAsia="Arial" w:hAnsi="Arial"/>
                <w:sz w:val="18"/>
                <w:szCs w:val="18"/>
                <w:color w:val="auto"/>
              </w:rPr>
              <w:t>Satisfaction and Discharge</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7900" w:type="dxa"/>
            <w:vAlign w:val="bottom"/>
          </w:tcPr>
          <w:p>
            <w:pPr>
              <w:ind w:left="360"/>
              <w:spacing w:after="0"/>
              <w:rPr>
                <w:sz w:val="20"/>
                <w:szCs w:val="20"/>
                <w:color w:val="auto"/>
              </w:rPr>
            </w:pPr>
            <w:r>
              <w:rPr>
                <w:rFonts w:ascii="Arial" w:cs="Arial" w:eastAsia="Arial" w:hAnsi="Arial"/>
                <w:sz w:val="18"/>
                <w:szCs w:val="18"/>
                <w:color w:val="auto"/>
              </w:rPr>
              <w:t>Application of Trust Money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71</w:t>
            </w:r>
          </w:p>
        </w:tc>
      </w:tr>
      <w:tr>
        <w:trPr>
          <w:trHeight w:val="445"/>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6"/>
              </w:rPr>
            </w:pPr>
            <w:hyperlink w:anchor="page146">
              <w:r>
                <w:rPr>
                  <w:rFonts w:ascii="Arial" w:cs="Arial" w:eastAsia="Arial" w:hAnsi="Arial"/>
                  <w:sz w:val="18"/>
                  <w:szCs w:val="18"/>
                  <w:color w:val="auto"/>
                  <w:w w:val="96"/>
                </w:rPr>
                <w:t>ARTICLE 11</w:t>
              </w:r>
            </w:hyperlink>
          </w:p>
        </w:tc>
        <w:tc>
          <w:tcPr>
            <w:tcW w:w="21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900" w:type="dxa"/>
            <w:vAlign w:val="bottom"/>
          </w:tcPr>
          <w:p>
            <w:pPr>
              <w:jc w:val="center"/>
              <w:ind w:left="630"/>
              <w:spacing w:after="0"/>
              <w:rPr>
                <w:sz w:val="20"/>
                <w:szCs w:val="20"/>
                <w:color w:val="auto"/>
              </w:rPr>
            </w:pPr>
            <w:r>
              <w:rPr>
                <w:rFonts w:ascii="Arial" w:cs="Arial" w:eastAsia="Arial" w:hAnsi="Arial"/>
                <w:sz w:val="18"/>
                <w:szCs w:val="18"/>
                <w:color w:val="auto"/>
                <w:w w:val="97"/>
              </w:rPr>
              <w:t>MISCELLANEOUS</w:t>
            </w:r>
          </w:p>
        </w:tc>
        <w:tc>
          <w:tcPr>
            <w:tcW w:w="2120" w:type="dxa"/>
            <w:vAlign w:val="bottom"/>
          </w:tcPr>
          <w:p>
            <w:pPr>
              <w:spacing w:after="0"/>
              <w:rPr>
                <w:sz w:val="20"/>
                <w:szCs w:val="20"/>
                <w:color w:val="auto"/>
              </w:rPr>
            </w:pPr>
          </w:p>
        </w:tc>
      </w:tr>
      <w:tr>
        <w:trPr>
          <w:trHeight w:val="378"/>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7900" w:type="dxa"/>
            <w:vAlign w:val="bottom"/>
          </w:tcPr>
          <w:p>
            <w:pPr>
              <w:ind w:left="360"/>
              <w:spacing w:after="0"/>
              <w:rPr>
                <w:sz w:val="20"/>
                <w:szCs w:val="20"/>
                <w:color w:val="auto"/>
              </w:rPr>
            </w:pPr>
            <w:r>
              <w:rPr>
                <w:rFonts w:ascii="Arial" w:cs="Arial" w:eastAsia="Arial" w:hAnsi="Arial"/>
                <w:sz w:val="18"/>
                <w:szCs w:val="18"/>
                <w:color w:val="auto"/>
              </w:rPr>
              <w:t>Notices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72</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7900" w:type="dxa"/>
            <w:vAlign w:val="bottom"/>
          </w:tcPr>
          <w:p>
            <w:pPr>
              <w:ind w:left="360"/>
              <w:spacing w:after="0"/>
              <w:rPr>
                <w:sz w:val="20"/>
                <w:szCs w:val="20"/>
                <w:color w:val="auto"/>
              </w:rPr>
            </w:pPr>
            <w:r>
              <w:rPr>
                <w:rFonts w:ascii="Arial" w:cs="Arial" w:eastAsia="Arial" w:hAnsi="Arial"/>
                <w:sz w:val="18"/>
                <w:szCs w:val="18"/>
                <w:color w:val="auto"/>
              </w:rPr>
              <w:t>Certificate and Opinion as to Conditions Precedent</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73</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11.03</w:t>
            </w:r>
          </w:p>
        </w:tc>
        <w:tc>
          <w:tcPr>
            <w:tcW w:w="7900" w:type="dxa"/>
            <w:vAlign w:val="bottom"/>
          </w:tcPr>
          <w:p>
            <w:pPr>
              <w:ind w:left="360"/>
              <w:spacing w:after="0"/>
              <w:rPr>
                <w:sz w:val="20"/>
                <w:szCs w:val="20"/>
                <w:color w:val="auto"/>
              </w:rPr>
            </w:pPr>
            <w:r>
              <w:rPr>
                <w:rFonts w:ascii="Arial" w:cs="Arial" w:eastAsia="Arial" w:hAnsi="Arial"/>
                <w:sz w:val="18"/>
                <w:szCs w:val="18"/>
                <w:color w:val="auto"/>
              </w:rPr>
              <w:t>Statements Required in Certificate or Opinion</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11.04</w:t>
            </w:r>
          </w:p>
        </w:tc>
        <w:tc>
          <w:tcPr>
            <w:tcW w:w="7900" w:type="dxa"/>
            <w:vAlign w:val="bottom"/>
          </w:tcPr>
          <w:p>
            <w:pPr>
              <w:ind w:left="360"/>
              <w:spacing w:after="0"/>
              <w:rPr>
                <w:sz w:val="20"/>
                <w:szCs w:val="20"/>
                <w:color w:val="auto"/>
              </w:rPr>
            </w:pPr>
            <w:r>
              <w:rPr>
                <w:rFonts w:ascii="Arial" w:cs="Arial" w:eastAsia="Arial" w:hAnsi="Arial"/>
                <w:sz w:val="18"/>
                <w:szCs w:val="18"/>
                <w:color w:val="auto"/>
              </w:rPr>
              <w:t>Rules by Trustee and Agents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11.05</w:t>
            </w:r>
          </w:p>
        </w:tc>
        <w:tc>
          <w:tcPr>
            <w:tcW w:w="7900" w:type="dxa"/>
            <w:vAlign w:val="bottom"/>
          </w:tcPr>
          <w:p>
            <w:pPr>
              <w:ind w:left="360"/>
              <w:spacing w:after="0"/>
              <w:rPr>
                <w:sz w:val="20"/>
                <w:szCs w:val="20"/>
                <w:color w:val="auto"/>
              </w:rPr>
            </w:pPr>
            <w:r>
              <w:rPr>
                <w:rFonts w:ascii="Arial" w:cs="Arial" w:eastAsia="Arial" w:hAnsi="Arial"/>
                <w:sz w:val="18"/>
                <w:szCs w:val="18"/>
                <w:color w:val="auto"/>
              </w:rPr>
              <w:t>No Personal Liability of Directors, Officers, Employees and Equity Holders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11.06</w:t>
            </w:r>
          </w:p>
        </w:tc>
        <w:tc>
          <w:tcPr>
            <w:tcW w:w="7900" w:type="dxa"/>
            <w:vAlign w:val="bottom"/>
          </w:tcPr>
          <w:p>
            <w:pPr>
              <w:ind w:left="360"/>
              <w:spacing w:after="0"/>
              <w:rPr>
                <w:sz w:val="20"/>
                <w:szCs w:val="20"/>
                <w:color w:val="auto"/>
              </w:rPr>
            </w:pPr>
            <w:r>
              <w:rPr>
                <w:rFonts w:ascii="Arial" w:cs="Arial" w:eastAsia="Arial" w:hAnsi="Arial"/>
                <w:sz w:val="18"/>
                <w:szCs w:val="18"/>
                <w:color w:val="auto"/>
              </w:rPr>
              <w:t>Governing Law; Waiver of Jury Trial</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11.07</w:t>
            </w:r>
          </w:p>
        </w:tc>
        <w:tc>
          <w:tcPr>
            <w:tcW w:w="7900" w:type="dxa"/>
            <w:vAlign w:val="bottom"/>
          </w:tcPr>
          <w:p>
            <w:pPr>
              <w:ind w:left="360"/>
              <w:spacing w:after="0"/>
              <w:rPr>
                <w:sz w:val="20"/>
                <w:szCs w:val="20"/>
                <w:color w:val="auto"/>
              </w:rPr>
            </w:pPr>
            <w:r>
              <w:rPr>
                <w:rFonts w:ascii="Arial" w:cs="Arial" w:eastAsia="Arial" w:hAnsi="Arial"/>
                <w:sz w:val="18"/>
                <w:szCs w:val="18"/>
                <w:color w:val="auto"/>
              </w:rPr>
              <w:t>Submission to Jurisdiction; Waiver of Immunities; Agent for Service</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11.08</w:t>
            </w:r>
          </w:p>
        </w:tc>
        <w:tc>
          <w:tcPr>
            <w:tcW w:w="7900" w:type="dxa"/>
            <w:vAlign w:val="bottom"/>
          </w:tcPr>
          <w:p>
            <w:pPr>
              <w:ind w:left="360"/>
              <w:spacing w:after="0"/>
              <w:rPr>
                <w:sz w:val="20"/>
                <w:szCs w:val="20"/>
                <w:color w:val="auto"/>
              </w:rPr>
            </w:pPr>
            <w:r>
              <w:rPr>
                <w:rFonts w:ascii="Arial" w:cs="Arial" w:eastAsia="Arial" w:hAnsi="Arial"/>
                <w:sz w:val="18"/>
                <w:szCs w:val="18"/>
                <w:color w:val="auto"/>
              </w:rPr>
              <w:t>Indemnification for Judgment Currency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11.09</w:t>
            </w:r>
          </w:p>
        </w:tc>
        <w:tc>
          <w:tcPr>
            <w:tcW w:w="7900" w:type="dxa"/>
            <w:vAlign w:val="bottom"/>
          </w:tcPr>
          <w:p>
            <w:pPr>
              <w:ind w:left="360"/>
              <w:spacing w:after="0"/>
              <w:rPr>
                <w:sz w:val="20"/>
                <w:szCs w:val="20"/>
                <w:color w:val="auto"/>
              </w:rPr>
            </w:pPr>
            <w:r>
              <w:rPr>
                <w:rFonts w:ascii="Arial" w:cs="Arial" w:eastAsia="Arial" w:hAnsi="Arial"/>
                <w:sz w:val="18"/>
                <w:szCs w:val="18"/>
                <w:color w:val="auto"/>
              </w:rPr>
              <w:t>No Adverse Interpretation of Other Agreements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11.10</w:t>
            </w:r>
          </w:p>
        </w:tc>
        <w:tc>
          <w:tcPr>
            <w:tcW w:w="7900" w:type="dxa"/>
            <w:vAlign w:val="bottom"/>
          </w:tcPr>
          <w:p>
            <w:pPr>
              <w:ind w:left="360"/>
              <w:spacing w:after="0"/>
              <w:rPr>
                <w:sz w:val="20"/>
                <w:szCs w:val="20"/>
                <w:color w:val="auto"/>
              </w:rPr>
            </w:pPr>
            <w:r>
              <w:rPr>
                <w:rFonts w:ascii="Arial" w:cs="Arial" w:eastAsia="Arial" w:hAnsi="Arial"/>
                <w:sz w:val="18"/>
                <w:szCs w:val="18"/>
                <w:color w:val="auto"/>
              </w:rPr>
              <w:t>Successors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11.11</w:t>
            </w:r>
          </w:p>
        </w:tc>
        <w:tc>
          <w:tcPr>
            <w:tcW w:w="790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11.12</w:t>
            </w:r>
          </w:p>
        </w:tc>
        <w:tc>
          <w:tcPr>
            <w:tcW w:w="7900" w:type="dxa"/>
            <w:vAlign w:val="bottom"/>
          </w:tcPr>
          <w:p>
            <w:pPr>
              <w:ind w:left="360"/>
              <w:spacing w:after="0"/>
              <w:rPr>
                <w:sz w:val="20"/>
                <w:szCs w:val="20"/>
                <w:color w:val="auto"/>
              </w:rPr>
            </w:pPr>
            <w:r>
              <w:rPr>
                <w:rFonts w:ascii="Arial" w:cs="Arial" w:eastAsia="Arial" w:hAnsi="Arial"/>
                <w:sz w:val="18"/>
                <w:szCs w:val="18"/>
                <w:color w:val="auto"/>
              </w:rPr>
              <w:t>Counterpart Originals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11.13</w:t>
            </w:r>
          </w:p>
        </w:tc>
        <w:tc>
          <w:tcPr>
            <w:tcW w:w="7900" w:type="dxa"/>
            <w:vAlign w:val="bottom"/>
          </w:tcPr>
          <w:p>
            <w:pPr>
              <w:ind w:left="360"/>
              <w:spacing w:after="0"/>
              <w:rPr>
                <w:sz w:val="20"/>
                <w:szCs w:val="20"/>
                <w:color w:val="auto"/>
              </w:rPr>
            </w:pPr>
            <w:r>
              <w:rPr>
                <w:rFonts w:ascii="Arial" w:cs="Arial" w:eastAsia="Arial" w:hAnsi="Arial"/>
                <w:sz w:val="18"/>
                <w:szCs w:val="18"/>
                <w:color w:val="auto"/>
              </w:rPr>
              <w:t>Table of Contents, Heading, etc.</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11.14</w:t>
            </w:r>
          </w:p>
        </w:tc>
        <w:tc>
          <w:tcPr>
            <w:tcW w:w="7900" w:type="dxa"/>
            <w:vAlign w:val="bottom"/>
          </w:tcPr>
          <w:p>
            <w:pPr>
              <w:ind w:left="360"/>
              <w:spacing w:after="0"/>
              <w:rPr>
                <w:sz w:val="20"/>
                <w:szCs w:val="20"/>
                <w:color w:val="auto"/>
              </w:rPr>
            </w:pPr>
            <w:r>
              <w:rPr>
                <w:rFonts w:ascii="Arial" w:cs="Arial" w:eastAsia="Arial" w:hAnsi="Arial"/>
                <w:sz w:val="18"/>
                <w:szCs w:val="18"/>
                <w:color w:val="auto"/>
              </w:rPr>
              <w:t>Compliance with Applicable Anti-Terrorism and Money Laundering Regulations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EXHIBITS</w:t>
      </w:r>
    </w:p>
    <w:p>
      <w:pPr>
        <w:spacing w:after="0" w:line="26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4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5" w:right="239" w:bottom="1440" w:gutter="0" w:footer="0" w:header="0"/>
        </w:sectPr>
      </w:pPr>
    </w:p>
    <w:bookmarkStart w:id="74" w:name="page75"/>
    <w:bookmarkEnd w:id="74"/>
    <w:p>
      <w:pPr>
        <w:jc w:val="both"/>
        <w:ind w:firstLine="648"/>
        <w:spacing w:after="0" w:line="292" w:lineRule="auto"/>
        <w:rPr>
          <w:sz w:val="20"/>
          <w:szCs w:val="20"/>
          <w:color w:val="auto"/>
        </w:rPr>
      </w:pPr>
      <w:r>
        <w:rPr>
          <w:rFonts w:ascii="Arial" w:cs="Arial" w:eastAsia="Arial" w:hAnsi="Arial"/>
          <w:sz w:val="22"/>
          <w:szCs w:val="22"/>
          <w:color w:val="auto"/>
        </w:rPr>
        <w:t>INDENTURE, dated as of September 20, 2017, between Wynn Macau, Limited, a company incorporated with limited liability under the laws of the Cayman Islands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 New York banking corporation,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and the Trustee agree as follows for the benefit of each other and for the equal and ratable benefit of the Holders (as defined below) of the 4.875% Senior Notes due 2024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22"/>
          <w:szCs w:val="22"/>
          <w:color w:val="auto"/>
        </w:rPr>
        <w:t>Article 1</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DEFINITIONS AND INCORPORATION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REFERENCE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60" w:lineRule="exact"/>
        <w:rPr>
          <w:sz w:val="20"/>
          <w:szCs w:val="20"/>
          <w:color w:val="auto"/>
        </w:rPr>
      </w:pPr>
    </w:p>
    <w:p>
      <w:pPr>
        <w:ind w:left="1120" w:hanging="464"/>
        <w:spacing w:after="0"/>
        <w:tabs>
          <w:tab w:leader="none" w:pos="11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w:t>
      </w:r>
    </w:p>
    <w:p>
      <w:pPr>
        <w:spacing w:after="0" w:line="92" w:lineRule="exact"/>
        <w:rPr>
          <w:rFonts w:ascii="Arial" w:cs="Arial" w:eastAsia="Arial" w:hAnsi="Arial"/>
          <w:sz w:val="19"/>
          <w:szCs w:val="19"/>
          <w:color w:val="auto"/>
        </w:rPr>
      </w:pPr>
    </w:p>
    <w:p>
      <w:pPr>
        <w:jc w:val="both"/>
        <w:ind w:left="340"/>
        <w:spacing w:after="0" w:line="338" w:lineRule="auto"/>
        <w:rPr>
          <w:rFonts w:ascii="Arial" w:cs="Arial" w:eastAsia="Arial" w:hAnsi="Arial"/>
          <w:sz w:val="19"/>
          <w:szCs w:val="19"/>
          <w:color w:val="auto"/>
        </w:rPr>
      </w:pPr>
      <w:r>
        <w:rPr>
          <w:rFonts w:ascii="Arial" w:cs="Arial" w:eastAsia="Arial" w:hAnsi="Arial"/>
          <w:sz w:val="19"/>
          <w:szCs w:val="19"/>
          <w:color w:val="auto"/>
        </w:rPr>
        <w:t>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2" w:lineRule="exact"/>
        <w:rPr>
          <w:rFonts w:ascii="Arial" w:cs="Arial" w:eastAsia="Arial" w:hAnsi="Arial"/>
          <w:sz w:val="19"/>
          <w:szCs w:val="19"/>
          <w:color w:val="auto"/>
        </w:rPr>
      </w:pPr>
    </w:p>
    <w:p>
      <w:pPr>
        <w:ind w:left="1120" w:hanging="464"/>
        <w:spacing w:after="0"/>
        <w:tabs>
          <w:tab w:leader="none" w:pos="11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such release (or any successor release) is not published during the week preceding the calculation date or does not</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purposes of this definition, “control,” as used with respect to any Person,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61" w:right="239" w:bottom="1440" w:gutter="0" w:footer="0" w:header="0"/>
        </w:sectPr>
      </w:pPr>
    </w:p>
    <w:bookmarkStart w:id="76" w:name="page77"/>
    <w:bookmarkEnd w:id="76"/>
    <w:p>
      <w:pPr>
        <w:jc w:val="both"/>
        <w:spacing w:after="0" w:line="285" w:lineRule="auto"/>
        <w:rPr>
          <w:sz w:val="20"/>
          <w:szCs w:val="20"/>
          <w:color w:val="auto"/>
        </w:rPr>
      </w:pPr>
      <w:r>
        <w:rPr>
          <w:rFonts w:ascii="Arial" w:cs="Arial" w:eastAsia="Arial" w:hAnsi="Arial"/>
          <w:sz w:val="22"/>
          <w:szCs w:val="22"/>
          <w:color w:val="auto"/>
        </w:rPr>
        <w:t xml:space="preserve">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Ms. Chen Chih Ling, Linda shall not, by virtue of 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6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or for beneficial interests in any Global Note, the rules and procedures of the Depositary, Euroclear and Clearstream that apply to such transfer or exchange.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Bankruptcy Law</w:t>
      </w:r>
      <w:r>
        <w:rPr>
          <w:rFonts w:ascii="Arial" w:cs="Arial" w:eastAsia="Arial" w:hAnsi="Arial"/>
          <w:sz w:val="21"/>
          <w:szCs w:val="21"/>
          <w:color w:val="auto"/>
        </w:rPr>
        <w:t>” means Title 11, U.S. Code or any similar federal, state or foreign law for the relief of debtors.</w:t>
      </w:r>
    </w:p>
    <w:p>
      <w:pPr>
        <w:spacing w:after="0" w:line="2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60" w:lineRule="exact"/>
        <w:rPr>
          <w:sz w:val="20"/>
          <w:szCs w:val="20"/>
          <w:color w:val="auto"/>
        </w:rPr>
      </w:pPr>
    </w:p>
    <w:p>
      <w:pPr>
        <w:ind w:left="340" w:firstLine="316"/>
        <w:spacing w:after="0" w:line="315" w:lineRule="auto"/>
        <w:tabs>
          <w:tab w:leader="none" w:pos="111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73" w:lineRule="exact"/>
        <w:rPr>
          <w:rFonts w:ascii="Arial" w:cs="Arial" w:eastAsia="Arial" w:hAnsi="Arial"/>
          <w:sz w:val="22"/>
          <w:szCs w:val="22"/>
          <w:color w:val="auto"/>
        </w:rPr>
      </w:pPr>
    </w:p>
    <w:p>
      <w:pPr>
        <w:ind w:left="340" w:firstLine="316"/>
        <w:spacing w:after="0" w:line="315" w:lineRule="auto"/>
        <w:tabs>
          <w:tab w:leader="none" w:pos="1258"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means, at the time any determination is to be made, the amount of the liability in respect of a capital lease that would at that time be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77" w:name="page78"/>
    <w:bookmarkEnd w:id="77"/>
    <w:p>
      <w:pPr>
        <w:jc w:val="both"/>
        <w:spacing w:after="0" w:line="292" w:lineRule="auto"/>
        <w:rPr>
          <w:sz w:val="20"/>
          <w:szCs w:val="20"/>
          <w:color w:val="auto"/>
        </w:rPr>
      </w:pPr>
      <w:r>
        <w:rPr>
          <w:rFonts w:ascii="Arial" w:cs="Arial" w:eastAsia="Arial" w:hAnsi="Arial"/>
          <w:sz w:val="22"/>
          <w:szCs w:val="22"/>
          <w:color w:val="auto"/>
        </w:rPr>
        <w:t xml:space="preserve">capitalized on a balance sheet in </w:t>
      </w:r>
      <w:r>
        <w:rPr>
          <w:rFonts w:ascii="Arial" w:cs="Arial" w:eastAsia="Arial" w:hAnsi="Arial"/>
          <w:sz w:val="22"/>
          <w:szCs w:val="22"/>
          <w:i w:val="1"/>
          <w:iCs w:val="1"/>
          <w:color w:val="auto"/>
        </w:rPr>
        <w:t>accordance</w:t>
      </w:r>
      <w:r>
        <w:rPr>
          <w:rFonts w:ascii="Arial" w:cs="Arial" w:eastAsia="Arial" w:hAnsi="Arial"/>
          <w:sz w:val="22"/>
          <w:szCs w:val="22"/>
          <w:color w:val="auto"/>
        </w:rPr>
        <w:t xml:space="preserve"> with IFRS, and the Stated Maturity thereof shall be the date of the last payment of rent or any other amount due under such lease prior to the first date upon which such lease may be prepaid by the lessee without payment of a penalty.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60"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73" w:lineRule="exact"/>
        <w:rPr>
          <w:rFonts w:ascii="Arial" w:cs="Arial" w:eastAsia="Arial" w:hAnsi="Arial"/>
          <w:sz w:val="22"/>
          <w:szCs w:val="22"/>
          <w:color w:val="auto"/>
        </w:rPr>
      </w:pPr>
    </w:p>
    <w:p>
      <w:pPr>
        <w:ind w:left="340" w:right="20" w:firstLine="316"/>
        <w:spacing w:after="0" w:line="315" w:lineRule="auto"/>
        <w:tabs>
          <w:tab w:leader="none" w:pos="1137"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59" w:lineRule="exact"/>
        <w:rPr>
          <w:rFonts w:ascii="Arial" w:cs="Arial" w:eastAsia="Arial" w:hAnsi="Arial"/>
          <w:sz w:val="22"/>
          <w:szCs w:val="22"/>
          <w:color w:val="auto"/>
        </w:rPr>
      </w:pPr>
    </w:p>
    <w:p>
      <w:pPr>
        <w:ind w:left="340" w:firstLine="316"/>
        <w:spacing w:after="0" w:line="315" w:lineRule="auto"/>
        <w:tabs>
          <w:tab w:leader="none" w:pos="1285"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other interests or participation that confers on a Person the right to receive a share of the profits and losses of, or</w:t>
      </w:r>
    </w:p>
    <w:p>
      <w:pPr>
        <w:spacing w:after="0" w:line="92" w:lineRule="exact"/>
        <w:rPr>
          <w:rFonts w:ascii="Arial" w:cs="Arial" w:eastAsia="Arial" w:hAnsi="Arial"/>
          <w:sz w:val="19"/>
          <w:szCs w:val="19"/>
          <w:color w:val="auto"/>
        </w:rPr>
      </w:pPr>
    </w:p>
    <w:p>
      <w:pPr>
        <w:ind w:left="340"/>
        <w:spacing w:after="0" w:line="328" w:lineRule="auto"/>
        <w:rPr>
          <w:rFonts w:ascii="Arial" w:cs="Arial" w:eastAsia="Arial" w:hAnsi="Arial"/>
          <w:sz w:val="19"/>
          <w:szCs w:val="19"/>
          <w:color w:val="auto"/>
        </w:rPr>
      </w:pPr>
      <w:r>
        <w:rPr>
          <w:rFonts w:ascii="Arial" w:cs="Arial" w:eastAsia="Arial" w:hAnsi="Arial"/>
          <w:sz w:val="21"/>
          <w:szCs w:val="21"/>
          <w:color w:val="auto"/>
        </w:rPr>
        <w:t>distributions of assets of, the issuing Person, but excluding from all of the foregoing any debt securities convertible into Capital Stock, whether or not such debt securities include any right of participation with Capital Stock.</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60" w:lineRule="exact"/>
        <w:rPr>
          <w:sz w:val="20"/>
          <w:szCs w:val="20"/>
          <w:color w:val="auto"/>
        </w:rPr>
      </w:pPr>
    </w:p>
    <w:p>
      <w:pPr>
        <w:ind w:left="1120" w:hanging="464"/>
        <w:spacing w:after="0"/>
        <w:tabs>
          <w:tab w:leader="none" w:pos="11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direct or indirect sale, transfer, conveyance or other disposition (other than by way of merger or consolidation), in</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one or a series of related transactions, of all or substantially all of the properties or assets of the Issuer and its Subsidiaries, taken as a whole, to any “person” (as that term is used in Section 13(d)(3) of the Exchange Act), other than to the Principal or a Related Party of the Principal;</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Issuer or any successor thereto;</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that 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first day on which a majority of the members of the Board of Directors of the Issuer are not Continuing Directors;</w:t>
      </w:r>
    </w:p>
    <w:p>
      <w:pPr>
        <w:spacing w:after="0" w:line="308" w:lineRule="exact"/>
        <w:rPr>
          <w:rFonts w:ascii="Arial" w:cs="Arial" w:eastAsia="Arial" w:hAnsi="Arial"/>
          <w:sz w:val="19"/>
          <w:szCs w:val="19"/>
          <w:color w:val="auto"/>
        </w:rPr>
      </w:pPr>
    </w:p>
    <w:p>
      <w:pPr>
        <w:ind w:left="340" w:firstLine="316"/>
        <w:spacing w:after="0" w:line="315" w:lineRule="auto"/>
        <w:tabs>
          <w:tab w:leader="none" w:pos="109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first day on which the Issuer ceases to own, directly or indirectly, at least 60% of the outstanding Equity Interests of (and at least a 60% economic interest in) the Concessionaire;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30th day following the date on which the Issuer ceases to be entitled to use the “WYNN”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61" w:right="239" w:bottom="1440" w:gutter="0" w:footer="0" w:header="0"/>
        </w:sectPr>
      </w:pPr>
    </w:p>
    <w:bookmarkStart w:id="78" w:name="page79"/>
    <w:bookmarkEnd w:id="78"/>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a Change of Control and, if the Notes are rated by both Rating Agencies, a Ratings Event.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Concessionaire</w:t>
      </w:r>
      <w:r>
        <w:rPr>
          <w:rFonts w:ascii="Arial" w:cs="Arial" w:eastAsia="Arial" w:hAnsi="Arial"/>
          <w:sz w:val="22"/>
          <w:szCs w:val="22"/>
          <w:color w:val="auto"/>
        </w:rPr>
        <w:t>” means Wynn Resorts (Macau) S.A., a company incorporated under the laws of Macau.</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60"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was nominated for election, or was elected or appointed, to such Board of Directors with the approval of a majority of</w:t>
      </w:r>
    </w:p>
    <w:p>
      <w:pPr>
        <w:spacing w:after="0" w:line="92" w:lineRule="exact"/>
        <w:rPr>
          <w:rFonts w:ascii="Arial" w:cs="Arial" w:eastAsia="Arial" w:hAnsi="Arial"/>
          <w:sz w:val="19"/>
          <w:szCs w:val="19"/>
          <w:color w:val="auto"/>
        </w:rPr>
      </w:pPr>
    </w:p>
    <w:p>
      <w:pPr>
        <w:ind w:left="340" w:right="20"/>
        <w:spacing w:after="0" w:line="302" w:lineRule="auto"/>
        <w:rPr>
          <w:rFonts w:ascii="Arial" w:cs="Arial" w:eastAsia="Arial" w:hAnsi="Arial"/>
          <w:sz w:val="19"/>
          <w:szCs w:val="19"/>
          <w:color w:val="auto"/>
        </w:rPr>
      </w:pPr>
      <w:r>
        <w:rPr>
          <w:rFonts w:ascii="Arial" w:cs="Arial" w:eastAsia="Arial" w:hAnsi="Arial"/>
          <w:sz w:val="22"/>
          <w:szCs w:val="22"/>
          <w:color w:val="auto"/>
        </w:rPr>
        <w:t>the Continuing Directors who were members of such Board of Directors at the time of such nomination, election or appointment.</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11.01 hereof or such other address as to which the Trustee may give notice to the Issuer.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61" w:right="239" w:bottom="1440" w:gutter="0" w:footer="0" w:header="0"/>
        </w:sectPr>
      </w:pPr>
    </w:p>
    <w:bookmarkStart w:id="79" w:name="page80"/>
    <w:bookmarkEnd w:id="79"/>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 Equivalent</w:t>
      </w:r>
      <w:r>
        <w:rPr>
          <w:rFonts w:ascii="Arial" w:cs="Arial" w:eastAsia="Arial" w:hAnsi="Arial"/>
          <w:sz w:val="22"/>
          <w:szCs w:val="22"/>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9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Offering</w:t>
      </w:r>
      <w:r>
        <w:rPr>
          <w:rFonts w:ascii="Arial" w:cs="Arial" w:eastAsia="Arial" w:hAnsi="Arial"/>
          <w:sz w:val="21"/>
          <w:szCs w:val="21"/>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United States Securities Exchange Act of 1934, as amended.</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80" w:name="page81"/>
    <w:bookmarkEnd w:id="80"/>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Authority</w:t>
      </w:r>
      <w:r>
        <w:rPr>
          <w:rFonts w:ascii="Arial" w:cs="Arial" w:eastAsia="Arial" w:hAnsi="Arial"/>
          <w:sz w:val="21"/>
          <w:szCs w:val="21"/>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 Issuer or any of its respective Affiliates, including the Concessionaire.</w:t>
      </w:r>
    </w:p>
    <w:p>
      <w:pPr>
        <w:spacing w:after="0" w:line="18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the license, concession, subconcession or other authorization from any Government Authority which authorizes, permits, concedes or allows Wynn Macau or any of its Subsidiaries, at the relevant time, to own or manage casino or gaming areas or operate casino games of fortune and chance.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6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direct obligations of the United States of America for the timely payment of which its full faith and credit is pledged;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1120" w:hanging="464"/>
        <w:spacing w:after="0"/>
        <w:tabs>
          <w:tab w:leader="none" w:pos="11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obligations of a Person controlled or supervised by and acting as an agency or instrumentality of the United States of</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America the timely payment of which is unconditionally guaranteed as a full faith and credit obligation by the United States of America;</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61" w:right="2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22"/>
          <w:szCs w:val="22"/>
          <w:color w:val="auto"/>
        </w:rPr>
        <w:t>such depository receipt from any amount received by the custodian in respect of the Government Security or the specific payment of principal of or interest on the Government Security evidenced by such depository receipt.</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60" w:lineRule="exact"/>
        <w:rPr>
          <w:sz w:val="20"/>
          <w:szCs w:val="20"/>
          <w:color w:val="auto"/>
        </w:rPr>
      </w:pPr>
    </w:p>
    <w:p>
      <w:pPr>
        <w:ind w:left="340" w:firstLine="316"/>
        <w:spacing w:after="0" w:line="315" w:lineRule="auto"/>
        <w:tabs>
          <w:tab w:leader="none" w:pos="115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IFRS</w:t>
      </w:r>
      <w:r>
        <w:rPr>
          <w:rFonts w:ascii="Arial" w:cs="Arial" w:eastAsia="Arial" w:hAnsi="Arial"/>
          <w:sz w:val="22"/>
          <w:szCs w:val="22"/>
          <w:color w:val="auto"/>
        </w:rPr>
        <w:t>” means International Financial Reporting Standards as in effect from time to time.</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4"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61" w:right="239" w:bottom="1440" w:gutter="0" w:footer="0" w:header="0"/>
        </w:sectPr>
      </w:pPr>
    </w:p>
    <w:bookmarkStart w:id="82" w:name="page83"/>
    <w:bookmarkEnd w:id="82"/>
    <w:p>
      <w:pPr>
        <w:jc w:val="both"/>
        <w:ind w:firstLine="648"/>
        <w:spacing w:after="0" w:line="287" w:lineRule="auto"/>
        <w:rPr>
          <w:sz w:val="20"/>
          <w:szCs w:val="20"/>
          <w:color w:val="auto"/>
        </w:rPr>
      </w:pPr>
      <w:r>
        <w:rPr>
          <w:rFonts w:ascii="Arial" w:cs="Arial" w:eastAsia="Arial" w:hAnsi="Arial"/>
          <w:sz w:val="22"/>
          <w:szCs w:val="22"/>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60"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accreted value of the Indebtedness, in the case of any Indebtedness issued with original issue discount;</w:t>
      </w:r>
    </w:p>
    <w:p>
      <w:pPr>
        <w:spacing w:after="0" w:line="285" w:lineRule="exact"/>
        <w:rPr>
          <w:rFonts w:ascii="Arial" w:cs="Arial" w:eastAsia="Arial" w:hAnsi="Arial"/>
          <w:sz w:val="21"/>
          <w:szCs w:val="21"/>
          <w:color w:val="auto"/>
        </w:rPr>
      </w:pPr>
    </w:p>
    <w:p>
      <w:pPr>
        <w:ind w:left="340" w:right="20" w:firstLine="316"/>
        <w:spacing w:after="0" w:line="315" w:lineRule="auto"/>
        <w:tabs>
          <w:tab w:leader="none" w:pos="111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59" w:lineRule="exact"/>
        <w:rPr>
          <w:rFonts w:ascii="Arial" w:cs="Arial" w:eastAsia="Arial" w:hAnsi="Arial"/>
          <w:sz w:val="22"/>
          <w:szCs w:val="22"/>
          <w:color w:val="auto"/>
        </w:rPr>
      </w:pPr>
    </w:p>
    <w:p>
      <w:pPr>
        <w:ind w:left="340" w:firstLine="316"/>
        <w:spacing w:after="0" w:line="315" w:lineRule="auto"/>
        <w:tabs>
          <w:tab w:leader="none" w:pos="12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case of a Guarantee of Indebtedness, the maximum amount of the Indebtedness guaranteed under such Guarantee;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in the case of Indebtedness of others secured by a Lien on any asset of the specified Person, the lesser of:</w:t>
      </w:r>
    </w:p>
    <w:p>
      <w:pPr>
        <w:spacing w:after="0" w:line="285" w:lineRule="exact"/>
        <w:rPr>
          <w:sz w:val="20"/>
          <w:szCs w:val="20"/>
          <w:color w:val="auto"/>
        </w:rPr>
      </w:pPr>
    </w:p>
    <w:p>
      <w:pPr>
        <w:ind w:right="20" w:firstLine="656"/>
        <w:spacing w:after="0" w:line="315" w:lineRule="auto"/>
        <w:tabs>
          <w:tab w:leader="none" w:pos="109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one of the Reference Treasury Dealers appointed by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US$600,000,000 aggregate principal amount of Notes issued under this Indenture on the date of this Indenture.</w:t>
      </w:r>
    </w:p>
    <w:p>
      <w:pPr>
        <w:spacing w:after="0" w:line="1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Purchasers</w:t>
      </w:r>
      <w:r>
        <w:rPr>
          <w:rFonts w:ascii="Arial" w:cs="Arial" w:eastAsia="Arial" w:hAnsi="Arial"/>
          <w:sz w:val="19"/>
          <w:szCs w:val="19"/>
          <w:color w:val="auto"/>
        </w:rPr>
        <w:t>” means Deutsche Bank AG, Singapore Branch, BNP Paribas Securities Corp., BOCI Asia Limited, DBS Bank Ltd., Industrial and Commercial Bank of China (Macau) Limited, Merrill Lynch, Pierce Fenner &amp; Smith Incorporated, Scotia Capital (USA) Inc., SMBC Nikko Securities America, Inc., United Overseas Bank Limited, Banco Nacional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61"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Ultramarino, S.A., Bank of Communications Co., Ltd. Macau Branch and J.P. Morgan Securities LLC.</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additional Rating Agency or Rating Agencies selected by the Issuer, as applicable.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date on which the Notes (other than Additional Notes) are originally issued.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Wynn Macau, Limited, and any and all successors thereto.</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New York, New York, Hong Kong, 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Lien</w:t>
      </w:r>
      <w:r>
        <w:rPr>
          <w:rFonts w:ascii="Arial" w:cs="Arial" w:eastAsia="Arial" w:hAnsi="Arial"/>
          <w:sz w:val="19"/>
          <w:szCs w:val="19"/>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32"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61" w:right="239" w:bottom="1440" w:gutter="0" w:footer="0" w:header="0"/>
        </w:sectPr>
      </w:pPr>
    </w:p>
    <w:bookmarkStart w:id="84" w:name="page85"/>
    <w:bookmarkEnd w:id="84"/>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the Chairman of the Board, Chief Executive Officer, Chief Financial Officer, President, any Executive Vice 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174"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Officer’s Certificate</w:t>
      </w:r>
      <w:r>
        <w:rPr>
          <w:rFonts w:ascii="Arial" w:cs="Arial" w:eastAsia="Arial" w:hAnsi="Arial"/>
          <w:sz w:val="19"/>
          <w:szCs w:val="19"/>
          <w:color w:val="auto"/>
        </w:rPr>
        <w:t>” means a certificate signed on behalf of the Issuer , or the Surviving Person, as the case may be, by an Officer of the Issuer, or the Surviving Person, as the case may be, that meets the requirements of Section 11.03 hereof.</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11.03 hereof. The counsel may be an employee of or counsel to the Issuer.</w:t>
      </w:r>
    </w:p>
    <w:p>
      <w:pPr>
        <w:spacing w:after="0" w:line="174"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Agencies</w:t>
      </w:r>
      <w:r>
        <w:rPr>
          <w:rFonts w:ascii="Arial" w:cs="Arial" w:eastAsia="Arial" w:hAnsi="Arial"/>
          <w:sz w:val="19"/>
          <w:szCs w:val="19"/>
          <w:color w:val="auto"/>
        </w:rPr>
        <w:t>” means (a) each of Moody’s and S&amp;P and (b) if either Moody’s or S&amp;P ceases to rate the Notes or fails to 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1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Category</w:t>
      </w:r>
      <w:r>
        <w:rPr>
          <w:rFonts w:ascii="Arial" w:cs="Arial" w:eastAsia="Arial" w:hAnsi="Arial"/>
          <w:sz w:val="22"/>
          <w:szCs w:val="22"/>
          <w:color w:val="auto"/>
        </w:rPr>
        <w:t>” means (1) with respect to S&amp;P, any of the following categories: “BB,” “B,” “CCC,” “CC,” “C” and “D” (or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85" w:name="page86"/>
    <w:bookmarkEnd w:id="85"/>
    <w:p>
      <w:pPr>
        <w:jc w:val="both"/>
        <w:spacing w:after="0" w:line="302" w:lineRule="auto"/>
        <w:rPr>
          <w:sz w:val="20"/>
          <w:szCs w:val="20"/>
          <w:color w:val="auto"/>
        </w:rPr>
      </w:pPr>
      <w:r>
        <w:rPr>
          <w:rFonts w:ascii="Arial" w:cs="Arial" w:eastAsia="Arial" w:hAnsi="Arial"/>
          <w:sz w:val="22"/>
          <w:szCs w:val="22"/>
          <w:color w:val="auto"/>
        </w:rPr>
        <w:t>(e.g., with respect to S&amp;P, a decline in a rating from “BB+” to “BB,” or from “BB” to “BB–,” shall constitute a decrease of one gradation).</w:t>
      </w:r>
    </w:p>
    <w:p>
      <w:pPr>
        <w:spacing w:after="0" w:line="17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the Issuer to affect a Change of Control.</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Ratings Event</w:t>
      </w:r>
      <w:r>
        <w:rPr>
          <w:rFonts w:ascii="Arial" w:cs="Arial" w:eastAsia="Arial" w:hAnsi="Arial"/>
          <w:sz w:val="21"/>
          <w:szCs w:val="21"/>
          <w:color w:val="auto"/>
        </w:rPr>
        <w:t>” means the occurrence of the events described in (1) or (2) of this definition on, or within 60 days after the earlier of (i) the occurrence of a Change of Control 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73" w:lineRule="exact"/>
        <w:rPr>
          <w:sz w:val="20"/>
          <w:szCs w:val="20"/>
          <w:color w:val="auto"/>
        </w:rPr>
      </w:pPr>
    </w:p>
    <w:p>
      <w:pPr>
        <w:ind w:left="340" w:right="20" w:firstLine="316"/>
        <w:spacing w:after="0" w:line="315" w:lineRule="auto"/>
        <w:tabs>
          <w:tab w:leader="none" w:pos="111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Notes are rated by one or both Rating Agencies on the Rating Date as Investment Grade, the rating of the Notes shall be reduced so that the Notes are rated below Investment Grade by both Rating Agencies; or</w:t>
      </w:r>
    </w:p>
    <w:p>
      <w:pPr>
        <w:spacing w:after="0" w:line="159" w:lineRule="exact"/>
        <w:rPr>
          <w:rFonts w:ascii="Arial" w:cs="Arial" w:eastAsia="Arial" w:hAnsi="Arial"/>
          <w:sz w:val="22"/>
          <w:szCs w:val="22"/>
          <w:color w:val="auto"/>
        </w:rPr>
      </w:pPr>
    </w:p>
    <w:p>
      <w:pPr>
        <w:ind w:left="1100" w:hanging="44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Notes are rated below Investment Grade by both Rating Agencies on the Rating Date, the rating of the Notes by</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either Rating Agency shall decrease by one or more gradations (including gradations within Rating Categories as well as between Rating Categories).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any primary U.S. Government securities dealer in New York City selected by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Issuer.</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Regulation S Global Note</w:t>
      </w:r>
      <w:r>
        <w:rPr>
          <w:rFonts w:ascii="Arial" w:cs="Arial" w:eastAsia="Arial" w:hAnsi="Arial"/>
          <w:sz w:val="19"/>
          <w:szCs w:val="19"/>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60"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immediate family member or former spouse (in the case of an individual) of the Principal;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spacing w:after="0"/>
        <w:rPr>
          <w:rFonts w:ascii="Arial" w:cs="Arial" w:eastAsia="Arial" w:hAnsi="Arial"/>
          <w:sz w:val="22"/>
          <w:szCs w:val="22"/>
          <w:color w:val="auto"/>
        </w:rPr>
      </w:pPr>
      <w:r>
        <w:rPr>
          <w:rFonts w:ascii="Arial" w:cs="Arial" w:eastAsia="Arial" w:hAnsi="Arial"/>
          <w:sz w:val="22"/>
          <w:szCs w:val="22"/>
          <w:color w:val="auto"/>
        </w:rPr>
        <w:t>12</w:t>
      </w:r>
    </w:p>
    <w:p>
      <w:pPr>
        <w:sectPr>
          <w:pgSz w:w="11900" w:h="16838" w:orient="portrait"/>
          <w:cols w:equalWidth="0" w:num="1">
            <w:col w:w="11420"/>
          </w:cols>
          <w:pgMar w:left="240" w:top="861" w:right="239" w:bottom="1440" w:gutter="0" w:footer="0" w:header="0"/>
        </w:sectPr>
      </w:pPr>
    </w:p>
    <w:bookmarkStart w:id="86" w:name="page87"/>
    <w:bookmarkEnd w:id="86"/>
    <w:p>
      <w:pPr>
        <w:ind w:left="1140" w:hanging="484"/>
        <w:spacing w:after="0"/>
        <w:tabs>
          <w:tab w:leader="none" w:pos="11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trust, corporation, partnership, limited liability company or other entity, the beneficiaries, stockholders, partners,</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members, owners or Persons beneficially holding an 51% or more controlling interest of which consist of the Principal and/or such other Persons referred to in the immediately preceding clause (1) or this clause (2).</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when used with respect to the Trustee, means any officer of the Trustee with direct responsibility for the administration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S&amp;P</w:t>
      </w:r>
      <w:r>
        <w:rPr>
          <w:rFonts w:ascii="Arial" w:cs="Arial" w:eastAsia="Arial" w:hAnsi="Arial"/>
          <w:sz w:val="19"/>
          <w:szCs w:val="19"/>
          <w:color w:val="auto"/>
        </w:rPr>
        <w:t>” means Standard &amp; Poor’s Rating Group or any successor to its statistical rating business, except that any reference to a particular rating by S&amp;P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United States Securities and Exchange Commission.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United States Securities Act of 1933, as amended.</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Significant Subsidiary</w:t>
      </w:r>
      <w:r>
        <w:rPr>
          <w:rFonts w:ascii="Arial" w:cs="Arial" w:eastAsia="Arial" w:hAnsi="Arial"/>
          <w:sz w:val="19"/>
          <w:szCs w:val="19"/>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Triggering Event</w:t>
      </w:r>
      <w:r>
        <w:rPr>
          <w:rFonts w:ascii="Arial" w:cs="Arial" w:eastAsia="Arial" w:hAnsi="Arial"/>
          <w:sz w:val="22"/>
          <w:szCs w:val="22"/>
          <w:color w:val="auto"/>
        </w:rPr>
        <w:t>” means:</w:t>
      </w:r>
    </w:p>
    <w:p>
      <w:pPr>
        <w:spacing w:after="0" w:line="260" w:lineRule="exact"/>
        <w:rPr>
          <w:sz w:val="20"/>
          <w:szCs w:val="20"/>
          <w:color w:val="auto"/>
        </w:rPr>
      </w:pPr>
    </w:p>
    <w:p>
      <w:pPr>
        <w:jc w:val="both"/>
        <w:ind w:firstLine="656"/>
        <w:spacing w:after="0" w:line="341" w:lineRule="auto"/>
        <w:tabs>
          <w:tab w:leader="none" w:pos="964"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 material adverse effect on the financial condition, business, properties, or results of operations of the Issuer and its Subsidiaries, taken as a whole;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61" w:right="239" w:bottom="1440" w:gutter="0" w:footer="0" w:header="0"/>
        </w:sectPr>
      </w:pPr>
    </w:p>
    <w:bookmarkStart w:id="87" w:name="page88"/>
    <w:bookmarkEnd w:id="87"/>
    <w:p>
      <w:pPr>
        <w:ind w:firstLine="656"/>
        <w:spacing w:after="0" w:line="387" w:lineRule="auto"/>
        <w:tabs>
          <w:tab w:leader="none" w:pos="96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any Gaming License which has had a material adverse effect on the financial condition, business, properties, or results of operations of Wynn Macau and its Subsidiaries, taken as a whole.</w:t>
      </w:r>
    </w:p>
    <w:p>
      <w:pPr>
        <w:spacing w:after="0" w:line="10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60" w:lineRule="exact"/>
        <w:rPr>
          <w:sz w:val="20"/>
          <w:szCs w:val="20"/>
          <w:color w:val="auto"/>
        </w:rPr>
      </w:pPr>
    </w:p>
    <w:p>
      <w:pPr>
        <w:ind w:left="1160" w:hanging="504"/>
        <w:spacing w:after="0"/>
        <w:tabs>
          <w:tab w:leader="none" w:pos="11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w:t>
      </w:r>
    </w:p>
    <w:p>
      <w:pPr>
        <w:spacing w:after="0" w:line="92" w:lineRule="exact"/>
        <w:rPr>
          <w:rFonts w:ascii="Arial" w:cs="Arial" w:eastAsia="Arial" w:hAnsi="Arial"/>
          <w:sz w:val="19"/>
          <w:szCs w:val="19"/>
          <w:color w:val="auto"/>
        </w:rPr>
      </w:pPr>
    </w:p>
    <w:p>
      <w:pPr>
        <w:jc w:val="both"/>
        <w:ind w:left="340"/>
        <w:spacing w:after="0" w:line="306" w:lineRule="auto"/>
        <w:rPr>
          <w:rFonts w:ascii="Arial" w:cs="Arial" w:eastAsia="Arial" w:hAnsi="Arial"/>
          <w:sz w:val="19"/>
          <w:szCs w:val="19"/>
          <w:color w:val="auto"/>
        </w:rPr>
      </w:pPr>
      <w:r>
        <w:rPr>
          <w:rFonts w:ascii="Arial" w:cs="Arial" w:eastAsia="Arial" w:hAnsi="Arial"/>
          <w:sz w:val="21"/>
          <w:szCs w:val="21"/>
          <w:color w:val="auto"/>
        </w:rPr>
        <w:t>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2" w:lineRule="exact"/>
        <w:rPr>
          <w:rFonts w:ascii="Arial" w:cs="Arial" w:eastAsia="Arial" w:hAnsi="Arial"/>
          <w:sz w:val="19"/>
          <w:szCs w:val="19"/>
          <w:color w:val="auto"/>
        </w:rPr>
      </w:pPr>
    </w:p>
    <w:p>
      <w:pPr>
        <w:ind w:left="1100" w:hanging="444"/>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partnership (a) the sole general partner or the managing general partner of which is such Person or a Subsidiary of</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such Person or (b) the only general partners of which are that Person or one or more Subsidiaries of that Person (or any combination thereof); or</w:t>
      </w:r>
    </w:p>
    <w:p>
      <w:pPr>
        <w:spacing w:after="0" w:line="173" w:lineRule="exact"/>
        <w:rPr>
          <w:rFonts w:ascii="Arial" w:cs="Arial" w:eastAsia="Arial" w:hAnsi="Arial"/>
          <w:sz w:val="19"/>
          <w:szCs w:val="19"/>
          <w:color w:val="auto"/>
        </w:rPr>
      </w:pPr>
    </w:p>
    <w:p>
      <w:pPr>
        <w:ind w:left="1140" w:hanging="484"/>
        <w:spacing w:after="0"/>
        <w:tabs>
          <w:tab w:leader="none" w:pos="11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limited liability company (a) the manager or managing member of which is such Person or a Subsidiary of such</w:t>
      </w:r>
    </w:p>
    <w:p>
      <w:pPr>
        <w:spacing w:after="0" w:line="92" w:lineRule="exact"/>
        <w:rPr>
          <w:rFonts w:ascii="Arial" w:cs="Arial" w:eastAsia="Arial" w:hAnsi="Arial"/>
          <w:sz w:val="19"/>
          <w:szCs w:val="19"/>
          <w:color w:val="auto"/>
        </w:rPr>
      </w:pPr>
    </w:p>
    <w:p>
      <w:pPr>
        <w:ind w:left="340" w:right="20"/>
        <w:spacing w:after="0" w:line="302" w:lineRule="auto"/>
        <w:rPr>
          <w:rFonts w:ascii="Arial" w:cs="Arial" w:eastAsia="Arial" w:hAnsi="Arial"/>
          <w:sz w:val="19"/>
          <w:szCs w:val="19"/>
          <w:color w:val="auto"/>
        </w:rPr>
      </w:pPr>
      <w:r>
        <w:rPr>
          <w:rFonts w:ascii="Arial" w:cs="Arial" w:eastAsia="Arial" w:hAnsi="Arial"/>
          <w:sz w:val="22"/>
          <w:szCs w:val="22"/>
          <w:color w:val="auto"/>
        </w:rPr>
        <w:t>Person or (b) the only members of which are that Person or one or more Subsidiaries of that Person (or any combination thereof).</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the Issuer and its Subsidiaries at such date, determined on a consolidated basis in accordance with IFRS.</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61" w:right="239" w:bottom="1440" w:gutter="0" w:footer="0" w:header="0"/>
        </w:sectPr>
      </w:pPr>
    </w:p>
    <w:bookmarkStart w:id="88" w:name="page89"/>
    <w:bookmarkEnd w:id="88"/>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940" w:type="dxa"/>
            <w:vAlign w:val="bottom"/>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w:t>
            </w: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8420" w:type="dxa"/>
            <w:vAlign w:val="bottom"/>
            <w:gridSpan w:val="3"/>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r>
              <w:rPr>
                <w:rFonts w:ascii="Arial" w:cs="Arial" w:eastAsia="Arial" w:hAnsi="Arial"/>
                <w:sz w:val="22"/>
                <w:szCs w:val="22"/>
                <w:color w:val="auto"/>
              </w:rPr>
              <w:t>.</w:t>
            </w: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20" w:type="dxa"/>
            <w:vAlign w:val="bottom"/>
            <w:gridSpan w:val="2"/>
          </w:tcPr>
          <w:p>
            <w:pPr>
              <w:jc w:val="center"/>
              <w:ind w:left="1592"/>
              <w:spacing w:after="0"/>
              <w:rPr>
                <w:sz w:val="20"/>
                <w:szCs w:val="20"/>
                <w:color w:val="auto"/>
              </w:rPr>
            </w:pPr>
            <w:r>
              <w:rPr>
                <w:rFonts w:ascii="Arial" w:cs="Arial" w:eastAsia="Arial" w:hAnsi="Arial"/>
                <w:sz w:val="22"/>
                <w:szCs w:val="22"/>
                <w:color w:val="auto"/>
                <w:w w:val="89"/>
              </w:rPr>
              <w:t>Defined</w:t>
            </w:r>
          </w:p>
        </w:tc>
        <w:tc>
          <w:tcPr>
            <w:tcW w:w="0" w:type="dxa"/>
            <w:vAlign w:val="bottom"/>
          </w:tcPr>
          <w:p>
            <w:pPr>
              <w:spacing w:after="0"/>
              <w:rPr>
                <w:sz w:val="1"/>
                <w:szCs w:val="1"/>
                <w:color w:val="auto"/>
              </w:rPr>
            </w:pPr>
          </w:p>
        </w:tc>
      </w:tr>
      <w:tr>
        <w:trPr>
          <w:trHeight w:val="243"/>
        </w:trPr>
        <w:tc>
          <w:tcPr>
            <w:tcW w:w="8420" w:type="dxa"/>
            <w:vAlign w:val="bottom"/>
            <w:gridSpan w:val="3"/>
            <w:vMerge w:val="restart"/>
          </w:tcPr>
          <w:p>
            <w:pPr>
              <w:ind w:left="40"/>
              <w:spacing w:after="0"/>
              <w:rPr>
                <w:sz w:val="20"/>
                <w:szCs w:val="20"/>
                <w:color w:val="auto"/>
              </w:rPr>
            </w:pPr>
            <w:r>
              <w:rPr>
                <w:rFonts w:ascii="Arial" w:cs="Arial" w:eastAsia="Arial" w:hAnsi="Arial"/>
                <w:sz w:val="22"/>
                <w:szCs w:val="22"/>
                <w:color w:val="auto"/>
              </w:rPr>
              <w:t>Term</w:t>
            </w:r>
          </w:p>
        </w:tc>
        <w:tc>
          <w:tcPr>
            <w:tcW w:w="1760" w:type="dxa"/>
            <w:vAlign w:val="bottom"/>
          </w:tcPr>
          <w:p>
            <w:pPr>
              <w:spacing w:after="0"/>
              <w:rPr>
                <w:sz w:val="21"/>
                <w:szCs w:val="21"/>
                <w:color w:val="auto"/>
              </w:rPr>
            </w:pPr>
          </w:p>
        </w:tc>
        <w:tc>
          <w:tcPr>
            <w:tcW w:w="660" w:type="dxa"/>
            <w:vAlign w:val="bottom"/>
          </w:tcPr>
          <w:p>
            <w:pPr>
              <w:jc w:val="center"/>
              <w:spacing w:after="0" w:line="243" w:lineRule="exact"/>
              <w:rPr>
                <w:sz w:val="20"/>
                <w:szCs w:val="20"/>
                <w:color w:val="auto"/>
              </w:rPr>
            </w:pPr>
            <w:r>
              <w:rPr>
                <w:rFonts w:ascii="Arial" w:cs="Arial" w:eastAsia="Arial" w:hAnsi="Arial"/>
                <w:sz w:val="22"/>
                <w:szCs w:val="22"/>
                <w:color w:val="auto"/>
              </w:rPr>
              <w:t>in</w:t>
            </w:r>
          </w:p>
        </w:tc>
        <w:tc>
          <w:tcPr>
            <w:tcW w:w="0" w:type="dxa"/>
            <w:vAlign w:val="bottom"/>
          </w:tcPr>
          <w:p>
            <w:pPr>
              <w:spacing w:after="0"/>
              <w:rPr>
                <w:sz w:val="1"/>
                <w:szCs w:val="1"/>
                <w:color w:val="auto"/>
              </w:rPr>
            </w:pPr>
          </w:p>
        </w:tc>
      </w:tr>
      <w:tr>
        <w:trPr>
          <w:trHeight w:val="143"/>
        </w:trPr>
        <w:tc>
          <w:tcPr>
            <w:tcW w:w="8420" w:type="dxa"/>
            <w:vAlign w:val="bottom"/>
            <w:gridSpan w:val="3"/>
            <w:vMerge w:val="continue"/>
          </w:tcPr>
          <w:p>
            <w:pPr>
              <w:spacing w:after="0"/>
              <w:rPr>
                <w:sz w:val="12"/>
                <w:szCs w:val="12"/>
                <w:color w:val="auto"/>
              </w:rPr>
            </w:pPr>
          </w:p>
        </w:tc>
        <w:tc>
          <w:tcPr>
            <w:tcW w:w="1760" w:type="dxa"/>
            <w:vAlign w:val="bottom"/>
            <w:vMerge w:val="restart"/>
          </w:tcPr>
          <w:p>
            <w:pPr>
              <w:spacing w:after="0"/>
              <w:rPr>
                <w:sz w:val="12"/>
                <w:szCs w:val="12"/>
                <w:color w:val="auto"/>
              </w:rPr>
            </w:pPr>
          </w:p>
        </w:tc>
        <w:tc>
          <w:tcPr>
            <w:tcW w:w="660" w:type="dxa"/>
            <w:vAlign w:val="bottom"/>
            <w:vMerge w:val="restart"/>
          </w:tcPr>
          <w:p>
            <w:pPr>
              <w:jc w:val="center"/>
              <w:spacing w:after="0" w:line="224" w:lineRule="exact"/>
              <w:rPr>
                <w:sz w:val="20"/>
                <w:szCs w:val="20"/>
                <w:color w:val="auto"/>
              </w:rPr>
            </w:pPr>
            <w:r>
              <w:rPr>
                <w:rFonts w:ascii="Arial" w:cs="Arial" w:eastAsia="Arial" w:hAnsi="Arial"/>
                <w:sz w:val="22"/>
                <w:szCs w:val="22"/>
                <w:color w:val="auto"/>
                <w:w w:val="89"/>
              </w:rPr>
              <w:t>Section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6"/>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2.02</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8.03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6.01</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HKSE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2420" w:type="dxa"/>
            <w:vAlign w:val="bottom"/>
            <w:gridSpan w:val="2"/>
          </w:tcPr>
          <w:p>
            <w:pPr>
              <w:jc w:val="center"/>
              <w:ind w:left="1632"/>
              <w:spacing w:after="0"/>
              <w:rPr>
                <w:sz w:val="20"/>
                <w:szCs w:val="20"/>
                <w:color w:val="auto"/>
              </w:rPr>
            </w:pPr>
            <w:r>
              <w:rPr>
                <w:rFonts w:ascii="Arial" w:cs="Arial" w:eastAsia="Arial" w:hAnsi="Arial"/>
                <w:sz w:val="22"/>
                <w:szCs w:val="22"/>
                <w:color w:val="auto"/>
                <w:w w:val="87"/>
              </w:rPr>
              <w:t>11.08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8.02</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Jurisdiction</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Offer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Person</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Rules of Construction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60" w:lineRule="exact"/>
        <w:rPr>
          <w:sz w:val="20"/>
          <w:szCs w:val="20"/>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in accordance with IFRS;</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“will” and “shall” shall be interpreted to express a command;</w:t>
      </w:r>
    </w:p>
    <w:p>
      <w:pPr>
        <w:sectPr>
          <w:pgSz w:w="11900" w:h="16838" w:orient="portrait"/>
          <w:cols w:equalWidth="0" w:num="1">
            <w:col w:w="11420"/>
          </w:cols>
          <w:pgMar w:left="240" w:top="8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20"/>
          </w:cols>
          <w:pgMar w:left="240" w:top="861" w:right="239" w:bottom="1440" w:gutter="0" w:footer="0" w:header="0"/>
          <w:type w:val="continuous"/>
        </w:sectPr>
      </w:pPr>
    </w:p>
    <w:bookmarkStart w:id="89" w:name="page90"/>
    <w:bookmarkEnd w:id="89"/>
    <w:p>
      <w:pPr>
        <w:ind w:left="1740" w:hanging="435"/>
        <w:spacing w:after="0"/>
        <w:tabs>
          <w:tab w:leader="none" w:pos="17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73" w:lineRule="exact"/>
        <w:rPr>
          <w:rFonts w:ascii="Arial" w:cs="Arial" w:eastAsia="Arial" w:hAnsi="Arial"/>
          <w:sz w:val="22"/>
          <w:szCs w:val="22"/>
          <w:color w:val="auto"/>
        </w:rPr>
      </w:pPr>
    </w:p>
    <w:p>
      <w:pPr>
        <w:ind w:left="660" w:right="20" w:firstLine="645"/>
        <w:spacing w:after="0" w:line="315" w:lineRule="auto"/>
        <w:tabs>
          <w:tab w:leader="none" w:pos="1754"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59" w:lineRule="exact"/>
        <w:rPr>
          <w:rFonts w:ascii="Arial" w:cs="Arial" w:eastAsia="Arial" w:hAnsi="Arial"/>
          <w:sz w:val="22"/>
          <w:szCs w:val="22"/>
          <w:color w:val="auto"/>
        </w:rPr>
      </w:pPr>
    </w:p>
    <w:p>
      <w:pPr>
        <w:ind w:left="660" w:firstLine="645"/>
        <w:spacing w:after="0" w:line="315" w:lineRule="auto"/>
        <w:tabs>
          <w:tab w:leader="none" w:pos="1835"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59" w:lineRule="exact"/>
        <w:rPr>
          <w:rFonts w:ascii="Arial" w:cs="Arial" w:eastAsia="Arial" w:hAnsi="Arial"/>
          <w:sz w:val="22"/>
          <w:szCs w:val="22"/>
          <w:color w:val="auto"/>
        </w:rPr>
      </w:pPr>
    </w:p>
    <w:p>
      <w:pPr>
        <w:ind w:left="1860" w:hanging="555"/>
        <w:spacing w:after="0"/>
        <w:tabs>
          <w:tab w:leader="none" w:pos="18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references to any contract, agreement or instrument shall mean the same as amended, modified, supplemented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or amended and restated from time to time, in each case, in accordance with any applicable restrictions contained therein and in this Indenture; and</w:t>
      </w:r>
    </w:p>
    <w:p>
      <w:pPr>
        <w:spacing w:after="0" w:line="173" w:lineRule="exact"/>
        <w:rPr>
          <w:rFonts w:ascii="Arial" w:cs="Arial" w:eastAsia="Arial" w:hAnsi="Arial"/>
          <w:sz w:val="19"/>
          <w:szCs w:val="19"/>
          <w:color w:val="auto"/>
        </w:rPr>
      </w:pPr>
    </w:p>
    <w:p>
      <w:pPr>
        <w:ind w:left="1940" w:hanging="635"/>
        <w:spacing w:after="0"/>
        <w:tabs>
          <w:tab w:leader="none" w:pos="19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consummation by the Issuer on the date of this Indenture of the transactions described in the Issuer’s</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Offering Memorandum, dated as of September 13, 2017, relating to the offering of the Initial Notes, shall be deemed to occur concurrently.</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THE NOTES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Notes and the Trustee’s certificate of authentication shall be substantially in the form of Exhibit A hereto.</w:t>
      </w:r>
    </w:p>
    <w:p>
      <w:pPr>
        <w:spacing w:after="0" w:line="92" w:lineRule="exact"/>
        <w:rPr>
          <w:rFonts w:ascii="Arial" w:cs="Arial" w:eastAsia="Arial" w:hAnsi="Arial"/>
          <w:sz w:val="19"/>
          <w:szCs w:val="19"/>
          <w:color w:val="auto"/>
        </w:rPr>
      </w:pPr>
    </w:p>
    <w:p>
      <w:pPr>
        <w:jc w:val="both"/>
        <w:ind w:right="20"/>
        <w:spacing w:after="0" w:line="292" w:lineRule="auto"/>
        <w:rPr>
          <w:rFonts w:ascii="Arial" w:cs="Arial" w:eastAsia="Arial" w:hAnsi="Arial"/>
          <w:sz w:val="19"/>
          <w:szCs w:val="19"/>
          <w:color w:val="auto"/>
        </w:rPr>
      </w:pPr>
      <w:r>
        <w:rPr>
          <w:rFonts w:ascii="Arial" w:cs="Arial" w:eastAsia="Arial" w:hAnsi="Arial"/>
          <w:sz w:val="22"/>
          <w:szCs w:val="22"/>
          <w:color w:val="auto"/>
        </w:rPr>
        <w:t>The Notes may 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90" w:lineRule="exact"/>
        <w:rPr>
          <w:sz w:val="20"/>
          <w:szCs w:val="20"/>
          <w:color w:val="auto"/>
        </w:rPr>
      </w:pPr>
    </w:p>
    <w:p>
      <w:pPr>
        <w:ind w:left="1120" w:hanging="464"/>
        <w:spacing w:after="0"/>
        <w:tabs>
          <w:tab w:leader="none" w:pos="112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 Exhibit A hereto (including the Global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61" w:right="239" w:bottom="1440" w:gutter="0" w:footer="0" w:header="0"/>
        </w:sectPr>
      </w:pPr>
    </w:p>
    <w:bookmarkStart w:id="90" w:name="page91"/>
    <w:bookmarkEnd w:id="90"/>
    <w:p>
      <w:pPr>
        <w:jc w:val="both"/>
        <w:spacing w:after="0" w:line="300" w:lineRule="auto"/>
        <w:rPr>
          <w:sz w:val="20"/>
          <w:szCs w:val="20"/>
          <w:color w:val="auto"/>
        </w:rPr>
      </w:pPr>
      <w:r>
        <w:rPr>
          <w:rFonts w:ascii="Arial" w:cs="Arial" w:eastAsia="Arial" w:hAnsi="Arial"/>
          <w:sz w:val="21"/>
          <w:szCs w:val="21"/>
          <w:color w:val="auto"/>
        </w:rPr>
        <w:t>duly executed by the Issuer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83" w:lineRule="exact"/>
        <w:rPr>
          <w:sz w:val="20"/>
          <w:szCs w:val="20"/>
          <w:color w:val="auto"/>
        </w:rPr>
      </w:pPr>
    </w:p>
    <w:p>
      <w:pPr>
        <w:ind w:left="1200" w:hanging="544"/>
        <w:spacing w:after="0"/>
        <w:tabs>
          <w:tab w:leader="none" w:pos="120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 xml:space="preserve">Euroclear and Clearstream Procedures Applicable. </w:t>
      </w:r>
      <w:r>
        <w:rPr>
          <w:rFonts w:ascii="Arial" w:cs="Arial" w:eastAsia="Arial" w:hAnsi="Arial"/>
          <w:sz w:val="19"/>
          <w:szCs w:val="19"/>
          <w:color w:val="auto"/>
        </w:rPr>
        <w:t>The provisions of the “Operating Procedures of the Euroclear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Designated Officer must sign the Notes for the Issuer by manual or facsimile signature.</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upon receipt of a written order of the Issuer signed by a Designated Officer of the Issuer (an “</w:t>
      </w:r>
      <w:r>
        <w:rPr>
          <w:rFonts w:ascii="Arial" w:cs="Arial" w:eastAsia="Arial" w:hAnsi="Arial"/>
          <w:sz w:val="22"/>
          <w:szCs w:val="22"/>
          <w:i w:val="1"/>
          <w:iCs w:val="1"/>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61" w:right="239" w:bottom="1440" w:gutter="0" w:footer="0" w:header="0"/>
        </w:sectPr>
      </w:pPr>
    </w:p>
    <w:bookmarkStart w:id="91" w:name="page92"/>
    <w:bookmarkEnd w:id="91"/>
    <w:p>
      <w:pPr>
        <w:spacing w:after="0"/>
        <w:tabs>
          <w:tab w:leader="none" w:pos="12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2"/>
          <w:szCs w:val="22"/>
          <w:color w:val="auto"/>
        </w:rPr>
        <w:t>The Issuer shall maintain an office or agency where Notes may be presented for registration of transfer or for exchange (“</w:t>
      </w:r>
      <w:r>
        <w:rPr>
          <w:rFonts w:ascii="Arial" w:cs="Arial" w:eastAsia="Arial" w:hAnsi="Arial"/>
          <w:sz w:val="22"/>
          <w:szCs w:val="22"/>
          <w:i w:val="1"/>
          <w:iCs w:val="1"/>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color w:val="auto"/>
        </w:rPr>
        <w:t>Paying Agent</w:t>
      </w:r>
      <w:r>
        <w:rPr>
          <w:rFonts w:ascii="Arial" w:cs="Arial" w:eastAsia="Arial" w:hAnsi="Arial"/>
          <w:sz w:val="22"/>
          <w:szCs w:val="22"/>
          <w:color w:val="auto"/>
        </w:rPr>
        <w: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9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rely and shall be fully protected in relying upon information furnished by DTC with respect to its agent members and other members, participants and any beneficial owners.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initially appoints the Trustee to act as the Registrar and Paying Agent and to act as Custodian with respect to the Global Notes.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 Paying Agent, it shall segregate and hold in a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61" w:right="239" w:bottom="1440" w:gutter="0" w:footer="0" w:header="0"/>
        </w:sectPr>
      </w:pPr>
    </w:p>
    <w:bookmarkStart w:id="92" w:name="page93"/>
    <w:bookmarkEnd w:id="92"/>
    <w:p>
      <w:pPr>
        <w:jc w:val="both"/>
        <w:ind w:right="20"/>
        <w:spacing w:after="0" w:line="302" w:lineRule="auto"/>
        <w:rPr>
          <w:sz w:val="20"/>
          <w:szCs w:val="20"/>
          <w:color w:val="auto"/>
        </w:rPr>
      </w:pPr>
      <w:r>
        <w:rPr>
          <w:rFonts w:ascii="Arial" w:cs="Arial" w:eastAsia="Arial" w:hAnsi="Arial"/>
          <w:sz w:val="22"/>
          <w:szCs w:val="22"/>
          <w:color w:val="auto"/>
        </w:rPr>
        <w:t>trust fund for the benefit of the Holders all money held by it as Paying Agent. Upon any bankruptcy or reorganization proceedings relating to the Issuer, the Trustee shall serve as Paying Agent for the Notes.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Transfer and Exchange</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Transfer and Exchange of Global Notes</w:t>
      </w:r>
      <w:r>
        <w:rPr>
          <w:rFonts w:ascii="Arial" w:cs="Arial" w:eastAsia="Arial" w:hAnsi="Arial"/>
          <w:sz w:val="19"/>
          <w:szCs w:val="19"/>
          <w:color w:val="auto"/>
        </w:rPr>
        <w:t>. A Global Note may not be transferred except as a whole by the Depositary to</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184" w:lineRule="exact"/>
        <w:rPr>
          <w:rFonts w:ascii="Arial" w:cs="Arial" w:eastAsia="Arial" w:hAnsi="Arial"/>
          <w:sz w:val="19"/>
          <w:szCs w:val="19"/>
          <w:color w:val="auto"/>
        </w:rPr>
      </w:pPr>
    </w:p>
    <w:p>
      <w:pPr>
        <w:ind w:left="1760" w:hanging="455"/>
        <w:spacing w:after="0"/>
        <w:tabs>
          <w:tab w:leader="none" w:pos="17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Issuer delivers to the Trustee written notice from the Depositary that it is unwilling or unable to continue to</w:t>
      </w:r>
    </w:p>
    <w:p>
      <w:pPr>
        <w:spacing w:after="0" w:line="92" w:lineRule="exact"/>
        <w:rPr>
          <w:rFonts w:ascii="Arial" w:cs="Arial" w:eastAsia="Arial" w:hAnsi="Arial"/>
          <w:sz w:val="19"/>
          <w:szCs w:val="19"/>
          <w:color w:val="auto"/>
        </w:rPr>
      </w:pPr>
    </w:p>
    <w:p>
      <w:pPr>
        <w:ind w:left="660" w:right="20"/>
        <w:spacing w:after="0" w:line="387" w:lineRule="auto"/>
        <w:rPr>
          <w:rFonts w:ascii="Arial" w:cs="Arial" w:eastAsia="Arial" w:hAnsi="Arial"/>
          <w:sz w:val="19"/>
          <w:szCs w:val="19"/>
          <w:color w:val="auto"/>
        </w:rPr>
      </w:pPr>
      <w:r>
        <w:rPr>
          <w:rFonts w:ascii="Arial" w:cs="Arial" w:eastAsia="Arial" w:hAnsi="Arial"/>
          <w:sz w:val="19"/>
          <w:szCs w:val="19"/>
          <w:color w:val="auto"/>
        </w:rPr>
        <w:t>act as Depositary or that it is no longer a clearing agency registered under the Exchange Act and, in either case, a successor Depositary is not appointed by the Issuer within 120 days after the date of such notice from the Depositary;</w:t>
      </w:r>
    </w:p>
    <w:p>
      <w:pPr>
        <w:spacing w:after="0" w:line="105" w:lineRule="exact"/>
        <w:rPr>
          <w:rFonts w:ascii="Arial" w:cs="Arial" w:eastAsia="Arial" w:hAnsi="Arial"/>
          <w:sz w:val="19"/>
          <w:szCs w:val="19"/>
          <w:color w:val="auto"/>
        </w:rPr>
      </w:pPr>
    </w:p>
    <w:p>
      <w:pPr>
        <w:ind w:left="660" w:firstLine="645"/>
        <w:spacing w:after="0" w:line="315" w:lineRule="auto"/>
        <w:tabs>
          <w:tab w:leader="none" w:pos="17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Issuer in its sole discretion determines that the Global Notes (in whole but not in part) should be exchanged for Definitive Notes and delivers a written notice to such effect to the Trustee; or</w:t>
      </w:r>
    </w:p>
    <w:p>
      <w:pPr>
        <w:spacing w:after="0" w:line="159" w:lineRule="exact"/>
        <w:rPr>
          <w:rFonts w:ascii="Arial" w:cs="Arial" w:eastAsia="Arial" w:hAnsi="Arial"/>
          <w:sz w:val="22"/>
          <w:szCs w:val="22"/>
          <w:color w:val="auto"/>
        </w:rPr>
      </w:pPr>
    </w:p>
    <w:p>
      <w:pPr>
        <w:ind w:left="1800" w:hanging="495"/>
        <w:spacing w:after="0"/>
        <w:tabs>
          <w:tab w:leader="none" w:pos="18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following the occurrence and during the continuation of a Default or Event of Default, any Person having a</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beneficial interest in a Global Note requests that the Global Notes should be exchanged for Definitive Notes and delivers a written notice to such effect to the Trustee.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61"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beneficial interests in a Global Note may be transferred and exchanged as provided in Section 2.06(b) or (c) hereof.</w:t>
      </w:r>
    </w:p>
    <w:p>
      <w:pPr>
        <w:spacing w:after="0" w:line="260" w:lineRule="exact"/>
        <w:rPr>
          <w:sz w:val="20"/>
          <w:szCs w:val="20"/>
          <w:color w:val="auto"/>
        </w:rPr>
      </w:pPr>
    </w:p>
    <w:p>
      <w:pPr>
        <w:ind w:left="1100" w:hanging="444"/>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the Global Notes</w:t>
      </w:r>
      <w:r>
        <w:rPr>
          <w:rFonts w:ascii="Arial" w:cs="Arial" w:eastAsia="Arial" w:hAnsi="Arial"/>
          <w:sz w:val="19"/>
          <w:szCs w:val="19"/>
          <w:color w:val="auto"/>
        </w:rPr>
        <w:t>. The transfer and exchange of beneficial interests in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9" w:lineRule="exact"/>
        <w:rPr>
          <w:rFonts w:ascii="Arial" w:cs="Arial" w:eastAsia="Arial" w:hAnsi="Arial"/>
          <w:sz w:val="19"/>
          <w:szCs w:val="19"/>
          <w:color w:val="auto"/>
        </w:rPr>
      </w:pPr>
    </w:p>
    <w:p>
      <w:pPr>
        <w:ind w:left="1820" w:hanging="515"/>
        <w:spacing w:after="0"/>
        <w:tabs>
          <w:tab w:leader="none" w:pos="1820" w:val="left"/>
        </w:tabs>
        <w:numPr>
          <w:ilvl w:val="1"/>
          <w:numId w:val="41"/>
        </w:numPr>
        <w:rPr>
          <w:rFonts w:ascii="Arial" w:cs="Arial" w:eastAsia="Arial" w:hAnsi="Arial"/>
          <w:sz w:val="19"/>
          <w:szCs w:val="19"/>
          <w:color w:val="auto"/>
        </w:rPr>
      </w:pPr>
      <w:r>
        <w:rPr>
          <w:rFonts w:ascii="Arial" w:cs="Arial" w:eastAsia="Arial" w:hAnsi="Arial"/>
          <w:sz w:val="19"/>
          <w:szCs w:val="19"/>
          <w:i w:val="1"/>
          <w:iCs w:val="1"/>
          <w:color w:val="auto"/>
        </w:rPr>
        <w:t>Transfer of Beneficial Interests in the Same Global Note</w:t>
      </w:r>
      <w:r>
        <w:rPr>
          <w:rFonts w:ascii="Arial" w:cs="Arial" w:eastAsia="Arial" w:hAnsi="Arial"/>
          <w:sz w:val="19"/>
          <w:szCs w:val="19"/>
          <w:color w:val="auto"/>
        </w:rPr>
        <w:t>. Beneficial interests in any Restricted Global Note</w:t>
      </w:r>
    </w:p>
    <w:p>
      <w:pPr>
        <w:spacing w:after="0" w:line="92" w:lineRule="exact"/>
        <w:rPr>
          <w:rFonts w:ascii="Arial" w:cs="Arial" w:eastAsia="Arial" w:hAnsi="Arial"/>
          <w:sz w:val="19"/>
          <w:szCs w:val="19"/>
          <w:color w:val="auto"/>
        </w:rPr>
      </w:pPr>
    </w:p>
    <w:p>
      <w:pPr>
        <w:jc w:val="both"/>
        <w:ind w:left="66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expiration of the Restricted Period, transfers of beneficial interests in the Regulation S 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54" w:lineRule="exact"/>
        <w:rPr>
          <w:rFonts w:ascii="Arial" w:cs="Arial" w:eastAsia="Arial" w:hAnsi="Arial"/>
          <w:sz w:val="19"/>
          <w:szCs w:val="19"/>
          <w:color w:val="auto"/>
        </w:rPr>
      </w:pPr>
    </w:p>
    <w:p>
      <w:pPr>
        <w:ind w:left="1760" w:hanging="455"/>
        <w:spacing w:after="0"/>
        <w:tabs>
          <w:tab w:leader="none" w:pos="1760" w:val="left"/>
        </w:tabs>
        <w:numPr>
          <w:ilvl w:val="1"/>
          <w:numId w:val="41"/>
        </w:numPr>
        <w:rPr>
          <w:rFonts w:ascii="Arial" w:cs="Arial" w:eastAsia="Arial" w:hAnsi="Arial"/>
          <w:sz w:val="19"/>
          <w:szCs w:val="19"/>
          <w:color w:val="auto"/>
        </w:rPr>
      </w:pPr>
      <w:r>
        <w:rPr>
          <w:rFonts w:ascii="Arial" w:cs="Arial" w:eastAsia="Arial" w:hAnsi="Arial"/>
          <w:sz w:val="19"/>
          <w:szCs w:val="19"/>
          <w:i w:val="1"/>
          <w:iCs w:val="1"/>
          <w:color w:val="auto"/>
        </w:rPr>
        <w:t xml:space="preserve">All Other Transfers and Exchanges of Beneficial Interests in Global Notes. </w:t>
      </w:r>
      <w:r>
        <w:rPr>
          <w:rFonts w:ascii="Arial" w:cs="Arial" w:eastAsia="Arial" w:hAnsi="Arial"/>
          <w:sz w:val="19"/>
          <w:szCs w:val="19"/>
          <w:color w:val="auto"/>
        </w:rPr>
        <w:t>In connection with all transfers and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73" w:lineRule="exact"/>
        <w:rPr>
          <w:rFonts w:ascii="Arial" w:cs="Arial" w:eastAsia="Arial" w:hAnsi="Arial"/>
          <w:sz w:val="19"/>
          <w:szCs w:val="19"/>
          <w:color w:val="auto"/>
        </w:rPr>
      </w:pPr>
    </w:p>
    <w:p>
      <w:pPr>
        <w:ind w:left="2440" w:hanging="487"/>
        <w:spacing w:after="0"/>
        <w:tabs>
          <w:tab w:leader="none" w:pos="2440" w:val="left"/>
        </w:tabs>
        <w:numPr>
          <w:ilvl w:val="2"/>
          <w:numId w:val="41"/>
        </w:numPr>
        <w:rPr>
          <w:rFonts w:ascii="Arial" w:cs="Arial" w:eastAsia="Arial" w:hAnsi="Arial"/>
          <w:sz w:val="22"/>
          <w:szCs w:val="22"/>
          <w:color w:val="auto"/>
        </w:rPr>
      </w:pPr>
      <w:r>
        <w:rPr>
          <w:rFonts w:ascii="Arial" w:cs="Arial" w:eastAsia="Arial" w:hAnsi="Arial"/>
          <w:sz w:val="22"/>
          <w:szCs w:val="22"/>
          <w:color w:val="auto"/>
        </w:rPr>
        <w:t>both:</w:t>
      </w:r>
    </w:p>
    <w:p>
      <w:pPr>
        <w:spacing w:after="0" w:line="273" w:lineRule="exact"/>
        <w:rPr>
          <w:rFonts w:ascii="Arial" w:cs="Arial" w:eastAsia="Arial" w:hAnsi="Arial"/>
          <w:sz w:val="22"/>
          <w:szCs w:val="22"/>
          <w:color w:val="auto"/>
        </w:rPr>
      </w:pPr>
    </w:p>
    <w:p>
      <w:pPr>
        <w:ind w:left="2980" w:hanging="379"/>
        <w:spacing w:after="0"/>
        <w:tabs>
          <w:tab w:leader="none" w:pos="2980" w:val="left"/>
        </w:tabs>
        <w:numPr>
          <w:ilvl w:val="3"/>
          <w:numId w:val="41"/>
        </w:numPr>
        <w:rPr>
          <w:rFonts w:ascii="Arial" w:cs="Arial" w:eastAsia="Arial" w:hAnsi="Arial"/>
          <w:sz w:val="19"/>
          <w:szCs w:val="19"/>
          <w:color w:val="auto"/>
        </w:rPr>
      </w:pPr>
      <w:r>
        <w:rPr>
          <w:rFonts w:ascii="Arial" w:cs="Arial" w:eastAsia="Arial" w:hAnsi="Arial"/>
          <w:sz w:val="19"/>
          <w:szCs w:val="19"/>
          <w:color w:val="auto"/>
        </w:rPr>
        <w:t>a written order from a Participant or an Indirect Participant given to the Depositary in accordance</w:t>
      </w:r>
    </w:p>
    <w:p>
      <w:pPr>
        <w:spacing w:after="0" w:line="92" w:lineRule="exact"/>
        <w:rPr>
          <w:rFonts w:ascii="Arial" w:cs="Arial" w:eastAsia="Arial" w:hAnsi="Arial"/>
          <w:sz w:val="19"/>
          <w:szCs w:val="19"/>
          <w:color w:val="auto"/>
        </w:rPr>
      </w:pPr>
    </w:p>
    <w:p>
      <w:pPr>
        <w:ind w:left="1960"/>
        <w:spacing w:after="0" w:line="387" w:lineRule="auto"/>
        <w:rPr>
          <w:rFonts w:ascii="Arial" w:cs="Arial" w:eastAsia="Arial" w:hAnsi="Arial"/>
          <w:sz w:val="19"/>
          <w:szCs w:val="19"/>
          <w:color w:val="auto"/>
        </w:rPr>
      </w:pPr>
      <w:r>
        <w:rPr>
          <w:rFonts w:ascii="Arial" w:cs="Arial" w:eastAsia="Arial" w:hAnsi="Arial"/>
          <w:sz w:val="19"/>
          <w:szCs w:val="19"/>
          <w:color w:val="auto"/>
        </w:rPr>
        <w:t>with the Applicable Procedures directing the Depositary to credit or cause to be credited a beneficial interest in another Global Note in an amount equal to the beneficial interest to be transferred or exchanged; and</w:t>
      </w:r>
    </w:p>
    <w:p>
      <w:pPr>
        <w:spacing w:after="0" w:line="105" w:lineRule="exact"/>
        <w:rPr>
          <w:rFonts w:ascii="Arial" w:cs="Arial" w:eastAsia="Arial" w:hAnsi="Arial"/>
          <w:sz w:val="19"/>
          <w:szCs w:val="19"/>
          <w:color w:val="auto"/>
        </w:rPr>
      </w:pPr>
    </w:p>
    <w:p>
      <w:pPr>
        <w:ind w:left="1960" w:firstLine="641"/>
        <w:spacing w:after="0" w:line="315" w:lineRule="auto"/>
        <w:tabs>
          <w:tab w:leader="none" w:pos="3282" w:val="left"/>
        </w:tabs>
        <w:numPr>
          <w:ilvl w:val="3"/>
          <w:numId w:val="41"/>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59" w:lineRule="exact"/>
        <w:rPr>
          <w:rFonts w:ascii="Arial" w:cs="Arial" w:eastAsia="Arial" w:hAnsi="Arial"/>
          <w:sz w:val="22"/>
          <w:szCs w:val="22"/>
          <w:color w:val="auto"/>
        </w:rPr>
      </w:pPr>
    </w:p>
    <w:p>
      <w:pPr>
        <w:ind w:left="2420" w:hanging="467"/>
        <w:spacing w:after="0"/>
        <w:tabs>
          <w:tab w:leader="none" w:pos="2420" w:val="left"/>
        </w:tabs>
        <w:numPr>
          <w:ilvl w:val="2"/>
          <w:numId w:val="41"/>
        </w:numPr>
        <w:rPr>
          <w:rFonts w:ascii="Arial" w:cs="Arial" w:eastAsia="Arial" w:hAnsi="Arial"/>
          <w:sz w:val="22"/>
          <w:szCs w:val="22"/>
          <w:color w:val="auto"/>
        </w:rPr>
      </w:pPr>
      <w:r>
        <w:rPr>
          <w:rFonts w:ascii="Arial" w:cs="Arial" w:eastAsia="Arial" w:hAnsi="Arial"/>
          <w:sz w:val="22"/>
          <w:szCs w:val="22"/>
          <w:color w:val="auto"/>
        </w:rPr>
        <w:t>both:</w:t>
      </w:r>
    </w:p>
    <w:p>
      <w:pPr>
        <w:spacing w:after="0" w:line="273" w:lineRule="exact"/>
        <w:rPr>
          <w:rFonts w:ascii="Arial" w:cs="Arial" w:eastAsia="Arial" w:hAnsi="Arial"/>
          <w:sz w:val="22"/>
          <w:szCs w:val="22"/>
          <w:color w:val="auto"/>
        </w:rPr>
      </w:pPr>
    </w:p>
    <w:p>
      <w:pPr>
        <w:ind w:left="1960" w:firstLine="641"/>
        <w:spacing w:after="0" w:line="315" w:lineRule="auto"/>
        <w:tabs>
          <w:tab w:leader="none" w:pos="2992" w:val="left"/>
        </w:tabs>
        <w:numPr>
          <w:ilvl w:val="3"/>
          <w:numId w:val="41"/>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61" w:right="239" w:bottom="1440" w:gutter="0" w:footer="0" w:header="0"/>
        </w:sectPr>
      </w:pPr>
    </w:p>
    <w:bookmarkStart w:id="94" w:name="page95"/>
    <w:bookmarkEnd w:id="94"/>
    <w:p>
      <w:pPr>
        <w:ind w:left="1960"/>
        <w:spacing w:after="0" w:line="302" w:lineRule="auto"/>
        <w:rPr>
          <w:sz w:val="20"/>
          <w:szCs w:val="20"/>
          <w:color w:val="auto"/>
        </w:rPr>
      </w:pPr>
      <w:r>
        <w:rPr>
          <w:rFonts w:ascii="Arial" w:cs="Arial" w:eastAsia="Arial" w:hAnsi="Arial"/>
          <w:sz w:val="22"/>
          <w:szCs w:val="22"/>
          <w:color w:val="auto"/>
        </w:rPr>
        <w:t>directing the Depositary to cause to be issued a Definitive Note in an amount equal to the beneficial interest to be transferred or exchanged; and</w:t>
      </w:r>
    </w:p>
    <w:p>
      <w:pPr>
        <w:spacing w:after="0" w:line="174" w:lineRule="exact"/>
        <w:rPr>
          <w:sz w:val="20"/>
          <w:szCs w:val="20"/>
          <w:color w:val="auto"/>
        </w:rPr>
      </w:pPr>
    </w:p>
    <w:p>
      <w:pPr>
        <w:ind w:left="3200" w:hanging="599"/>
        <w:spacing w:after="0"/>
        <w:tabs>
          <w:tab w:leader="none" w:pos="32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instructions given by the Depositary to the Registrar containing information regarding the</w:t>
      </w:r>
    </w:p>
    <w:p>
      <w:pPr>
        <w:spacing w:after="0" w:line="69" w:lineRule="exact"/>
        <w:rPr>
          <w:rFonts w:ascii="Arial" w:cs="Arial" w:eastAsia="Arial" w:hAnsi="Arial"/>
          <w:sz w:val="21"/>
          <w:szCs w:val="21"/>
          <w:color w:val="auto"/>
        </w:rPr>
      </w:pPr>
    </w:p>
    <w:p>
      <w:pPr>
        <w:ind w:left="1960"/>
        <w:spacing w:after="0" w:line="302" w:lineRule="auto"/>
        <w:rPr>
          <w:rFonts w:ascii="Arial" w:cs="Arial" w:eastAsia="Arial" w:hAnsi="Arial"/>
          <w:sz w:val="21"/>
          <w:szCs w:val="21"/>
          <w:color w:val="auto"/>
        </w:rPr>
      </w:pPr>
      <w:r>
        <w:rPr>
          <w:rFonts w:ascii="Arial" w:cs="Arial" w:eastAsia="Arial" w:hAnsi="Arial"/>
          <w:sz w:val="22"/>
          <w:szCs w:val="22"/>
          <w:color w:val="auto"/>
        </w:rPr>
        <w:t>Person in whose name such Definitive Note shall be registered to effect the transfer or exchange referred to in (1) above.</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4" w:lineRule="exact"/>
        <w:rPr>
          <w:sz w:val="20"/>
          <w:szCs w:val="20"/>
          <w:color w:val="auto"/>
        </w:rPr>
      </w:pPr>
    </w:p>
    <w:p>
      <w:pPr>
        <w:ind w:left="1880" w:hanging="575"/>
        <w:spacing w:after="0"/>
        <w:tabs>
          <w:tab w:leader="none" w:pos="1880"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 xml:space="preserve">Transfer of Beneficial Interests to Another Restricted Global Note. </w:t>
      </w:r>
      <w:r>
        <w:rPr>
          <w:rFonts w:ascii="Arial" w:cs="Arial" w:eastAsia="Arial" w:hAnsi="Arial"/>
          <w:sz w:val="19"/>
          <w:szCs w:val="19"/>
          <w:color w:val="auto"/>
        </w:rPr>
        <w:t>A beneficial interest in any Restricted</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4" w:lineRule="exact"/>
        <w:rPr>
          <w:rFonts w:ascii="Arial" w:cs="Arial" w:eastAsia="Arial" w:hAnsi="Arial"/>
          <w:sz w:val="19"/>
          <w:szCs w:val="19"/>
          <w:color w:val="auto"/>
        </w:rPr>
      </w:pPr>
    </w:p>
    <w:p>
      <w:pPr>
        <w:ind w:left="2440" w:hanging="487"/>
        <w:spacing w:after="0"/>
        <w:tabs>
          <w:tab w:leader="none" w:pos="24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144A Global Note, then the</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transferor must deliver a certificate in the form of Exhibit B hereto, including the certifications in item (1) thereof; and</w:t>
      </w:r>
    </w:p>
    <w:p>
      <w:pPr>
        <w:spacing w:after="0" w:line="173" w:lineRule="exact"/>
        <w:rPr>
          <w:rFonts w:ascii="Arial" w:cs="Arial" w:eastAsia="Arial" w:hAnsi="Arial"/>
          <w:sz w:val="19"/>
          <w:szCs w:val="19"/>
          <w:color w:val="auto"/>
        </w:rPr>
      </w:pPr>
    </w:p>
    <w:p>
      <w:pPr>
        <w:jc w:val="both"/>
        <w:ind w:left="1300" w:firstLine="653"/>
        <w:spacing w:after="0" w:line="333" w:lineRule="auto"/>
        <w:tabs>
          <w:tab w:leader="none" w:pos="243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Regulation S Global Note, then the transferor must deliver a certificate in the form of Exhibit B hereto, including the certifications in item</w:t>
      </w:r>
    </w:p>
    <w:p>
      <w:pPr>
        <w:spacing w:after="0" w:line="1" w:lineRule="exact"/>
        <w:rPr>
          <w:rFonts w:ascii="Arial" w:cs="Arial" w:eastAsia="Arial" w:hAnsi="Arial"/>
          <w:sz w:val="19"/>
          <w:szCs w:val="19"/>
          <w:color w:val="auto"/>
        </w:rPr>
      </w:pPr>
    </w:p>
    <w:p>
      <w:pPr>
        <w:ind w:left="1620" w:hanging="315"/>
        <w:spacing w:after="0"/>
        <w:tabs>
          <w:tab w:leader="none" w:pos="16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thereof.</w:t>
      </w:r>
    </w:p>
    <w:p>
      <w:pPr>
        <w:spacing w:after="0" w:line="260" w:lineRule="exact"/>
        <w:rPr>
          <w:rFonts w:ascii="Arial" w:cs="Arial" w:eastAsia="Arial" w:hAnsi="Arial"/>
          <w:sz w:val="22"/>
          <w:szCs w:val="22"/>
          <w:color w:val="auto"/>
        </w:rPr>
      </w:pPr>
    </w:p>
    <w:p>
      <w:pPr>
        <w:ind w:left="1900" w:hanging="595"/>
        <w:spacing w:after="0"/>
        <w:tabs>
          <w:tab w:leader="none" w:pos="1900"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Transfer and Exchange of Beneficial Interests in a Restricted Global Note for Beneficial Interests in an</w:t>
      </w:r>
    </w:p>
    <w:p>
      <w:pPr>
        <w:spacing w:after="0" w:line="69" w:lineRule="exact"/>
        <w:rPr>
          <w:rFonts w:ascii="Arial" w:cs="Arial" w:eastAsia="Arial" w:hAnsi="Arial"/>
          <w:sz w:val="21"/>
          <w:szCs w:val="21"/>
          <w:color w:val="auto"/>
        </w:rPr>
      </w:pPr>
    </w:p>
    <w:p>
      <w:pPr>
        <w:jc w:val="both"/>
        <w:ind w:left="660"/>
        <w:spacing w:after="0" w:line="326" w:lineRule="auto"/>
        <w:rPr>
          <w:rFonts w:ascii="Arial" w:cs="Arial" w:eastAsia="Arial" w:hAnsi="Arial"/>
          <w:sz w:val="21"/>
          <w:szCs w:val="21"/>
          <w:color w:val="auto"/>
        </w:rPr>
      </w:pPr>
      <w:r>
        <w:rPr>
          <w:rFonts w:ascii="Arial" w:cs="Arial" w:eastAsia="Arial" w:hAnsi="Arial"/>
          <w:sz w:val="19"/>
          <w:szCs w:val="19"/>
          <w:i w:val="1"/>
          <w:iCs w:val="1"/>
          <w:color w:val="auto"/>
        </w:rPr>
        <w:t>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2.06(b)(2) above and the Registrar receives the following:</w:t>
      </w:r>
    </w:p>
    <w:p>
      <w:pPr>
        <w:spacing w:after="0" w:line="260" w:lineRule="exact"/>
        <w:rPr>
          <w:rFonts w:ascii="Arial" w:cs="Arial" w:eastAsia="Arial" w:hAnsi="Arial"/>
          <w:sz w:val="21"/>
          <w:szCs w:val="21"/>
          <w:color w:val="auto"/>
        </w:rPr>
      </w:pPr>
    </w:p>
    <w:p>
      <w:pPr>
        <w:ind w:left="2600" w:hanging="647"/>
        <w:spacing w:after="0"/>
        <w:tabs>
          <w:tab w:leader="none" w:pos="2600" w:val="left"/>
        </w:tabs>
        <w:numPr>
          <w:ilvl w:val="1"/>
          <w:numId w:val="45"/>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 beneficial interest in an Unrestricted Global Note, a certificate from such holder in the form of Exhibit C hereto, including the certifications in item (1)(a) thereof; or</w:t>
      </w:r>
    </w:p>
    <w:p>
      <w:pPr>
        <w:spacing w:after="0" w:line="173" w:lineRule="exact"/>
        <w:rPr>
          <w:rFonts w:ascii="Arial" w:cs="Arial" w:eastAsia="Arial" w:hAnsi="Arial"/>
          <w:sz w:val="21"/>
          <w:szCs w:val="21"/>
          <w:color w:val="auto"/>
        </w:rPr>
      </w:pPr>
    </w:p>
    <w:p>
      <w:pPr>
        <w:ind w:left="1300" w:firstLine="653"/>
        <w:spacing w:after="0" w:line="315" w:lineRule="auto"/>
        <w:tabs>
          <w:tab w:leader="none" w:pos="2430"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61" w:right="239" w:bottom="1440" w:gutter="0" w:footer="0" w:header="0"/>
        </w:sectPr>
      </w:pPr>
    </w:p>
    <w:bookmarkStart w:id="95" w:name="page96"/>
    <w:bookmarkEnd w:id="95"/>
    <w:p>
      <w:pPr>
        <w:jc w:val="both"/>
        <w:ind w:left="1300"/>
        <w:spacing w:after="0" w:line="302" w:lineRule="auto"/>
        <w:rPr>
          <w:sz w:val="20"/>
          <w:szCs w:val="20"/>
          <w:color w:val="auto"/>
        </w:rPr>
      </w:pPr>
      <w:r>
        <w:rPr>
          <w:rFonts w:ascii="Arial" w:cs="Arial" w:eastAsia="Arial" w:hAnsi="Arial"/>
          <w:sz w:val="22"/>
          <w:szCs w:val="22"/>
          <w:color w:val="auto"/>
        </w:rPr>
        <w:t>thereof in the form of a beneficial interest in an Unrestricted Global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4"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840" w:hanging="535"/>
        <w:spacing w:after="0"/>
        <w:tabs>
          <w:tab w:leader="none" w:pos="1840" w:val="left"/>
        </w:tabs>
        <w:numPr>
          <w:ilvl w:val="1"/>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Restricted Global Notes to Restricted Definitive Notes. </w:t>
      </w:r>
      <w:r>
        <w:rPr>
          <w:rFonts w:ascii="Arial" w:cs="Arial" w:eastAsia="Arial" w:hAnsi="Arial"/>
          <w:sz w:val="19"/>
          <w:szCs w:val="19"/>
          <w:color w:val="auto"/>
        </w:rPr>
        <w:t>If any holder of a beneficial</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4" w:lineRule="exact"/>
        <w:rPr>
          <w:rFonts w:ascii="Arial" w:cs="Arial" w:eastAsia="Arial" w:hAnsi="Arial"/>
          <w:sz w:val="19"/>
          <w:szCs w:val="19"/>
          <w:color w:val="auto"/>
        </w:rPr>
      </w:pPr>
    </w:p>
    <w:p>
      <w:pPr>
        <w:ind w:left="2600" w:hanging="647"/>
        <w:spacing w:after="0"/>
        <w:tabs>
          <w:tab w:leader="none" w:pos="2600" w:val="left"/>
        </w:tabs>
        <w:numPr>
          <w:ilvl w:val="2"/>
          <w:numId w:val="46"/>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 Restricted Definitive Note, a certificate from such holder in the form of Exhibit C hereto, including the certifications in item (2)(a) thereof;</w:t>
      </w:r>
    </w:p>
    <w:p>
      <w:pPr>
        <w:spacing w:after="0" w:line="173" w:lineRule="exact"/>
        <w:rPr>
          <w:rFonts w:ascii="Arial" w:cs="Arial" w:eastAsia="Arial" w:hAnsi="Arial"/>
          <w:sz w:val="21"/>
          <w:szCs w:val="21"/>
          <w:color w:val="auto"/>
        </w:rPr>
      </w:pPr>
    </w:p>
    <w:p>
      <w:pPr>
        <w:ind w:left="1300" w:firstLine="653"/>
        <w:spacing w:after="0" w:line="315" w:lineRule="auto"/>
        <w:tabs>
          <w:tab w:leader="none" w:pos="2457" w:val="left"/>
        </w:tabs>
        <w:numPr>
          <w:ilvl w:val="2"/>
          <w:numId w:val="46"/>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159" w:lineRule="exact"/>
        <w:rPr>
          <w:rFonts w:ascii="Arial" w:cs="Arial" w:eastAsia="Arial" w:hAnsi="Arial"/>
          <w:sz w:val="22"/>
          <w:szCs w:val="22"/>
          <w:color w:val="auto"/>
        </w:rPr>
      </w:pPr>
    </w:p>
    <w:p>
      <w:pPr>
        <w:ind w:left="2560" w:hanging="607"/>
        <w:spacing w:after="0"/>
        <w:tabs>
          <w:tab w:leader="none" w:pos="2560" w:val="left"/>
        </w:tabs>
        <w:numPr>
          <w:ilvl w:val="2"/>
          <w:numId w:val="46"/>
        </w:numPr>
        <w:rPr>
          <w:rFonts w:ascii="Arial" w:cs="Arial" w:eastAsia="Arial" w:hAnsi="Arial"/>
          <w:sz w:val="21"/>
          <w:szCs w:val="21"/>
          <w:color w:val="auto"/>
        </w:rPr>
      </w:pPr>
      <w:r>
        <w:rPr>
          <w:rFonts w:ascii="Arial" w:cs="Arial" w:eastAsia="Arial" w:hAnsi="Arial"/>
          <w:sz w:val="21"/>
          <w:szCs w:val="21"/>
          <w:color w:val="auto"/>
        </w:rPr>
        <w:t>if such beneficial interest is being transferred to a Non-U.S. Person in an offshore transaction in</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accordance with Rule 903 or Rule 904, a certificate to the effect set forth in Exhibit B hereto, including the certifications in item (2) thereof;</w:t>
      </w:r>
    </w:p>
    <w:p>
      <w:pPr>
        <w:spacing w:after="0" w:line="173" w:lineRule="exact"/>
        <w:rPr>
          <w:rFonts w:ascii="Arial" w:cs="Arial" w:eastAsia="Arial" w:hAnsi="Arial"/>
          <w:sz w:val="21"/>
          <w:szCs w:val="21"/>
          <w:color w:val="auto"/>
        </w:rPr>
      </w:pPr>
    </w:p>
    <w:p>
      <w:pPr>
        <w:ind w:left="1300" w:firstLine="653"/>
        <w:spacing w:after="0" w:line="315" w:lineRule="auto"/>
        <w:tabs>
          <w:tab w:leader="none" w:pos="2658" w:val="left"/>
        </w:tabs>
        <w:numPr>
          <w:ilvl w:val="2"/>
          <w:numId w:val="46"/>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61" w:right="239" w:bottom="1440" w:gutter="0" w:footer="0" w:header="0"/>
        </w:sectPr>
      </w:pPr>
    </w:p>
    <w:bookmarkStart w:id="96" w:name="page97"/>
    <w:bookmarkEnd w:id="96"/>
    <w:p>
      <w:pPr>
        <w:ind w:left="1300"/>
        <w:spacing w:after="0" w:line="302" w:lineRule="auto"/>
        <w:rPr>
          <w:sz w:val="20"/>
          <w:szCs w:val="20"/>
          <w:color w:val="auto"/>
        </w:rPr>
      </w:pPr>
      <w:r>
        <w:rPr>
          <w:rFonts w:ascii="Arial" w:cs="Arial" w:eastAsia="Arial" w:hAnsi="Arial"/>
          <w:sz w:val="22"/>
          <w:szCs w:val="22"/>
          <w:color w:val="auto"/>
        </w:rPr>
        <w:t>with Rule 144, a certificate to the effect set forth in Exhibit B hereto, including the certifications in item (3)(a) thereof;</w:t>
      </w:r>
    </w:p>
    <w:p>
      <w:pPr>
        <w:spacing w:after="0" w:line="174" w:lineRule="exact"/>
        <w:rPr>
          <w:sz w:val="20"/>
          <w:szCs w:val="20"/>
          <w:color w:val="auto"/>
        </w:rPr>
      </w:pPr>
    </w:p>
    <w:p>
      <w:pPr>
        <w:ind w:left="1300" w:firstLine="653"/>
        <w:spacing w:after="0" w:line="315" w:lineRule="auto"/>
        <w:tabs>
          <w:tab w:leader="none" w:pos="24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Issuer or any of its Subsidiaries, a certificate to the effect set forth in Exhibit B hereto, including the certifications in item (3)(b) thereof; or</w:t>
      </w:r>
    </w:p>
    <w:p>
      <w:pPr>
        <w:spacing w:after="0" w:line="159" w:lineRule="exact"/>
        <w:rPr>
          <w:rFonts w:ascii="Arial" w:cs="Arial" w:eastAsia="Arial" w:hAnsi="Arial"/>
          <w:sz w:val="22"/>
          <w:szCs w:val="22"/>
          <w:color w:val="auto"/>
        </w:rPr>
      </w:pPr>
    </w:p>
    <w:p>
      <w:pPr>
        <w:ind w:left="2460" w:hanging="507"/>
        <w:spacing w:after="0"/>
        <w:tabs>
          <w:tab w:leader="none" w:pos="24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such beneficial interest is being transferred pursuant to an effective registration statement under the</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Securities Act, a certificate to the effect set forth in Exhibit B hereto, including the certifications in item (3)(c) thereof,</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3" w:lineRule="exact"/>
        <w:rPr>
          <w:sz w:val="20"/>
          <w:szCs w:val="20"/>
          <w:color w:val="auto"/>
        </w:rPr>
      </w:pPr>
    </w:p>
    <w:p>
      <w:pPr>
        <w:ind w:left="1740" w:hanging="435"/>
        <w:spacing w:after="0"/>
        <w:tabs>
          <w:tab w:leader="none" w:pos="1740"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Restricted Global Notes to Unrestricted Definitive Notes. </w:t>
      </w:r>
      <w:r>
        <w:rPr>
          <w:rFonts w:ascii="Arial" w:cs="Arial" w:eastAsia="Arial" w:hAnsi="Arial"/>
          <w:sz w:val="19"/>
          <w:szCs w:val="19"/>
          <w:color w:val="auto"/>
        </w:rPr>
        <w:t>A holder of a beneficial interest</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4" w:lineRule="exact"/>
        <w:rPr>
          <w:rFonts w:ascii="Arial" w:cs="Arial" w:eastAsia="Arial" w:hAnsi="Arial"/>
          <w:sz w:val="19"/>
          <w:szCs w:val="19"/>
          <w:color w:val="auto"/>
        </w:rPr>
      </w:pPr>
    </w:p>
    <w:p>
      <w:pPr>
        <w:ind w:left="2600" w:hanging="647"/>
        <w:spacing w:after="0"/>
        <w:tabs>
          <w:tab w:leader="none" w:pos="26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an Unrestricted Definitive Note, a certificate from such holder in the form of Exhibit C hereto, including the certifications in item (1)(b) thereof; or</w:t>
      </w:r>
    </w:p>
    <w:p>
      <w:pPr>
        <w:spacing w:after="0" w:line="173" w:lineRule="exact"/>
        <w:rPr>
          <w:rFonts w:ascii="Arial" w:cs="Arial" w:eastAsia="Arial" w:hAnsi="Arial"/>
          <w:sz w:val="21"/>
          <w:szCs w:val="21"/>
          <w:color w:val="auto"/>
        </w:rPr>
      </w:pPr>
    </w:p>
    <w:p>
      <w:pPr>
        <w:ind w:left="2440" w:hanging="487"/>
        <w:spacing w:after="0"/>
        <w:tabs>
          <w:tab w:leader="none" w:pos="24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transfer such beneficial</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interest to a Person who shall take delivery thereof in the form of an Unrestricted Definitive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292"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61" w:right="239" w:bottom="1440" w:gutter="0" w:footer="0" w:header="0"/>
        </w:sectPr>
      </w:pPr>
    </w:p>
    <w:bookmarkStart w:id="97" w:name="page98"/>
    <w:bookmarkEnd w:id="97"/>
    <w:p>
      <w:pPr>
        <w:ind w:left="644" w:right="20"/>
        <w:spacing w:after="0" w:line="302" w:lineRule="auto"/>
        <w:rPr>
          <w:sz w:val="20"/>
          <w:szCs w:val="20"/>
          <w:color w:val="auto"/>
        </w:rPr>
      </w:pPr>
      <w:r>
        <w:rPr>
          <w:rFonts w:ascii="Arial" w:cs="Arial" w:eastAsia="Arial" w:hAnsi="Arial"/>
          <w:sz w:val="22"/>
          <w:szCs w:val="22"/>
          <w:color w:val="auto"/>
        </w:rPr>
        <w:t>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ind w:left="1104" w:hanging="455"/>
        <w:spacing w:after="0"/>
        <w:tabs>
          <w:tab w:leader="none" w:pos="1104"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 beneficial</w:t>
      </w:r>
    </w:p>
    <w:p>
      <w:pPr>
        <w:spacing w:after="0" w:line="92" w:lineRule="exact"/>
        <w:rPr>
          <w:rFonts w:ascii="Arial" w:cs="Arial" w:eastAsia="Arial" w:hAnsi="Arial"/>
          <w:sz w:val="19"/>
          <w:szCs w:val="19"/>
          <w:color w:val="auto"/>
        </w:rPr>
      </w:pPr>
    </w:p>
    <w:p>
      <w:pPr>
        <w:jc w:val="both"/>
        <w:ind w:left="4"/>
        <w:spacing w:after="0" w:line="333" w:lineRule="auto"/>
        <w:rPr>
          <w:rFonts w:ascii="Arial" w:cs="Arial" w:eastAsia="Arial" w:hAnsi="Arial"/>
          <w:sz w:val="19"/>
          <w:szCs w:val="19"/>
          <w:color w:val="auto"/>
        </w:rPr>
      </w:pPr>
      <w:r>
        <w:rPr>
          <w:rFonts w:ascii="Arial" w:cs="Arial" w:eastAsia="Arial" w:hAnsi="Arial"/>
          <w:sz w:val="19"/>
          <w:szCs w:val="19"/>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2.06(c)(3) shall not bear the Private Placement Legend.</w:t>
      </w:r>
    </w:p>
    <w:p>
      <w:pPr>
        <w:spacing w:after="0" w:line="155" w:lineRule="exact"/>
        <w:rPr>
          <w:rFonts w:ascii="Arial" w:cs="Arial" w:eastAsia="Arial" w:hAnsi="Arial"/>
          <w:sz w:val="19"/>
          <w:szCs w:val="19"/>
          <w:color w:val="auto"/>
        </w:rPr>
      </w:pPr>
    </w:p>
    <w:p>
      <w:pPr>
        <w:ind w:left="424" w:hanging="424"/>
        <w:spacing w:after="0"/>
        <w:tabs>
          <w:tab w:leader="none" w:pos="42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184" w:hanging="535"/>
        <w:spacing w:after="0"/>
        <w:tabs>
          <w:tab w:leader="none" w:pos="1184" w:val="left"/>
        </w:tabs>
        <w:numPr>
          <w:ilvl w:val="1"/>
          <w:numId w:val="50"/>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Restricted Global Notes. </w:t>
      </w:r>
      <w:r>
        <w:rPr>
          <w:rFonts w:ascii="Arial" w:cs="Arial" w:eastAsia="Arial" w:hAnsi="Arial"/>
          <w:sz w:val="19"/>
          <w:szCs w:val="19"/>
          <w:color w:val="auto"/>
        </w:rPr>
        <w:t>If any Holder of a Restricted</w:t>
      </w:r>
    </w:p>
    <w:p>
      <w:pPr>
        <w:spacing w:after="0" w:line="92" w:lineRule="exact"/>
        <w:rPr>
          <w:rFonts w:ascii="Arial" w:cs="Arial" w:eastAsia="Arial" w:hAnsi="Arial"/>
          <w:sz w:val="19"/>
          <w:szCs w:val="19"/>
          <w:color w:val="auto"/>
        </w:rPr>
      </w:pPr>
    </w:p>
    <w:p>
      <w:pPr>
        <w:jc w:val="both"/>
        <w:ind w:left="4"/>
        <w:spacing w:after="0" w:line="292" w:lineRule="auto"/>
        <w:rPr>
          <w:rFonts w:ascii="Arial" w:cs="Arial" w:eastAsia="Arial" w:hAnsi="Arial"/>
          <w:sz w:val="19"/>
          <w:szCs w:val="19"/>
          <w:color w:val="auto"/>
        </w:rPr>
      </w:pP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4" w:lineRule="exact"/>
        <w:rPr>
          <w:rFonts w:ascii="Arial" w:cs="Arial" w:eastAsia="Arial" w:hAnsi="Arial"/>
          <w:sz w:val="19"/>
          <w:szCs w:val="19"/>
          <w:color w:val="auto"/>
        </w:rPr>
      </w:pPr>
    </w:p>
    <w:p>
      <w:pPr>
        <w:ind w:left="1904" w:hanging="607"/>
        <w:spacing w:after="0"/>
        <w:tabs>
          <w:tab w:leader="none" w:pos="1904" w:val="left"/>
        </w:tabs>
        <w:numPr>
          <w:ilvl w:val="2"/>
          <w:numId w:val="50"/>
        </w:numPr>
        <w:rPr>
          <w:rFonts w:ascii="Arial" w:cs="Arial" w:eastAsia="Arial" w:hAnsi="Arial"/>
          <w:sz w:val="21"/>
          <w:szCs w:val="21"/>
          <w:color w:val="auto"/>
        </w:rPr>
      </w:pPr>
      <w:r>
        <w:rPr>
          <w:rFonts w:ascii="Arial" w:cs="Arial" w:eastAsia="Arial" w:hAnsi="Arial"/>
          <w:sz w:val="21"/>
          <w:szCs w:val="21"/>
          <w:color w:val="auto"/>
        </w:rPr>
        <w:t>if the Holder of such Restricted Definitive Note proposes to exchange such Note for a beneficial</w:t>
      </w:r>
    </w:p>
    <w:p>
      <w:pPr>
        <w:spacing w:after="0" w:line="69" w:lineRule="exact"/>
        <w:rPr>
          <w:rFonts w:ascii="Arial" w:cs="Arial" w:eastAsia="Arial" w:hAnsi="Arial"/>
          <w:sz w:val="21"/>
          <w:szCs w:val="21"/>
          <w:color w:val="auto"/>
        </w:rPr>
      </w:pPr>
    </w:p>
    <w:p>
      <w:pPr>
        <w:ind w:left="644" w:right="20"/>
        <w:spacing w:after="0" w:line="302" w:lineRule="auto"/>
        <w:rPr>
          <w:rFonts w:ascii="Arial" w:cs="Arial" w:eastAsia="Arial" w:hAnsi="Arial"/>
          <w:sz w:val="21"/>
          <w:szCs w:val="21"/>
          <w:color w:val="auto"/>
        </w:rPr>
      </w:pPr>
      <w:r>
        <w:rPr>
          <w:rFonts w:ascii="Arial" w:cs="Arial" w:eastAsia="Arial" w:hAnsi="Arial"/>
          <w:sz w:val="22"/>
          <w:szCs w:val="22"/>
          <w:color w:val="auto"/>
        </w:rPr>
        <w:t>interest in a Restricted Global Note, a certificate from such Holder in the form of Exhibit C hereto, including the certifications in item (2)(b) thereof;</w:t>
      </w:r>
    </w:p>
    <w:p>
      <w:pPr>
        <w:spacing w:after="0" w:line="173" w:lineRule="exact"/>
        <w:rPr>
          <w:rFonts w:ascii="Arial" w:cs="Arial" w:eastAsia="Arial" w:hAnsi="Arial"/>
          <w:sz w:val="21"/>
          <w:szCs w:val="21"/>
          <w:color w:val="auto"/>
        </w:rPr>
      </w:pPr>
    </w:p>
    <w:p>
      <w:pPr>
        <w:ind w:left="644" w:firstLine="653"/>
        <w:spacing w:after="0" w:line="341" w:lineRule="auto"/>
        <w:tabs>
          <w:tab w:leader="none" w:pos="1895" w:val="left"/>
        </w:tabs>
        <w:numPr>
          <w:ilvl w:val="2"/>
          <w:numId w:val="50"/>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 QIB in accordance with Rule 144A, a certificate to the effect set forth in Exhibit B hereto, including the certifications in item (1) thereof;</w:t>
      </w:r>
    </w:p>
    <w:p>
      <w:pPr>
        <w:spacing w:after="0" w:line="137" w:lineRule="exact"/>
        <w:rPr>
          <w:rFonts w:ascii="Arial" w:cs="Arial" w:eastAsia="Arial" w:hAnsi="Arial"/>
          <w:sz w:val="21"/>
          <w:szCs w:val="21"/>
          <w:color w:val="auto"/>
        </w:rPr>
      </w:pPr>
    </w:p>
    <w:p>
      <w:pPr>
        <w:ind w:left="1804" w:hanging="507"/>
        <w:spacing w:after="0"/>
        <w:tabs>
          <w:tab w:leader="none" w:pos="1804" w:val="left"/>
        </w:tabs>
        <w:numPr>
          <w:ilvl w:val="2"/>
          <w:numId w:val="50"/>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 Non-U.S. Person in an offshore transaction</w:t>
      </w:r>
    </w:p>
    <w:p>
      <w:pPr>
        <w:spacing w:after="0" w:line="92" w:lineRule="exact"/>
        <w:rPr>
          <w:rFonts w:ascii="Arial" w:cs="Arial" w:eastAsia="Arial" w:hAnsi="Arial"/>
          <w:sz w:val="19"/>
          <w:szCs w:val="19"/>
          <w:color w:val="auto"/>
        </w:rPr>
      </w:pPr>
    </w:p>
    <w:p>
      <w:pPr>
        <w:ind w:left="644"/>
        <w:spacing w:after="0" w:line="302" w:lineRule="auto"/>
        <w:rPr>
          <w:rFonts w:ascii="Arial" w:cs="Arial" w:eastAsia="Arial" w:hAnsi="Arial"/>
          <w:sz w:val="19"/>
          <w:szCs w:val="19"/>
          <w:color w:val="auto"/>
        </w:rPr>
      </w:pPr>
      <w:r>
        <w:rPr>
          <w:rFonts w:ascii="Arial" w:cs="Arial" w:eastAsia="Arial" w:hAnsi="Arial"/>
          <w:sz w:val="22"/>
          <w:szCs w:val="22"/>
          <w:color w:val="auto"/>
        </w:rPr>
        <w:t>in accordance with Rule 903 or Rule 904, a certificate to the effect set forth in Exhibit B hereto, including the certifications in item (2)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64"/>
          </w:cols>
          <w:pgMar w:left="896" w:top="861" w:right="239" w:bottom="1440" w:gutter="0" w:footer="0" w:header="0"/>
        </w:sectPr>
      </w:pPr>
    </w:p>
    <w:bookmarkStart w:id="98" w:name="page99"/>
    <w:bookmarkEnd w:id="98"/>
    <w:p>
      <w:pPr>
        <w:ind w:left="1820" w:hanging="527"/>
        <w:spacing w:after="0"/>
        <w:tabs>
          <w:tab w:leader="none" w:pos="18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exemption from the registration</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requirements of the Securities Act in accordance with Rule 144, a certificate to the effect set forth in Exhibit B hereto, including the certifications in item (3)(a) thereof;</w:t>
      </w:r>
    </w:p>
    <w:p>
      <w:pPr>
        <w:spacing w:after="0" w:line="173" w:lineRule="exact"/>
        <w:rPr>
          <w:rFonts w:ascii="Arial" w:cs="Arial" w:eastAsia="Arial" w:hAnsi="Arial"/>
          <w:sz w:val="19"/>
          <w:szCs w:val="19"/>
          <w:color w:val="auto"/>
        </w:rPr>
      </w:pPr>
    </w:p>
    <w:p>
      <w:pPr>
        <w:ind w:left="640" w:firstLine="653"/>
        <w:spacing w:after="0" w:line="341" w:lineRule="auto"/>
        <w:tabs>
          <w:tab w:leader="none" w:pos="1906" w:val="left"/>
        </w:tabs>
        <w:numPr>
          <w:ilvl w:val="0"/>
          <w:numId w:val="51"/>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the Issuer or any of its Subsidiaries, a certificate to the effect set forth in Exhibit B hereto, including the certifications in item (3)(b) thereof; or</w:t>
      </w:r>
    </w:p>
    <w:p>
      <w:pPr>
        <w:spacing w:after="0" w:line="137" w:lineRule="exact"/>
        <w:rPr>
          <w:rFonts w:ascii="Arial" w:cs="Arial" w:eastAsia="Arial" w:hAnsi="Arial"/>
          <w:sz w:val="21"/>
          <w:szCs w:val="21"/>
          <w:color w:val="auto"/>
        </w:rPr>
      </w:pPr>
    </w:p>
    <w:p>
      <w:pPr>
        <w:ind w:left="1820" w:hanging="527"/>
        <w:spacing w:after="0"/>
        <w:tabs>
          <w:tab w:leader="none" w:pos="18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w:t>
      </w:r>
    </w:p>
    <w:p>
      <w:pPr>
        <w:spacing w:after="0" w:line="9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under the Securities Act, a certificate to the effect set forth in Exhibit B hereto, including the certifications in item</w:t>
      </w:r>
    </w:p>
    <w:p>
      <w:pPr>
        <w:spacing w:after="0" w:line="7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(3)(c) thereof,</w:t>
      </w:r>
    </w:p>
    <w:p>
      <w:pPr>
        <w:spacing w:after="0" w:line="260" w:lineRule="exact"/>
        <w:rPr>
          <w:sz w:val="20"/>
          <w:szCs w:val="20"/>
          <w:color w:val="auto"/>
        </w:rPr>
      </w:pPr>
    </w:p>
    <w:p>
      <w:pPr>
        <w:jc w:val="both"/>
        <w:ind w:left="640"/>
        <w:spacing w:after="0" w:line="311"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69" w:lineRule="exact"/>
        <w:rPr>
          <w:sz w:val="20"/>
          <w:szCs w:val="20"/>
          <w:color w:val="auto"/>
        </w:rPr>
      </w:pPr>
    </w:p>
    <w:p>
      <w:pPr>
        <w:ind w:left="1220" w:hanging="575"/>
        <w:spacing w:after="0"/>
        <w:tabs>
          <w:tab w:leader="none" w:pos="1220"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Unrestricted Global Notes. </w:t>
      </w:r>
      <w:r>
        <w:rPr>
          <w:rFonts w:ascii="Arial" w:cs="Arial" w:eastAsia="Arial" w:hAnsi="Arial"/>
          <w:sz w:val="19"/>
          <w:szCs w:val="19"/>
          <w:color w:val="auto"/>
        </w:rPr>
        <w:t>A Holder of a Restricted</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4" w:lineRule="exact"/>
        <w:rPr>
          <w:rFonts w:ascii="Arial" w:cs="Arial" w:eastAsia="Arial" w:hAnsi="Arial"/>
          <w:sz w:val="19"/>
          <w:szCs w:val="19"/>
          <w:color w:val="auto"/>
        </w:rPr>
      </w:pPr>
    </w:p>
    <w:p>
      <w:pPr>
        <w:ind w:left="1800" w:hanging="507"/>
        <w:spacing w:after="0"/>
        <w:tabs>
          <w:tab w:leader="none" w:pos="18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the Holder of such Definitive Notes proposes to exchange such Notes for a beneficial interest in the</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Unrestricted Global Note, a certificate from such Holder in the form of Exhibit C hereto, including the certifications in item (1)(c) thereof; or</w:t>
      </w:r>
    </w:p>
    <w:p>
      <w:pPr>
        <w:spacing w:after="0" w:line="173" w:lineRule="exact"/>
        <w:rPr>
          <w:rFonts w:ascii="Arial" w:cs="Arial" w:eastAsia="Arial" w:hAnsi="Arial"/>
          <w:sz w:val="19"/>
          <w:szCs w:val="19"/>
          <w:color w:val="auto"/>
        </w:rPr>
      </w:pPr>
    </w:p>
    <w:p>
      <w:pPr>
        <w:ind w:left="1880" w:hanging="587"/>
        <w:spacing w:after="0"/>
        <w:tabs>
          <w:tab w:leader="none" w:pos="18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the Holder of such Definitive Notes proposes to transfer such Notes to a Person who shall take</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delivery thereof in the form of a beneficial interest in the Unrestricted Global Note, a certificate from such Holder in the form of Exhibit B hereto, including the certifications in item (4) thereof;</w:t>
      </w:r>
    </w:p>
    <w:p>
      <w:pPr>
        <w:spacing w:after="0" w:line="174" w:lineRule="exact"/>
        <w:rPr>
          <w:sz w:val="20"/>
          <w:szCs w:val="20"/>
          <w:color w:val="auto"/>
        </w:rPr>
      </w:pPr>
    </w:p>
    <w:p>
      <w:pPr>
        <w:jc w:val="both"/>
        <w:ind w:left="64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ind w:firstLine="648"/>
        <w:spacing w:after="0" w:line="387"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60"/>
          </w:cols>
          <w:pgMar w:left="900" w:top="861" w:right="239" w:bottom="1440" w:gutter="0" w:footer="0" w:header="0"/>
        </w:sectPr>
      </w:pPr>
    </w:p>
    <w:bookmarkStart w:id="99" w:name="page100"/>
    <w:bookmarkEnd w:id="99"/>
    <w:p>
      <w:pPr>
        <w:ind w:left="1760" w:hanging="455"/>
        <w:spacing w:after="0"/>
        <w:tabs>
          <w:tab w:leader="none" w:pos="1760"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p>
    <w:p>
      <w:pPr>
        <w:spacing w:after="0" w:line="92" w:lineRule="exact"/>
        <w:rPr>
          <w:rFonts w:ascii="Arial" w:cs="Arial" w:eastAsia="Arial" w:hAnsi="Arial"/>
          <w:sz w:val="19"/>
          <w:szCs w:val="19"/>
          <w:color w:val="auto"/>
        </w:rPr>
      </w:pPr>
    </w:p>
    <w:p>
      <w:pPr>
        <w:jc w:val="both"/>
        <w:ind w:left="660"/>
        <w:spacing w:after="0" w:line="346" w:lineRule="auto"/>
        <w:rPr>
          <w:rFonts w:ascii="Arial" w:cs="Arial" w:eastAsia="Arial" w:hAnsi="Arial"/>
          <w:sz w:val="19"/>
          <w:szCs w:val="19"/>
          <w:color w:val="auto"/>
        </w:rPr>
      </w:pP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 or (3)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9"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 xml:space="preserve">Transfer and Exchange of Definitive Notes for Definitive Notes. </w:t>
      </w:r>
      <w:r>
        <w:rPr>
          <w:rFonts w:ascii="Arial" w:cs="Arial" w:eastAsia="Arial" w:hAnsi="Arial"/>
          <w:sz w:val="19"/>
          <w:szCs w:val="19"/>
          <w:color w:val="auto"/>
        </w:rPr>
        <w:t>Upon request by a Holder of Definitive Notes and such</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6" w:lineRule="exact"/>
        <w:rPr>
          <w:rFonts w:ascii="Arial" w:cs="Arial" w:eastAsia="Arial" w:hAnsi="Arial"/>
          <w:sz w:val="19"/>
          <w:szCs w:val="19"/>
          <w:color w:val="auto"/>
        </w:rPr>
      </w:pPr>
    </w:p>
    <w:p>
      <w:pPr>
        <w:ind w:left="1740" w:hanging="435"/>
        <w:spacing w:after="0"/>
        <w:tabs>
          <w:tab w:leader="none" w:pos="1740"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Restricted Definitive Notes. </w:t>
      </w:r>
      <w:r>
        <w:rPr>
          <w:rFonts w:ascii="Arial" w:cs="Arial" w:eastAsia="Arial" w:hAnsi="Arial"/>
          <w:sz w:val="19"/>
          <w:szCs w:val="19"/>
          <w:color w:val="auto"/>
        </w:rPr>
        <w:t>Any Restricted Definitive Note may be transferred to</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73" w:lineRule="exact"/>
        <w:rPr>
          <w:rFonts w:ascii="Arial" w:cs="Arial" w:eastAsia="Arial" w:hAnsi="Arial"/>
          <w:sz w:val="19"/>
          <w:szCs w:val="19"/>
          <w:color w:val="auto"/>
        </w:rPr>
      </w:pPr>
    </w:p>
    <w:p>
      <w:pPr>
        <w:ind w:left="1300" w:firstLine="653"/>
        <w:spacing w:after="0" w:line="315" w:lineRule="auto"/>
        <w:tabs>
          <w:tab w:leader="none" w:pos="2442" w:val="left"/>
        </w:tabs>
        <w:numPr>
          <w:ilvl w:val="2"/>
          <w:numId w:val="54"/>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159" w:lineRule="exact"/>
        <w:rPr>
          <w:rFonts w:ascii="Arial" w:cs="Arial" w:eastAsia="Arial" w:hAnsi="Arial"/>
          <w:sz w:val="22"/>
          <w:szCs w:val="22"/>
          <w:color w:val="auto"/>
        </w:rPr>
      </w:pPr>
    </w:p>
    <w:p>
      <w:pPr>
        <w:ind w:left="1300" w:right="20" w:firstLine="653"/>
        <w:spacing w:after="0" w:line="315" w:lineRule="auto"/>
        <w:tabs>
          <w:tab w:leader="none" w:pos="2538" w:val="left"/>
        </w:tabs>
        <w:numPr>
          <w:ilvl w:val="2"/>
          <w:numId w:val="54"/>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159" w:lineRule="exact"/>
        <w:rPr>
          <w:rFonts w:ascii="Arial" w:cs="Arial" w:eastAsia="Arial" w:hAnsi="Arial"/>
          <w:sz w:val="22"/>
          <w:szCs w:val="22"/>
          <w:color w:val="auto"/>
        </w:rPr>
      </w:pPr>
    </w:p>
    <w:p>
      <w:pPr>
        <w:ind w:left="2440" w:hanging="487"/>
        <w:spacing w:after="0"/>
        <w:tabs>
          <w:tab w:leader="none" w:pos="2440" w:val="left"/>
        </w:tabs>
        <w:numPr>
          <w:ilvl w:val="2"/>
          <w:numId w:val="54"/>
        </w:numPr>
        <w:rPr>
          <w:rFonts w:ascii="Arial" w:cs="Arial" w:eastAsia="Arial" w:hAnsi="Arial"/>
          <w:sz w:val="19"/>
          <w:szCs w:val="19"/>
          <w:color w:val="auto"/>
        </w:rPr>
      </w:pPr>
      <w:r>
        <w:rPr>
          <w:rFonts w:ascii="Arial" w:cs="Arial" w:eastAsia="Arial" w:hAnsi="Arial"/>
          <w:sz w:val="19"/>
          <w:szCs w:val="19"/>
          <w:color w:val="auto"/>
        </w:rPr>
        <w:t>if the transfer shall be made pursuant to any other exemption from the registration requirements of the</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Securities Act, then the transferor must deliver a certificate in the form of Exhibit B hereto, including the certifications, certificates and Opinion of Counsel required by item (3) thereof,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61" w:right="239" w:bottom="1440" w:gutter="0" w:footer="0" w:header="0"/>
        </w:sectPr>
      </w:pPr>
    </w:p>
    <w:bookmarkStart w:id="100" w:name="page101"/>
    <w:bookmarkEnd w:id="100"/>
    <w:p>
      <w:pPr>
        <w:ind w:left="1760" w:hanging="455"/>
        <w:spacing w:after="0"/>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Unrestricted Definitive Notes. </w:t>
      </w:r>
      <w:r>
        <w:rPr>
          <w:rFonts w:ascii="Arial" w:cs="Arial" w:eastAsia="Arial" w:hAnsi="Arial"/>
          <w:sz w:val="19"/>
          <w:szCs w:val="19"/>
          <w:color w:val="auto"/>
        </w:rPr>
        <w:t>Any Restricted Definitive Note may be exchanged</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73" w:lineRule="exact"/>
        <w:rPr>
          <w:rFonts w:ascii="Arial" w:cs="Arial" w:eastAsia="Arial" w:hAnsi="Arial"/>
          <w:sz w:val="19"/>
          <w:szCs w:val="19"/>
          <w:color w:val="auto"/>
        </w:rPr>
      </w:pPr>
    </w:p>
    <w:p>
      <w:pPr>
        <w:ind w:left="2460" w:hanging="507"/>
        <w:spacing w:after="0"/>
        <w:tabs>
          <w:tab w:leader="none" w:pos="2460"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Definitive Note, a certificate from such Holder in the form of Exhibit C hereto, including the certifications in item</w:t>
      </w:r>
    </w:p>
    <w:p>
      <w:pPr>
        <w:spacing w:after="0" w:line="78"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(1)(d) thereof; or</w:t>
      </w:r>
    </w:p>
    <w:p>
      <w:pPr>
        <w:spacing w:after="0" w:line="260" w:lineRule="exact"/>
        <w:rPr>
          <w:rFonts w:ascii="Arial" w:cs="Arial" w:eastAsia="Arial" w:hAnsi="Arial"/>
          <w:sz w:val="19"/>
          <w:szCs w:val="19"/>
          <w:color w:val="auto"/>
        </w:rPr>
      </w:pPr>
    </w:p>
    <w:p>
      <w:pPr>
        <w:ind w:left="2440" w:hanging="487"/>
        <w:spacing w:after="0"/>
        <w:tabs>
          <w:tab w:leader="none" w:pos="24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transfer such Notes to a Person who shall</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take delivery thereof in the form of an Unrestricted Definitive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288"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0" w:lineRule="exact"/>
        <w:rPr>
          <w:sz w:val="20"/>
          <w:szCs w:val="20"/>
          <w:color w:val="auto"/>
        </w:rPr>
      </w:pPr>
    </w:p>
    <w:p>
      <w:pPr>
        <w:ind w:left="1760" w:hanging="455"/>
        <w:spacing w:after="0"/>
        <w:tabs>
          <w:tab w:leader="none" w:pos="1760" w:val="left"/>
        </w:tabs>
        <w:numPr>
          <w:ilvl w:val="1"/>
          <w:numId w:val="56"/>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Unrestricted Definitive Notes. </w:t>
      </w:r>
      <w:r>
        <w:rPr>
          <w:rFonts w:ascii="Arial" w:cs="Arial" w:eastAsia="Arial" w:hAnsi="Arial"/>
          <w:sz w:val="19"/>
          <w:szCs w:val="19"/>
          <w:color w:val="auto"/>
        </w:rPr>
        <w:t>A Holder of Unrestricted Definitive Notes may</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4" w:lineRule="exact"/>
        <w:rPr>
          <w:rFonts w:ascii="Arial" w:cs="Arial" w:eastAsia="Arial" w:hAnsi="Arial"/>
          <w:sz w:val="19"/>
          <w:szCs w:val="19"/>
          <w:color w:val="auto"/>
        </w:rPr>
      </w:pPr>
    </w:p>
    <w:p>
      <w:pPr>
        <w:ind w:firstLine="656"/>
        <w:spacing w:after="0" w:line="315" w:lineRule="auto"/>
        <w:tabs>
          <w:tab w:leader="none" w:pos="1112"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57"/>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300" w:firstLine="653"/>
        <w:spacing w:after="0" w:line="402" w:lineRule="auto"/>
        <w:tabs>
          <w:tab w:leader="none" w:pos="2496" w:val="left"/>
        </w:tabs>
        <w:numPr>
          <w:ilvl w:val="2"/>
          <w:numId w:val="57"/>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61" w:right="239" w:bottom="1440" w:gutter="0" w:footer="0" w:header="0"/>
        </w:sectPr>
      </w:pPr>
    </w:p>
    <w:bookmarkStart w:id="101" w:name="page102"/>
    <w:bookmarkEnd w:id="101"/>
    <w:p>
      <w:pPr>
        <w:jc w:val="both"/>
        <w:spacing w:after="0" w:line="295" w:lineRule="auto"/>
        <w:rPr>
          <w:sz w:val="20"/>
          <w:szCs w:val="20"/>
          <w:color w:val="auto"/>
        </w:rPr>
      </w:pPr>
      <w:r>
        <w:rPr>
          <w:rFonts w:ascii="Arial" w:cs="Arial" w:eastAsia="Arial" w:hAnsi="Arial"/>
          <w:sz w:val="21"/>
          <w:szCs w:val="21"/>
          <w:color w:val="auto"/>
        </w:rPr>
        <w:t>SECURITIES ACT) (A “QIB”) OR (B) IT IS NOT A U.S. PERSON, IS NOT ACQUIRING THIS NOTE FOR THE ACCOUNT OR BENEFIT OF A U.S. PERSON AND IS ACQUIRING THIS NOTE IN AN OFFSHORE TRANSACTION IN COMPLIANCE WITH REGULATION S UNDER THE SECURITIES ACT, (2) 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TO A PERSON WHOM THE HOLDER REASONABLY BELIEVES IS A QIB PURCHASING FOR ITS OWN ACCOUNT OR FOR THE ACCOUNT OF A QIB IN COMPLIANCE WITH RULE 144A UNDER THE SECURITIES ACT,</w:t>
      </w:r>
    </w:p>
    <w:p>
      <w:pPr>
        <w:spacing w:after="0" w:line="3" w:lineRule="exact"/>
        <w:rPr>
          <w:sz w:val="20"/>
          <w:szCs w:val="20"/>
          <w:color w:val="auto"/>
        </w:rPr>
      </w:pPr>
    </w:p>
    <w:p>
      <w:pPr>
        <w:jc w:val="both"/>
        <w:ind w:firstLine="8"/>
        <w:spacing w:after="0" w:line="298" w:lineRule="auto"/>
        <w:tabs>
          <w:tab w:leader="none" w:pos="375" w:val="left"/>
        </w:tabs>
        <w:numPr>
          <w:ilvl w:val="0"/>
          <w:numId w:val="58"/>
        </w:numPr>
        <w:rPr>
          <w:rFonts w:ascii="Arial" w:cs="Arial" w:eastAsia="Arial" w:hAnsi="Arial"/>
          <w:sz w:val="21"/>
          <w:szCs w:val="21"/>
          <w:color w:val="auto"/>
        </w:rPr>
      </w:pPr>
      <w:r>
        <w:rPr>
          <w:rFonts w:ascii="Arial" w:cs="Arial" w:eastAsia="Arial" w:hAnsi="Arial"/>
          <w:sz w:val="21"/>
          <w:szCs w:val="21"/>
          <w:color w:val="auto"/>
        </w:rPr>
        <w:t>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80" w:lineRule="exact"/>
        <w:rPr>
          <w:rFonts w:ascii="Arial" w:cs="Arial" w:eastAsia="Arial" w:hAnsi="Arial"/>
          <w:sz w:val="21"/>
          <w:szCs w:val="21"/>
          <w:color w:val="auto"/>
        </w:rPr>
      </w:pPr>
    </w:p>
    <w:p>
      <w:pPr>
        <w:ind w:left="2820" w:hanging="867"/>
        <w:spacing w:after="0"/>
        <w:tabs>
          <w:tab w:leader="none" w:pos="2820" w:val="left"/>
        </w:tabs>
        <w:numPr>
          <w:ilvl w:val="2"/>
          <w:numId w:val="58"/>
        </w:numPr>
        <w:rPr>
          <w:rFonts w:ascii="Arial" w:cs="Arial" w:eastAsia="Arial" w:hAnsi="Arial"/>
          <w:sz w:val="21"/>
          <w:szCs w:val="21"/>
          <w:color w:val="auto"/>
        </w:rPr>
      </w:pPr>
      <w:r>
        <w:rPr>
          <w:rFonts w:ascii="Arial" w:cs="Arial" w:eastAsia="Arial" w:hAnsi="Arial"/>
          <w:sz w:val="21"/>
          <w:szCs w:val="21"/>
          <w:color w:val="auto"/>
        </w:rPr>
        <w:t>Notwithstanding  the  foregoing,  any  Global  Note  or  Definitive  Note  issued  pursuant  to</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subparagraphs (b)(4), (c)(2), (c)(3), (d)(2), (d)(3), (e)(2) or (e)(3) of this Section 2.06 (and all Notes issued in exchange therefor or substitution thereof) shall not bear the Private Placement Legend.</w:t>
      </w:r>
    </w:p>
    <w:p>
      <w:pPr>
        <w:spacing w:after="0" w:line="173" w:lineRule="exact"/>
        <w:rPr>
          <w:rFonts w:ascii="Arial" w:cs="Arial" w:eastAsia="Arial" w:hAnsi="Arial"/>
          <w:sz w:val="21"/>
          <w:szCs w:val="21"/>
          <w:color w:val="auto"/>
        </w:rPr>
      </w:pPr>
    </w:p>
    <w:p>
      <w:pPr>
        <w:ind w:left="1740" w:hanging="435"/>
        <w:spacing w:after="0"/>
        <w:tabs>
          <w:tab w:leader="none" w:pos="1740" w:val="left"/>
        </w:tabs>
        <w:numPr>
          <w:ilvl w:val="1"/>
          <w:numId w:val="58"/>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shall bear a legend in substantially the following form:</w:t>
      </w:r>
    </w:p>
    <w:p>
      <w:pPr>
        <w:spacing w:after="0" w:line="274"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61" w:right="239" w:bottom="1440" w:gutter="0" w:footer="0" w:header="0"/>
        </w:sectPr>
      </w:pPr>
    </w:p>
    <w:bookmarkStart w:id="102" w:name="page103"/>
    <w:bookmarkEnd w:id="102"/>
    <w:p>
      <w:pPr>
        <w:jc w:val="both"/>
        <w:spacing w:after="0" w:line="295" w:lineRule="auto"/>
        <w:rPr>
          <w:sz w:val="20"/>
          <w:szCs w:val="20"/>
          <w:color w:val="auto"/>
        </w:rPr>
      </w:pPr>
      <w:r>
        <w:rPr>
          <w:rFonts w:ascii="Arial" w:cs="Arial" w:eastAsia="Arial" w:hAnsi="Arial"/>
          <w:sz w:val="21"/>
          <w:szCs w:val="21"/>
          <w:color w:val="auto"/>
        </w:rPr>
        <w:t>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w:t>
      </w:r>
    </w:p>
    <w:p>
      <w:pPr>
        <w:spacing w:after="0" w:line="1" w:lineRule="exact"/>
        <w:rPr>
          <w:sz w:val="20"/>
          <w:szCs w:val="20"/>
          <w:color w:val="auto"/>
        </w:rPr>
      </w:pPr>
    </w:p>
    <w:p>
      <w:pPr>
        <w:ind w:right="20" w:firstLine="8"/>
        <w:spacing w:after="0" w:line="302" w:lineRule="auto"/>
        <w:tabs>
          <w:tab w:leader="none" w:pos="3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GLOBAL NOTE MAY BE TRANSFERRED TO A SUCCESSOR DEPOSITARY WITH THE PRIOR WRITTEN CONSENT OF THE ISSUER.</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ind w:left="1160" w:hanging="504"/>
        <w:spacing w:after="0"/>
        <w:tabs>
          <w:tab w:leader="none" w:pos="1160" w:val="left"/>
        </w:tabs>
        <w:numPr>
          <w:ilvl w:val="0"/>
          <w:numId w:val="60"/>
        </w:numPr>
        <w:rPr>
          <w:rFonts w:ascii="Arial" w:cs="Arial" w:eastAsia="Arial" w:hAnsi="Arial"/>
          <w:sz w:val="19"/>
          <w:szCs w:val="19"/>
          <w:color w:val="auto"/>
        </w:rPr>
      </w:pPr>
      <w:r>
        <w:rPr>
          <w:rFonts w:ascii="Arial" w:cs="Arial" w:eastAsia="Arial" w:hAnsi="Arial"/>
          <w:sz w:val="19"/>
          <w:szCs w:val="19"/>
          <w:i w:val="1"/>
          <w:iCs w:val="1"/>
          <w:color w:val="auto"/>
        </w:rPr>
        <w:t xml:space="preserve">Cancelation and/or Adjustment of Global Notes. </w:t>
      </w:r>
      <w:r>
        <w:rPr>
          <w:rFonts w:ascii="Arial" w:cs="Arial" w:eastAsia="Arial" w:hAnsi="Arial"/>
          <w:sz w:val="19"/>
          <w:szCs w:val="19"/>
          <w:color w:val="auto"/>
        </w:rPr>
        <w:t>At such time as all beneficial interests in a particular Global Note</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61" w:right="239" w:bottom="1440" w:gutter="0" w:footer="0" w:header="0"/>
        </w:sectPr>
      </w:pPr>
    </w:p>
    <w:bookmarkStart w:id="103" w:name="page104"/>
    <w:bookmarkEnd w:id="103"/>
    <w:p>
      <w:pPr>
        <w:ind w:left="424" w:hanging="424"/>
        <w:spacing w:after="0"/>
        <w:tabs>
          <w:tab w:leader="none" w:pos="424"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144" w:hanging="495"/>
        <w:spacing w:after="0"/>
        <w:tabs>
          <w:tab w:leader="none" w:pos="1144" w:val="left"/>
        </w:tabs>
        <w:numPr>
          <w:ilvl w:val="1"/>
          <w:numId w:val="61"/>
        </w:numPr>
        <w:rPr>
          <w:rFonts w:ascii="Arial" w:cs="Arial" w:eastAsia="Arial" w:hAnsi="Arial"/>
          <w:sz w:val="19"/>
          <w:szCs w:val="19"/>
          <w:color w:val="auto"/>
        </w:rPr>
      </w:pPr>
      <w:r>
        <w:rPr>
          <w:rFonts w:ascii="Arial" w:cs="Arial" w:eastAsia="Arial" w:hAnsi="Arial"/>
          <w:sz w:val="19"/>
          <w:szCs w:val="19"/>
          <w:color w:val="auto"/>
        </w:rPr>
        <w:t>To permit registrations of transfers and exchanges, the Issuer shall execute and the Trustee shall authenticate</w:t>
      </w:r>
    </w:p>
    <w:p>
      <w:pPr>
        <w:spacing w:after="0" w:line="92" w:lineRule="exact"/>
        <w:rPr>
          <w:rFonts w:ascii="Arial" w:cs="Arial" w:eastAsia="Arial" w:hAnsi="Arial"/>
          <w:sz w:val="19"/>
          <w:szCs w:val="19"/>
          <w:color w:val="auto"/>
        </w:rPr>
      </w:pPr>
    </w:p>
    <w:p>
      <w:pPr>
        <w:ind w:left="4"/>
        <w:spacing w:after="0" w:line="302" w:lineRule="auto"/>
        <w:rPr>
          <w:rFonts w:ascii="Arial" w:cs="Arial" w:eastAsia="Arial" w:hAnsi="Arial"/>
          <w:sz w:val="19"/>
          <w:szCs w:val="19"/>
          <w:color w:val="auto"/>
        </w:rPr>
      </w:pPr>
      <w:r>
        <w:rPr>
          <w:rFonts w:ascii="Arial" w:cs="Arial" w:eastAsia="Arial" w:hAnsi="Arial"/>
          <w:sz w:val="22"/>
          <w:szCs w:val="22"/>
          <w:color w:val="auto"/>
        </w:rPr>
        <w:t>Global Notes and Definitive Notes upon receipt of an Authentication Order in accordance with Section 2.02 hereof or at the Registrar’s request.</w:t>
      </w:r>
    </w:p>
    <w:p>
      <w:pPr>
        <w:spacing w:after="0" w:line="173" w:lineRule="exact"/>
        <w:rPr>
          <w:rFonts w:ascii="Arial" w:cs="Arial" w:eastAsia="Arial" w:hAnsi="Arial"/>
          <w:sz w:val="19"/>
          <w:szCs w:val="19"/>
          <w:color w:val="auto"/>
        </w:rPr>
      </w:pPr>
    </w:p>
    <w:p>
      <w:pPr>
        <w:ind w:left="1184" w:hanging="535"/>
        <w:spacing w:after="0"/>
        <w:tabs>
          <w:tab w:leader="none" w:pos="1184" w:val="left"/>
        </w:tabs>
        <w:numPr>
          <w:ilvl w:val="1"/>
          <w:numId w:val="61"/>
        </w:numPr>
        <w:rPr>
          <w:rFonts w:ascii="Arial" w:cs="Arial" w:eastAsia="Arial" w:hAnsi="Arial"/>
          <w:sz w:val="19"/>
          <w:szCs w:val="19"/>
          <w:color w:val="auto"/>
        </w:rPr>
      </w:pPr>
      <w:r>
        <w:rPr>
          <w:rFonts w:ascii="Arial" w:cs="Arial" w:eastAsia="Arial" w:hAnsi="Arial"/>
          <w:sz w:val="19"/>
          <w:szCs w:val="19"/>
          <w:color w:val="auto"/>
        </w:rPr>
        <w:t>No service charge shall be made to a Holder of, or a Beneficial Owner of an interest in, a Global Note or</w:t>
      </w:r>
    </w:p>
    <w:p>
      <w:pPr>
        <w:spacing w:after="0" w:line="92" w:lineRule="exact"/>
        <w:rPr>
          <w:rFonts w:ascii="Arial" w:cs="Arial" w:eastAsia="Arial" w:hAnsi="Arial"/>
          <w:sz w:val="19"/>
          <w:szCs w:val="19"/>
          <w:color w:val="auto"/>
        </w:rPr>
      </w:pPr>
    </w:p>
    <w:p>
      <w:pPr>
        <w:jc w:val="both"/>
        <w:ind w:left="4"/>
        <w:spacing w:after="0" w:line="288" w:lineRule="auto"/>
        <w:rPr>
          <w:rFonts w:ascii="Arial" w:cs="Arial" w:eastAsia="Arial" w:hAnsi="Arial"/>
          <w:sz w:val="19"/>
          <w:szCs w:val="19"/>
          <w:color w:val="auto"/>
        </w:rPr>
      </w:pPr>
      <w:r>
        <w:rPr>
          <w:rFonts w:ascii="Arial" w:cs="Arial" w:eastAsia="Arial" w:hAnsi="Arial"/>
          <w:sz w:val="22"/>
          <w:szCs w:val="22"/>
          <w:color w:val="auto"/>
        </w:rPr>
        <w:t>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90" w:lineRule="exact"/>
        <w:rPr>
          <w:rFonts w:ascii="Arial" w:cs="Arial" w:eastAsia="Arial" w:hAnsi="Arial"/>
          <w:sz w:val="19"/>
          <w:szCs w:val="19"/>
          <w:color w:val="auto"/>
        </w:rPr>
      </w:pPr>
    </w:p>
    <w:p>
      <w:pPr>
        <w:ind w:left="4" w:right="20" w:firstLine="645"/>
        <w:spacing w:after="0" w:line="315" w:lineRule="auto"/>
        <w:tabs>
          <w:tab w:leader="none" w:pos="1111"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of any Note selected for redemption in whole or in part, except the unredeemed portion of any Note being redeemed in part.</w:t>
      </w:r>
    </w:p>
    <w:p>
      <w:pPr>
        <w:spacing w:after="0" w:line="159" w:lineRule="exact"/>
        <w:rPr>
          <w:rFonts w:ascii="Arial" w:cs="Arial" w:eastAsia="Arial" w:hAnsi="Arial"/>
          <w:sz w:val="22"/>
          <w:szCs w:val="22"/>
          <w:color w:val="auto"/>
        </w:rPr>
      </w:pPr>
    </w:p>
    <w:p>
      <w:pPr>
        <w:ind w:left="1104" w:hanging="455"/>
        <w:spacing w:after="0"/>
        <w:tabs>
          <w:tab w:leader="none" w:pos="1104"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w:t>
      </w:r>
    </w:p>
    <w:p>
      <w:pPr>
        <w:spacing w:after="0" w:line="92" w:lineRule="exact"/>
        <w:rPr>
          <w:rFonts w:ascii="Arial" w:cs="Arial" w:eastAsia="Arial" w:hAnsi="Arial"/>
          <w:sz w:val="19"/>
          <w:szCs w:val="19"/>
          <w:color w:val="auto"/>
        </w:rPr>
      </w:pPr>
    </w:p>
    <w:p>
      <w:pPr>
        <w:ind w:left="4"/>
        <w:spacing w:after="0" w:line="387" w:lineRule="auto"/>
        <w:rPr>
          <w:rFonts w:ascii="Arial" w:cs="Arial" w:eastAsia="Arial" w:hAnsi="Arial"/>
          <w:sz w:val="19"/>
          <w:szCs w:val="19"/>
          <w:color w:val="auto"/>
        </w:rPr>
      </w:pPr>
      <w:r>
        <w:rPr>
          <w:rFonts w:ascii="Arial" w:cs="Arial" w:eastAsia="Arial" w:hAnsi="Arial"/>
          <w:sz w:val="19"/>
          <w:szCs w:val="19"/>
          <w:color w:val="auto"/>
        </w:rPr>
        <w:t>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05" w:lineRule="exact"/>
        <w:rPr>
          <w:rFonts w:ascii="Arial" w:cs="Arial" w:eastAsia="Arial" w:hAnsi="Arial"/>
          <w:sz w:val="19"/>
          <w:szCs w:val="19"/>
          <w:color w:val="auto"/>
        </w:rPr>
      </w:pPr>
    </w:p>
    <w:p>
      <w:pPr>
        <w:ind w:left="1084" w:hanging="435"/>
        <w:spacing w:after="0"/>
        <w:tabs>
          <w:tab w:leader="none" w:pos="1084" w:val="left"/>
        </w:tabs>
        <w:numPr>
          <w:ilvl w:val="1"/>
          <w:numId w:val="61"/>
        </w:numPr>
        <w:rPr>
          <w:rFonts w:ascii="Arial" w:cs="Arial" w:eastAsia="Arial" w:hAnsi="Arial"/>
          <w:sz w:val="22"/>
          <w:szCs w:val="22"/>
          <w:color w:val="auto"/>
        </w:rPr>
      </w:pPr>
      <w:r>
        <w:rPr>
          <w:rFonts w:ascii="Arial" w:cs="Arial" w:eastAsia="Arial" w:hAnsi="Arial"/>
          <w:sz w:val="22"/>
          <w:szCs w:val="22"/>
          <w:color w:val="auto"/>
        </w:rPr>
        <w:t>Neither the Registrar nor the Issuer shall be required:</w:t>
      </w:r>
    </w:p>
    <w:p>
      <w:pPr>
        <w:spacing w:after="0" w:line="273" w:lineRule="exact"/>
        <w:rPr>
          <w:rFonts w:ascii="Arial" w:cs="Arial" w:eastAsia="Arial" w:hAnsi="Arial"/>
          <w:sz w:val="22"/>
          <w:szCs w:val="22"/>
          <w:color w:val="auto"/>
        </w:rPr>
      </w:pPr>
    </w:p>
    <w:p>
      <w:pPr>
        <w:ind w:left="644" w:firstLine="653"/>
        <w:spacing w:after="0" w:line="402" w:lineRule="auto"/>
        <w:tabs>
          <w:tab w:leader="none" w:pos="1772" w:val="left"/>
        </w:tabs>
        <w:numPr>
          <w:ilvl w:val="2"/>
          <w:numId w:val="61"/>
        </w:numPr>
        <w:rPr>
          <w:rFonts w:ascii="Arial" w:cs="Arial" w:eastAsia="Arial" w:hAnsi="Arial"/>
          <w:sz w:val="19"/>
          <w:szCs w:val="19"/>
          <w:color w:val="auto"/>
        </w:rPr>
      </w:pPr>
      <w:r>
        <w:rPr>
          <w:rFonts w:ascii="Arial" w:cs="Arial" w:eastAsia="Arial" w:hAnsi="Arial"/>
          <w:sz w:val="19"/>
          <w:szCs w:val="19"/>
          <w:color w:val="auto"/>
        </w:rPr>
        <w:t>to issue, to register the transfer of or to exchange any Notes during a period beginning at the opening of business 15 days before the mailing of a notice of redemption for Notes under Section 3.02 hereof;</w:t>
      </w:r>
    </w:p>
    <w:p>
      <w:pPr>
        <w:spacing w:after="0" w:line="91" w:lineRule="exact"/>
        <w:rPr>
          <w:rFonts w:ascii="Arial" w:cs="Arial" w:eastAsia="Arial" w:hAnsi="Arial"/>
          <w:sz w:val="19"/>
          <w:szCs w:val="19"/>
          <w:color w:val="auto"/>
        </w:rPr>
      </w:pPr>
    </w:p>
    <w:p>
      <w:pPr>
        <w:ind w:left="644" w:right="20" w:firstLine="653"/>
        <w:spacing w:after="0" w:line="315" w:lineRule="auto"/>
        <w:tabs>
          <w:tab w:leader="none" w:pos="1801"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59" w:lineRule="exact"/>
        <w:rPr>
          <w:rFonts w:ascii="Arial" w:cs="Arial" w:eastAsia="Arial" w:hAnsi="Arial"/>
          <w:sz w:val="22"/>
          <w:szCs w:val="22"/>
          <w:color w:val="auto"/>
        </w:rPr>
      </w:pPr>
    </w:p>
    <w:p>
      <w:pPr>
        <w:ind w:left="644" w:firstLine="653"/>
        <w:spacing w:after="0" w:line="315" w:lineRule="auto"/>
        <w:tabs>
          <w:tab w:leader="none" w:pos="1787"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59" w:lineRule="exact"/>
        <w:rPr>
          <w:rFonts w:ascii="Arial" w:cs="Arial" w:eastAsia="Arial" w:hAnsi="Arial"/>
          <w:sz w:val="22"/>
          <w:szCs w:val="22"/>
          <w:color w:val="auto"/>
        </w:rPr>
      </w:pPr>
    </w:p>
    <w:p>
      <w:pPr>
        <w:ind w:left="1144" w:hanging="495"/>
        <w:spacing w:after="0"/>
        <w:tabs>
          <w:tab w:leader="none" w:pos="1144" w:val="left"/>
        </w:tabs>
        <w:numPr>
          <w:ilvl w:val="1"/>
          <w:numId w:val="61"/>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the Issuer</w:t>
      </w:r>
    </w:p>
    <w:p>
      <w:pPr>
        <w:spacing w:after="0" w:line="92" w:lineRule="exact"/>
        <w:rPr>
          <w:rFonts w:ascii="Arial" w:cs="Arial" w:eastAsia="Arial" w:hAnsi="Arial"/>
          <w:sz w:val="19"/>
          <w:szCs w:val="19"/>
          <w:color w:val="auto"/>
        </w:rPr>
      </w:pPr>
    </w:p>
    <w:p>
      <w:pPr>
        <w:jc w:val="both"/>
        <w:ind w:left="4"/>
        <w:spacing w:after="0" w:line="292" w:lineRule="auto"/>
        <w:rPr>
          <w:rFonts w:ascii="Arial" w:cs="Arial" w:eastAsia="Arial" w:hAnsi="Arial"/>
          <w:sz w:val="19"/>
          <w:szCs w:val="19"/>
          <w:color w:val="auto"/>
        </w:rPr>
      </w:pPr>
      <w:r>
        <w:rPr>
          <w:rFonts w:ascii="Arial" w:cs="Arial" w:eastAsia="Arial" w:hAnsi="Arial"/>
          <w:sz w:val="22"/>
          <w:szCs w:val="22"/>
          <w:color w:val="auto"/>
        </w:rPr>
        <w:t>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84" w:lineRule="exact"/>
        <w:rPr>
          <w:rFonts w:ascii="Arial" w:cs="Arial" w:eastAsia="Arial" w:hAnsi="Arial"/>
          <w:sz w:val="19"/>
          <w:szCs w:val="19"/>
          <w:color w:val="auto"/>
        </w:rPr>
      </w:pPr>
    </w:p>
    <w:p>
      <w:pPr>
        <w:ind w:left="1104" w:hanging="455"/>
        <w:spacing w:after="0"/>
        <w:tabs>
          <w:tab w:leader="none" w:pos="1104"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9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64"/>
          </w:cols>
          <w:pgMar w:left="896" w:top="861" w:right="239" w:bottom="1440" w:gutter="0" w:footer="0" w:header="0"/>
        </w:sectPr>
      </w:pPr>
    </w:p>
    <w:bookmarkStart w:id="104" w:name="page105"/>
    <w:bookmarkEnd w:id="104"/>
    <w:p>
      <w:pPr>
        <w:ind w:left="660" w:firstLine="645"/>
        <w:spacing w:after="0" w:line="315" w:lineRule="auto"/>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59"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w:t>
      </w:r>
    </w:p>
    <w:p>
      <w:pPr>
        <w:spacing w:after="0" w:line="69" w:lineRule="exact"/>
        <w:rPr>
          <w:rFonts w:ascii="Arial" w:cs="Arial" w:eastAsia="Arial" w:hAnsi="Arial"/>
          <w:sz w:val="21"/>
          <w:szCs w:val="21"/>
          <w:color w:val="auto"/>
        </w:rPr>
      </w:pPr>
    </w:p>
    <w:p>
      <w:pPr>
        <w:jc w:val="both"/>
        <w:ind w:left="660"/>
        <w:spacing w:after="0" w:line="303" w:lineRule="auto"/>
        <w:rPr>
          <w:rFonts w:ascii="Arial" w:cs="Arial" w:eastAsia="Arial" w:hAnsi="Arial"/>
          <w:sz w:val="21"/>
          <w:szCs w:val="21"/>
          <w:color w:val="auto"/>
        </w:rPr>
      </w:pPr>
      <w:r>
        <w:rPr>
          <w:rFonts w:ascii="Arial" w:cs="Arial" w:eastAsia="Arial" w:hAnsi="Arial"/>
          <w:sz w:val="21"/>
          <w:szCs w:val="21"/>
          <w:color w:val="auto"/>
        </w:rPr>
        <w:t>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7" w:lineRule="exact"/>
        <w:rPr>
          <w:rFonts w:ascii="Arial" w:cs="Arial" w:eastAsia="Arial" w:hAnsi="Arial"/>
          <w:sz w:val="21"/>
          <w:szCs w:val="21"/>
          <w:color w:val="auto"/>
        </w:rPr>
      </w:pPr>
    </w:p>
    <w:p>
      <w:pPr>
        <w:ind w:left="660" w:firstLine="645"/>
        <w:spacing w:after="0" w:line="315" w:lineRule="auto"/>
        <w:tabs>
          <w:tab w:leader="none" w:pos="1875"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Neither the Trustee nor any Agent shall have any responsibility or liability for any actions taken or not taken by the Depositary.</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(including the Trustee’s expenses) in replacing a Note.</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7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61" w:right="239" w:bottom="1440" w:gutter="0" w:footer="0" w:header="0"/>
        </w:sectPr>
      </w:pPr>
    </w:p>
    <w:bookmarkStart w:id="105" w:name="page106"/>
    <w:bookmarkEnd w:id="105"/>
    <w:p>
      <w:pPr>
        <w:jc w:val="both"/>
        <w:ind w:firstLine="648"/>
        <w:spacing w:after="0" w:line="302"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 acceptable to the Trustee. Without unreasonable delay, the Issuer shall prepare and the Trustee shall authenticate Definitive Notes in exchange for temporary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Cancelation.</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 provide evidence of the destruction of all canceled Notes to the Issuer. The Issuer may not issue new Notes to replace Notes that it has paid or that have been delivered to the Trustee for cancelation.</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61" w:right="239" w:bottom="1440" w:gutter="0" w:footer="0" w:header="0"/>
        </w:sectPr>
      </w:pPr>
    </w:p>
    <w:bookmarkStart w:id="106" w:name="page107"/>
    <w:bookmarkEnd w:id="106"/>
    <w:p>
      <w:pPr>
        <w:jc w:val="both"/>
        <w:spacing w:after="0" w:line="287" w:lineRule="auto"/>
        <w:rPr>
          <w:sz w:val="20"/>
          <w:szCs w:val="20"/>
          <w:color w:val="auto"/>
        </w:rPr>
      </w:pPr>
      <w:r>
        <w:rPr>
          <w:rFonts w:ascii="Arial" w:cs="Arial" w:eastAsia="Arial" w:hAnsi="Arial"/>
          <w:sz w:val="22"/>
          <w:szCs w:val="22"/>
          <w:color w:val="auto"/>
        </w:rPr>
        <w:t xml:space="preserve">payment. The Issuer shall fix or cause to be fixed each such special record date and payment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Issuance of Additional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any Additional Notes, the Issuer will set forth in a resolution of the Board of Directors of the Issuer and an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a copy of each which shall be delivered to the Trustee, the following information:</w:t>
      </w:r>
    </w:p>
    <w:p>
      <w:pPr>
        <w:spacing w:after="0" w:line="260" w:lineRule="exact"/>
        <w:rPr>
          <w:sz w:val="20"/>
          <w:szCs w:val="20"/>
          <w:color w:val="auto"/>
        </w:rPr>
      </w:pPr>
    </w:p>
    <w:p>
      <w:pPr>
        <w:ind w:left="1120" w:hanging="464"/>
        <w:spacing w:after="0"/>
        <w:tabs>
          <w:tab w:leader="none" w:pos="11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160" w:hanging="504"/>
        <w:spacing w:after="0"/>
        <w:tabs>
          <w:tab w:leader="none" w:pos="11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which such Additional Notes shall be Notes issued in the form of Restricted Global Notes or Restricted Definitive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Notes, as the case may be, or shall be Notes issued in the form of Unrestricted Global Notes or Unrestricted Definitive Notes, as the case may be.</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order for any Additional Notes to have the same CUSIP, Common Code or ISIN, as applicable, as the Notes, such Additional Notes must be fungible with the Notes for United States federal income tax purposes.</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REDEMPTION AND PREPAYMENT</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Notices to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If the Issuer elects to redeem Notes pursuant to the redemption provisions of Sections 3.07, 3.09 or 3.10 hereof, it must furnish to the Trustee, at least 10 days (or, in the case of a redemption pursuant to Section 3.09 hereof, as soon as reasonably practicable) but not more than 60 days before a redemption date, an Officer’s Certificate setting forth:</w:t>
      </w:r>
    </w:p>
    <w:p>
      <w:pPr>
        <w:spacing w:after="0" w:line="16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61" w:right="239" w:bottom="1440" w:gutter="0" w:footer="0" w:header="0"/>
        </w:sectPr>
      </w:pPr>
    </w:p>
    <w:bookmarkStart w:id="107" w:name="page108"/>
    <w:bookmarkEnd w:id="107"/>
    <w:p>
      <w:pPr>
        <w:ind w:left="1080" w:hanging="424"/>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If less than all of the Notes are to be redeemed (other than pursuant to Section 3.09 hereof) or purchased in an offer to purchase at any time, the Trustee shall select Notes for redemption or purchase as follows:</w:t>
      </w:r>
    </w:p>
    <w:p>
      <w:pPr>
        <w:spacing w:after="0" w:line="174" w:lineRule="exact"/>
        <w:rPr>
          <w:sz w:val="20"/>
          <w:szCs w:val="20"/>
          <w:color w:val="auto"/>
        </w:rPr>
      </w:pPr>
    </w:p>
    <w:p>
      <w:pPr>
        <w:ind w:firstLine="656"/>
        <w:spacing w:after="0" w:line="315" w:lineRule="auto"/>
        <w:tabs>
          <w:tab w:leader="none" w:pos="1122"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the Notes are listed on any internationally recognized securities exchange, in compliance with the requirements of the principal internationally recognized securities exchange on which the Notes are listed; or</w:t>
      </w:r>
    </w:p>
    <w:p>
      <w:pPr>
        <w:spacing w:after="0" w:line="159" w:lineRule="exact"/>
        <w:rPr>
          <w:rFonts w:ascii="Arial" w:cs="Arial" w:eastAsia="Arial" w:hAnsi="Arial"/>
          <w:sz w:val="22"/>
          <w:szCs w:val="22"/>
          <w:color w:val="auto"/>
        </w:rPr>
      </w:pPr>
    </w:p>
    <w:p>
      <w:pPr>
        <w:ind w:firstLine="656"/>
        <w:spacing w:after="0" w:line="315" w:lineRule="auto"/>
        <w:tabs>
          <w:tab w:leader="none" w:pos="11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if the Notes are not listed on any internationally recognized securities exchange,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by lot or, in the case of Notes issued in global form, in accordance with the applicable procedures of the Depositary.</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 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61"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The notice shall identify the Notes (including the CUSIP number) to be redeemed and shall state:</w:t>
      </w:r>
    </w:p>
    <w:p>
      <w:pPr>
        <w:spacing w:after="0" w:line="260"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any Note is being redeemed in part, the portion of the principal amount of such Note to be redeemed and that, after</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redemption date upon surrender of such Note, a new Note or Notes in principal amount equal to the unredeemed portion shall be issued upon cancelation of the original Note;</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73" w:lineRule="exact"/>
        <w:rPr>
          <w:rFonts w:ascii="Arial" w:cs="Arial" w:eastAsia="Arial" w:hAnsi="Arial"/>
          <w:sz w:val="22"/>
          <w:szCs w:val="22"/>
          <w:color w:val="auto"/>
        </w:rPr>
      </w:pPr>
    </w:p>
    <w:p>
      <w:pPr>
        <w:ind w:firstLine="656"/>
        <w:spacing w:after="0" w:line="315" w:lineRule="auto"/>
        <w:tabs>
          <w:tab w:leader="none" w:pos="108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unless the Issuer defaults in making such redemption payment, interest on Notes called for redemption ceases to accrue on and after the redemption date;</w:t>
      </w:r>
    </w:p>
    <w:p>
      <w:pPr>
        <w:spacing w:after="0" w:line="159" w:lineRule="exact"/>
        <w:rPr>
          <w:rFonts w:ascii="Arial" w:cs="Arial" w:eastAsia="Arial" w:hAnsi="Arial"/>
          <w:sz w:val="22"/>
          <w:szCs w:val="22"/>
          <w:color w:val="auto"/>
        </w:rPr>
      </w:pPr>
    </w:p>
    <w:p>
      <w:pPr>
        <w:ind w:firstLine="656"/>
        <w:spacing w:after="0" w:line="315"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59" w:lineRule="exact"/>
        <w:rPr>
          <w:rFonts w:ascii="Arial" w:cs="Arial" w:eastAsia="Arial" w:hAnsi="Arial"/>
          <w:sz w:val="22"/>
          <w:szCs w:val="22"/>
          <w:color w:val="auto"/>
        </w:rPr>
      </w:pPr>
    </w:p>
    <w:p>
      <w:pPr>
        <w:ind w:firstLine="656"/>
        <w:spacing w:after="0" w:line="315" w:lineRule="auto"/>
        <w:tabs>
          <w:tab w:leader="none" w:pos="1121"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has delivered to the Trustee, at least 45 days prior to the redemption date (unless a shorter notice is agreed</w:t>
      </w:r>
      <w:r>
        <w:rPr>
          <w:rFonts w:ascii="Arial" w:cs="Arial" w:eastAsia="Arial" w:hAnsi="Arial"/>
          <w:sz w:val="22"/>
          <w:szCs w:val="22"/>
          <w:i w:val="1"/>
          <w:iCs w:val="1"/>
          <w:color w:val="auto"/>
        </w:rPr>
        <w:t xml:space="preserve"> </w:t>
      </w:r>
      <w:r>
        <w:rPr>
          <w:rFonts w:ascii="Arial" w:cs="Arial" w:eastAsia="Arial" w:hAnsi="Arial"/>
          <w:sz w:val="22"/>
          <w:szCs w:val="22"/>
          <w:color w:val="auto"/>
        </w:rPr>
        <w:t>to by the Trustee), an Officer’s Certificate requesting that the Trustee give such notice and setting forth the information to be stated in such notice as provided in the preceding paragraph.</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3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One Business Day prior to the redemption or purchase date, the Issuer shall deposit with the Trustee or with the Paying Agent money sufficient to pay the redemption or purchase price of and accrued interest and premium, if any, on all Notes to be redeemed or purchased on that date. The Trustee or the Paying Agent shall promptly return to the Issuer any money deposited with the Trustee or the Paying Agent by the Issuer in excess of the amounts necessary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61" w:right="239" w:bottom="1440" w:gutter="0" w:footer="0" w:header="0"/>
        </w:sectPr>
      </w:pPr>
    </w:p>
    <w:bookmarkStart w:id="109" w:name="page110"/>
    <w:bookmarkEnd w:id="109"/>
    <w:p>
      <w:pPr>
        <w:spacing w:after="0"/>
        <w:rPr>
          <w:sz w:val="20"/>
          <w:szCs w:val="20"/>
          <w:color w:val="auto"/>
        </w:rPr>
      </w:pPr>
      <w:r>
        <w:rPr>
          <w:rFonts w:ascii="Arial" w:cs="Arial" w:eastAsia="Arial" w:hAnsi="Arial"/>
          <w:sz w:val="21"/>
          <w:szCs w:val="21"/>
          <w:color w:val="auto"/>
        </w:rPr>
        <w:t>the redemption or purchase price of, and accrued interest and premium, if any, on all Notes to be redeemed or purchased.</w:t>
      </w:r>
    </w:p>
    <w:p>
      <w:pPr>
        <w:spacing w:after="0" w:line="27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At any time prior to October 1, 2020, the Issuer may, on any one or more occasions, redeem up to 35% of the aggregate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principal amount of the Notes issued under this Indenture at a redemption price of 104.875% of the principal amount, plus accrued and unpaid interest, if any, and Additional Amounts, if any, to (but excluding) the redemption date, with the net cash proceeds of one or more Equity Offerings; provided that:</w:t>
      </w:r>
    </w:p>
    <w:p>
      <w:pPr>
        <w:spacing w:after="0" w:line="184" w:lineRule="exact"/>
        <w:rPr>
          <w:rFonts w:ascii="Arial" w:cs="Arial" w:eastAsia="Arial" w:hAnsi="Arial"/>
          <w:sz w:val="19"/>
          <w:szCs w:val="19"/>
          <w:color w:val="auto"/>
        </w:rPr>
      </w:pPr>
    </w:p>
    <w:p>
      <w:pPr>
        <w:ind w:left="1800" w:hanging="495"/>
        <w:spacing w:after="0"/>
        <w:tabs>
          <w:tab w:leader="none" w:pos="18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at least 65% of the aggregate principal amount of the Notes originally issued under this Indenture (excluding</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the Notes held by the Issuer and its Subsidiaries) remains outstanding immediately after the occurrence of such redemption; and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redemption occurs within 45 days of the date of the closing of such Equity Offering.</w:t>
      </w:r>
    </w:p>
    <w:p>
      <w:pPr>
        <w:spacing w:after="0" w:line="273" w:lineRule="exact"/>
        <w:rPr>
          <w:rFonts w:ascii="Arial" w:cs="Arial" w:eastAsia="Arial" w:hAnsi="Arial"/>
          <w:sz w:val="22"/>
          <w:szCs w:val="22"/>
          <w:color w:val="auto"/>
        </w:rPr>
      </w:pPr>
    </w:p>
    <w:p>
      <w:pPr>
        <w:ind w:firstLine="656"/>
        <w:spacing w:after="0" w:line="315" w:lineRule="auto"/>
        <w:tabs>
          <w:tab w:leader="none" w:pos="1134" w:val="left"/>
        </w:tabs>
        <w:numPr>
          <w:ilvl w:val="0"/>
          <w:numId w:val="69"/>
        </w:numPr>
        <w:rPr>
          <w:rFonts w:ascii="Arial" w:cs="Arial" w:eastAsia="Arial" w:hAnsi="Arial"/>
          <w:sz w:val="22"/>
          <w:szCs w:val="22"/>
          <w:color w:val="auto"/>
        </w:rPr>
      </w:pPr>
      <w:r>
        <w:rPr>
          <w:rFonts w:ascii="Arial" w:cs="Arial" w:eastAsia="Arial" w:hAnsi="Arial"/>
          <w:sz w:val="22"/>
          <w:szCs w:val="22"/>
          <w:color w:val="auto"/>
        </w:rPr>
        <w:t>At any time prior to October 1, 2020, the Issuer may on any one or more occasions redeem all or part of the Notes, upon not less than 10 nor more than 60 days’ notice, at a redemption price equal to the greater of:</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73" w:lineRule="exact"/>
        <w:rPr>
          <w:rFonts w:ascii="Arial" w:cs="Arial" w:eastAsia="Arial" w:hAnsi="Arial"/>
          <w:sz w:val="22"/>
          <w:szCs w:val="22"/>
          <w:color w:val="auto"/>
        </w:rPr>
      </w:pPr>
    </w:p>
    <w:p>
      <w:pPr>
        <w:ind w:left="1760" w:hanging="455"/>
        <w:spacing w:after="0"/>
        <w:tabs>
          <w:tab w:leader="none" w:pos="17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as determined by an Independent Investment Banker, the sum of the present values of the remaining scheduled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payments of principal and interest on the Notes to be redeemed (not including any portion of such payments of interest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61" w:right="239" w:bottom="1440" w:gutter="0" w:footer="0" w:header="0"/>
        </w:sectPr>
      </w:pPr>
    </w:p>
    <w:bookmarkStart w:id="110" w:name="page111"/>
    <w:bookmarkEnd w:id="110"/>
    <w:p>
      <w:pPr>
        <w:ind w:left="660"/>
        <w:spacing w:after="0" w:line="328" w:lineRule="auto"/>
        <w:rPr>
          <w:sz w:val="20"/>
          <w:szCs w:val="20"/>
          <w:color w:val="auto"/>
        </w:rPr>
      </w:pPr>
      <w:r>
        <w:rPr>
          <w:rFonts w:ascii="Arial" w:cs="Arial" w:eastAsia="Arial" w:hAnsi="Arial"/>
          <w:sz w:val="21"/>
          <w:szCs w:val="21"/>
          <w:color w:val="auto"/>
        </w:rPr>
        <w:t>to (but excluding) the date of redemption) discounted to the redemption date on a semi-annual basis (assuming a 360-day year consisting of twelve 30-day months) at the Adjusted Treasury Rate, plus 50 basis points,</w:t>
      </w:r>
    </w:p>
    <w:p>
      <w:pPr>
        <w:spacing w:after="0" w:line="150"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right="20" w:firstLine="656"/>
        <w:spacing w:after="0" w:line="315" w:lineRule="auto"/>
        <w:tabs>
          <w:tab w:leader="none" w:pos="1163"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Except pursuant to Sections 3.07(a), 3.07(b), 3.09, 3.10 and 4.10 hereof, the Notes shall not be redeemable at the Issuer’s option prior to October 1, 2020.</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On or after October 1, 2020, the Issuer may on any one or more occasions redeem all or a part of the Notes, upon not</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October 1 of the years indicated below, subject to the rights of Holders on the relevant record date to receive interest on the relevant interest payment date:</w:t>
      </w:r>
    </w:p>
    <w:p>
      <w:pPr>
        <w:spacing w:after="0" w:line="319" w:lineRule="exact"/>
        <w:rPr>
          <w:sz w:val="20"/>
          <w:szCs w:val="20"/>
          <w:color w:val="auto"/>
        </w:rPr>
      </w:pPr>
    </w:p>
    <w:tbl>
      <w:tblPr>
        <w:tblLayout w:type="fixed"/>
        <w:tblInd w:w="1640" w:type="dxa"/>
        <w:tblCellMar>
          <w:top w:w="0" w:type="dxa"/>
          <w:left w:w="0" w:type="dxa"/>
          <w:bottom w:w="0" w:type="dxa"/>
          <w:right w:w="0" w:type="dxa"/>
        </w:tblCellMar>
      </w:tblPr>
      <w:tr>
        <w:trPr>
          <w:trHeight w:val="281"/>
        </w:trPr>
        <w:tc>
          <w:tcPr>
            <w:tcW w:w="4140" w:type="dxa"/>
            <w:vAlign w:val="bottom"/>
          </w:tcPr>
          <w:p>
            <w:pPr>
              <w:spacing w:after="0"/>
              <w:rPr>
                <w:sz w:val="20"/>
                <w:szCs w:val="20"/>
                <w:color w:val="auto"/>
              </w:rPr>
            </w:pPr>
            <w:r>
              <w:rPr>
                <w:rFonts w:ascii="Arial" w:cs="Arial" w:eastAsia="Arial" w:hAnsi="Arial"/>
                <w:sz w:val="22"/>
                <w:szCs w:val="22"/>
                <w:b w:val="1"/>
                <w:bCs w:val="1"/>
                <w:color w:val="auto"/>
              </w:rPr>
              <w:t>Year</w:t>
            </w:r>
          </w:p>
        </w:tc>
        <w:tc>
          <w:tcPr>
            <w:tcW w:w="4000" w:type="dxa"/>
            <w:vAlign w:val="bottom"/>
          </w:tcPr>
          <w:p>
            <w:pPr>
              <w:jc w:val="right"/>
              <w:ind w:right="432"/>
              <w:spacing w:after="0"/>
              <w:rPr>
                <w:sz w:val="20"/>
                <w:szCs w:val="20"/>
                <w:color w:val="auto"/>
              </w:rPr>
            </w:pPr>
            <w:r>
              <w:rPr>
                <w:rFonts w:ascii="Arial" w:cs="Arial" w:eastAsia="Arial" w:hAnsi="Arial"/>
                <w:sz w:val="22"/>
                <w:szCs w:val="22"/>
                <w:b w:val="1"/>
                <w:bCs w:val="1"/>
                <w:color w:val="auto"/>
              </w:rPr>
              <w:t>Percentage</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2020</w:t>
            </w:r>
          </w:p>
        </w:tc>
        <w:tc>
          <w:tcPr>
            <w:tcW w:w="4000" w:type="dxa"/>
            <w:vAlign w:val="bottom"/>
          </w:tcPr>
          <w:p>
            <w:pPr>
              <w:jc w:val="right"/>
              <w:spacing w:after="0"/>
              <w:rPr>
                <w:sz w:val="20"/>
                <w:szCs w:val="20"/>
                <w:color w:val="auto"/>
              </w:rPr>
            </w:pPr>
            <w:r>
              <w:rPr>
                <w:rFonts w:ascii="Arial" w:cs="Arial" w:eastAsia="Arial" w:hAnsi="Arial"/>
                <w:sz w:val="22"/>
                <w:szCs w:val="22"/>
                <w:color w:val="auto"/>
              </w:rPr>
              <w:t>102.438%</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2021</w:t>
            </w:r>
          </w:p>
        </w:tc>
        <w:tc>
          <w:tcPr>
            <w:tcW w:w="4000" w:type="dxa"/>
            <w:vAlign w:val="bottom"/>
          </w:tcPr>
          <w:p>
            <w:pPr>
              <w:jc w:val="right"/>
              <w:spacing w:after="0"/>
              <w:rPr>
                <w:sz w:val="20"/>
                <w:szCs w:val="20"/>
                <w:color w:val="auto"/>
              </w:rPr>
            </w:pPr>
            <w:r>
              <w:rPr>
                <w:rFonts w:ascii="Arial" w:cs="Arial" w:eastAsia="Arial" w:hAnsi="Arial"/>
                <w:sz w:val="22"/>
                <w:szCs w:val="22"/>
                <w:color w:val="auto"/>
              </w:rPr>
              <w:t>101.219%</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2022 and thereafter</w:t>
            </w:r>
          </w:p>
        </w:tc>
        <w:tc>
          <w:tcPr>
            <w:tcW w:w="4000" w:type="dxa"/>
            <w:vAlign w:val="bottom"/>
          </w:tcPr>
          <w:p>
            <w:pPr>
              <w:jc w:val="right"/>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shall cease to accrue on the Notes or portions thereof called for redemption on the applicable redemption date.</w:t>
      </w:r>
    </w:p>
    <w:p>
      <w:pPr>
        <w:spacing w:after="0" w:line="174" w:lineRule="exact"/>
        <w:rPr>
          <w:sz w:val="20"/>
          <w:szCs w:val="20"/>
          <w:color w:val="auto"/>
        </w:rPr>
      </w:pPr>
    </w:p>
    <w:p>
      <w:pPr>
        <w:ind w:left="1100" w:hanging="44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redemption set forth under Section 3.07(a), (b) or (d) hereof may, at the discretion of the Issuer, be subject to the</w:t>
      </w:r>
    </w:p>
    <w:p>
      <w:pPr>
        <w:spacing w:after="0" w:line="92"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2"/>
          <w:szCs w:val="22"/>
          <w:color w:val="auto"/>
        </w:rPr>
        <w:t>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Mandatory Redemption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is not required to make mandatory redemption or sinking fund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61" w:right="239" w:bottom="1440" w:gutter="0" w:footer="0" w:header="0"/>
        </w:sectPr>
      </w:pPr>
    </w:p>
    <w:bookmarkStart w:id="111" w:name="page112"/>
    <w:bookmarkEnd w:id="111"/>
    <w:p>
      <w:pPr>
        <w:spacing w:after="0"/>
        <w:tabs>
          <w:tab w:leader="none" w:pos="12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 shall have the right, at its option, to:</w:t>
      </w:r>
    </w:p>
    <w:p>
      <w:pPr>
        <w:spacing w:after="0" w:line="189" w:lineRule="exact"/>
        <w:rPr>
          <w:sz w:val="20"/>
          <w:szCs w:val="20"/>
          <w:color w:val="auto"/>
        </w:rPr>
      </w:pPr>
    </w:p>
    <w:p>
      <w:pPr>
        <w:ind w:firstLine="656"/>
        <w:spacing w:after="0" w:line="315" w:lineRule="auto"/>
        <w:tabs>
          <w:tab w:leader="none" w:pos="1082"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59" w:lineRule="exact"/>
        <w:rPr>
          <w:rFonts w:ascii="Arial" w:cs="Arial" w:eastAsia="Arial" w:hAnsi="Arial"/>
          <w:sz w:val="22"/>
          <w:szCs w:val="22"/>
          <w:color w:val="auto"/>
        </w:rPr>
      </w:pPr>
    </w:p>
    <w:p>
      <w:pPr>
        <w:ind w:left="1880" w:hanging="575"/>
        <w:spacing w:after="0"/>
        <w:tabs>
          <w:tab w:leader="none" w:pos="18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termination of the period described above for the Holder or Beneficial Owner to apply for a license,</w:t>
      </w:r>
    </w:p>
    <w:p>
      <w:pPr>
        <w:spacing w:after="0" w:line="69" w:lineRule="exact"/>
        <w:rPr>
          <w:rFonts w:ascii="Arial" w:cs="Arial" w:eastAsia="Arial" w:hAnsi="Arial"/>
          <w:sz w:val="21"/>
          <w:szCs w:val="21"/>
          <w:color w:val="auto"/>
        </w:rPr>
      </w:pPr>
    </w:p>
    <w:p>
      <w:pPr>
        <w:ind w:left="660"/>
        <w:spacing w:after="0" w:line="302" w:lineRule="auto"/>
        <w:rPr>
          <w:rFonts w:ascii="Arial" w:cs="Arial" w:eastAsia="Arial" w:hAnsi="Arial"/>
          <w:sz w:val="21"/>
          <w:szCs w:val="21"/>
          <w:color w:val="auto"/>
        </w:rPr>
      </w:pPr>
      <w:r>
        <w:rPr>
          <w:rFonts w:ascii="Arial" w:cs="Arial" w:eastAsia="Arial" w:hAnsi="Arial"/>
          <w:sz w:val="22"/>
          <w:szCs w:val="22"/>
          <w:color w:val="auto"/>
        </w:rPr>
        <w:t>qualification or finding of suitability if the Holder fails to apply for a license, qualification or finding of suitability during such period; or</w:t>
      </w:r>
    </w:p>
    <w:p>
      <w:pPr>
        <w:spacing w:after="0" w:line="173" w:lineRule="exact"/>
        <w:rPr>
          <w:rFonts w:ascii="Arial" w:cs="Arial" w:eastAsia="Arial" w:hAnsi="Arial"/>
          <w:sz w:val="21"/>
          <w:szCs w:val="21"/>
          <w:color w:val="auto"/>
        </w:rPr>
      </w:pPr>
    </w:p>
    <w:p>
      <w:pPr>
        <w:ind w:left="660" w:right="20" w:firstLine="645"/>
        <w:spacing w:after="0" w:line="315" w:lineRule="auto"/>
        <w:tabs>
          <w:tab w:leader="none" w:pos="1767"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73" w:lineRule="exact"/>
        <w:rPr>
          <w:rFonts w:ascii="Arial" w:cs="Arial" w:eastAsia="Arial" w:hAnsi="Arial"/>
          <w:sz w:val="22"/>
          <w:szCs w:val="22"/>
          <w:color w:val="auto"/>
        </w:rPr>
      </w:pPr>
    </w:p>
    <w:p>
      <w:pPr>
        <w:ind w:left="2420" w:hanging="467"/>
        <w:spacing w:after="0"/>
        <w:tabs>
          <w:tab w:leader="none" w:pos="2420"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in either case, together with accrued and unpaid interest, if any, on the Notes to (but excluding) the earlier of</w:t>
      </w:r>
    </w:p>
    <w:p>
      <w:pPr>
        <w:spacing w:after="0" w:line="79" w:lineRule="exact"/>
        <w:rPr>
          <w:sz w:val="20"/>
          <w:szCs w:val="20"/>
          <w:color w:val="auto"/>
        </w:rPr>
      </w:pPr>
    </w:p>
    <w:p>
      <w:pPr>
        <w:jc w:val="both"/>
        <w:ind w:left="1300" w:firstLine="5"/>
        <w:spacing w:after="0" w:line="288" w:lineRule="auto"/>
        <w:tabs>
          <w:tab w:leader="none" w:pos="155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date of redemption or such earlier date as is required by the Gaming Authority or (ii) the date of the finding of unsuitability by the Gaming Authority, which may be less than 30 days following the notice of redemption. The Issuer shall notify the Trustee in writing of any redemption pursuant to this Section 3.09 as soon as reasonably practicable.</w:t>
      </w:r>
    </w:p>
    <w:p>
      <w:pPr>
        <w:spacing w:after="0" w:line="190" w:lineRule="exact"/>
        <w:rPr>
          <w:sz w:val="20"/>
          <w:szCs w:val="20"/>
          <w:color w:val="auto"/>
        </w:rPr>
      </w:pPr>
    </w:p>
    <w:p>
      <w:pPr>
        <w:ind w:firstLine="648"/>
        <w:spacing w:after="0" w:line="387"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spacing w:after="0"/>
        <w:rPr>
          <w:rFonts w:ascii="Arial" w:cs="Arial" w:eastAsia="Arial" w:hAnsi="Arial"/>
          <w:sz w:val="22"/>
          <w:szCs w:val="22"/>
          <w:color w:val="auto"/>
        </w:rPr>
      </w:pPr>
      <w:r>
        <w:rPr>
          <w:rFonts w:ascii="Arial" w:cs="Arial" w:eastAsia="Arial" w:hAnsi="Arial"/>
          <w:sz w:val="22"/>
          <w:szCs w:val="22"/>
          <w:color w:val="auto"/>
        </w:rPr>
        <w:t>38</w:t>
      </w:r>
    </w:p>
    <w:p>
      <w:pPr>
        <w:sectPr>
          <w:pgSz w:w="11900" w:h="16838" w:orient="portrait"/>
          <w:cols w:equalWidth="0" w:num="1">
            <w:col w:w="11420"/>
          </w:cols>
          <w:pgMar w:left="240" w:top="861" w:right="239" w:bottom="1440" w:gutter="0" w:footer="0" w:header="0"/>
        </w:sectPr>
      </w:pPr>
    </w:p>
    <w:bookmarkStart w:id="112" w:name="page113"/>
    <w:bookmarkEnd w:id="112"/>
    <w:p>
      <w:pPr>
        <w:ind w:firstLine="656"/>
        <w:spacing w:after="0" w:line="315" w:lineRule="auto"/>
        <w:tabs>
          <w:tab w:leader="none" w:pos="1134"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 for services rendered or otherwise, except the redemption price of the Notes.</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i w:val="1"/>
          <w:iCs w:val="1"/>
          <w:color w:val="auto"/>
        </w:rPr>
        <w:t>Redemption Upon Changes in Withholding Taxes</w:t>
      </w:r>
    </w:p>
    <w:p>
      <w:pPr>
        <w:spacing w:after="0" w:line="274" w:lineRule="exact"/>
        <w:rPr>
          <w:sz w:val="20"/>
          <w:szCs w:val="20"/>
          <w:color w:val="auto"/>
        </w:rPr>
      </w:pPr>
    </w:p>
    <w:p>
      <w:pPr>
        <w:ind w:left="1100" w:hanging="444"/>
        <w:spacing w:after="0"/>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Notes may be redeemed, at the option of the Issuer, as a whole but not in part, upon giving not less than 10 days’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84" w:lineRule="exact"/>
        <w:rPr>
          <w:rFonts w:ascii="Arial" w:cs="Arial" w:eastAsia="Arial" w:hAnsi="Arial"/>
          <w:sz w:val="19"/>
          <w:szCs w:val="19"/>
          <w:color w:val="auto"/>
        </w:rPr>
      </w:pPr>
    </w:p>
    <w:p>
      <w:pPr>
        <w:ind w:left="660" w:firstLine="645"/>
        <w:spacing w:after="0" w:line="315" w:lineRule="auto"/>
        <w:tabs>
          <w:tab w:leader="none" w:pos="1754"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change in, or amendment to, an existing official position, or the stating of an official position, regarding the</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application, administration or interpretation of such laws, regulations or rulings (including a holding, judgment or order by a court of competent jurisdiction),</w:t>
      </w:r>
    </w:p>
    <w:p>
      <w:pPr>
        <w:spacing w:after="0" w:line="174" w:lineRule="exact"/>
        <w:rPr>
          <w:sz w:val="20"/>
          <w:szCs w:val="20"/>
          <w:color w:val="auto"/>
        </w:rPr>
      </w:pPr>
    </w:p>
    <w:p>
      <w:pPr>
        <w:jc w:val="both"/>
        <w:ind w:left="660"/>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56" w:lineRule="exact"/>
        <w:rPr>
          <w:sz w:val="20"/>
          <w:szCs w:val="20"/>
          <w:color w:val="auto"/>
        </w:rPr>
      </w:pPr>
    </w:p>
    <w:p>
      <w:pPr>
        <w:ind w:firstLine="656"/>
        <w:spacing w:after="0" w:line="315" w:lineRule="auto"/>
        <w:tabs>
          <w:tab w:leader="none" w:pos="11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Prior to the mailing of any notice of redemption of the Notes pursuant to the foregoing, the Issuer or the Surviving Person, as the case may be, shall deliver to the Trustee:</w:t>
      </w:r>
    </w:p>
    <w:p>
      <w:pPr>
        <w:spacing w:after="0" w:line="159" w:lineRule="exact"/>
        <w:rPr>
          <w:rFonts w:ascii="Arial" w:cs="Arial" w:eastAsia="Arial" w:hAnsi="Arial"/>
          <w:sz w:val="22"/>
          <w:szCs w:val="22"/>
          <w:color w:val="auto"/>
        </w:rPr>
      </w:pPr>
    </w:p>
    <w:p>
      <w:pPr>
        <w:ind w:left="660" w:firstLine="645"/>
        <w:spacing w:after="0" w:line="315" w:lineRule="auto"/>
        <w:tabs>
          <w:tab w:leader="none" w:pos="1767"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61" w:right="239" w:bottom="1440" w:gutter="0" w:footer="0" w:header="0"/>
        </w:sectPr>
      </w:pPr>
    </w:p>
    <w:bookmarkStart w:id="113" w:name="page114"/>
    <w:bookmarkEnd w:id="113"/>
    <w:p>
      <w:pPr>
        <w:ind w:left="660"/>
        <w:spacing w:after="0" w:line="302" w:lineRule="auto"/>
        <w:rPr>
          <w:sz w:val="20"/>
          <w:szCs w:val="20"/>
          <w:color w:val="auto"/>
        </w:rPr>
      </w:pPr>
      <w:r>
        <w:rPr>
          <w:rFonts w:ascii="Arial" w:cs="Arial" w:eastAsia="Arial" w:hAnsi="Arial"/>
          <w:sz w:val="22"/>
          <w:szCs w:val="22"/>
          <w:color w:val="auto"/>
        </w:rPr>
        <w:t>that such requirement cannot be avoided by the Issuer or the Surviving Person, as the case may be, taking reasonable measures available to it; and</w:t>
      </w:r>
    </w:p>
    <w:p>
      <w:pPr>
        <w:spacing w:after="0" w:line="174" w:lineRule="exact"/>
        <w:rPr>
          <w:sz w:val="20"/>
          <w:szCs w:val="20"/>
          <w:color w:val="auto"/>
        </w:rPr>
      </w:pPr>
    </w:p>
    <w:p>
      <w:pPr>
        <w:ind w:left="660" w:firstLine="645"/>
        <w:spacing w:after="0" w:line="315" w:lineRule="auto"/>
        <w:tabs>
          <w:tab w:leader="none" w:pos="1862"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59" w:lineRule="exact"/>
        <w:rPr>
          <w:rFonts w:ascii="Arial" w:cs="Arial" w:eastAsia="Arial" w:hAnsi="Arial"/>
          <w:sz w:val="22"/>
          <w:szCs w:val="22"/>
          <w:color w:val="auto"/>
        </w:rPr>
      </w:pPr>
    </w:p>
    <w:p>
      <w:pPr>
        <w:ind w:firstLine="656"/>
        <w:spacing w:after="0" w:line="315" w:lineRule="auto"/>
        <w:tabs>
          <w:tab w:leader="none" w:pos="1217"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6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4</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COVENANTS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7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Maintenance of Office or Agency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such designation or rescission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61" w:right="239" w:bottom="1440" w:gutter="0" w:footer="0" w:header="0"/>
        </w:sectPr>
      </w:pPr>
    </w:p>
    <w:bookmarkStart w:id="114" w:name="page115"/>
    <w:bookmarkEnd w:id="114"/>
    <w:p>
      <w:pPr>
        <w:jc w:val="both"/>
        <w:spacing w:after="0" w:line="292" w:lineRule="auto"/>
        <w:rPr>
          <w:sz w:val="20"/>
          <w:szCs w:val="20"/>
          <w:color w:val="auto"/>
        </w:rPr>
      </w:pPr>
      <w:r>
        <w:rPr>
          <w:rFonts w:ascii="Arial" w:cs="Arial" w:eastAsia="Arial" w:hAnsi="Arial"/>
          <w:sz w:val="22"/>
          <w:szCs w:val="22"/>
          <w:color w:val="auto"/>
        </w:rPr>
        <w:t>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hereby designates the Corporate Trust Office of the Trustee as one such office or agency of the Issuer in accordance with Section 2.03 hereof.</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Reports</w:t>
      </w:r>
      <w:r>
        <w:rPr>
          <w:rFonts w:ascii="Arial" w:cs="Arial" w:eastAsia="Arial" w:hAnsi="Arial"/>
          <w:sz w:val="19"/>
          <w:szCs w:val="19"/>
          <w:color w:val="auto"/>
        </w:rPr>
        <w:t>.</w:t>
      </w:r>
    </w:p>
    <w:p>
      <w:pPr>
        <w:spacing w:after="0" w:line="274" w:lineRule="exact"/>
        <w:rPr>
          <w:sz w:val="20"/>
          <w:szCs w:val="20"/>
          <w:color w:val="auto"/>
        </w:rPr>
      </w:pPr>
    </w:p>
    <w:p>
      <w:pPr>
        <w:ind w:left="1760" w:hanging="455"/>
        <w:spacing w:after="0"/>
        <w:tabs>
          <w:tab w:leader="none" w:pos="17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As long as any Notes are outstanding and the ordinary shares of the Issuer are listed on The Stock Exchange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Hong Kong Limited (the “</w:t>
      </w:r>
      <w:r>
        <w:rPr>
          <w:rFonts w:ascii="Arial" w:cs="Arial" w:eastAsia="Arial" w:hAnsi="Arial"/>
          <w:sz w:val="22"/>
          <w:szCs w:val="22"/>
          <w:i w:val="1"/>
          <w:iCs w:val="1"/>
          <w:color w:val="auto"/>
        </w:rPr>
        <w:t>HKSE</w:t>
      </w:r>
      <w:r>
        <w:rPr>
          <w:rFonts w:ascii="Arial" w:cs="Arial" w:eastAsia="Arial" w:hAnsi="Arial"/>
          <w:sz w:val="22"/>
          <w:szCs w:val="22"/>
          <w:color w:val="auto"/>
        </w:rPr>
        <w:t>”) or another internationally recognized stock exchange, the Issuer will file with the Trustee and furnish to the Holders upon request, within 10 days after they are filed with such exchange, true and correct copies of all financial and other reports in the English language filed with such exchange.</w:t>
      </w:r>
    </w:p>
    <w:p>
      <w:pPr>
        <w:spacing w:after="0" w:line="184" w:lineRule="exact"/>
        <w:rPr>
          <w:rFonts w:ascii="Arial" w:cs="Arial" w:eastAsia="Arial" w:hAnsi="Arial"/>
          <w:sz w:val="19"/>
          <w:szCs w:val="19"/>
          <w:color w:val="auto"/>
        </w:rPr>
      </w:pPr>
    </w:p>
    <w:p>
      <w:pPr>
        <w:ind w:left="660" w:right="20" w:firstLine="645"/>
        <w:spacing w:after="0" w:line="315" w:lineRule="auto"/>
        <w:tabs>
          <w:tab w:leader="none" w:pos="1808" w:val="left"/>
        </w:tabs>
        <w:numPr>
          <w:ilvl w:val="1"/>
          <w:numId w:val="80"/>
        </w:numPr>
        <w:rPr>
          <w:rFonts w:ascii="Arial" w:cs="Arial" w:eastAsia="Arial" w:hAnsi="Arial"/>
          <w:sz w:val="22"/>
          <w:szCs w:val="22"/>
          <w:color w:val="auto"/>
        </w:rPr>
      </w:pPr>
      <w:r>
        <w:rPr>
          <w:rFonts w:ascii="Arial" w:cs="Arial" w:eastAsia="Arial" w:hAnsi="Arial"/>
          <w:sz w:val="22"/>
          <w:szCs w:val="22"/>
          <w:color w:val="auto"/>
        </w:rPr>
        <w:t>If at any time Notes are outstanding and the ordinary shares of the Issuer are not listed on an internationally recognized stock exchange, the Issuer will file with the Trustee:</w:t>
      </w:r>
    </w:p>
    <w:p>
      <w:pPr>
        <w:spacing w:after="0" w:line="159" w:lineRule="exact"/>
        <w:rPr>
          <w:rFonts w:ascii="Arial" w:cs="Arial" w:eastAsia="Arial" w:hAnsi="Arial"/>
          <w:sz w:val="22"/>
          <w:szCs w:val="22"/>
          <w:color w:val="auto"/>
        </w:rPr>
      </w:pPr>
    </w:p>
    <w:p>
      <w:pPr>
        <w:ind w:left="2400" w:hanging="447"/>
        <w:spacing w:after="0"/>
        <w:tabs>
          <w:tab w:leader="none" w:pos="2400" w:val="left"/>
        </w:tabs>
        <w:numPr>
          <w:ilvl w:val="2"/>
          <w:numId w:val="80"/>
        </w:numPr>
        <w:rPr>
          <w:rFonts w:ascii="Arial" w:cs="Arial" w:eastAsia="Arial" w:hAnsi="Arial"/>
          <w:sz w:val="19"/>
          <w:szCs w:val="19"/>
          <w:color w:val="auto"/>
        </w:rPr>
      </w:pPr>
      <w:r>
        <w:rPr>
          <w:rFonts w:ascii="Arial" w:cs="Arial" w:eastAsia="Arial" w:hAnsi="Arial"/>
          <w:sz w:val="19"/>
          <w:szCs w:val="19"/>
          <w:color w:val="auto"/>
        </w:rPr>
        <w:t>within 120 days after the end of each fiscal year, an annual report in a form substantially similar to the</w:t>
      </w:r>
    </w:p>
    <w:p>
      <w:pPr>
        <w:spacing w:after="0" w:line="92" w:lineRule="exact"/>
        <w:rPr>
          <w:rFonts w:ascii="Arial" w:cs="Arial" w:eastAsia="Arial" w:hAnsi="Arial"/>
          <w:sz w:val="19"/>
          <w:szCs w:val="19"/>
          <w:color w:val="auto"/>
        </w:rPr>
      </w:pPr>
    </w:p>
    <w:p>
      <w:pPr>
        <w:jc w:val="both"/>
        <w:ind w:left="660"/>
        <w:spacing w:after="0" w:line="306" w:lineRule="auto"/>
        <w:rPr>
          <w:rFonts w:ascii="Arial" w:cs="Arial" w:eastAsia="Arial" w:hAnsi="Arial"/>
          <w:sz w:val="19"/>
          <w:szCs w:val="19"/>
          <w:color w:val="auto"/>
        </w:rPr>
      </w:pPr>
      <w:r>
        <w:rPr>
          <w:rFonts w:ascii="Arial" w:cs="Arial" w:eastAsia="Arial" w:hAnsi="Arial"/>
          <w:sz w:val="21"/>
          <w:szCs w:val="21"/>
          <w:color w:val="auto"/>
        </w:rPr>
        <w:t>Issuer’s annual report for the year ended December 31, 2016 filed with the HKSE, including (A) a “Management Discussion and Analysis” of financial condition and results of operations and (B) consolidated financial statements (including statements of comprehensive income, financial position, changes in equity and cash flows) prepared in accordance with IFRS and audited by an internationally recognized firm of independent accountants; and</w:t>
      </w:r>
    </w:p>
    <w:p>
      <w:pPr>
        <w:spacing w:after="0" w:line="172" w:lineRule="exact"/>
        <w:rPr>
          <w:rFonts w:ascii="Arial" w:cs="Arial" w:eastAsia="Arial" w:hAnsi="Arial"/>
          <w:sz w:val="19"/>
          <w:szCs w:val="19"/>
          <w:color w:val="auto"/>
        </w:rPr>
      </w:pPr>
    </w:p>
    <w:p>
      <w:pPr>
        <w:jc w:val="both"/>
        <w:ind w:left="660" w:firstLine="1293"/>
        <w:spacing w:after="0" w:line="333" w:lineRule="auto"/>
        <w:tabs>
          <w:tab w:leader="none" w:pos="2456" w:val="left"/>
        </w:tabs>
        <w:numPr>
          <w:ilvl w:val="2"/>
          <w:numId w:val="80"/>
        </w:numPr>
        <w:rPr>
          <w:rFonts w:ascii="Arial" w:cs="Arial" w:eastAsia="Arial" w:hAnsi="Arial"/>
          <w:sz w:val="19"/>
          <w:szCs w:val="19"/>
          <w:color w:val="auto"/>
        </w:rPr>
      </w:pPr>
      <w:r>
        <w:rPr>
          <w:rFonts w:ascii="Arial" w:cs="Arial" w:eastAsia="Arial" w:hAnsi="Arial"/>
          <w:sz w:val="19"/>
          <w:szCs w:val="19"/>
          <w:color w:val="auto"/>
        </w:rPr>
        <w:t>within 90 days after the end of the second quarter of each fiscal year, a semi-annual report in a form substantially similar to the Issuer’s interim report for the six months ended June 30, 2017 filed with the HKSE, including</w:t>
      </w:r>
    </w:p>
    <w:p>
      <w:pPr>
        <w:spacing w:after="0" w:line="1" w:lineRule="exact"/>
        <w:rPr>
          <w:rFonts w:ascii="Arial" w:cs="Arial" w:eastAsia="Arial" w:hAnsi="Arial"/>
          <w:sz w:val="19"/>
          <w:szCs w:val="19"/>
          <w:color w:val="auto"/>
        </w:rPr>
      </w:pPr>
    </w:p>
    <w:p>
      <w:pPr>
        <w:jc w:val="both"/>
        <w:ind w:left="660" w:hanging="4"/>
        <w:spacing w:after="0" w:line="346" w:lineRule="auto"/>
        <w:tabs>
          <w:tab w:leader="none" w:pos="1024"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144" w:lineRule="exact"/>
        <w:rPr>
          <w:rFonts w:ascii="Arial" w:cs="Arial" w:eastAsia="Arial" w:hAnsi="Arial"/>
          <w:sz w:val="19"/>
          <w:szCs w:val="19"/>
          <w:color w:val="auto"/>
        </w:rPr>
      </w:pPr>
    </w:p>
    <w:p>
      <w:pPr>
        <w:ind w:left="1760" w:hanging="455"/>
        <w:spacing w:after="0"/>
        <w:tabs>
          <w:tab w:leader="none" w:pos="17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If at any time Notes are outstanding and the common stock of Wynn Resorts is not listed on the Nasdaq Global</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61" w:right="239" w:bottom="1440" w:gutter="0" w:footer="0" w:header="0"/>
        </w:sectPr>
      </w:pPr>
    </w:p>
    <w:bookmarkStart w:id="115" w:name="page116"/>
    <w:bookmarkEnd w:id="115"/>
    <w:p>
      <w:pPr>
        <w:ind w:left="1740" w:hanging="435"/>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Issuer is required to file any reports under Section 4.03(2) or (3) hereof, the Issuer will also:</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84" w:lineRule="exact"/>
        <w:rPr>
          <w:rFonts w:ascii="Arial" w:cs="Arial" w:eastAsia="Arial" w:hAnsi="Arial"/>
          <w:sz w:val="19"/>
          <w:szCs w:val="19"/>
          <w:color w:val="auto"/>
        </w:rPr>
      </w:pPr>
    </w:p>
    <w:p>
      <w:pPr>
        <w:ind w:left="2460" w:hanging="507"/>
        <w:spacing w:after="0"/>
        <w:tabs>
          <w:tab w:leader="none" w:pos="2460" w:val="left"/>
        </w:tabs>
        <w:numPr>
          <w:ilvl w:val="1"/>
          <w:numId w:val="82"/>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prior to the date of the conference call required to be held in accordance with Section 4.03(4)(b)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90" w:lineRule="exact"/>
        <w:rPr>
          <w:rFonts w:ascii="Arial" w:cs="Arial" w:eastAsia="Arial" w:hAnsi="Arial"/>
          <w:sz w:val="19"/>
          <w:szCs w:val="19"/>
          <w:color w:val="auto"/>
        </w:rPr>
      </w:pPr>
    </w:p>
    <w:p>
      <w:pPr>
        <w:ind w:left="2440" w:hanging="487"/>
        <w:spacing w:after="0"/>
        <w:tabs>
          <w:tab w:leader="none" w:pos="24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maintain a website to which noteholders, prospective investors, broker-dealers and securities analysts</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are given access and to which the reports and press releases required by Sections Section 4.03(2), (3), (4)(a) and (4)(b) hereof are posted within the time periods required.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During any period in which the Issuer is neither subject to Section 13 or 15(d) of the Exchange Act, nor exempt</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from reporting pursuant to Rule 12g3-2(b) thereunder, the Issuer shall provide to (i) any Holder or Beneficial Owner of a Note or (ii) 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90" w:lineRule="exact"/>
        <w:rPr>
          <w:rFonts w:ascii="Arial" w:cs="Arial" w:eastAsia="Arial" w:hAnsi="Arial"/>
          <w:sz w:val="19"/>
          <w:szCs w:val="19"/>
          <w:color w:val="auto"/>
        </w:rPr>
      </w:pPr>
    </w:p>
    <w:p>
      <w:pPr>
        <w:ind w:left="1920" w:hanging="615"/>
        <w:spacing w:after="0"/>
        <w:tabs>
          <w:tab w:leader="none" w:pos="19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Delivery of the reports, information and documents described in this Section 4.03 to the Trustee is for</w:t>
      </w:r>
    </w:p>
    <w:p>
      <w:pPr>
        <w:spacing w:after="0" w:line="69" w:lineRule="exact"/>
        <w:rPr>
          <w:rFonts w:ascii="Arial" w:cs="Arial" w:eastAsia="Arial" w:hAnsi="Arial"/>
          <w:sz w:val="21"/>
          <w:szCs w:val="21"/>
          <w:color w:val="auto"/>
        </w:rPr>
      </w:pPr>
    </w:p>
    <w:p>
      <w:pPr>
        <w:jc w:val="both"/>
        <w:ind w:left="660"/>
        <w:spacing w:after="0" w:line="287" w:lineRule="auto"/>
        <w:rPr>
          <w:rFonts w:ascii="Arial" w:cs="Arial" w:eastAsia="Arial" w:hAnsi="Arial"/>
          <w:sz w:val="21"/>
          <w:szCs w:val="21"/>
          <w:color w:val="auto"/>
        </w:rPr>
      </w:pPr>
      <w:r>
        <w:rPr>
          <w:rFonts w:ascii="Arial" w:cs="Arial" w:eastAsia="Arial" w:hAnsi="Arial"/>
          <w:sz w:val="22"/>
          <w:szCs w:val="22"/>
          <w:color w:val="auto"/>
        </w:rPr>
        <w:t>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 responsibility to determine if reports have been provided to Holders or if the Issuer has complied with the obligations set forth in this Section 4.03.</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274" w:lineRule="exact"/>
        <w:rPr>
          <w:sz w:val="20"/>
          <w:szCs w:val="20"/>
          <w:color w:val="auto"/>
        </w:rPr>
      </w:pPr>
    </w:p>
    <w:p>
      <w:pPr>
        <w:ind w:left="1100" w:hanging="444"/>
        <w:spacing w:after="0"/>
        <w:tabs>
          <w:tab w:leader="none" w:pos="11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Issuer shall deliver to the Trustee, within 90 days after the end of each fiscal year, an Officer’s Certificate stating</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that a review of the activities of the Issuer and its Subsidiaries during the preceding fiscal year has been made under the supervision of the signing Officer with a view to determining whether the Issuer has kept, observed, performed and fulfilled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61" w:right="239" w:bottom="1440" w:gutter="0" w:footer="0" w:header="0"/>
        </w:sectPr>
      </w:pPr>
    </w:p>
    <w:bookmarkStart w:id="116" w:name="page117"/>
    <w:bookmarkEnd w:id="116"/>
    <w:p>
      <w:pPr>
        <w:jc w:val="both"/>
        <w:spacing w:after="0" w:line="284" w:lineRule="auto"/>
        <w:rPr>
          <w:sz w:val="20"/>
          <w:szCs w:val="20"/>
          <w:color w:val="auto"/>
        </w:rPr>
      </w:pPr>
      <w:r>
        <w:rPr>
          <w:rFonts w:ascii="Arial" w:cs="Arial" w:eastAsia="Arial" w:hAnsi="Arial"/>
          <w:sz w:val="22"/>
          <w:szCs w:val="22"/>
          <w:color w:val="auto"/>
        </w:rPr>
        <w:t>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98" w:lineRule="exact"/>
        <w:rPr>
          <w:sz w:val="20"/>
          <w:szCs w:val="20"/>
          <w:color w:val="auto"/>
        </w:rPr>
      </w:pPr>
    </w:p>
    <w:p>
      <w:pPr>
        <w:ind w:left="1280" w:hanging="624"/>
        <w:spacing w:after="0"/>
        <w:tabs>
          <w:tab w:leader="none" w:pos="12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Hong Kong Institute of Certified Public</w:t>
      </w:r>
    </w:p>
    <w:p>
      <w:pPr>
        <w:spacing w:after="0" w:line="69" w:lineRule="exact"/>
        <w:rPr>
          <w:rFonts w:ascii="Arial" w:cs="Arial" w:eastAsia="Arial" w:hAnsi="Arial"/>
          <w:sz w:val="21"/>
          <w:szCs w:val="21"/>
          <w:color w:val="auto"/>
        </w:rPr>
      </w:pPr>
    </w:p>
    <w:p>
      <w:pPr>
        <w:jc w:val="both"/>
        <w:spacing w:after="0" w:line="301" w:lineRule="auto"/>
        <w:rPr>
          <w:rFonts w:ascii="Arial" w:cs="Arial" w:eastAsia="Arial" w:hAnsi="Arial"/>
          <w:sz w:val="21"/>
          <w:szCs w:val="21"/>
          <w:color w:val="auto"/>
        </w:rPr>
      </w:pPr>
      <w:r>
        <w:rPr>
          <w:rFonts w:ascii="Arial" w:cs="Arial" w:eastAsia="Arial" w:hAnsi="Arial"/>
          <w:sz w:val="21"/>
          <w:szCs w:val="21"/>
          <w:color w:val="auto"/>
        </w:rPr>
        <w:t>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1" w:lineRule="exact"/>
        <w:rPr>
          <w:rFonts w:ascii="Arial" w:cs="Arial" w:eastAsia="Arial" w:hAnsi="Arial"/>
          <w:sz w:val="21"/>
          <w:szCs w:val="21"/>
          <w:color w:val="auto"/>
        </w:rPr>
      </w:pPr>
    </w:p>
    <w:p>
      <w:pPr>
        <w:ind w:left="1220" w:hanging="564"/>
        <w:spacing w:after="0"/>
        <w:tabs>
          <w:tab w:leader="none" w:pos="12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So long as any of the Notes are outstanding, the Issuer shall deliver to the Trustee, forthwith upon any Officer</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becoming aware of any Default or Event of Default, an Officer’s Certificate specifying such Default or Event of Default and what action the Issuer is taking or proposes to take with respect thereto.</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7"/>
          <w:szCs w:val="17"/>
          <w:i w:val="1"/>
          <w:iCs w:val="1"/>
          <w:color w:val="auto"/>
        </w:rPr>
        <w:t>Taxes</w:t>
      </w:r>
      <w:r>
        <w:rPr>
          <w:rFonts w:ascii="Arial" w:cs="Arial" w:eastAsia="Arial" w:hAnsi="Arial"/>
          <w:sz w:val="17"/>
          <w:szCs w:val="17"/>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61" w:right="239" w:bottom="1440" w:gutter="0" w:footer="0" w:header="0"/>
        </w:sectPr>
      </w:pPr>
    </w:p>
    <w:bookmarkStart w:id="117" w:name="page118"/>
    <w:bookmarkEnd w:id="117"/>
    <w:p>
      <w:pPr>
        <w:spacing w:after="0"/>
        <w:tabs>
          <w:tab w:leader="none" w:pos="12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Corporate and Organizational Existence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Article 5 hereof, the Issuer shall do or cause to be done all things necessary to preserve and keep in full force and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60" w:lineRule="exact"/>
        <w:rPr>
          <w:sz w:val="20"/>
          <w:szCs w:val="20"/>
          <w:color w:val="auto"/>
        </w:rPr>
      </w:pPr>
    </w:p>
    <w:p>
      <w:pPr>
        <w:ind w:left="1160" w:hanging="504"/>
        <w:spacing w:after="0"/>
        <w:tabs>
          <w:tab w:leader="none" w:pos="11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Significant Subsidiaries, in accordance with their respective organizational documents (as the same may be amended from time to time); and</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rights (charter and statutory), licenses and franchises of the Issuer and its Subsidiaries;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Offer to Purchase Upon Change of Control Triggering Event</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Upon the occurrence of a Change of Control Triggering Event, the Issuer shall make an offer (a “</w:t>
      </w:r>
      <w:r>
        <w:rPr>
          <w:rFonts w:ascii="Arial" w:cs="Arial" w:eastAsia="Arial" w:hAnsi="Arial"/>
          <w:sz w:val="19"/>
          <w:szCs w:val="19"/>
          <w:i w:val="1"/>
          <w:iCs w:val="1"/>
          <w:color w:val="auto"/>
        </w:rPr>
        <w:t>Change of Control</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i w:val="1"/>
          <w:iCs w:val="1"/>
          <w:color w:val="auto"/>
        </w:rPr>
        <w:t>Offer</w:t>
      </w:r>
      <w:r>
        <w:rPr>
          <w:rFonts w:ascii="Arial" w:cs="Arial" w:eastAsia="Arial" w:hAnsi="Arial"/>
          <w:sz w:val="19"/>
          <w:szCs w:val="19"/>
          <w:color w:val="auto"/>
        </w:rPr>
        <w:t>”) to each Holder to repurchase all or any part (equal to US$200,000 or an integral multiple of US$1,000 in excess of</w:t>
      </w:r>
      <w:r>
        <w:rPr>
          <w:rFonts w:ascii="Arial" w:cs="Arial" w:eastAsia="Arial" w:hAnsi="Arial"/>
          <w:sz w:val="19"/>
          <w:szCs w:val="19"/>
          <w:i w:val="1"/>
          <w:iCs w:val="1"/>
          <w:color w:val="auto"/>
        </w:rPr>
        <w:t xml:space="preserve"> </w:t>
      </w:r>
      <w:r>
        <w:rPr>
          <w:rFonts w:ascii="Arial" w:cs="Arial" w:eastAsia="Arial" w:hAnsi="Arial"/>
          <w:sz w:val="19"/>
          <w:szCs w:val="19"/>
          <w:color w:val="auto"/>
        </w:rPr>
        <w:t>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Within ten days following any Change of Control Triggering Event, the Issuer shall mail a notice to each Holder (with a copy to the Trustee) describing the transaction or transactions that constitute the Change of Control Triggering Event and stating:</w:t>
      </w:r>
    </w:p>
    <w:p>
      <w:pPr>
        <w:spacing w:after="0" w:line="154" w:lineRule="exact"/>
        <w:rPr>
          <w:rFonts w:ascii="Arial" w:cs="Arial" w:eastAsia="Arial" w:hAnsi="Arial"/>
          <w:sz w:val="19"/>
          <w:szCs w:val="19"/>
          <w:color w:val="auto"/>
        </w:rPr>
      </w:pPr>
    </w:p>
    <w:p>
      <w:pPr>
        <w:ind w:left="660" w:right="20" w:firstLine="645"/>
        <w:spacing w:after="0" w:line="315" w:lineRule="auto"/>
        <w:tabs>
          <w:tab w:leader="none" w:pos="178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tendered shall be accepted for payment;</w:t>
      </w:r>
    </w:p>
    <w:p>
      <w:pPr>
        <w:spacing w:after="0" w:line="159" w:lineRule="exact"/>
        <w:rPr>
          <w:rFonts w:ascii="Arial" w:cs="Arial" w:eastAsia="Arial" w:hAnsi="Arial"/>
          <w:sz w:val="22"/>
          <w:szCs w:val="22"/>
          <w:color w:val="auto"/>
        </w:rPr>
      </w:pPr>
    </w:p>
    <w:p>
      <w:pPr>
        <w:ind w:left="660" w:right="20" w:firstLine="645"/>
        <w:spacing w:after="0" w:line="315" w:lineRule="auto"/>
        <w:tabs>
          <w:tab w:leader="none" w:pos="1754"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10 days and no later than 60 days from the date such notice is mailed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73" w:lineRule="exact"/>
        <w:rPr>
          <w:rFonts w:ascii="Arial" w:cs="Arial" w:eastAsia="Arial" w:hAnsi="Arial"/>
          <w:sz w:val="22"/>
          <w:szCs w:val="22"/>
          <w:color w:val="auto"/>
        </w:rPr>
      </w:pPr>
    </w:p>
    <w:p>
      <w:pPr>
        <w:ind w:left="660" w:firstLine="645"/>
        <w:spacing w:after="0" w:line="402" w:lineRule="auto"/>
        <w:tabs>
          <w:tab w:leader="none" w:pos="1875"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91" w:lineRule="exact"/>
        <w:rPr>
          <w:rFonts w:ascii="Arial" w:cs="Arial" w:eastAsia="Arial" w:hAnsi="Arial"/>
          <w:sz w:val="19"/>
          <w:szCs w:val="19"/>
          <w:color w:val="auto"/>
        </w:rPr>
      </w:pPr>
    </w:p>
    <w:p>
      <w:pPr>
        <w:ind w:left="660" w:firstLine="645"/>
        <w:spacing w:after="0" w:line="315" w:lineRule="auto"/>
        <w:tabs>
          <w:tab w:leader="none" w:pos="178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61" w:right="239" w:bottom="1440" w:gutter="0" w:footer="0" w:header="0"/>
        </w:sectPr>
      </w:pPr>
    </w:p>
    <w:bookmarkStart w:id="118" w:name="page119"/>
    <w:bookmarkEnd w:id="118"/>
    <w:p>
      <w:pPr>
        <w:jc w:val="both"/>
        <w:ind w:left="660"/>
        <w:spacing w:after="0" w:line="292" w:lineRule="auto"/>
        <w:rPr>
          <w:sz w:val="20"/>
          <w:szCs w:val="20"/>
          <w:color w:val="auto"/>
        </w:rPr>
      </w:pPr>
      <w:r>
        <w:rPr>
          <w:rFonts w:ascii="Arial" w:cs="Arial" w:eastAsia="Arial" w:hAnsi="Arial"/>
          <w:sz w:val="22"/>
          <w:szCs w:val="22"/>
          <w:color w:val="auto"/>
        </w:rPr>
        <w:t>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4" w:lineRule="exact"/>
        <w:rPr>
          <w:sz w:val="20"/>
          <w:szCs w:val="20"/>
          <w:color w:val="auto"/>
        </w:rPr>
      </w:pPr>
    </w:p>
    <w:p>
      <w:pPr>
        <w:ind w:left="1760" w:hanging="455"/>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that Holders shall be entitled to withdraw their election if the Paying Agent receives, not later than the close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84" w:lineRule="exact"/>
        <w:rPr>
          <w:rFonts w:ascii="Arial" w:cs="Arial" w:eastAsia="Arial" w:hAnsi="Arial"/>
          <w:sz w:val="19"/>
          <w:szCs w:val="19"/>
          <w:color w:val="auto"/>
        </w:rPr>
      </w:pPr>
    </w:p>
    <w:p>
      <w:pPr>
        <w:ind w:left="1740" w:hanging="435"/>
        <w:spacing w:after="0"/>
        <w:tabs>
          <w:tab w:leader="none" w:pos="1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shall be issued new Notes equal in principal amount</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to the unpurchased portion of the Notes surrendered, which unpurchased portion must be equal to US$200,000 or in integral multiples of US$1,000 in excess of US$200,000.</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To the extent that the provisions of any applicable securities laws or regulations conflict with the provisions of this Section 4.08 and Section 4.10, the Issuer shall comply with the applicable securities laws and regulations and shall not be deemed to have breached its obligations under this Section 4.08 by virtue of such compliance.</w:t>
      </w:r>
    </w:p>
    <w:p>
      <w:pPr>
        <w:spacing w:after="0" w:line="184"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On the Change of Control Payment Date, the Issuer shall, to the extent lawful:</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88"/>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308" w:lineRule="exact"/>
        <w:rPr>
          <w:rFonts w:ascii="Arial" w:cs="Arial" w:eastAsia="Arial" w:hAnsi="Arial"/>
          <w:sz w:val="19"/>
          <w:szCs w:val="19"/>
          <w:color w:val="auto"/>
        </w:rPr>
      </w:pPr>
    </w:p>
    <w:p>
      <w:pPr>
        <w:ind w:left="660" w:firstLine="645"/>
        <w:spacing w:after="0" w:line="315" w:lineRule="auto"/>
        <w:tabs>
          <w:tab w:leader="none" w:pos="1794" w:val="left"/>
        </w:tabs>
        <w:numPr>
          <w:ilvl w:val="1"/>
          <w:numId w:val="8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59" w:lineRule="exact"/>
        <w:rPr>
          <w:rFonts w:ascii="Arial" w:cs="Arial" w:eastAsia="Arial" w:hAnsi="Arial"/>
          <w:sz w:val="22"/>
          <w:szCs w:val="22"/>
          <w:color w:val="auto"/>
        </w:rPr>
      </w:pPr>
    </w:p>
    <w:p>
      <w:pPr>
        <w:ind w:left="660" w:firstLine="645"/>
        <w:spacing w:after="0" w:line="341" w:lineRule="auto"/>
        <w:tabs>
          <w:tab w:leader="none" w:pos="1740" w:val="left"/>
        </w:tabs>
        <w:numPr>
          <w:ilvl w:val="1"/>
          <w:numId w:val="88"/>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38"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49" w:lineRule="exact"/>
        <w:rPr>
          <w:sz w:val="20"/>
          <w:szCs w:val="20"/>
          <w:color w:val="auto"/>
        </w:rPr>
      </w:pPr>
    </w:p>
    <w:p>
      <w:pPr>
        <w:ind w:left="1140" w:hanging="484"/>
        <w:spacing w:after="0"/>
        <w:tabs>
          <w:tab w:leader="none" w:pos="11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4.08, the Issuer shall not be required to make a Change of</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Control Offer upon a Change of Control Triggering Event if (1) a third party makes the Change of Control Offer in the manner, at the times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61" w:right="239" w:bottom="1440" w:gutter="0" w:footer="0" w:header="0"/>
        </w:sectPr>
      </w:pPr>
    </w:p>
    <w:bookmarkStart w:id="119" w:name="page120"/>
    <w:bookmarkEnd w:id="119"/>
    <w:p>
      <w:pPr>
        <w:jc w:val="both"/>
        <w:spacing w:after="0" w:line="292" w:lineRule="auto"/>
        <w:rPr>
          <w:sz w:val="20"/>
          <w:szCs w:val="20"/>
          <w:color w:val="auto"/>
        </w:rPr>
      </w:pPr>
      <w:r>
        <w:rPr>
          <w:rFonts w:ascii="Arial" w:cs="Arial" w:eastAsia="Arial" w:hAnsi="Arial"/>
          <w:sz w:val="22"/>
          <w:szCs w:val="22"/>
          <w:color w:val="auto"/>
        </w:rPr>
        <w:t>in compliance with the requirements set forth in this Section 4.08 and purchases all Notes validly tendered and not withdrawn under the Change of Control Offer or (2) a notice of redemption has been given pursuant to Section 3.07, 3.09 or 3.10 hereof, unless and until there is a default in payment of the applicable redemption price.</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Additional Amounts</w:t>
      </w:r>
      <w:r>
        <w:rPr>
          <w:rFonts w:ascii="Arial" w:cs="Arial" w:eastAsia="Arial" w:hAnsi="Arial"/>
          <w:sz w:val="19"/>
          <w:szCs w:val="19"/>
          <w:color w:val="auto"/>
        </w:rPr>
        <w:t>.</w:t>
      </w:r>
    </w:p>
    <w:p>
      <w:pPr>
        <w:spacing w:after="0" w:line="274" w:lineRule="exact"/>
        <w:rPr>
          <w:sz w:val="20"/>
          <w:szCs w:val="20"/>
          <w:color w:val="auto"/>
        </w:rPr>
      </w:pPr>
    </w:p>
    <w:p>
      <w:pPr>
        <w:ind w:left="1100" w:hanging="444"/>
        <w:spacing w:after="0"/>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payments by or on behalf of the Issuer or the surviving entity described under Section 5.01 hereof (the “</w:t>
      </w:r>
      <w:r>
        <w:rPr>
          <w:rFonts w:ascii="Arial" w:cs="Arial" w:eastAsia="Arial" w:hAnsi="Arial"/>
          <w:sz w:val="19"/>
          <w:szCs w:val="19"/>
          <w:i w:val="1"/>
          <w:iCs w:val="1"/>
          <w:color w:val="auto"/>
        </w:rPr>
        <w:t>Surviving</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i w:val="1"/>
          <w:iCs w:val="1"/>
          <w:color w:val="auto"/>
        </w:rPr>
        <w:t>Person</w:t>
      </w:r>
      <w:r>
        <w:rPr>
          <w:rFonts w:ascii="Arial" w:cs="Arial" w:eastAsia="Arial" w:hAnsi="Arial"/>
          <w:sz w:val="19"/>
          <w:szCs w:val="19"/>
          <w:color w:val="auto"/>
        </w:rPr>
        <w:t>”) under or with respect to (including any principal of, and premium (if any) and interest on) the Notes shall be made</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withholding or deduction for, or on account of, any present or future taxes, duties, assessments or governmental charges (including, without limitation, penalties, interest and other similar liabilities related thereto) of whatever nature (“</w:t>
      </w:r>
      <w:r>
        <w:rPr>
          <w:rFonts w:ascii="Arial" w:cs="Arial" w:eastAsia="Arial" w:hAnsi="Arial"/>
          <w:sz w:val="19"/>
          <w:szCs w:val="19"/>
          <w:i w:val="1"/>
          <w:iCs w:val="1"/>
          <w:color w:val="auto"/>
        </w:rPr>
        <w:t>Taxes</w:t>
      </w:r>
      <w:r>
        <w:rPr>
          <w:rFonts w:ascii="Arial" w:cs="Arial" w:eastAsia="Arial" w:hAnsi="Arial"/>
          <w:sz w:val="19"/>
          <w:szCs w:val="19"/>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Arial" w:cs="Arial" w:eastAsia="Arial" w:hAnsi="Arial"/>
          <w:sz w:val="19"/>
          <w:szCs w:val="19"/>
          <w:i w:val="1"/>
          <w:iCs w:val="1"/>
          <w:color w:val="auto"/>
        </w:rPr>
        <w:t>Relevant Jurisdiction</w:t>
      </w:r>
      <w:r>
        <w:rPr>
          <w:rFonts w:ascii="Arial" w:cs="Arial" w:eastAsia="Arial" w:hAnsi="Arial"/>
          <w:sz w:val="19"/>
          <w:szCs w:val="19"/>
          <w:color w:val="auto"/>
        </w:rPr>
        <w:t>”), unless such withholding or deduction is required by law or by regulation or governmental policy having the force of law.</w:t>
      </w:r>
    </w:p>
    <w:p>
      <w:pPr>
        <w:spacing w:after="0" w:line="154" w:lineRule="exact"/>
        <w:rPr>
          <w:rFonts w:ascii="Arial" w:cs="Arial" w:eastAsia="Arial" w:hAnsi="Arial"/>
          <w:sz w:val="19"/>
          <w:szCs w:val="19"/>
          <w:color w:val="auto"/>
        </w:rPr>
      </w:pPr>
    </w:p>
    <w:p>
      <w:pPr>
        <w:ind w:left="1100" w:hanging="444"/>
        <w:spacing w:after="0"/>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event that any such withholding or deduction is so required, the Issuer or the Surviving Person, as the case may</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be, shall make such withholding or deduction, make payment of the amount so withheld or deducted to the appropriate governmental authority as required by applicable law and pay such additional amounts (“</w:t>
      </w:r>
      <w:r>
        <w:rPr>
          <w:rFonts w:ascii="Arial" w:cs="Arial" w:eastAsia="Arial" w:hAnsi="Arial"/>
          <w:sz w:val="22"/>
          <w:szCs w:val="22"/>
          <w:i w:val="1"/>
          <w:iCs w:val="1"/>
          <w:color w:val="auto"/>
        </w:rPr>
        <w:t>Additional Amounts</w:t>
      </w:r>
      <w:r>
        <w:rPr>
          <w:rFonts w:ascii="Arial" w:cs="Arial" w:eastAsia="Arial" w:hAnsi="Arial"/>
          <w:sz w:val="22"/>
          <w:szCs w:val="22"/>
          <w:color w:val="auto"/>
        </w:rPr>
        <w:t>”) as shall result in receipt of such amounts that would have been received had no such withholding or deduction been required, provided that no Additional Amounts shall be payable with respect to any Note:</w:t>
      </w:r>
    </w:p>
    <w:p>
      <w:pPr>
        <w:spacing w:after="0" w:line="190" w:lineRule="exact"/>
        <w:rPr>
          <w:rFonts w:ascii="Arial" w:cs="Arial" w:eastAsia="Arial" w:hAnsi="Arial"/>
          <w:sz w:val="19"/>
          <w:szCs w:val="19"/>
          <w:color w:val="auto"/>
        </w:rPr>
      </w:pPr>
    </w:p>
    <w:p>
      <w:pPr>
        <w:ind w:left="1740" w:hanging="435"/>
        <w:spacing w:after="0"/>
        <w:tabs>
          <w:tab w:leader="none" w:pos="1740" w:val="left"/>
        </w:tabs>
        <w:numPr>
          <w:ilvl w:val="1"/>
          <w:numId w:val="90"/>
        </w:numPr>
        <w:rPr>
          <w:rFonts w:ascii="Arial" w:cs="Arial" w:eastAsia="Arial" w:hAnsi="Arial"/>
          <w:sz w:val="22"/>
          <w:szCs w:val="22"/>
          <w:color w:val="auto"/>
        </w:rPr>
      </w:pPr>
      <w:r>
        <w:rPr>
          <w:rFonts w:ascii="Arial" w:cs="Arial" w:eastAsia="Arial" w:hAnsi="Arial"/>
          <w:sz w:val="22"/>
          <w:szCs w:val="22"/>
          <w:color w:val="auto"/>
        </w:rPr>
        <w:t>for or on account of:</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2"/>
          <w:numId w:val="90"/>
        </w:numPr>
        <w:rPr>
          <w:rFonts w:ascii="Arial" w:cs="Arial" w:eastAsia="Arial" w:hAnsi="Arial"/>
          <w:sz w:val="22"/>
          <w:szCs w:val="22"/>
          <w:color w:val="auto"/>
        </w:rPr>
      </w:pPr>
      <w:r>
        <w:rPr>
          <w:rFonts w:ascii="Arial" w:cs="Arial" w:eastAsia="Arial" w:hAnsi="Arial"/>
          <w:sz w:val="22"/>
          <w:szCs w:val="22"/>
          <w:color w:val="auto"/>
        </w:rPr>
        <w:t>any Taxes that would not have been imposed but for:</w:t>
      </w:r>
    </w:p>
    <w:p>
      <w:pPr>
        <w:spacing w:after="0" w:line="273" w:lineRule="exact"/>
        <w:rPr>
          <w:rFonts w:ascii="Arial" w:cs="Arial" w:eastAsia="Arial" w:hAnsi="Arial"/>
          <w:sz w:val="22"/>
          <w:szCs w:val="22"/>
          <w:color w:val="auto"/>
        </w:rPr>
      </w:pPr>
    </w:p>
    <w:p>
      <w:pPr>
        <w:ind w:left="3040" w:hanging="439"/>
        <w:spacing w:after="0"/>
        <w:tabs>
          <w:tab w:leader="none" w:pos="3040" w:val="left"/>
        </w:tabs>
        <w:numPr>
          <w:ilvl w:val="3"/>
          <w:numId w:val="90"/>
        </w:numPr>
        <w:rPr>
          <w:rFonts w:ascii="Arial" w:cs="Arial" w:eastAsia="Arial" w:hAnsi="Arial"/>
          <w:sz w:val="19"/>
          <w:szCs w:val="19"/>
          <w:color w:val="auto"/>
        </w:rPr>
      </w:pPr>
      <w:r>
        <w:rPr>
          <w:rFonts w:ascii="Arial" w:cs="Arial" w:eastAsia="Arial" w:hAnsi="Arial"/>
          <w:sz w:val="19"/>
          <w:szCs w:val="19"/>
          <w:color w:val="auto"/>
        </w:rPr>
        <w:t>the existence of any present or former connection between the Holder or Beneficial Owner (or</w:t>
      </w:r>
    </w:p>
    <w:p>
      <w:pPr>
        <w:spacing w:after="0" w:line="92" w:lineRule="exact"/>
        <w:rPr>
          <w:rFonts w:ascii="Arial" w:cs="Arial" w:eastAsia="Arial" w:hAnsi="Arial"/>
          <w:sz w:val="19"/>
          <w:szCs w:val="19"/>
          <w:color w:val="auto"/>
        </w:rPr>
      </w:pPr>
    </w:p>
    <w:p>
      <w:pPr>
        <w:jc w:val="both"/>
        <w:ind w:left="1960"/>
        <w:spacing w:after="0" w:line="335" w:lineRule="auto"/>
        <w:rPr>
          <w:rFonts w:ascii="Arial" w:cs="Arial" w:eastAsia="Arial" w:hAnsi="Arial"/>
          <w:sz w:val="19"/>
          <w:szCs w:val="19"/>
          <w:color w:val="auto"/>
        </w:rPr>
      </w:pPr>
      <w:r>
        <w:rPr>
          <w:rFonts w:ascii="Arial" w:cs="Arial" w:eastAsia="Arial" w:hAnsi="Arial"/>
          <w:sz w:val="19"/>
          <w:szCs w:val="19"/>
          <w:color w:val="auto"/>
        </w:rPr>
        <w:t>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 receipt, ownership, holding or disposition of the Notes or the receipt of payments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61" w:right="239" w:bottom="1440" w:gutter="0" w:footer="0" w:header="0"/>
        </w:sectPr>
      </w:pPr>
    </w:p>
    <w:bookmarkStart w:id="120" w:name="page121"/>
    <w:bookmarkEnd w:id="120"/>
    <w:p>
      <w:pPr>
        <w:ind w:left="1300"/>
        <w:spacing w:after="0"/>
        <w:rPr>
          <w:sz w:val="20"/>
          <w:szCs w:val="20"/>
          <w:color w:val="auto"/>
        </w:rPr>
      </w:pPr>
      <w:r>
        <w:rPr>
          <w:rFonts w:ascii="Arial" w:cs="Arial" w:eastAsia="Arial" w:hAnsi="Arial"/>
          <w:sz w:val="22"/>
          <w:szCs w:val="22"/>
          <w:color w:val="auto"/>
        </w:rPr>
        <w:t>or merely by reason of the exercise or enforcement of rights under any Notes;</w:t>
      </w:r>
    </w:p>
    <w:p>
      <w:pPr>
        <w:spacing w:after="0" w:line="260" w:lineRule="exact"/>
        <w:rPr>
          <w:sz w:val="20"/>
          <w:szCs w:val="20"/>
          <w:color w:val="auto"/>
        </w:rPr>
      </w:pPr>
    </w:p>
    <w:p>
      <w:pPr>
        <w:ind w:left="2420" w:hanging="479"/>
        <w:spacing w:after="0"/>
        <w:tabs>
          <w:tab w:leader="none" w:pos="2420"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presentation of such Note (where presentation is required) more than 30 days after the later</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90" w:lineRule="exact"/>
        <w:rPr>
          <w:rFonts w:ascii="Arial" w:cs="Arial" w:eastAsia="Arial" w:hAnsi="Arial"/>
          <w:sz w:val="19"/>
          <w:szCs w:val="19"/>
          <w:color w:val="auto"/>
        </w:rPr>
      </w:pPr>
    </w:p>
    <w:p>
      <w:pPr>
        <w:ind w:left="2480" w:hanging="539"/>
        <w:spacing w:after="0"/>
        <w:tabs>
          <w:tab w:leader="none" w:pos="2480"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failure of the Holder or Beneficial Owner of such Note to comply with a timely request of</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84" w:lineRule="exact"/>
        <w:rPr>
          <w:rFonts w:ascii="Arial" w:cs="Arial" w:eastAsia="Arial" w:hAnsi="Arial"/>
          <w:sz w:val="19"/>
          <w:szCs w:val="19"/>
          <w:color w:val="auto"/>
        </w:rPr>
      </w:pPr>
    </w:p>
    <w:p>
      <w:pPr>
        <w:ind w:left="1300" w:right="20" w:firstLine="641"/>
        <w:spacing w:after="0" w:line="402" w:lineRule="auto"/>
        <w:tabs>
          <w:tab w:leader="none" w:pos="2454"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presentation of any Note for payment by or on behalf of a Holder of Notes who would have been able to avoid such withholding or deduction by presenting the relevant Note to another Paying Agent;</w:t>
      </w:r>
    </w:p>
    <w:p>
      <w:pPr>
        <w:spacing w:after="0" w:line="91" w:lineRule="exact"/>
        <w:rPr>
          <w:rFonts w:ascii="Arial" w:cs="Arial" w:eastAsia="Arial" w:hAnsi="Arial"/>
          <w:sz w:val="19"/>
          <w:szCs w:val="19"/>
          <w:color w:val="auto"/>
        </w:rPr>
      </w:pPr>
    </w:p>
    <w:p>
      <w:pPr>
        <w:ind w:left="640" w:firstLine="653"/>
        <w:spacing w:after="0" w:line="315" w:lineRule="auto"/>
        <w:tabs>
          <w:tab w:leader="none" w:pos="177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estate, inheritance, gift, sales, transfer, capital gains, personal property or similar Tax or any excise Tax imposed on the transfer of Notes;</w:t>
      </w:r>
    </w:p>
    <w:p>
      <w:pPr>
        <w:spacing w:after="0" w:line="159" w:lineRule="exact"/>
        <w:rPr>
          <w:rFonts w:ascii="Arial" w:cs="Arial" w:eastAsia="Arial" w:hAnsi="Arial"/>
          <w:sz w:val="22"/>
          <w:szCs w:val="22"/>
          <w:color w:val="auto"/>
        </w:rPr>
      </w:pPr>
    </w:p>
    <w:p>
      <w:pPr>
        <w:ind w:left="640" w:firstLine="653"/>
        <w:spacing w:after="0" w:line="315" w:lineRule="auto"/>
        <w:tabs>
          <w:tab w:leader="none" w:pos="182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Taxes that are payable other than by withholding or deduction from payments of principal of, or premium (if any) or interest on the Note;</w:t>
      </w:r>
    </w:p>
    <w:p>
      <w:pPr>
        <w:spacing w:after="0" w:line="159" w:lineRule="exact"/>
        <w:rPr>
          <w:rFonts w:ascii="Arial" w:cs="Arial" w:eastAsia="Arial" w:hAnsi="Arial"/>
          <w:sz w:val="22"/>
          <w:szCs w:val="22"/>
          <w:color w:val="auto"/>
        </w:rPr>
      </w:pPr>
    </w:p>
    <w:p>
      <w:pPr>
        <w:ind w:left="1820" w:hanging="527"/>
        <w:spacing w:after="0"/>
        <w:tabs>
          <w:tab w:leader="none" w:pos="1820"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tax, duty, assessment or other governmental charge which is required to be deducted or withheld</w:t>
      </w:r>
    </w:p>
    <w:p>
      <w:pPr>
        <w:spacing w:after="0" w:line="92" w:lineRule="exact"/>
        <w:rPr>
          <w:rFonts w:ascii="Arial" w:cs="Arial" w:eastAsia="Arial" w:hAnsi="Arial"/>
          <w:sz w:val="19"/>
          <w:szCs w:val="19"/>
          <w:color w:val="auto"/>
        </w:rPr>
      </w:pPr>
    </w:p>
    <w:p>
      <w:pPr>
        <w:jc w:val="both"/>
        <w:ind w:left="640"/>
        <w:spacing w:after="0" w:line="287" w:lineRule="auto"/>
        <w:rPr>
          <w:rFonts w:ascii="Arial" w:cs="Arial" w:eastAsia="Arial" w:hAnsi="Arial"/>
          <w:sz w:val="19"/>
          <w:szCs w:val="19"/>
          <w:color w:val="auto"/>
        </w:rPr>
      </w:pPr>
      <w:r>
        <w:rPr>
          <w:rFonts w:ascii="Arial" w:cs="Arial" w:eastAsia="Arial" w:hAnsi="Arial"/>
          <w:sz w:val="22"/>
          <w:szCs w:val="22"/>
          <w:color w:val="auto"/>
        </w:rPr>
        <w:t>under Sections 1471 through 1474 of the U.S. Internal Revenue Code of 1986, as amended, or any amended or successor versions of such Sections (“</w:t>
      </w:r>
      <w:r>
        <w:rPr>
          <w:rFonts w:ascii="Arial" w:cs="Arial" w:eastAsia="Arial" w:hAnsi="Arial"/>
          <w:sz w:val="22"/>
          <w:szCs w:val="22"/>
          <w:i w:val="1"/>
          <w:iCs w:val="1"/>
          <w:color w:val="auto"/>
        </w:rPr>
        <w:t>FATCA</w:t>
      </w:r>
      <w:r>
        <w:rPr>
          <w:rFonts w:ascii="Arial" w:cs="Arial" w:eastAsia="Arial" w:hAnsi="Arial"/>
          <w:sz w:val="22"/>
          <w:szCs w:val="22"/>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89" w:lineRule="exact"/>
        <w:rPr>
          <w:rFonts w:ascii="Arial" w:cs="Arial" w:eastAsia="Arial" w:hAnsi="Arial"/>
          <w:sz w:val="19"/>
          <w:szCs w:val="19"/>
          <w:color w:val="auto"/>
        </w:rPr>
      </w:pPr>
    </w:p>
    <w:p>
      <w:pPr>
        <w:ind w:left="1740" w:hanging="447"/>
        <w:spacing w:after="0"/>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combination of Taxes referred to in the preceding clauses (A), (B), (C) and (D); or</w:t>
      </w:r>
    </w:p>
    <w:p>
      <w:pPr>
        <w:spacing w:after="0" w:line="273" w:lineRule="exact"/>
        <w:rPr>
          <w:rFonts w:ascii="Arial" w:cs="Arial" w:eastAsia="Arial" w:hAnsi="Arial"/>
          <w:sz w:val="22"/>
          <w:szCs w:val="22"/>
          <w:color w:val="auto"/>
        </w:rPr>
      </w:pPr>
    </w:p>
    <w:p>
      <w:pPr>
        <w:ind w:left="1160" w:hanging="515"/>
        <w:spacing w:after="0"/>
        <w:tabs>
          <w:tab w:leader="none" w:pos="11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 respect to any payment of the principal of, or premium (if any) or interest on, such Note to or for the</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account of a fiduciary, partnership, limited liability company or other fiscally transparent entity or any other person (other than the sole Beneficial Owner of such payment) to the extent that a beneficiary or settlor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0"/>
          </w:cols>
          <w:pgMar w:left="900" w:top="861" w:right="239" w:bottom="1440" w:gutter="0" w:footer="0" w:header="0"/>
        </w:sectPr>
      </w:pPr>
    </w:p>
    <w:bookmarkStart w:id="121" w:name="page122"/>
    <w:bookmarkEnd w:id="121"/>
    <w:p>
      <w:pPr>
        <w:jc w:val="both"/>
        <w:ind w:left="660"/>
        <w:spacing w:after="0" w:line="306" w:lineRule="auto"/>
        <w:rPr>
          <w:sz w:val="20"/>
          <w:szCs w:val="20"/>
          <w:color w:val="auto"/>
        </w:rPr>
      </w:pPr>
      <w:r>
        <w:rPr>
          <w:rFonts w:ascii="Arial" w:cs="Arial" w:eastAsia="Arial" w:hAnsi="Arial"/>
          <w:sz w:val="21"/>
          <w:szCs w:val="21"/>
          <w:color w:val="auto"/>
        </w:rPr>
        <w:t>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173" w:lineRule="exact"/>
        <w:rPr>
          <w:sz w:val="20"/>
          <w:szCs w:val="20"/>
          <w:color w:val="auto"/>
        </w:rPr>
      </w:pPr>
    </w:p>
    <w:p>
      <w:pPr>
        <w:ind w:left="1080" w:hanging="424"/>
        <w:spacing w:after="0"/>
        <w:tabs>
          <w:tab w:leader="none" w:pos="10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addition to the foregoing, the Issuer and the Surviving Person shall pay and indemnify the Holder for any present or</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 Jurisdiction that are not excluded under Sections 4.09(b)(1)</w:t>
      </w:r>
    </w:p>
    <w:p>
      <w:pPr>
        <w:spacing w:after="0" w:line="1" w:lineRule="exact"/>
        <w:rPr>
          <w:rFonts w:ascii="Arial" w:cs="Arial" w:eastAsia="Arial" w:hAnsi="Arial"/>
          <w:sz w:val="19"/>
          <w:szCs w:val="19"/>
          <w:color w:val="auto"/>
        </w:rPr>
      </w:pPr>
    </w:p>
    <w:p>
      <w:pPr>
        <w:ind w:right="20" w:firstLine="8"/>
        <w:spacing w:after="0" w:line="302" w:lineRule="auto"/>
        <w:tabs>
          <w:tab w:leader="none" w:pos="3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thorough (C) hereof (or any combination thereof) or Section 4.09(b)(2) hereof and excluding, for the avoidance of doubt, any net income taxes imposed on the receipt of any payments with respect thereto).</w:t>
      </w:r>
    </w:p>
    <w:p>
      <w:pPr>
        <w:spacing w:after="0" w:line="173" w:lineRule="exact"/>
        <w:rPr>
          <w:rFonts w:ascii="Arial" w:cs="Arial" w:eastAsia="Arial" w:hAnsi="Arial"/>
          <w:sz w:val="22"/>
          <w:szCs w:val="22"/>
          <w:color w:val="auto"/>
        </w:rPr>
      </w:pPr>
    </w:p>
    <w:p>
      <w:pPr>
        <w:ind w:left="1140" w:hanging="484"/>
        <w:spacing w:after="0"/>
        <w:tabs>
          <w:tab w:leader="none" w:pos="11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If the Issuer or the Surviving Person, as the case may be, becomes aware that it shall be obligated to pay Additional</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the Issuer or the Surviving Person shall provide the Trustee with documentation reasonably satisfactory to the Trustee evidencing the payment of Additional Amounts.</w:t>
      </w:r>
    </w:p>
    <w:p>
      <w:pPr>
        <w:spacing w:after="0" w:line="188" w:lineRule="exact"/>
        <w:rPr>
          <w:rFonts w:ascii="Arial" w:cs="Arial" w:eastAsia="Arial" w:hAnsi="Arial"/>
          <w:sz w:val="19"/>
          <w:szCs w:val="19"/>
          <w:color w:val="auto"/>
        </w:rPr>
      </w:pPr>
    </w:p>
    <w:p>
      <w:pPr>
        <w:ind w:left="1080" w:hanging="424"/>
        <w:spacing w:after="0"/>
        <w:tabs>
          <w:tab w:leader="none" w:pos="1080"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Issuer or the Surviving Person shall make all withholdings and deductions required by law and shall remit the full</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request, the Trustee shall make available to Holders copies of those receipts or other documentation, as the case may be. The Trustee shall not be responsible for ensuring that the withholding and deduction of any amount has been properly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61" w:right="239" w:bottom="1440" w:gutter="0" w:footer="0" w:header="0"/>
        </w:sectPr>
      </w:pPr>
    </w:p>
    <w:bookmarkStart w:id="122" w:name="page123"/>
    <w:bookmarkEnd w:id="122"/>
    <w:p>
      <w:pPr>
        <w:ind w:left="1100" w:hanging="444"/>
        <w:spacing w:after="0"/>
        <w:tabs>
          <w:tab w:leader="none" w:pos="11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Whenever there is mentioned in any context the payment of principal of, and any premium or interest on, any Note,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such mention shall be deemed to include payment of Additional Amounts provided for in this Indenture to the extent that, in such context, Additional Amounts are, were or would be payable in respect thereof.</w:t>
      </w:r>
    </w:p>
    <w:p>
      <w:pPr>
        <w:spacing w:after="0" w:line="173" w:lineRule="exact"/>
        <w:rPr>
          <w:rFonts w:ascii="Arial" w:cs="Arial" w:eastAsia="Arial" w:hAnsi="Arial"/>
          <w:sz w:val="19"/>
          <w:szCs w:val="19"/>
          <w:color w:val="auto"/>
        </w:rPr>
      </w:pPr>
    </w:p>
    <w:p>
      <w:pPr>
        <w:ind w:left="1120" w:hanging="464"/>
        <w:spacing w:after="0"/>
        <w:tabs>
          <w:tab w:leader="none" w:pos="11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obligations set forth in this Section 4.09 shall survive any termination, defeasance or discharge of this Indenture,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18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Special Put Option</w:t>
      </w:r>
      <w:r>
        <w:rPr>
          <w:rFonts w:ascii="Arial" w:cs="Arial" w:eastAsia="Arial" w:hAnsi="Arial"/>
          <w:sz w:val="19"/>
          <w:szCs w:val="19"/>
          <w:color w:val="auto"/>
        </w:rPr>
        <w:t>. 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mail a notice (a “</w:t>
      </w:r>
      <w:r>
        <w:rPr>
          <w:rFonts w:ascii="Arial" w:cs="Arial" w:eastAsia="Arial" w:hAnsi="Arial"/>
          <w:sz w:val="19"/>
          <w:szCs w:val="19"/>
          <w:i w:val="1"/>
          <w:iCs w:val="1"/>
          <w:color w:val="auto"/>
        </w:rPr>
        <w:t>Special Put Option Offer</w:t>
      </w:r>
      <w:r>
        <w:rPr>
          <w:rFonts w:ascii="Arial" w:cs="Arial" w:eastAsia="Arial" w:hAnsi="Arial"/>
          <w:sz w:val="19"/>
          <w:szCs w:val="19"/>
          <w:color w:val="auto"/>
        </w:rPr>
        <w:t>”) to each Holder with a copy to the Trustee and the Paying Agent stating:</w:t>
      </w:r>
    </w:p>
    <w:p>
      <w:pPr>
        <w:spacing w:after="0" w:line="160" w:lineRule="exact"/>
        <w:rPr>
          <w:sz w:val="20"/>
          <w:szCs w:val="20"/>
          <w:color w:val="auto"/>
        </w:rPr>
      </w:pPr>
    </w:p>
    <w:p>
      <w:pPr>
        <w:ind w:left="1760" w:hanging="455"/>
        <w:spacing w:after="0"/>
        <w:tabs>
          <w:tab w:leader="none" w:pos="176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that a Special Put Option Triggering Event has occurred and that such Holder has the right to require the Issuer</w:t>
      </w:r>
    </w:p>
    <w:p>
      <w:pPr>
        <w:spacing w:after="0" w:line="92" w:lineRule="exact"/>
        <w:rPr>
          <w:rFonts w:ascii="Arial" w:cs="Arial" w:eastAsia="Arial" w:hAnsi="Arial"/>
          <w:sz w:val="19"/>
          <w:szCs w:val="19"/>
          <w:color w:val="auto"/>
        </w:rPr>
      </w:pPr>
    </w:p>
    <w:p>
      <w:pPr>
        <w:jc w:val="both"/>
        <w:ind w:left="660"/>
        <w:spacing w:after="0" w:line="311" w:lineRule="auto"/>
        <w:rPr>
          <w:rFonts w:ascii="Arial" w:cs="Arial" w:eastAsia="Arial" w:hAnsi="Arial"/>
          <w:sz w:val="19"/>
          <w:szCs w:val="19"/>
          <w:color w:val="auto"/>
        </w:rPr>
      </w:pPr>
      <w:r>
        <w:rPr>
          <w:rFonts w:ascii="Arial" w:cs="Arial" w:eastAsia="Arial" w:hAnsi="Arial"/>
          <w:sz w:val="21"/>
          <w:szCs w:val="21"/>
          <w:color w:val="auto"/>
        </w:rPr>
        <w:t>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68" w:lineRule="exact"/>
        <w:rPr>
          <w:rFonts w:ascii="Arial" w:cs="Arial" w:eastAsia="Arial" w:hAnsi="Arial"/>
          <w:sz w:val="19"/>
          <w:szCs w:val="19"/>
          <w:color w:val="auto"/>
        </w:rPr>
      </w:pPr>
    </w:p>
    <w:p>
      <w:pPr>
        <w:ind w:left="1780" w:hanging="475"/>
        <w:spacing w:after="0"/>
        <w:tabs>
          <w:tab w:leader="none" w:pos="17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repurchase date (which shall be no earlier than 10 days nor later than 60 days from the date such notice is</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mailed); and</w:t>
      </w:r>
    </w:p>
    <w:p>
      <w:pPr>
        <w:spacing w:after="0" w:line="260" w:lineRule="exact"/>
        <w:rPr>
          <w:rFonts w:ascii="Arial" w:cs="Arial" w:eastAsia="Arial" w:hAnsi="Arial"/>
          <w:sz w:val="19"/>
          <w:szCs w:val="19"/>
          <w:color w:val="auto"/>
        </w:rPr>
      </w:pPr>
    </w:p>
    <w:p>
      <w:pPr>
        <w:ind w:left="660" w:firstLine="645"/>
        <w:spacing w:after="0" w:line="315" w:lineRule="auto"/>
        <w:tabs>
          <w:tab w:leader="none" w:pos="1794"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instructions determined by the Issuer, consistent with this covenant, that a Holder must follow in order to have its Notes repurchased.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On the date of repurchase pursuant to a Special Put Option Offer, the Issuer shall, to the extent lawful:</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98"/>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Special Put Option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61" w:right="239" w:bottom="1440" w:gutter="0" w:footer="0" w:header="0"/>
        </w:sectPr>
      </w:pPr>
    </w:p>
    <w:bookmarkStart w:id="123" w:name="page124"/>
    <w:bookmarkEnd w:id="123"/>
    <w:p>
      <w:pPr>
        <w:ind w:left="1740" w:hanging="435"/>
        <w:spacing w:after="0"/>
        <w:tabs>
          <w:tab w:leader="none" w:pos="17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deposit with the Paying Agent an amount equal to the repurchase price, plus accrued and unpaid interest, if any,</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and Additional Amounts, if any, to but excluding the date of repurchase (the “</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 in respect of all Notes or portions of Notes properly tendered; and</w:t>
      </w:r>
    </w:p>
    <w:p>
      <w:pPr>
        <w:spacing w:after="0" w:line="173" w:lineRule="exact"/>
        <w:rPr>
          <w:rFonts w:ascii="Arial" w:cs="Arial" w:eastAsia="Arial" w:hAnsi="Arial"/>
          <w:sz w:val="19"/>
          <w:szCs w:val="19"/>
          <w:color w:val="auto"/>
        </w:rPr>
      </w:pPr>
    </w:p>
    <w:p>
      <w:pPr>
        <w:ind w:left="660" w:firstLine="645"/>
        <w:spacing w:after="0" w:line="341" w:lineRule="auto"/>
        <w:tabs>
          <w:tab w:leader="none" w:pos="1916" w:val="left"/>
        </w:tabs>
        <w:numPr>
          <w:ilvl w:val="0"/>
          <w:numId w:val="99"/>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3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The Paying Agent shall promptly mail to each Holder of Notes properly tendered the Special Put Option Payment for such Notes, and upon receipt of an Authentication Order, the Trustee shall promptly authenticate and mail (or cause to be transferred by book entry) to each Holder a new Note equal in principal amount to any unpurchased portion of the Notes surrendered, if any.</w:t>
      </w:r>
    </w:p>
    <w:p>
      <w:pPr>
        <w:spacing w:after="0" w:line="190" w:lineRule="exact"/>
        <w:rPr>
          <w:sz w:val="20"/>
          <w:szCs w:val="20"/>
          <w:color w:val="auto"/>
        </w:rPr>
      </w:pPr>
    </w:p>
    <w:p>
      <w:pPr>
        <w:ind w:left="1140" w:hanging="484"/>
        <w:spacing w:after="0"/>
        <w:tabs>
          <w:tab w:leader="none" w:pos="11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4.10, the Issuer will not be required to make a Special Put</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 Section 3.09 hereof pursuant to which the Issuer has exercised its right to redeem the Notes in full, unless and until there is a default in payment of the applicable redemption price.</w:t>
      </w:r>
    </w:p>
    <w:p>
      <w:pPr>
        <w:spacing w:after="0" w:line="196" w:lineRule="exact"/>
        <w:rPr>
          <w:rFonts w:ascii="Arial" w:cs="Arial" w:eastAsia="Arial" w:hAnsi="Arial"/>
          <w:sz w:val="19"/>
          <w:szCs w:val="19"/>
          <w:color w:val="auto"/>
        </w:rPr>
      </w:pPr>
    </w:p>
    <w:p>
      <w:pPr>
        <w:ind w:left="1160" w:hanging="504"/>
        <w:spacing w:after="0"/>
        <w:tabs>
          <w:tab w:leader="none" w:pos="11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Notes repurchased by the Issuer pursuant to a Special Put Option Offer will have the status of Notes issued but not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outstanding or will be retired and canceled at the option of the Issuer. Subject to Section 2.09 hereof, Notes purchased by a third party pursuant to the preceding paragraph will have the status of Notes issued and outstanding.</w:t>
      </w:r>
    </w:p>
    <w:p>
      <w:pPr>
        <w:spacing w:after="0" w:line="173" w:lineRule="exact"/>
        <w:rPr>
          <w:rFonts w:ascii="Arial" w:cs="Arial" w:eastAsia="Arial" w:hAnsi="Arial"/>
          <w:sz w:val="19"/>
          <w:szCs w:val="19"/>
          <w:color w:val="auto"/>
        </w:rPr>
      </w:pPr>
    </w:p>
    <w:p>
      <w:pPr>
        <w:ind w:firstLine="656"/>
        <w:spacing w:after="0" w:line="341" w:lineRule="auto"/>
        <w:tabs>
          <w:tab w:leader="none" w:pos="1149"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37" w:lineRule="exact"/>
        <w:rPr>
          <w:rFonts w:ascii="Arial" w:cs="Arial" w:eastAsia="Arial" w:hAnsi="Arial"/>
          <w:sz w:val="21"/>
          <w:szCs w:val="21"/>
          <w:color w:val="auto"/>
        </w:rPr>
      </w:pPr>
    </w:p>
    <w:p>
      <w:pPr>
        <w:ind w:left="1100" w:hanging="444"/>
        <w:spacing w:after="0"/>
        <w:tabs>
          <w:tab w:leader="none" w:pos="11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the avoidance of doubt, following the repurchase date applicable to a Special Put Option Offer, holders of Notes</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who did not properly tender their Notes in the Special Put Option Offer will not have the further right to require Wynn Macau to repurchase such holders’ Notes with respect to that Special Put Option Triggering Event.</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5</w:t>
      </w:r>
    </w:p>
    <w:p>
      <w:pPr>
        <w:spacing w:after="0" w:line="5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61" w:right="239" w:bottom="1440" w:gutter="0" w:footer="0" w:header="0"/>
        </w:sectPr>
      </w:pPr>
    </w:p>
    <w:bookmarkStart w:id="124" w:name="page125"/>
    <w:bookmarkEnd w:id="124"/>
    <w:p>
      <w:pPr>
        <w:spacing w:after="0"/>
        <w:tabs>
          <w:tab w:leader="none" w:pos="12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32" w:lineRule="exact"/>
        <w:rPr>
          <w:sz w:val="20"/>
          <w:szCs w:val="20"/>
          <w:color w:val="auto"/>
        </w:rPr>
      </w:pPr>
    </w:p>
    <w:p>
      <w:pPr>
        <w:ind w:left="1780" w:hanging="475"/>
        <w:spacing w:after="0"/>
        <w:tabs>
          <w:tab w:leader="none" w:pos="17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either (a) the Issuer is the surviving entity or (b) the Person formed by or surviving any such consolidation or</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90" w:lineRule="exact"/>
        <w:rPr>
          <w:rFonts w:ascii="Arial" w:cs="Arial" w:eastAsia="Arial" w:hAnsi="Arial"/>
          <w:sz w:val="19"/>
          <w:szCs w:val="19"/>
          <w:color w:val="auto"/>
        </w:rPr>
      </w:pPr>
    </w:p>
    <w:p>
      <w:pPr>
        <w:ind w:left="1780" w:hanging="475"/>
        <w:spacing w:after="0"/>
        <w:tabs>
          <w:tab w:leader="none" w:pos="17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the Issuer) or the Person to</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which such sale, assignment, transfer, conveyance or other disposition shall have been made assumes all the obligations of the Issuer under the Notes and this Indenture pursuant to a supplemental indenture; and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immediately after such transaction, no Default or Event of Default shall have occurred and is continuing.</w:t>
      </w:r>
    </w:p>
    <w:p>
      <w:pPr>
        <w:spacing w:after="0" w:line="2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predecessor Issuer shall not be relieved from the obligation to pay the principal of and interest and premium, if any, on the Notes, except in the case of a sale of all of the Issuer’s assets in a transaction that is subject to, and that complies with the provisions of Section 5.01 hereof.</w:t>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6</w:t>
      </w:r>
    </w:p>
    <w:p>
      <w:pPr>
        <w:spacing w:after="0" w:line="5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DEFAULTS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61" w:right="239" w:bottom="1440" w:gutter="0" w:footer="0" w:header="0"/>
        </w:sectPr>
      </w:pPr>
    </w:p>
    <w:bookmarkStart w:id="125" w:name="page126"/>
    <w:bookmarkEnd w:id="125"/>
    <w:p>
      <w:pPr>
        <w:spacing w:after="0"/>
        <w:tabs>
          <w:tab w:leader="none" w:pos="12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60"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73" w:lineRule="exact"/>
        <w:rPr>
          <w:rFonts w:ascii="Arial" w:cs="Arial" w:eastAsia="Arial" w:hAnsi="Arial"/>
          <w:sz w:val="22"/>
          <w:szCs w:val="22"/>
          <w:color w:val="auto"/>
        </w:rPr>
      </w:pPr>
    </w:p>
    <w:p>
      <w:pPr>
        <w:ind w:firstLine="656"/>
        <w:spacing w:after="0" w:line="315" w:lineRule="auto"/>
        <w:tabs>
          <w:tab w:leader="none" w:pos="121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failure by the Issuer:</w:t>
      </w:r>
    </w:p>
    <w:p>
      <w:pPr>
        <w:spacing w:after="0" w:line="273" w:lineRule="exact"/>
        <w:rPr>
          <w:rFonts w:ascii="Arial" w:cs="Arial" w:eastAsia="Arial" w:hAnsi="Arial"/>
          <w:sz w:val="22"/>
          <w:szCs w:val="22"/>
          <w:color w:val="auto"/>
        </w:rPr>
      </w:pPr>
    </w:p>
    <w:p>
      <w:pPr>
        <w:ind w:left="660" w:firstLine="645"/>
        <w:spacing w:after="0" w:line="315" w:lineRule="auto"/>
        <w:tabs>
          <w:tab w:leader="none" w:pos="178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4.08 and Section 4.10 hereof; or</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73" w:lineRule="exact"/>
        <w:rPr>
          <w:rFonts w:ascii="Arial" w:cs="Arial" w:eastAsia="Arial" w:hAnsi="Arial"/>
          <w:sz w:val="22"/>
          <w:szCs w:val="22"/>
          <w:color w:val="auto"/>
        </w:rPr>
      </w:pPr>
    </w:p>
    <w:p>
      <w:pPr>
        <w:ind w:left="1180" w:hanging="524"/>
        <w:spacing w:after="0"/>
        <w:tabs>
          <w:tab w:leader="none" w:pos="11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failure by the Issuer for 60 days after receipt of written notice from the Trustee or the Holders of at least 25% in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aggregate principal amount of the Notes then outstanding voting as a single class to comply with any of the other agreements in this Indenture not identified in Sections 6.01(a), (b) or (c) hereof;</w:t>
      </w:r>
    </w:p>
    <w:p>
      <w:pPr>
        <w:spacing w:after="0" w:line="173" w:lineRule="exact"/>
        <w:rPr>
          <w:rFonts w:ascii="Arial" w:cs="Arial" w:eastAsia="Arial" w:hAnsi="Arial"/>
          <w:sz w:val="19"/>
          <w:szCs w:val="19"/>
          <w:color w:val="auto"/>
        </w:rPr>
      </w:pPr>
    </w:p>
    <w:p>
      <w:pPr>
        <w:ind w:left="1200" w:hanging="544"/>
        <w:spacing w:after="0"/>
        <w:tabs>
          <w:tab w:leader="none" w:pos="12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 may be</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secured or evidenced any Indebtedness for money borrowed by the Issuer or any of its Subsidiaries (or the payment of which is guaranteed by the Issuer or any of its 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152" w:lineRule="exact"/>
        <w:rPr>
          <w:rFonts w:ascii="Arial" w:cs="Arial" w:eastAsia="Arial" w:hAnsi="Arial"/>
          <w:sz w:val="19"/>
          <w:szCs w:val="19"/>
          <w:color w:val="auto"/>
        </w:rPr>
      </w:pPr>
    </w:p>
    <w:p>
      <w:pPr>
        <w:ind w:left="1060" w:hanging="404"/>
        <w:spacing w:after="0"/>
        <w:tabs>
          <w:tab w:leader="none" w:pos="10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failure by the Issuer or any of its Significant Subsidiaries to pay final non-appealable judgments (not paid or covered by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184" w:lineRule="exact"/>
        <w:rPr>
          <w:rFonts w:ascii="Arial" w:cs="Arial" w:eastAsia="Arial" w:hAnsi="Arial"/>
          <w:sz w:val="19"/>
          <w:szCs w:val="19"/>
          <w:color w:val="auto"/>
        </w:rPr>
      </w:pPr>
    </w:p>
    <w:p>
      <w:pPr>
        <w:ind w:firstLine="656"/>
        <w:spacing w:after="0" w:line="341" w:lineRule="auto"/>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37" w:lineRule="exact"/>
        <w:rPr>
          <w:rFonts w:ascii="Arial" w:cs="Arial" w:eastAsia="Arial" w:hAnsi="Arial"/>
          <w:sz w:val="21"/>
          <w:szCs w:val="21"/>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61" w:right="239" w:bottom="1440" w:gutter="0" w:footer="0" w:header="0"/>
        </w:sectPr>
      </w:pPr>
    </w:p>
    <w:bookmarkStart w:id="126" w:name="page127"/>
    <w:bookmarkEnd w:id="126"/>
    <w:p>
      <w:pPr>
        <w:ind w:left="1740" w:hanging="435"/>
        <w:spacing w:after="0"/>
        <w:tabs>
          <w:tab w:leader="none" w:pos="174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73" w:lineRule="exact"/>
        <w:rPr>
          <w:rFonts w:ascii="Arial" w:cs="Arial" w:eastAsia="Arial" w:hAnsi="Arial"/>
          <w:sz w:val="22"/>
          <w:szCs w:val="22"/>
          <w:color w:val="auto"/>
        </w:rPr>
      </w:pPr>
    </w:p>
    <w:p>
      <w:pPr>
        <w:ind w:left="660" w:firstLine="645"/>
        <w:spacing w:after="0" w:line="341" w:lineRule="auto"/>
        <w:tabs>
          <w:tab w:leader="none" w:pos="1889" w:val="left"/>
        </w:tabs>
        <w:numPr>
          <w:ilvl w:val="1"/>
          <w:numId w:val="104"/>
        </w:numPr>
        <w:rPr>
          <w:rFonts w:ascii="Arial" w:cs="Arial" w:eastAsia="Arial" w:hAnsi="Arial"/>
          <w:sz w:val="21"/>
          <w:szCs w:val="21"/>
          <w:color w:val="auto"/>
        </w:rPr>
      </w:pPr>
      <w:r>
        <w:rPr>
          <w:rFonts w:ascii="Arial" w:cs="Arial" w:eastAsia="Arial" w:hAnsi="Arial"/>
          <w:sz w:val="21"/>
          <w:szCs w:val="21"/>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37" w:lineRule="exact"/>
        <w:rPr>
          <w:rFonts w:ascii="Arial" w:cs="Arial" w:eastAsia="Arial" w:hAnsi="Arial"/>
          <w:sz w:val="21"/>
          <w:szCs w:val="21"/>
          <w:color w:val="auto"/>
        </w:rPr>
      </w:pPr>
    </w:p>
    <w:p>
      <w:pPr>
        <w:ind w:left="1820" w:hanging="515"/>
        <w:spacing w:after="0"/>
        <w:tabs>
          <w:tab w:leader="none" w:pos="182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appoints a custodian of the Issuer or any of its Subsidiaries that is a Significant Subsidiary or any group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84" w:lineRule="exact"/>
        <w:rPr>
          <w:rFonts w:ascii="Arial" w:cs="Arial" w:eastAsia="Arial" w:hAnsi="Arial"/>
          <w:sz w:val="19"/>
          <w:szCs w:val="19"/>
          <w:color w:val="auto"/>
        </w:rPr>
      </w:pPr>
    </w:p>
    <w:p>
      <w:pPr>
        <w:ind w:left="660" w:firstLine="645"/>
        <w:spacing w:after="0" w:line="315" w:lineRule="auto"/>
        <w:tabs>
          <w:tab w:leader="none" w:pos="180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orders the liquidation of the Issuer or any of its Subsidiaries that is a Significant Subsidiary or any group of Subsidiaries of the Issuer that, taken together, would constitute a Significant Subsidiary;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any such declaration, the Notes shall become due and payable immediately.</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61" w:right="239" w:bottom="1440" w:gutter="0" w:footer="0" w:header="0"/>
        </w:sectPr>
      </w:pPr>
    </w:p>
    <w:bookmarkStart w:id="127" w:name="page128"/>
    <w:bookmarkEnd w:id="127"/>
    <w:p>
      <w:pPr>
        <w:jc w:val="both"/>
        <w:spacing w:after="0" w:line="302" w:lineRule="auto"/>
        <w:rPr>
          <w:sz w:val="20"/>
          <w:szCs w:val="20"/>
          <w:color w:val="auto"/>
        </w:rPr>
      </w:pPr>
      <w:r>
        <w:rPr>
          <w:rFonts w:ascii="Arial" w:cs="Arial" w:eastAsia="Arial" w:hAnsi="Arial"/>
          <w:sz w:val="22"/>
          <w:szCs w:val="22"/>
          <w:color w:val="auto"/>
        </w:rPr>
        <w:t>Trustee and to reimburse the Trustee for any and all fees, expenses and disbursements advanced by the Trustee, its agents and its counsel incurred in connection with such Default.</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Other Remedies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Waiver of Defaults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Control by Majority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61" w:right="239" w:bottom="1440" w:gutter="0" w:footer="0" w:header="0"/>
        </w:sectPr>
      </w:pPr>
    </w:p>
    <w:bookmarkStart w:id="128" w:name="page129"/>
    <w:bookmarkEnd w:id="128"/>
    <w:p>
      <w:pPr>
        <w:spacing w:after="0"/>
        <w:tabs>
          <w:tab w:leader="none" w:pos="12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Limitation on Suits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174"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73" w:lineRule="exact"/>
        <w:rPr>
          <w:rFonts w:ascii="Arial" w:cs="Arial" w:eastAsia="Arial" w:hAnsi="Arial"/>
          <w:sz w:val="22"/>
          <w:szCs w:val="22"/>
          <w:color w:val="auto"/>
        </w:rPr>
      </w:pPr>
    </w:p>
    <w:p>
      <w:pPr>
        <w:ind w:firstLine="656"/>
        <w:spacing w:after="0" w:line="315" w:lineRule="auto"/>
        <w:tabs>
          <w:tab w:leader="none" w:pos="110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59" w:lineRule="exact"/>
        <w:rPr>
          <w:rFonts w:ascii="Arial" w:cs="Arial" w:eastAsia="Arial" w:hAnsi="Arial"/>
          <w:sz w:val="22"/>
          <w:szCs w:val="22"/>
          <w:color w:val="auto"/>
        </w:rPr>
      </w:pPr>
    </w:p>
    <w:p>
      <w:pPr>
        <w:ind w:firstLine="656"/>
        <w:spacing w:after="0" w:line="315" w:lineRule="auto"/>
        <w:tabs>
          <w:tab w:leader="none" w:pos="109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reasonably satisfactory to the Trustee against any loss, liability, claim or expense;</w:t>
      </w:r>
    </w:p>
    <w:p>
      <w:pPr>
        <w:spacing w:after="0" w:line="159" w:lineRule="exact"/>
        <w:rPr>
          <w:rFonts w:ascii="Arial" w:cs="Arial" w:eastAsia="Arial" w:hAnsi="Arial"/>
          <w:sz w:val="22"/>
          <w:szCs w:val="22"/>
          <w:color w:val="auto"/>
        </w:rPr>
      </w:pPr>
    </w:p>
    <w:p>
      <w:pPr>
        <w:ind w:firstLine="656"/>
        <w:spacing w:after="0" w:line="315" w:lineRule="auto"/>
        <w:tabs>
          <w:tab w:leader="none" w:pos="114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59" w:lineRule="exact"/>
        <w:rPr>
          <w:rFonts w:ascii="Arial" w:cs="Arial" w:eastAsia="Arial" w:hAnsi="Arial"/>
          <w:sz w:val="22"/>
          <w:szCs w:val="22"/>
          <w:color w:val="auto"/>
        </w:rPr>
      </w:pPr>
    </w:p>
    <w:p>
      <w:pPr>
        <w:ind w:right="20" w:firstLine="656"/>
        <w:spacing w:after="0" w:line="315" w:lineRule="auto"/>
        <w:tabs>
          <w:tab w:leader="none" w:pos="110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Collection Suit by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61" w:right="239" w:bottom="1440" w:gutter="0" w:footer="0" w:header="0"/>
        </w:sectPr>
      </w:pPr>
    </w:p>
    <w:bookmarkStart w:id="129" w:name="page130"/>
    <w:bookmarkEnd w:id="129"/>
    <w:p>
      <w:pPr>
        <w:spacing w:after="0"/>
        <w:tabs>
          <w:tab w:leader="none" w:pos="12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Trustee May File Proofs of Claim</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6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1"/>
          <w:szCs w:val="21"/>
          <w:i w:val="1"/>
          <w:iCs w:val="1"/>
          <w:color w:val="auto"/>
        </w:rPr>
        <w:t>Priorities</w:t>
      </w:r>
      <w:r>
        <w:rPr>
          <w:rFonts w:ascii="Arial" w:cs="Arial" w:eastAsia="Arial" w:hAnsi="Arial"/>
          <w:sz w:val="21"/>
          <w:szCs w:val="2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60" w:lineRule="exact"/>
        <w:rPr>
          <w:sz w:val="20"/>
          <w:szCs w:val="20"/>
          <w:color w:val="auto"/>
        </w:rPr>
      </w:pPr>
    </w:p>
    <w:p>
      <w:pPr>
        <w:jc w:val="both"/>
        <w:ind w:left="660" w:firstLine="648"/>
        <w:spacing w:after="0" w:line="328"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Trustee, for amounts due under this Indenture, including payment of all compensation, expenses and</w:t>
      </w:r>
      <w:r>
        <w:rPr>
          <w:rFonts w:ascii="Arial" w:cs="Arial" w:eastAsia="Arial" w:hAnsi="Arial"/>
          <w:sz w:val="21"/>
          <w:szCs w:val="21"/>
          <w:i w:val="1"/>
          <w:iCs w:val="1"/>
          <w:color w:val="auto"/>
        </w:rPr>
        <w:t xml:space="preserve"> </w:t>
      </w:r>
      <w:r>
        <w:rPr>
          <w:rFonts w:ascii="Arial" w:cs="Arial" w:eastAsia="Arial" w:hAnsi="Arial"/>
          <w:sz w:val="21"/>
          <w:szCs w:val="21"/>
          <w:color w:val="auto"/>
        </w:rPr>
        <w:t>liabilities incurred, and all advances made, by the Trustee and the costs and expenses of collection;</w:t>
      </w:r>
    </w:p>
    <w:p>
      <w:pPr>
        <w:spacing w:after="0" w:line="150"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Issuer or to such party as a court of competent jurisdiction shall direct.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61" w:right="239" w:bottom="1440" w:gutter="0" w:footer="0" w:header="0"/>
        </w:sectPr>
      </w:pPr>
    </w:p>
    <w:bookmarkStart w:id="130" w:name="page131"/>
    <w:bookmarkEnd w:id="130"/>
    <w:p>
      <w:pPr>
        <w:spacing w:after="0"/>
        <w:tabs>
          <w:tab w:leader="none" w:pos="12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Undertaking for Costs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82" w:lineRule="exact"/>
        <w:rPr>
          <w:sz w:val="20"/>
          <w:szCs w:val="20"/>
          <w:color w:val="auto"/>
        </w:rPr>
      </w:pPr>
    </w:p>
    <w:p>
      <w:pPr>
        <w:jc w:val="right"/>
        <w:ind w:right="5280"/>
        <w:spacing w:after="0"/>
        <w:rPr>
          <w:sz w:val="20"/>
          <w:szCs w:val="20"/>
          <w:color w:val="auto"/>
        </w:rPr>
      </w:pPr>
      <w:r>
        <w:rPr>
          <w:rFonts w:ascii="Arial" w:cs="Arial" w:eastAsia="Arial" w:hAnsi="Arial"/>
          <w:sz w:val="22"/>
          <w:szCs w:val="22"/>
          <w:color w:val="auto"/>
        </w:rPr>
        <w:t>ARTICLE 7</w:t>
      </w:r>
    </w:p>
    <w:p>
      <w:pPr>
        <w:spacing w:after="0" w:line="58" w:lineRule="exact"/>
        <w:rPr>
          <w:sz w:val="20"/>
          <w:szCs w:val="20"/>
          <w:color w:val="auto"/>
        </w:rPr>
      </w:pPr>
    </w:p>
    <w:p>
      <w:pPr>
        <w:jc w:val="right"/>
        <w:ind w:right="5240"/>
        <w:spacing w:after="0"/>
        <w:rPr>
          <w:sz w:val="20"/>
          <w:szCs w:val="20"/>
          <w:color w:val="auto"/>
        </w:rPr>
      </w:pPr>
      <w:r>
        <w:rPr>
          <w:rFonts w:ascii="Arial" w:cs="Arial" w:eastAsia="Arial" w:hAnsi="Arial"/>
          <w:sz w:val="22"/>
          <w:szCs w:val="22"/>
          <w:color w:val="auto"/>
        </w:rPr>
        <w:t>TRUSTEE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such of the rights and powers vested in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it by this Indenture, and use the same degree of care and skill in its exercise, as a prudent person would exercise or use under the circumstances in the conduct of such person’s own affairs.</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73" w:lineRule="exact"/>
        <w:rPr>
          <w:rFonts w:ascii="Arial" w:cs="Arial" w:eastAsia="Arial" w:hAnsi="Arial"/>
          <w:sz w:val="22"/>
          <w:szCs w:val="22"/>
          <w:color w:val="auto"/>
        </w:rPr>
      </w:pPr>
    </w:p>
    <w:p>
      <w:pPr>
        <w:ind w:left="1760" w:hanging="455"/>
        <w:spacing w:after="0"/>
        <w:tabs>
          <w:tab w:leader="none" w:pos="17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duties of the Trustee shall be determined solely by the express provisions of this Indenture and the Trustee</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need perform only those duties that are specifically set forth in this Indenture and no others, and no implied covenants or obligations shall be read into this Indenture against the Trustee; and</w:t>
      </w:r>
    </w:p>
    <w:p>
      <w:pPr>
        <w:spacing w:after="0" w:line="173" w:lineRule="exact"/>
        <w:rPr>
          <w:rFonts w:ascii="Arial" w:cs="Arial" w:eastAsia="Arial" w:hAnsi="Arial"/>
          <w:sz w:val="19"/>
          <w:szCs w:val="19"/>
          <w:color w:val="auto"/>
        </w:rPr>
      </w:pPr>
    </w:p>
    <w:p>
      <w:pPr>
        <w:ind w:left="1780" w:hanging="475"/>
        <w:spacing w:after="0"/>
        <w:tabs>
          <w:tab w:leader="none" w:pos="178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the accuracy of mathematical calculations set forth therein).</w:t>
      </w:r>
    </w:p>
    <w:p>
      <w:pPr>
        <w:spacing w:after="0" w:line="190" w:lineRule="exact"/>
        <w:rPr>
          <w:rFonts w:ascii="Arial" w:cs="Arial" w:eastAsia="Arial" w:hAnsi="Arial"/>
          <w:sz w:val="19"/>
          <w:szCs w:val="19"/>
          <w:color w:val="auto"/>
        </w:rPr>
      </w:pPr>
    </w:p>
    <w:p>
      <w:pPr>
        <w:ind w:firstLine="656"/>
        <w:spacing w:after="0" w:line="315" w:lineRule="auto"/>
        <w:tabs>
          <w:tab w:leader="none" w:pos="106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73" w:lineRule="exact"/>
        <w:rPr>
          <w:rFonts w:ascii="Arial" w:cs="Arial" w:eastAsia="Arial" w:hAnsi="Arial"/>
          <w:sz w:val="22"/>
          <w:szCs w:val="22"/>
          <w:color w:val="auto"/>
        </w:rPr>
      </w:pPr>
    </w:p>
    <w:p>
      <w:pPr>
        <w:ind w:left="660" w:firstLine="645"/>
        <w:spacing w:after="0" w:line="315" w:lineRule="auto"/>
        <w:tabs>
          <w:tab w:leader="none" w:pos="176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61" w:right="239" w:bottom="1440" w:gutter="0" w:footer="0" w:header="0"/>
        </w:sectPr>
      </w:pPr>
    </w:p>
    <w:bookmarkStart w:id="131" w:name="page132"/>
    <w:bookmarkEnd w:id="131"/>
    <w:p>
      <w:pPr>
        <w:ind w:left="660" w:firstLine="645"/>
        <w:spacing w:after="0" w:line="315" w:lineRule="auto"/>
        <w:tabs>
          <w:tab w:leader="none" w:pos="179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59" w:lineRule="exact"/>
        <w:rPr>
          <w:rFonts w:ascii="Arial" w:cs="Arial" w:eastAsia="Arial" w:hAnsi="Arial"/>
          <w:sz w:val="22"/>
          <w:szCs w:val="22"/>
          <w:color w:val="auto"/>
        </w:rPr>
      </w:pPr>
    </w:p>
    <w:p>
      <w:pPr>
        <w:ind w:firstLine="656"/>
        <w:spacing w:after="0" w:line="315" w:lineRule="auto"/>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59" w:lineRule="exact"/>
        <w:rPr>
          <w:rFonts w:ascii="Arial" w:cs="Arial" w:eastAsia="Arial" w:hAnsi="Arial"/>
          <w:sz w:val="22"/>
          <w:szCs w:val="22"/>
          <w:color w:val="auto"/>
        </w:rPr>
      </w:pPr>
    </w:p>
    <w:p>
      <w:pPr>
        <w:ind w:left="1180" w:hanging="524"/>
        <w:spacing w:after="0"/>
        <w:tabs>
          <w:tab w:leader="none" w:pos="11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incur any liability. The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Trustee shall be under no obligation to exercise any of its rights and powers under this Indenture at the request of any Holders, unless such Holder shall have offered to the Trustee security and indemnity reasonably satisfactory to it against any loss, liability, claim or expense.</w:t>
      </w:r>
    </w:p>
    <w:p>
      <w:pPr>
        <w:spacing w:after="0" w:line="184" w:lineRule="exact"/>
        <w:rPr>
          <w:rFonts w:ascii="Arial" w:cs="Arial" w:eastAsia="Arial" w:hAnsi="Arial"/>
          <w:sz w:val="19"/>
          <w:szCs w:val="19"/>
          <w:color w:val="auto"/>
        </w:rPr>
      </w:pPr>
    </w:p>
    <w:p>
      <w:pPr>
        <w:ind w:firstLine="656"/>
        <w:spacing w:after="0" w:line="402" w:lineRule="auto"/>
        <w:tabs>
          <w:tab w:leader="none" w:pos="105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r>
        <w:rPr>
          <w:rFonts w:ascii="Arial" w:cs="Arial" w:eastAsia="Arial" w:hAnsi="Arial"/>
          <w:sz w:val="19"/>
          <w:szCs w:val="19"/>
          <w:color w:val="auto"/>
        </w:rPr>
        <w:t>.</w:t>
      </w:r>
    </w:p>
    <w:p>
      <w:pPr>
        <w:spacing w:after="0" w:line="274" w:lineRule="exact"/>
        <w:rPr>
          <w:sz w:val="20"/>
          <w:szCs w:val="20"/>
          <w:color w:val="auto"/>
        </w:rPr>
      </w:pPr>
    </w:p>
    <w:p>
      <w:pPr>
        <w:ind w:right="20" w:firstLine="656"/>
        <w:spacing w:after="0" w:line="341" w:lineRule="auto"/>
        <w:tabs>
          <w:tab w:leader="none" w:pos="120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37" w:lineRule="exact"/>
        <w:rPr>
          <w:rFonts w:ascii="Arial" w:cs="Arial" w:eastAsia="Arial" w:hAnsi="Arial"/>
          <w:sz w:val="21"/>
          <w:szCs w:val="21"/>
          <w:color w:val="auto"/>
        </w:rPr>
      </w:pPr>
    </w:p>
    <w:p>
      <w:pPr>
        <w:ind w:left="1160" w:hanging="504"/>
        <w:spacing w:after="0"/>
        <w:tabs>
          <w:tab w:leader="none" w:pos="11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or an Opinion of Counsel or</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90" w:lineRule="exact"/>
        <w:rPr>
          <w:rFonts w:ascii="Arial" w:cs="Arial" w:eastAsia="Arial" w:hAnsi="Arial"/>
          <w:sz w:val="19"/>
          <w:szCs w:val="19"/>
          <w:color w:val="auto"/>
        </w:rPr>
      </w:pPr>
    </w:p>
    <w:p>
      <w:pPr>
        <w:ind w:firstLine="656"/>
        <w:spacing w:after="0" w:line="315" w:lineRule="auto"/>
        <w:tabs>
          <w:tab w:leader="none" w:pos="109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59" w:lineRule="exact"/>
        <w:rPr>
          <w:rFonts w:ascii="Arial" w:cs="Arial" w:eastAsia="Arial" w:hAnsi="Arial"/>
          <w:sz w:val="22"/>
          <w:szCs w:val="22"/>
          <w:color w:val="auto"/>
        </w:rPr>
      </w:pPr>
    </w:p>
    <w:p>
      <w:pPr>
        <w:ind w:firstLine="656"/>
        <w:spacing w:after="0" w:line="315" w:lineRule="auto"/>
        <w:tabs>
          <w:tab w:leader="none" w:pos="110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59" w:lineRule="exact"/>
        <w:rPr>
          <w:rFonts w:ascii="Arial" w:cs="Arial" w:eastAsia="Arial" w:hAnsi="Arial"/>
          <w:sz w:val="22"/>
          <w:szCs w:val="22"/>
          <w:color w:val="auto"/>
        </w:rPr>
      </w:pPr>
    </w:p>
    <w:p>
      <w:pPr>
        <w:ind w:firstLine="656"/>
        <w:spacing w:after="0" w:line="315" w:lineRule="auto"/>
        <w:tabs>
          <w:tab w:leader="none" w:pos="108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 shall be sufficient if signed by an Officer of the Issuer.</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request or direction of any of the Holders unless such Holders have offered to the Trustee security or indemnity reasonably satisfactory to the Trustee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61" w:right="2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the costs, expenses and liabilities that might be incurred by it in compliance with such request or direction.</w:t>
      </w:r>
    </w:p>
    <w:p>
      <w:pPr>
        <w:spacing w:after="0" w:line="260" w:lineRule="exact"/>
        <w:rPr>
          <w:sz w:val="20"/>
          <w:szCs w:val="20"/>
          <w:color w:val="auto"/>
        </w:rPr>
      </w:pPr>
    </w:p>
    <w:p>
      <w:pPr>
        <w:ind w:firstLine="656"/>
        <w:spacing w:after="0" w:line="315" w:lineRule="auto"/>
        <w:tabs>
          <w:tab w:leader="none" w:pos="109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 with respect to the covenants contained in Articles 4 and 5 hereof.</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Trustee shall not be deemed to have knowledge of an Event of Default except (i) any Default or Event of Default</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occurring pursuant to Sections 6.01(a) and (b) hereof or (ii) any Default or Event of Default of which the Trustee shall have received written notification thereof in accordance with Section 11.01.</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Trustee may request that the Issuer deliver Officer’s Certificates setting forth the names of individuals and their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84" w:lineRule="exact"/>
        <w:rPr>
          <w:rFonts w:ascii="Arial" w:cs="Arial" w:eastAsia="Arial" w:hAnsi="Arial"/>
          <w:sz w:val="19"/>
          <w:szCs w:val="19"/>
          <w:color w:val="auto"/>
        </w:rPr>
      </w:pPr>
    </w:p>
    <w:p>
      <w:pPr>
        <w:ind w:left="1040" w:hanging="384"/>
        <w:spacing w:after="0"/>
        <w:tabs>
          <w:tab w:leader="none" w:pos="10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73" w:lineRule="exact"/>
        <w:rPr>
          <w:rFonts w:ascii="Arial" w:cs="Arial" w:eastAsia="Arial" w:hAnsi="Arial"/>
          <w:sz w:val="22"/>
          <w:szCs w:val="22"/>
          <w:color w:val="auto"/>
        </w:rPr>
      </w:pPr>
    </w:p>
    <w:p>
      <w:pPr>
        <w:ind w:left="1160" w:hanging="504"/>
        <w:spacing w:after="0"/>
        <w:tabs>
          <w:tab w:leader="none" w:pos="11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60" w:lineRule="exact"/>
        <w:rPr>
          <w:rFonts w:ascii="Arial" w:cs="Arial" w:eastAsia="Arial" w:hAnsi="Arial"/>
          <w:sz w:val="19"/>
          <w:szCs w:val="19"/>
          <w:color w:val="auto"/>
        </w:rPr>
      </w:pPr>
    </w:p>
    <w:p>
      <w:pPr>
        <w:ind w:left="1140" w:hanging="484"/>
        <w:spacing w:after="0"/>
        <w:tabs>
          <w:tab w:leader="none" w:pos="11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7" w:lineRule="exact"/>
        <w:rPr>
          <w:rFonts w:ascii="Arial" w:cs="Arial" w:eastAsia="Arial" w:hAnsi="Arial"/>
          <w:sz w:val="19"/>
          <w:szCs w:val="19"/>
          <w:color w:val="auto"/>
        </w:rPr>
      </w:pPr>
    </w:p>
    <w:p>
      <w:pPr>
        <w:ind w:left="1160" w:hanging="504"/>
        <w:spacing w:after="0"/>
        <w:tabs>
          <w:tab w:leader="none" w:pos="11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special, punitive, indirect or consequential losses or damages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of any kind whatsoever (including, but not limited to, loss of profit) irrespective of whether the Trustee has been advised of the likelihood of such loss or damage and regardless of the form of action.</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rights, privileges, protections, immunities and benefits given to the Trustee hereunder, including, without</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limitation, its right to be indemnified, are extended to, and shall be enforceable by, the Trustee in each of its capacities hereunder and each agent, custodian and other Person employed to act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61" w:right="239" w:bottom="1440" w:gutter="0" w:footer="0" w:header="0"/>
        </w:sectPr>
      </w:pPr>
    </w:p>
    <w:bookmarkStart w:id="133" w:name="page134"/>
    <w:bookmarkEnd w:id="133"/>
    <w:p>
      <w:pPr>
        <w:spacing w:after="0"/>
        <w:tabs>
          <w:tab w:leader="none" w:pos="12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If a Default or Event of Default occurs and is continuing and if it is actually known to a Responsible Officer of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it in good faith 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Compensation and Indemnity</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Issuer shall pay to the Trustee compensation as agreed upon in writing for its acceptance of this Indenture and</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services hereunder. The Trustee’s compensation shall not be limited by any law on compensation of a trustee of an express trust. The Issuer shall reimburse the Trustee promptly upon request for all reasonable and properly incurred disbursements, advances and expenses incurred or made by it in addition to the compensation for its services. Such expenses shall include the reasonable and properly incurred compensation, disbursements and expenses of the Trustee’s agents and counsel.</w:t>
      </w:r>
    </w:p>
    <w:p>
      <w:pPr>
        <w:spacing w:after="0" w:line="144" w:lineRule="exact"/>
        <w:rPr>
          <w:rFonts w:ascii="Arial" w:cs="Arial" w:eastAsia="Arial" w:hAnsi="Arial"/>
          <w:sz w:val="19"/>
          <w:szCs w:val="19"/>
          <w:color w:val="auto"/>
        </w:rPr>
      </w:pPr>
    </w:p>
    <w:p>
      <w:pPr>
        <w:ind w:right="20" w:firstLine="656"/>
        <w:spacing w:after="0" w:line="315" w:lineRule="auto"/>
        <w:tabs>
          <w:tab w:leader="none" w:pos="10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Issuer shall indemnify the Trustee against any and all losses, liabilities or expenses incurred by it arising out of or in connection with the acceptance or administration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61" w:right="239" w:bottom="1440" w:gutter="0" w:footer="0" w:header="0"/>
        </w:sectPr>
      </w:pPr>
    </w:p>
    <w:bookmarkStart w:id="134" w:name="page135"/>
    <w:bookmarkEnd w:id="134"/>
    <w:p>
      <w:pPr>
        <w:jc w:val="both"/>
        <w:spacing w:after="0" w:line="299" w:lineRule="auto"/>
        <w:rPr>
          <w:sz w:val="20"/>
          <w:szCs w:val="20"/>
          <w:color w:val="auto"/>
        </w:rPr>
      </w:pPr>
      <w:r>
        <w:rPr>
          <w:rFonts w:ascii="Arial" w:cs="Arial" w:eastAsia="Arial" w:hAnsi="Arial"/>
          <w:sz w:val="21"/>
          <w:szCs w:val="21"/>
          <w:color w:val="auto"/>
        </w:rPr>
        <w:t>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86" w:lineRule="exact"/>
        <w:rPr>
          <w:sz w:val="20"/>
          <w:szCs w:val="20"/>
          <w:color w:val="auto"/>
        </w:rPr>
      </w:pPr>
    </w:p>
    <w:p>
      <w:pPr>
        <w:ind w:firstLine="656"/>
        <w:spacing w:after="0" w:line="315" w:lineRule="auto"/>
        <w:tabs>
          <w:tab w:leader="none" w:pos="110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obligations of the Issuer under this Section 7.06 shall survive the satisfaction and discharge of this Indenture and the resignation or removal of the Trustee.</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To secure the Issuer’s payment obligations in this Section 7.06, the Trustee shall have a Lien prior to the Notes on all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money or property held or collected by the Trustee, except money or property held in trust to pay principal and interest on particular Notes. Such Lien shall survive the satisfaction and discharge of this Indenture.</w:t>
      </w:r>
    </w:p>
    <w:p>
      <w:pPr>
        <w:spacing w:after="0" w:line="173" w:lineRule="exact"/>
        <w:rPr>
          <w:rFonts w:ascii="Arial" w:cs="Arial" w:eastAsia="Arial" w:hAnsi="Arial"/>
          <w:sz w:val="19"/>
          <w:szCs w:val="19"/>
          <w:color w:val="auto"/>
        </w:rPr>
      </w:pPr>
    </w:p>
    <w:p>
      <w:pPr>
        <w:ind w:left="1180" w:hanging="524"/>
        <w:spacing w:after="0"/>
        <w:tabs>
          <w:tab w:leader="none" w:pos="11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When the Trustee incurs expenses or renders services after an Event of Default specified in Section 6.01(g) or (h)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hereof occurs, the expenses and the compensation for the services (including the fees and expenses of its agents and counsel) are intended to constitute expenses of administration under any Bankruptcy Law.</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Replacement of Trustee</w:t>
      </w:r>
      <w:r>
        <w:rPr>
          <w:rFonts w:ascii="Arial" w:cs="Arial" w:eastAsia="Arial" w:hAnsi="Arial"/>
          <w:sz w:val="19"/>
          <w:szCs w:val="19"/>
          <w:color w:val="auto"/>
        </w:rPr>
        <w:t>.</w:t>
      </w:r>
    </w:p>
    <w:p>
      <w:pPr>
        <w:spacing w:after="0" w:line="274" w:lineRule="exact"/>
        <w:rPr>
          <w:sz w:val="20"/>
          <w:szCs w:val="20"/>
          <w:color w:val="auto"/>
        </w:rPr>
      </w:pPr>
    </w:p>
    <w:p>
      <w:pPr>
        <w:ind w:firstLine="656"/>
        <w:spacing w:after="0" w:line="315" w:lineRule="auto"/>
        <w:tabs>
          <w:tab w:leader="none" w:pos="110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159" w:lineRule="exact"/>
        <w:rPr>
          <w:rFonts w:ascii="Arial" w:cs="Arial" w:eastAsia="Arial" w:hAnsi="Arial"/>
          <w:sz w:val="22"/>
          <w:szCs w:val="22"/>
          <w:color w:val="auto"/>
        </w:rPr>
      </w:pPr>
    </w:p>
    <w:p>
      <w:pPr>
        <w:ind w:left="1160" w:hanging="504"/>
        <w:spacing w:after="0"/>
        <w:tabs>
          <w:tab w:leader="none" w:pos="11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Trustee may resign in writing at any time and be discharged from the trust hereby created by so notifying the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Issuer in writing. The Holders of a majority in principal amount of the then outstanding Notes may remove the Trustee by so notifying the Trustee and the Issuer in writing. The Issuer may remove the Trustee if:</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73" w:lineRule="exact"/>
        <w:rPr>
          <w:rFonts w:ascii="Arial" w:cs="Arial" w:eastAsia="Arial" w:hAnsi="Arial"/>
          <w:sz w:val="22"/>
          <w:szCs w:val="22"/>
          <w:color w:val="auto"/>
        </w:rPr>
      </w:pPr>
    </w:p>
    <w:p>
      <w:pPr>
        <w:ind w:left="660" w:firstLine="645"/>
        <w:spacing w:after="0" w:line="315" w:lineRule="auto"/>
        <w:tabs>
          <w:tab w:leader="none" w:pos="179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861" w:right="239" w:bottom="1440" w:gutter="0" w:footer="0" w:header="0"/>
        </w:sectPr>
      </w:pPr>
    </w:p>
    <w:bookmarkStart w:id="135" w:name="page136"/>
    <w:bookmarkEnd w:id="135"/>
    <w:p>
      <w:pPr>
        <w:ind w:left="1180" w:hanging="524"/>
        <w:spacing w:after="0"/>
        <w:tabs>
          <w:tab w:leader="none" w:pos="11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 Trustee resigns or is removed or if a vacancy exists in the office of Trustee for any reason, the Issuer shall</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4" w:lineRule="exact"/>
        <w:rPr>
          <w:rFonts w:ascii="Arial" w:cs="Arial" w:eastAsia="Arial" w:hAnsi="Arial"/>
          <w:sz w:val="19"/>
          <w:szCs w:val="19"/>
          <w:color w:val="auto"/>
        </w:rPr>
      </w:pPr>
    </w:p>
    <w:p>
      <w:pPr>
        <w:ind w:left="1120" w:hanging="464"/>
        <w:spacing w:after="0"/>
        <w:tabs>
          <w:tab w:leader="none" w:pos="11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 successor Trustee does not take office within 60 days after the retiring Trustee resigns or is removed, the retiring</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Trustee, the Issuer or the Holders of at least 10% in principal amount of the then outstanding Notes may petition any court of competent jurisdiction, at the expense of the Issuer, for the appointment of a successor Trustee.</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 Trustee, after written request by any Holder who has been a Holder for at least six months, fails to comply with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Section 7.09 hereof, such Holder may petition any court of competent jurisdiction, at the expense of the Issuer, for the removal of the Trustee and the appointment of a successor Trustee.</w:t>
      </w:r>
    </w:p>
    <w:p>
      <w:pPr>
        <w:spacing w:after="0" w:line="173" w:lineRule="exact"/>
        <w:rPr>
          <w:rFonts w:ascii="Arial" w:cs="Arial" w:eastAsia="Arial" w:hAnsi="Arial"/>
          <w:sz w:val="19"/>
          <w:szCs w:val="19"/>
          <w:color w:val="auto"/>
        </w:rPr>
      </w:pPr>
    </w:p>
    <w:p>
      <w:pPr>
        <w:ind w:left="1160" w:hanging="504"/>
        <w:spacing w:after="0"/>
        <w:tabs>
          <w:tab w:leader="none" w:pos="11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 successor Trustee shall deliver a written acceptance of its appointment to the retiring Trustee and to the Issuer.</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i w:val="1"/>
          <w:iCs w:val="1"/>
          <w:color w:val="auto"/>
        </w:rPr>
        <w:t>Successor Trustee by Merger, etc.</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 with the same effect as if the successor Trustee had been named as the Trustee in this Indenture.</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21"/>
          <w:szCs w:val="21"/>
          <w:i w:val="1"/>
          <w:iCs w:val="1"/>
          <w:color w:val="auto"/>
        </w:rPr>
        <w:t>Eligibility; Disqualification</w:t>
      </w:r>
      <w:r>
        <w:rPr>
          <w:rFonts w:ascii="Arial" w:cs="Arial" w:eastAsia="Arial" w:hAnsi="Arial"/>
          <w:sz w:val="21"/>
          <w:szCs w:val="21"/>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US$50 million as set forth in its most recent published annual report of condition.</w:t>
      </w:r>
    </w:p>
    <w:p>
      <w:pPr>
        <w:spacing w:after="0" w:line="19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LEGAL DEFEASANCE AND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861" w:right="239" w:bottom="1440" w:gutter="0" w:footer="0" w:header="0"/>
        </w:sectPr>
      </w:pPr>
    </w:p>
    <w:bookmarkStart w:id="136" w:name="page137"/>
    <w:bookmarkEnd w:id="136"/>
    <w:p>
      <w:pPr>
        <w:spacing w:after="0"/>
        <w:tabs>
          <w:tab w:leader="none" w:pos="12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Legal Defeasance and Discharge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Arial" w:cs="Arial" w:eastAsia="Arial" w:hAnsi="Arial"/>
          <w:sz w:val="21"/>
          <w:szCs w:val="21"/>
          <w:i w:val="1"/>
          <w:iCs w:val="1"/>
          <w:color w:val="auto"/>
        </w:rPr>
        <w:t>Legal Defeasance</w:t>
      </w:r>
      <w:r>
        <w:rPr>
          <w:rFonts w:ascii="Arial" w:cs="Arial" w:eastAsia="Arial" w:hAnsi="Arial"/>
          <w:sz w:val="21"/>
          <w:szCs w:val="21"/>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183" w:lineRule="exact"/>
        <w:rPr>
          <w:sz w:val="20"/>
          <w:szCs w:val="20"/>
          <w:color w:val="auto"/>
        </w:rPr>
      </w:pPr>
    </w:p>
    <w:p>
      <w:pPr>
        <w:ind w:left="660" w:firstLine="1293"/>
        <w:spacing w:after="0" w:line="402" w:lineRule="auto"/>
        <w:tabs>
          <w:tab w:leader="none" w:pos="240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payments in respect of the principal of, or interest or premium, if any, on such Notes when such payments are due from the trust referred to in Section 8.04 hereof;</w:t>
      </w:r>
    </w:p>
    <w:p>
      <w:pPr>
        <w:spacing w:after="0" w:line="91" w:lineRule="exact"/>
        <w:rPr>
          <w:rFonts w:ascii="Arial" w:cs="Arial" w:eastAsia="Arial" w:hAnsi="Arial"/>
          <w:sz w:val="19"/>
          <w:szCs w:val="19"/>
          <w:color w:val="auto"/>
        </w:rPr>
      </w:pPr>
    </w:p>
    <w:p>
      <w:pPr>
        <w:ind w:left="2380" w:hanging="427"/>
        <w:spacing w:after="0"/>
        <w:tabs>
          <w:tab w:leader="none" w:pos="23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73" w:lineRule="exact"/>
        <w:rPr>
          <w:rFonts w:ascii="Arial" w:cs="Arial" w:eastAsia="Arial" w:hAnsi="Arial"/>
          <w:sz w:val="22"/>
          <w:szCs w:val="22"/>
          <w:color w:val="auto"/>
        </w:rPr>
      </w:pPr>
    </w:p>
    <w:p>
      <w:pPr>
        <w:ind w:left="660" w:right="20" w:firstLine="1293"/>
        <w:spacing w:after="0" w:line="315" w:lineRule="auto"/>
        <w:tabs>
          <w:tab w:leader="none" w:pos="239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obligations in connection therewith; and</w:t>
      </w:r>
    </w:p>
    <w:p>
      <w:pPr>
        <w:spacing w:after="0" w:line="159" w:lineRule="exact"/>
        <w:rPr>
          <w:rFonts w:ascii="Arial" w:cs="Arial" w:eastAsia="Arial" w:hAnsi="Arial"/>
          <w:sz w:val="22"/>
          <w:szCs w:val="22"/>
          <w:color w:val="auto"/>
        </w:rPr>
      </w:pPr>
    </w:p>
    <w:p>
      <w:pPr>
        <w:ind w:left="2380" w:hanging="427"/>
        <w:spacing w:after="0"/>
        <w:tabs>
          <w:tab w:leader="none" w:pos="23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7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Subject to compliance with this Article 8, the Issuer may exercise its option under this Section 8.02 notwithstanding the prior exercise of its option under Section 8.03 hereof.</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Covenant Defeasance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 and 4.08 hereof with respect to the outstanding Notes on and after the date the conditions set forth in Section 8.04 hereof are satisfied (hereinafter, “</w:t>
      </w:r>
      <w:r>
        <w:rPr>
          <w:rFonts w:ascii="Arial" w:cs="Arial" w:eastAsia="Arial" w:hAnsi="Arial"/>
          <w:sz w:val="22"/>
          <w:szCs w:val="22"/>
          <w:i w:val="1"/>
          <w:iCs w:val="1"/>
          <w:color w:val="auto"/>
        </w:rPr>
        <w:t>Covenant Defeasance</w:t>
      </w:r>
      <w:r>
        <w:rPr>
          <w:rFonts w:ascii="Arial" w:cs="Arial" w:eastAsia="Arial" w:hAnsi="Arial"/>
          <w:sz w:val="22"/>
          <w:szCs w:val="22"/>
          <w:color w:val="auto"/>
        </w:rPr>
        <w:t>”), and the Notes shall thereafter be deemed not “outstanding” for the purposes of any direction, waiver, consent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61" w:right="239" w:bottom="1440" w:gutter="0" w:footer="0" w:header="0"/>
        </w:sectPr>
      </w:pPr>
    </w:p>
    <w:bookmarkStart w:id="137" w:name="page138"/>
    <w:bookmarkEnd w:id="137"/>
    <w:p>
      <w:pPr>
        <w:jc w:val="both"/>
        <w:spacing w:after="0" w:line="298" w:lineRule="auto"/>
        <w:rPr>
          <w:sz w:val="20"/>
          <w:szCs w:val="20"/>
          <w:color w:val="auto"/>
        </w:rPr>
      </w:pPr>
      <w:r>
        <w:rPr>
          <w:rFonts w:ascii="Arial" w:cs="Arial" w:eastAsia="Arial" w:hAnsi="Arial"/>
          <w:sz w:val="21"/>
          <w:szCs w:val="21"/>
          <w:color w:val="auto"/>
        </w:rPr>
        <w:t>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72" w:lineRule="exact"/>
        <w:rPr>
          <w:sz w:val="20"/>
          <w:szCs w:val="20"/>
          <w:color w:val="auto"/>
        </w:rPr>
      </w:pPr>
    </w:p>
    <w:p>
      <w:pPr>
        <w:ind w:left="1160" w:hanging="504"/>
        <w:spacing w:after="0"/>
        <w:tabs>
          <w:tab w:leader="none" w:pos="11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Issuer must irrevocably deposit with the Trustee or its designee, in trust, for the benefit of the Holders, cash in</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77" w:lineRule="exact"/>
        <w:rPr>
          <w:rFonts w:ascii="Arial" w:cs="Arial" w:eastAsia="Arial" w:hAnsi="Arial"/>
          <w:sz w:val="19"/>
          <w:szCs w:val="19"/>
          <w:color w:val="auto"/>
        </w:rPr>
      </w:pPr>
    </w:p>
    <w:p>
      <w:pPr>
        <w:ind w:left="1180" w:hanging="524"/>
        <w:spacing w:after="0"/>
        <w:tabs>
          <w:tab w:leader="none" w:pos="11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 must deliver to the Trustee an Opinion of Counsel</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52" w:lineRule="exact"/>
        <w:rPr>
          <w:rFonts w:ascii="Arial" w:cs="Arial" w:eastAsia="Arial" w:hAnsi="Arial"/>
          <w:sz w:val="19"/>
          <w:szCs w:val="19"/>
          <w:color w:val="auto"/>
        </w:rPr>
      </w:pPr>
    </w:p>
    <w:p>
      <w:pPr>
        <w:ind w:left="1160" w:hanging="504"/>
        <w:spacing w:after="0"/>
        <w:tabs>
          <w:tab w:leader="none" w:pos="11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 has delivered to the Trustee an Opinion of Counsel</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reasonably acceptable to the Trustee confirming that the Holders of the outstanding Notes shall not recognize income, gain or loss for United States federal income tax purposes as a result of such Covenant Defeasance and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61" w:right="239" w:bottom="1440" w:gutter="0" w:footer="0" w:header="0"/>
        </w:sectPr>
      </w:pPr>
    </w:p>
    <w:bookmarkStart w:id="138" w:name="page139"/>
    <w:bookmarkEnd w:id="138"/>
    <w:p>
      <w:pPr>
        <w:spacing w:after="0" w:line="302" w:lineRule="auto"/>
        <w:rPr>
          <w:sz w:val="20"/>
          <w:szCs w:val="20"/>
          <w:color w:val="auto"/>
        </w:rPr>
      </w:pPr>
      <w:r>
        <w:rPr>
          <w:rFonts w:ascii="Arial" w:cs="Arial" w:eastAsia="Arial" w:hAnsi="Arial"/>
          <w:sz w:val="22"/>
          <w:szCs w:val="22"/>
          <w:color w:val="auto"/>
        </w:rPr>
        <w:t>United States federal income tax on the same amounts, in the same manner and at the same times as would have been the case if such Covenant Defeasance had not occurred;</w:t>
      </w:r>
    </w:p>
    <w:p>
      <w:pPr>
        <w:spacing w:after="0" w:line="174" w:lineRule="exact"/>
        <w:rPr>
          <w:sz w:val="20"/>
          <w:szCs w:val="20"/>
          <w:color w:val="auto"/>
        </w:rPr>
      </w:pPr>
    </w:p>
    <w:p>
      <w:pPr>
        <w:ind w:left="1160" w:hanging="504"/>
        <w:spacing w:after="0"/>
        <w:tabs>
          <w:tab w:leader="none" w:pos="11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such deposit (other than a Default or</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05" w:lineRule="exact"/>
        <w:rPr>
          <w:rFonts w:ascii="Arial" w:cs="Arial" w:eastAsia="Arial" w:hAnsi="Arial"/>
          <w:sz w:val="19"/>
          <w:szCs w:val="19"/>
          <w:color w:val="auto"/>
        </w:rPr>
      </w:pPr>
    </w:p>
    <w:p>
      <w:pPr>
        <w:ind w:left="1180" w:hanging="524"/>
        <w:spacing w:after="0"/>
        <w:tabs>
          <w:tab w:leader="none" w:pos="11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such Legal Defeasance or Covenant Defeasance shall not result in a breach or violation of, or constitute a default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under, any material agreement or instrument (other than this Indenture) to which the Issuer is a party or by which any such Person is bound;</w:t>
      </w:r>
    </w:p>
    <w:p>
      <w:pPr>
        <w:spacing w:after="0" w:line="173" w:lineRule="exact"/>
        <w:rPr>
          <w:rFonts w:ascii="Arial" w:cs="Arial" w:eastAsia="Arial" w:hAnsi="Arial"/>
          <w:sz w:val="19"/>
          <w:szCs w:val="19"/>
          <w:color w:val="auto"/>
        </w:rPr>
      </w:pPr>
    </w:p>
    <w:p>
      <w:pPr>
        <w:ind w:left="1060" w:hanging="404"/>
        <w:spacing w:after="0"/>
        <w:tabs>
          <w:tab w:leader="none" w:pos="10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 must deliver to the Trustee an Opinion of Counsel to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190" w:lineRule="exact"/>
        <w:rPr>
          <w:rFonts w:ascii="Arial" w:cs="Arial" w:eastAsia="Arial" w:hAnsi="Arial"/>
          <w:sz w:val="19"/>
          <w:szCs w:val="19"/>
          <w:color w:val="auto"/>
        </w:rPr>
      </w:pPr>
    </w:p>
    <w:p>
      <w:pPr>
        <w:ind w:left="1120" w:hanging="464"/>
        <w:spacing w:after="0"/>
        <w:tabs>
          <w:tab w:leader="none" w:pos="11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Issuer must deliver to the Trustee an Officer’s Certificate stating that the deposit was not made by the Issuer with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intent of preferring the Holders of Notes over the other creditors of the Issuer with the intent of defeating, hindering, delaying or defrauding any creditors of the Issuer or others; and</w:t>
      </w:r>
    </w:p>
    <w:p>
      <w:pPr>
        <w:spacing w:after="0" w:line="173" w:lineRule="exact"/>
        <w:rPr>
          <w:rFonts w:ascii="Arial" w:cs="Arial" w:eastAsia="Arial" w:hAnsi="Arial"/>
          <w:sz w:val="19"/>
          <w:szCs w:val="19"/>
          <w:color w:val="auto"/>
        </w:rPr>
      </w:pPr>
    </w:p>
    <w:p>
      <w:pPr>
        <w:ind w:firstLine="656"/>
        <w:spacing w:after="0" w:line="315" w:lineRule="auto"/>
        <w:tabs>
          <w:tab w:leader="none" w:pos="124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7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9"/>
          <w:szCs w:val="19"/>
          <w:i w:val="1"/>
          <w:iCs w:val="1"/>
          <w:color w:val="auto"/>
        </w:rPr>
        <w:t>Trustee</w:t>
      </w:r>
      <w:r>
        <w:rPr>
          <w:rFonts w:ascii="Arial" w:cs="Arial" w:eastAsia="Arial" w:hAnsi="Arial"/>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shall pay and indemnify the Trustee against any tax, fee or other charge imposed on or assessed against the cash or Government Securities deposited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861" w:right="239" w:bottom="1440" w:gutter="0" w:footer="0" w:header="0"/>
        </w:sectPr>
      </w:pPr>
    </w:p>
    <w:bookmarkStart w:id="139" w:name="page140"/>
    <w:bookmarkEnd w:id="139"/>
    <w:p>
      <w:pPr>
        <w:jc w:val="both"/>
        <w:ind w:right="20"/>
        <w:spacing w:after="0" w:line="302" w:lineRule="auto"/>
        <w:rPr>
          <w:sz w:val="20"/>
          <w:szCs w:val="20"/>
          <w:color w:val="auto"/>
        </w:rPr>
      </w:pPr>
      <w:r>
        <w:rPr>
          <w:rFonts w:ascii="Arial" w:cs="Arial" w:eastAsia="Arial" w:hAnsi="Arial"/>
          <w:sz w:val="22"/>
          <w:szCs w:val="22"/>
          <w:color w:val="auto"/>
        </w:rPr>
        <w:t>8.04 hereof or the principal and interest received in respect thereof other than any such tax, fee or other charge which by law is for the account of the Holders of the outstanding Notes.</w:t>
      </w:r>
    </w:p>
    <w:p>
      <w:pPr>
        <w:spacing w:after="0" w:line="1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i w:val="1"/>
          <w:iCs w:val="1"/>
          <w:color w:val="auto"/>
        </w:rPr>
        <w:t>Repayment to Issuer</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5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i w:val="1"/>
          <w:iCs w:val="1"/>
          <w:color w:val="auto"/>
        </w:rPr>
        <w:t>Reinstatement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9</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AMENDMENT, SUPPLEMENT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61" w:right="239" w:bottom="1440" w:gutter="0" w:footer="0" w:header="0"/>
        </w:sectPr>
      </w:pPr>
    </w:p>
    <w:bookmarkStart w:id="140" w:name="page141"/>
    <w:bookmarkEnd w:id="140"/>
    <w:p>
      <w:pPr>
        <w:spacing w:after="0"/>
        <w:tabs>
          <w:tab w:leader="none" w:pos="12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Notwithstanding Section 9.02 hereof, without the consent of any Holder, the Issuer and the Trustee may amend or supplement this Indenture or the Notes to:</w:t>
      </w:r>
    </w:p>
    <w:p>
      <w:pPr>
        <w:spacing w:after="0" w:line="174"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73" w:lineRule="exact"/>
        <w:rPr>
          <w:rFonts w:ascii="Arial" w:cs="Arial" w:eastAsia="Arial" w:hAnsi="Arial"/>
          <w:sz w:val="22"/>
          <w:szCs w:val="22"/>
          <w:color w:val="auto"/>
        </w:rPr>
      </w:pPr>
    </w:p>
    <w:p>
      <w:pPr>
        <w:ind w:right="20" w:firstLine="656"/>
        <w:spacing w:after="0" w:line="402" w:lineRule="auto"/>
        <w:tabs>
          <w:tab w:leader="none" w:pos="112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91" w:lineRule="exact"/>
        <w:rPr>
          <w:rFonts w:ascii="Arial" w:cs="Arial" w:eastAsia="Arial" w:hAnsi="Arial"/>
          <w:sz w:val="19"/>
          <w:szCs w:val="19"/>
          <w:color w:val="auto"/>
        </w:rPr>
      </w:pPr>
    </w:p>
    <w:p>
      <w:pPr>
        <w:ind w:firstLine="656"/>
        <w:spacing w:after="0" w:line="341" w:lineRule="auto"/>
        <w:tabs>
          <w:tab w:leader="none" w:pos="112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37" w:lineRule="exact"/>
        <w:rPr>
          <w:rFonts w:ascii="Arial" w:cs="Arial" w:eastAsia="Arial" w:hAnsi="Arial"/>
          <w:sz w:val="21"/>
          <w:szCs w:val="21"/>
          <w:color w:val="auto"/>
        </w:rPr>
      </w:pPr>
    </w:p>
    <w:p>
      <w:pPr>
        <w:ind w:firstLine="656"/>
        <w:spacing w:after="0" w:line="315" w:lineRule="auto"/>
        <w:tabs>
          <w:tab w:leader="none" w:pos="116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59" w:lineRule="exact"/>
        <w:rPr>
          <w:rFonts w:ascii="Arial" w:cs="Arial" w:eastAsia="Arial" w:hAnsi="Arial"/>
          <w:sz w:val="22"/>
          <w:szCs w:val="22"/>
          <w:color w:val="auto"/>
        </w:rPr>
      </w:pPr>
    </w:p>
    <w:p>
      <w:pPr>
        <w:ind w:left="1180" w:hanging="524"/>
        <w:spacing w:after="0"/>
        <w:tabs>
          <w:tab w:leader="none" w:pos="11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conform the text of this Indenture or the Notes to any provision of the “Description of the Notes” in the Issuer’s</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Offering Memorandum dated as of September 13, 2017, relating to the offering of the Initial Notes, to the extent that such provision in the “Description of the Notes” was intended to be a verbatim recitation of a provision of this Indenture or the Notes, which intent may be evidenced by an Officer’s Certificate to that effect;</w:t>
      </w:r>
    </w:p>
    <w:p>
      <w:pPr>
        <w:spacing w:after="0" w:line="184" w:lineRule="exact"/>
        <w:rPr>
          <w:rFonts w:ascii="Arial" w:cs="Arial" w:eastAsia="Arial" w:hAnsi="Arial"/>
          <w:sz w:val="21"/>
          <w:szCs w:val="21"/>
          <w:color w:val="auto"/>
        </w:rPr>
      </w:pPr>
    </w:p>
    <w:p>
      <w:pPr>
        <w:ind w:right="20" w:firstLine="656"/>
        <w:spacing w:after="0" w:line="315" w:lineRule="auto"/>
        <w:tabs>
          <w:tab w:leader="none" w:pos="105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comply with the procedures of DTC, Euroclear or Clearstream;</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allow a Person to Guarantee the Issuer’s obligations under this Indenture and the Notes by executing a supplemental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indenture with respect to the Notes (or to release any such Person from such a Guarantee as provided or permitted by the terms of this Indenture and such Guarantee); or</w:t>
      </w:r>
    </w:p>
    <w:p>
      <w:pPr>
        <w:spacing w:after="0" w:line="173" w:lineRule="exact"/>
        <w:rPr>
          <w:rFonts w:ascii="Arial" w:cs="Arial" w:eastAsia="Arial" w:hAnsi="Arial"/>
          <w:sz w:val="19"/>
          <w:szCs w:val="19"/>
          <w:color w:val="auto"/>
        </w:rPr>
      </w:pPr>
    </w:p>
    <w:p>
      <w:pPr>
        <w:ind w:firstLine="656"/>
        <w:spacing w:after="0" w:line="315" w:lineRule="auto"/>
        <w:tabs>
          <w:tab w:leader="none" w:pos="107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provide for the Notes to become secured (or to release such security as permitted by this Indenture and the applicable security documents).</w:t>
      </w:r>
    </w:p>
    <w:p>
      <w:pPr>
        <w:spacing w:after="0" w:line="1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shall join with the Issuer in the execution of any amended or supplemental indenture authorized or permitted by the terms of this Indenture and to make any further appropriate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861" w:right="239" w:bottom="1440" w:gutter="0" w:footer="0" w:header="0"/>
        </w:sectPr>
      </w:pPr>
    </w:p>
    <w:bookmarkStart w:id="141" w:name="page142"/>
    <w:bookmarkEnd w:id="141"/>
    <w:p>
      <w:pPr>
        <w:jc w:val="both"/>
        <w:spacing w:after="0" w:line="302" w:lineRule="auto"/>
        <w:rPr>
          <w:sz w:val="20"/>
          <w:szCs w:val="20"/>
          <w:color w:val="auto"/>
        </w:rPr>
      </w:pPr>
      <w:r>
        <w:rPr>
          <w:rFonts w:ascii="Arial" w:cs="Arial" w:eastAsia="Arial" w:hAnsi="Arial"/>
          <w:sz w:val="22"/>
          <w:szCs w:val="22"/>
          <w:color w:val="auto"/>
        </w:rPr>
        <w:t>stipulations that may be therein contained, but the Trustee shall not be obligated to enter into such amended or supplemental indenture that affects its own rights, duties or immunities under this Indenture or otherwise.</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861" w:right="239" w:bottom="1440" w:gutter="0" w:footer="0" w:header="0"/>
        </w:sectPr>
      </w:pPr>
    </w:p>
    <w:bookmarkStart w:id="142" w:name="page143"/>
    <w:bookmarkEnd w:id="142"/>
    <w:p>
      <w:pPr>
        <w:jc w:val="both"/>
        <w:ind w:firstLine="648"/>
        <w:spacing w:after="0" w:line="336" w:lineRule="auto"/>
        <w:rPr>
          <w:sz w:val="20"/>
          <w:szCs w:val="20"/>
          <w:color w:val="auto"/>
        </w:rPr>
      </w:pPr>
      <w:r>
        <w:rPr>
          <w:rFonts w:ascii="Arial" w:cs="Arial" w:eastAsia="Arial" w:hAnsi="Arial"/>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55"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85" w:lineRule="exact"/>
        <w:rPr>
          <w:rFonts w:ascii="Arial" w:cs="Arial" w:eastAsia="Arial" w:hAnsi="Arial"/>
          <w:sz w:val="21"/>
          <w:szCs w:val="21"/>
          <w:color w:val="auto"/>
        </w:rPr>
      </w:pPr>
    </w:p>
    <w:p>
      <w:pPr>
        <w:ind w:firstLine="656"/>
        <w:spacing w:after="0" w:line="315" w:lineRule="auto"/>
        <w:tabs>
          <w:tab w:leader="none" w:pos="109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4.08 hereof;</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principal of, or interest or premium, if any, on the Notes (except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 rescission of acceleration of the Notes by the Holders of at least a majority in aggregate principal amount of the then outstanding Notes and a waiver of the payment default that resulted from such acceleration);</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73" w:lineRule="exact"/>
        <w:rPr>
          <w:rFonts w:ascii="Arial" w:cs="Arial" w:eastAsia="Arial" w:hAnsi="Arial"/>
          <w:sz w:val="22"/>
          <w:szCs w:val="22"/>
          <w:color w:val="auto"/>
        </w:rPr>
      </w:pPr>
    </w:p>
    <w:p>
      <w:pPr>
        <w:ind w:firstLine="656"/>
        <w:spacing w:after="0" w:line="315" w:lineRule="auto"/>
        <w:tabs>
          <w:tab w:leader="none" w:pos="112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waive a redemption payment with respect to any Note (other than a payment required by Section 4.08 hereof); or</w:t>
      </w:r>
    </w:p>
    <w:p>
      <w:pPr>
        <w:spacing w:after="0" w:line="308" w:lineRule="exact"/>
        <w:rPr>
          <w:rFonts w:ascii="Arial" w:cs="Arial" w:eastAsia="Arial" w:hAnsi="Arial"/>
          <w:sz w:val="19"/>
          <w:szCs w:val="19"/>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Revocation and Effect of Consents.</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861" w:right="239" w:bottom="1440" w:gutter="0" w:footer="0" w:header="0"/>
        </w:sectPr>
      </w:pPr>
    </w:p>
    <w:bookmarkStart w:id="143" w:name="page144"/>
    <w:bookmarkEnd w:id="143"/>
    <w:p>
      <w:pPr>
        <w:spacing w:after="0"/>
        <w:rPr>
          <w:sz w:val="20"/>
          <w:szCs w:val="20"/>
          <w:color w:val="auto"/>
        </w:rPr>
      </w:pPr>
      <w:r>
        <w:rPr>
          <w:rFonts w:ascii="Arial" w:cs="Arial" w:eastAsia="Arial" w:hAnsi="Arial"/>
          <w:sz w:val="21"/>
          <w:szCs w:val="21"/>
          <w:color w:val="auto"/>
        </w:rPr>
        <w:t>An amendment, supplement or waiver becomes effective in accordance with its terms and thereafter binds every Holder.</w:t>
      </w:r>
    </w:p>
    <w:p>
      <w:pPr>
        <w:spacing w:after="0" w:line="27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Notation on or Exchange of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Trustee to Sign Amendments, etc.</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 may not sign an amendment or supplemental indenture 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15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10</w:t>
      </w:r>
    </w:p>
    <w:p>
      <w:pPr>
        <w:spacing w:after="0" w:line="5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SATISFACTION AND DISCHARGE</w:t>
      </w:r>
    </w:p>
    <w:p>
      <w:pPr>
        <w:spacing w:after="0" w:line="26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Satisfaction and Discharge.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72"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either:</w:t>
      </w:r>
    </w:p>
    <w:p>
      <w:pPr>
        <w:spacing w:after="0" w:line="273" w:lineRule="exact"/>
        <w:rPr>
          <w:rFonts w:ascii="Arial" w:cs="Arial" w:eastAsia="Arial" w:hAnsi="Arial"/>
          <w:sz w:val="22"/>
          <w:szCs w:val="22"/>
          <w:color w:val="auto"/>
        </w:rPr>
      </w:pPr>
    </w:p>
    <w:p>
      <w:pPr>
        <w:ind w:left="1800" w:hanging="495"/>
        <w:spacing w:after="0"/>
        <w:tabs>
          <w:tab w:leader="none" w:pos="180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all Notes that have been authenticated, except lost, stolen or destroyed Notes that have been replaced or paid</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and Notes for whose payment money has theretofore been deposited in trust and thereafter repaid to the Issuer, have been delivered to the Trustee for cancelation; or</w:t>
      </w:r>
    </w:p>
    <w:p>
      <w:pPr>
        <w:spacing w:after="0" w:line="173" w:lineRule="exact"/>
        <w:rPr>
          <w:rFonts w:ascii="Arial" w:cs="Arial" w:eastAsia="Arial" w:hAnsi="Arial"/>
          <w:sz w:val="19"/>
          <w:szCs w:val="19"/>
          <w:color w:val="auto"/>
        </w:rPr>
      </w:pPr>
    </w:p>
    <w:p>
      <w:pPr>
        <w:ind w:left="1760" w:hanging="455"/>
        <w:spacing w:after="0"/>
        <w:tabs>
          <w:tab w:leader="none" w:pos="17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all Notes that have not been delivered to the Trustee for cancelation will become due and payable by reason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the mailing of a notice of redemption or otherwise or will become due and payable within one year and the Issuer has irrevocably deposited or caused to be deposited with the Trustee or its designee as trust funds in trust solely for the benefit of the Holders, cash in U.S. dollars, non-callable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861" w:right="239" w:bottom="1440" w:gutter="0" w:footer="0" w:header="0"/>
        </w:sectPr>
      </w:pPr>
    </w:p>
    <w:bookmarkStart w:id="144" w:name="page145"/>
    <w:bookmarkEnd w:id="144"/>
    <w:p>
      <w:pPr>
        <w:jc w:val="both"/>
        <w:ind w:left="660"/>
        <w:spacing w:after="0" w:line="357" w:lineRule="auto"/>
        <w:rPr>
          <w:sz w:val="20"/>
          <w:szCs w:val="20"/>
          <w:color w:val="auto"/>
        </w:rPr>
      </w:pPr>
      <w:r>
        <w:rPr>
          <w:rFonts w:ascii="Arial" w:cs="Arial" w:eastAsia="Arial" w:hAnsi="Arial"/>
          <w:sz w:val="19"/>
          <w:szCs w:val="19"/>
          <w:color w:val="auto"/>
        </w:rPr>
        <w:t>or a combination of cash in U.S. dollars and non-callable Government Securities, in amounts as shall be sufficient,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32"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the deposit or shall occur as a result of the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73" w:lineRule="exact"/>
        <w:rPr>
          <w:rFonts w:ascii="Arial" w:cs="Arial" w:eastAsia="Arial" w:hAnsi="Arial"/>
          <w:sz w:val="22"/>
          <w:szCs w:val="22"/>
          <w:color w:val="auto"/>
        </w:rPr>
      </w:pPr>
    </w:p>
    <w:p>
      <w:pPr>
        <w:ind w:firstLine="656"/>
        <w:spacing w:after="0" w:line="315" w:lineRule="auto"/>
        <w:tabs>
          <w:tab w:leader="none" w:pos="118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under this Indenture to apply the deposited money toward the payment of the Notes at maturity or on the redemption date, as the case may be.</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addition, the Issuer must deliver an Officer’s Certificate and an Opinion of Counsel to the Trustee stating that all conditions precedent to satisfaction and discharge have been satisfied.</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 Section 10.01 shall be deemed to discharge those provisions of Section 7.06 hereof, that, by their terms, survive the satisfaction and discharge of this Indenture.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Application of Trust Money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861" w:right="239" w:bottom="1440" w:gutter="0" w:footer="0" w:header="0"/>
        </w:sectPr>
      </w:pPr>
    </w:p>
    <w:bookmarkStart w:id="145" w:name="page146"/>
    <w:bookmarkEnd w:id="145"/>
    <w:p>
      <w:pPr>
        <w:jc w:val="both"/>
        <w:spacing w:after="0" w:line="292"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if the Issuer has made any payment of principal of, premium, if any, or interest on any Notes because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reinstatement of its obligations, the Issuer shall be subrogated to the rights of the Holders of such Notes to receive such payment from the money or Government Securities held by the Trustee or Paying Agent.</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11</w:t>
      </w:r>
    </w:p>
    <w:p>
      <w:pPr>
        <w:spacing w:after="0" w:line="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MISCELLANEOUS</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Notices.</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+853-8986-5500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42/F, Edinburgh Tower, The Landmark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 Queen’s Road Central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Hong Kong</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+852-3910-4771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Edward Lam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Wall Street, 16th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NYC60-1630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AT3335</w:t>
      </w:r>
    </w:p>
    <w:p>
      <w:pPr>
        <w:sectPr>
          <w:pgSz w:w="11900" w:h="16838" w:orient="portrait"/>
          <w:cols w:equalWidth="0" w:num="1">
            <w:col w:w="11420"/>
          </w:cols>
          <w:pgMar w:left="240" w:top="8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420"/>
          </w:cols>
          <w:pgMar w:left="240" w:top="861" w:right="239" w:bottom="1440" w:gutter="0" w:footer="0" w:header="0"/>
          <w:type w:val="continuous"/>
        </w:sectPr>
      </w:pPr>
    </w:p>
    <w:bookmarkStart w:id="146" w:name="page147"/>
    <w:bookmarkEnd w:id="146"/>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National Trust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Deutsche Bank Trust Company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Plaza One – 8th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JCY03-0699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Jersey City, NJ 07311-0801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AT3335</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or the Trustee, by notice to the other, may designate additional or different addresses for subsequent notices or communications.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facsimiled; and the next Business Day after timely delivery to the courier, if sent by overnight air courier guaranteeing next day delivery.</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 mails a notice or communication to Holders, it shall mail a copy to the Trustee and each Agent at the same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Certificate and Opinion as to Conditions Precedent</w:t>
      </w:r>
      <w:r>
        <w:rPr>
          <w:rFonts w:ascii="Arial" w:cs="Arial" w:eastAsia="Arial" w:hAnsi="Arial"/>
          <w:sz w:val="19"/>
          <w:szCs w:val="19"/>
          <w:color w:val="auto"/>
        </w:rPr>
        <w:t>.</w:t>
      </w:r>
    </w:p>
    <w:p>
      <w:pPr>
        <w:spacing w:after="0" w:line="274"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21"/>
          <w:szCs w:val="21"/>
          <w:color w:val="auto"/>
        </w:rPr>
        <w:t>Upon any request or application by the Issuer to the Trustee to take any action under this Indenture (except that no Opinion of Counsel shall be required upon the initial issuance of the Notes), the Issuer shall furnish to the Trustee:</w:t>
      </w:r>
    </w:p>
    <w:p>
      <w:pPr>
        <w:spacing w:after="0" w:line="150"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(which must include the statements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set forth in Section 11.03 hereof) stating that, in the opinion of the signers, all conditions precedent and covenants, if any, provided for in this Indenture relating to the proposed action have been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861" w:right="239" w:bottom="1440" w:gutter="0" w:footer="0" w:header="0"/>
        </w:sectPr>
      </w:pPr>
    </w:p>
    <w:bookmarkStart w:id="147" w:name="page148"/>
    <w:bookmarkEnd w:id="147"/>
    <w:p>
      <w:pPr>
        <w:ind w:left="1080" w:hanging="424"/>
        <w:spacing w:after="0"/>
        <w:tabs>
          <w:tab w:leader="none" w:pos="108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an Opinion of Counsel in form and substance reasonably satisfactory to the Trustee (which must include the statements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set forth in Section 11.03 hereof) stating that, in the opinion of such counsel, all such conditions precedent and covenants have been satisfied.</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Statements Required in Certificate or Opinion</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4"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73" w:lineRule="exact"/>
        <w:rPr>
          <w:rFonts w:ascii="Arial" w:cs="Arial" w:eastAsia="Arial" w:hAnsi="Arial"/>
          <w:sz w:val="22"/>
          <w:szCs w:val="22"/>
          <w:color w:val="auto"/>
        </w:rPr>
      </w:pPr>
    </w:p>
    <w:p>
      <w:pPr>
        <w:ind w:firstLine="656"/>
        <w:spacing w:after="0" w:line="315" w:lineRule="auto"/>
        <w:tabs>
          <w:tab w:leader="none" w:pos="109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59" w:lineRule="exact"/>
        <w:rPr>
          <w:rFonts w:ascii="Arial" w:cs="Arial" w:eastAsia="Arial" w:hAnsi="Arial"/>
          <w:sz w:val="22"/>
          <w:szCs w:val="22"/>
          <w:color w:val="auto"/>
        </w:rPr>
      </w:pPr>
    </w:p>
    <w:p>
      <w:pPr>
        <w:ind w:firstLine="656"/>
        <w:spacing w:after="0" w:line="402" w:lineRule="auto"/>
        <w:tabs>
          <w:tab w:leader="none" w:pos="106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91" w:lineRule="exact"/>
        <w:rPr>
          <w:rFonts w:ascii="Arial" w:cs="Arial" w:eastAsia="Arial" w:hAnsi="Arial"/>
          <w:sz w:val="19"/>
          <w:szCs w:val="19"/>
          <w:color w:val="auto"/>
        </w:rPr>
      </w:pPr>
    </w:p>
    <w:p>
      <w:pPr>
        <w:ind w:left="1080" w:hanging="424"/>
        <w:spacing w:after="0"/>
        <w:tabs>
          <w:tab w:leader="none" w:pos="108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8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Rules by Trustee and Agents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No Personal Liability of Directors, Officers, Employees and Equity Holders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i w:val="1"/>
          <w:iCs w:val="1"/>
          <w:color w:val="auto"/>
        </w:rPr>
        <w:t>Governing Law; Waiver of Jury Trial</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THIS INDENTURE AND THE NOTES SHALL BE GOVERNED BY AND CONSTRUED IN ACCORDANCE WITH THE LAWS OF THE STATE OF NEW YORK, INCLUDING, WITHOUT LIMITATION, SECTION 5-1401 OF THE NEW YORK OBLIGATIONS LAW. TO THE FULLEST EXTENT PERMITTED BY APPLICABLE LAW, EACH OF THE ISSUER AND THE TRUSTEE HEREBY IRREVOCABLY WAIVES ANY AND ALL RIGHT TO TRIAL BY JURY IN ANY LEGAL PROCEEDING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86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OR RELATING TO THIS INDENTURE, THE NOTES OR THE TRANSACTIONS CONTEMPLATED HEREBY.</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11.07</w:t>
      </w:r>
      <w:r>
        <w:rPr>
          <w:sz w:val="20"/>
          <w:szCs w:val="20"/>
          <w:color w:val="auto"/>
        </w:rPr>
        <w:tab/>
      </w:r>
      <w:r>
        <w:rPr>
          <w:rFonts w:ascii="Arial" w:cs="Arial" w:eastAsia="Arial" w:hAnsi="Arial"/>
          <w:sz w:val="19"/>
          <w:szCs w:val="19"/>
          <w:i w:val="1"/>
          <w:iCs w:val="1"/>
          <w:color w:val="auto"/>
        </w:rPr>
        <w:t>Submission to Jurisdiction; Waiver of Immunities; Agent for Service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irrevocably:</w:t>
      </w:r>
    </w:p>
    <w:p>
      <w:pPr>
        <w:spacing w:after="0" w:line="260" w:lineRule="exact"/>
        <w:rPr>
          <w:sz w:val="20"/>
          <w:szCs w:val="20"/>
          <w:color w:val="auto"/>
        </w:rPr>
      </w:pPr>
    </w:p>
    <w:p>
      <w:pPr>
        <w:ind w:left="1100" w:hanging="444"/>
        <w:spacing w:after="0"/>
        <w:tabs>
          <w:tab w:leader="none" w:pos="11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submits to the non-exclusive jurisdiction of any United States federal or New York State court located in the Borough</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of Manhattan, the City of New York in connection with any suit, action or proceeding arising out of, or relating to this Indenture or the Notes or arising under any United States federal or state securities laws;</w:t>
      </w:r>
    </w:p>
    <w:p>
      <w:pPr>
        <w:spacing w:after="0" w:line="173" w:lineRule="exact"/>
        <w:rPr>
          <w:rFonts w:ascii="Arial" w:cs="Arial" w:eastAsia="Arial" w:hAnsi="Arial"/>
          <w:sz w:val="19"/>
          <w:szCs w:val="19"/>
          <w:color w:val="auto"/>
        </w:rPr>
      </w:pPr>
    </w:p>
    <w:p>
      <w:pPr>
        <w:ind w:firstLine="656"/>
        <w:spacing w:after="0" w:line="315" w:lineRule="auto"/>
        <w:tabs>
          <w:tab w:leader="none" w:pos="110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the fullest extent permitted by law, waives any objection which it may now or hereafter have to the laying of venue of any such suit, action or proceeding;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waives any immunity to jurisdiction to which it or any of its properties, assets or revenues may otherwise be entitled or</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addition, the Issuer designates and appoints CT Corporation System, whose offices are currently located at 111 Eighth Avenue, New York, New York, as its authorized agent for receipt of service of process in any such suit, action or proceeding, and service of process upon the authorized agent and written notice of such service to the Issuer shall be deemed, in every respect, effective service of process upon the Issuer.</w:t>
      </w:r>
    </w:p>
    <w:p>
      <w:pPr>
        <w:spacing w:after="0" w:line="19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11.08</w:t>
      </w:r>
      <w:r>
        <w:rPr>
          <w:sz w:val="20"/>
          <w:szCs w:val="20"/>
          <w:color w:val="auto"/>
        </w:rPr>
        <w:tab/>
      </w:r>
      <w:r>
        <w:rPr>
          <w:rFonts w:ascii="Arial" w:cs="Arial" w:eastAsia="Arial" w:hAnsi="Arial"/>
          <w:sz w:val="19"/>
          <w:szCs w:val="19"/>
          <w:i w:val="1"/>
          <w:iCs w:val="1"/>
          <w:color w:val="auto"/>
        </w:rPr>
        <w:t>Indemnification for Judgment Currency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obligations of the Issuer to any Holder of the Notes or the Trustee under this Indenture or the Notes shall, notwithstanding any judgment in a currency (the “</w:t>
      </w:r>
      <w:r>
        <w:rPr>
          <w:rFonts w:ascii="Arial" w:cs="Arial" w:eastAsia="Arial" w:hAnsi="Arial"/>
          <w:sz w:val="22"/>
          <w:szCs w:val="22"/>
          <w:i w:val="1"/>
          <w:iCs w:val="1"/>
          <w:color w:val="auto"/>
        </w:rPr>
        <w:t>Judgment Currency</w:t>
      </w:r>
      <w:r>
        <w:rPr>
          <w:rFonts w:ascii="Arial" w:cs="Arial" w:eastAsia="Arial" w:hAnsi="Arial"/>
          <w:sz w:val="22"/>
          <w:szCs w:val="22"/>
          <w:color w:val="auto"/>
        </w:rPr>
        <w:t>”) other than U.S. dollars, be discharged only to the extent that on the day following receipt by such party of any amount in the Judgment Currency, such party may in accordance with normal banking procedures purchase U.S. dollars with the Judgment Currency.</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861" w:right="239" w:bottom="1440" w:gutter="0" w:footer="0" w:header="0"/>
        </w:sectPr>
      </w:pPr>
    </w:p>
    <w:bookmarkStart w:id="149" w:name="page150"/>
    <w:bookmarkEnd w:id="149"/>
    <w:p>
      <w:pPr>
        <w:spacing w:after="0"/>
        <w:tabs>
          <w:tab w:leader="none" w:pos="1340" w:val="left"/>
        </w:tabs>
        <w:rPr>
          <w:sz w:val="20"/>
          <w:szCs w:val="20"/>
          <w:color w:val="auto"/>
        </w:rPr>
      </w:pPr>
      <w:r>
        <w:rPr>
          <w:rFonts w:ascii="Arial" w:cs="Arial" w:eastAsia="Arial" w:hAnsi="Arial"/>
          <w:sz w:val="22"/>
          <w:szCs w:val="22"/>
          <w:color w:val="auto"/>
        </w:rPr>
        <w:t>Section 11.09</w:t>
      </w:r>
      <w:r>
        <w:rPr>
          <w:sz w:val="20"/>
          <w:szCs w:val="20"/>
          <w:color w:val="auto"/>
        </w:rPr>
        <w:tab/>
      </w:r>
      <w:r>
        <w:rPr>
          <w:rFonts w:ascii="Arial" w:cs="Arial" w:eastAsia="Arial" w:hAnsi="Arial"/>
          <w:sz w:val="19"/>
          <w:szCs w:val="19"/>
          <w:i w:val="1"/>
          <w:iCs w:val="1"/>
          <w:color w:val="auto"/>
        </w:rPr>
        <w:t>No Adverse Interpretation of Other Agreements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0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18"/>
          <w:szCs w:val="18"/>
          <w:i w:val="1"/>
          <w:iCs w:val="1"/>
          <w:color w:val="auto"/>
        </w:rPr>
        <w:t>Successors</w:t>
      </w:r>
      <w:r>
        <w:rPr>
          <w:rFonts w:ascii="Arial" w:cs="Arial" w:eastAsia="Arial" w:hAnsi="Arial"/>
          <w:sz w:val="18"/>
          <w:szCs w:val="18"/>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All agreements of the Issuer in this Indenture and the Notes shall bind its successors. All agreements of the Trustee in this Indenture shall bind its successors.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i w:val="1"/>
          <w:iCs w:val="1"/>
          <w:color w:val="auto"/>
        </w:rPr>
        <w:t>Severability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i w:val="1"/>
          <w:iCs w:val="1"/>
          <w:color w:val="auto"/>
        </w:rPr>
        <w:t>Counterpart Originals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w:t>
      </w:r>
    </w:p>
    <w:p>
      <w:pPr>
        <w:spacing w:after="0" w:line="14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i w:val="1"/>
          <w:iCs w:val="1"/>
          <w:color w:val="auto"/>
        </w:rPr>
        <w:t>Table of Contents, Headings, etc.</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19"/>
          <w:szCs w:val="19"/>
          <w:i w:val="1"/>
          <w:iCs w:val="1"/>
          <w:color w:val="auto"/>
        </w:rPr>
        <w:t>Compliance with Applicable Anti-Terrorism and Money Laundering Regulations.</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2"/>
          <w:szCs w:val="22"/>
          <w:i w:val="1"/>
          <w:iCs w:val="1"/>
          <w:color w:val="auto"/>
        </w:rPr>
        <w:t>Applicable AML Law</w:t>
      </w:r>
      <w:r>
        <w:rPr>
          <w:rFonts w:ascii="Arial" w:cs="Arial" w:eastAsia="Arial" w:hAnsi="Arial"/>
          <w:sz w:val="22"/>
          <w:szCs w:val="22"/>
          <w:color w:val="auto"/>
        </w:rPr>
        <w:t>”),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AML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861" w:right="239" w:bottom="1440" w:gutter="0" w:footer="0" w:header="0"/>
        </w:sectPr>
      </w:pPr>
    </w:p>
    <w:bookmarkStart w:id="150" w:name="page151"/>
    <w:bookmarkEnd w:id="150"/>
    <w:p>
      <w:pPr>
        <w:ind w:left="4580"/>
        <w:spacing w:after="0"/>
        <w:rPr>
          <w:sz w:val="20"/>
          <w:szCs w:val="20"/>
          <w:color w:val="auto"/>
        </w:rPr>
      </w:pPr>
      <w:r>
        <w:rPr>
          <w:rFonts w:ascii="Arial" w:cs="Arial" w:eastAsia="Arial" w:hAnsi="Arial"/>
          <w:sz w:val="19"/>
          <w:szCs w:val="19"/>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color w:val="auto"/>
        </w:rPr>
        <w:t>Dated as of September 20, 2017</w:t>
      </w:r>
      <w:r>
        <w:rPr>
          <w:sz w:val="20"/>
          <w:szCs w:val="20"/>
          <w:color w:val="auto"/>
        </w:rPr>
        <w:tab/>
      </w:r>
      <w:r>
        <w:rPr>
          <w:rFonts w:ascii="Arial" w:cs="Arial" w:eastAsia="Arial" w:hAnsi="Arial"/>
          <w:sz w:val="19"/>
          <w:szCs w:val="19"/>
          <w:color w:val="auto"/>
        </w:rPr>
        <w:t>ISSUER: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4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Jason M. Schall</w:t>
      </w:r>
    </w:p>
    <w:p>
      <w:pPr>
        <w:spacing w:after="0" w:line="58"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219"/>
          </w:cols>
          <w:pgMar w:left="240" w:top="861" w:right="1440" w:bottom="1440" w:gutter="0" w:footer="0" w:header="0"/>
        </w:sectPr>
      </w:pPr>
    </w:p>
    <w:bookmarkStart w:id="151" w:name="page152"/>
    <w:bookmarkEnd w:id="151"/>
    <w:p>
      <w:pPr>
        <w:ind w:left="2700" w:right="1459"/>
        <w:spacing w:after="0" w:line="402" w:lineRule="auto"/>
        <w:rPr>
          <w:sz w:val="20"/>
          <w:szCs w:val="20"/>
          <w:color w:val="auto"/>
        </w:rPr>
      </w:pPr>
      <w:r>
        <w:rPr>
          <w:rFonts w:ascii="Arial" w:cs="Arial" w:eastAsia="Arial" w:hAnsi="Arial"/>
          <w:sz w:val="19"/>
          <w:szCs w:val="19"/>
          <w:color w:val="auto"/>
        </w:rPr>
        <w:t>DEUTSCHE BANK TRUST COMPANY AMERICAS, not in its individual capacity but solely as Trustee</w:t>
      </w:r>
    </w:p>
    <w:p>
      <w:pPr>
        <w:spacing w:after="0" w:line="92"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Deutsche Bank National Trust Company</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524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Jacqueline Bartnick</w:t>
      </w:r>
    </w:p>
    <w:p>
      <w:pPr>
        <w:spacing w:after="0" w:line="5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593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Robert S. Peschler</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861"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CUSIP/CINS</w:t>
      </w:r>
      <w:r>
        <w:rPr>
          <w:rFonts w:ascii="Arial" w:cs="Arial" w:eastAsia="Arial" w:hAnsi="Arial"/>
          <w:sz w:val="22"/>
          <w:szCs w:val="22"/>
          <w:color w:val="auto"/>
        </w:rPr>
        <w:t>: 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w:t>
      </w:r>
      <w:r>
        <w:rPr>
          <w:rFonts w:ascii="Arial" w:cs="Arial" w:eastAsia="Arial" w:hAnsi="Arial"/>
          <w:sz w:val="22"/>
          <w:szCs w:val="22"/>
          <w:color w:val="auto"/>
        </w:rPr>
        <w:t>: _________________</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4.875% Senior Notes due 2024</w:t>
      </w:r>
    </w:p>
    <w:p>
      <w:pPr>
        <w:spacing w:after="0" w:line="26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No. ___</w:t>
      </w:r>
      <w:r>
        <w:rPr>
          <w:sz w:val="20"/>
          <w:szCs w:val="20"/>
          <w:color w:val="auto"/>
        </w:rPr>
        <w:tab/>
      </w:r>
      <w:r>
        <w:rPr>
          <w:rFonts w:ascii="Arial" w:cs="Arial" w:eastAsia="Arial" w:hAnsi="Arial"/>
          <w:sz w:val="19"/>
          <w:szCs w:val="19"/>
          <w:color w:val="auto"/>
        </w:rPr>
        <w:t>US$__________</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promise to pay to _____________________ or registered assigns,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principal sum of</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DOLLARS on October 1, 2024.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April 1 and October 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Record Dates: March 15 and September 15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referred to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 the within-mentioned Indenture: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Trustee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Deutsche Bank National Trust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420"/>
          </w:cols>
          <w:pgMar w:left="240" w:top="8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55" w:right="2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861" w:right="1440"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22"/>
          <w:szCs w:val="22"/>
          <w:color w:val="auto"/>
        </w:rPr>
        <w:t>[Back of Note]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4.875% Senior Notes due 2024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Private Placement Legend, if applicable, pursuant to Section 2.06(f)(1) of the Indenture]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Global Notes Legend, if applicable, pursuant to Section 2.06(f)(2) of the Indenture]</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4" w:lineRule="exact"/>
        <w:rPr>
          <w:sz w:val="20"/>
          <w:szCs w:val="20"/>
          <w:color w:val="auto"/>
        </w:rPr>
      </w:pPr>
    </w:p>
    <w:p>
      <w:pPr>
        <w:jc w:val="both"/>
        <w:ind w:left="660" w:firstLine="645"/>
        <w:spacing w:after="0" w:line="326" w:lineRule="auto"/>
        <w:tabs>
          <w:tab w:leader="none" w:pos="1938" w:val="left"/>
        </w:tabs>
        <w:numPr>
          <w:ilvl w:val="0"/>
          <w:numId w:val="126"/>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Macau, Limited, a company incorporated with limited liability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Cayman Islands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interest on the principal amount of this Note at 4.875% per annum from</w:t>
      </w:r>
    </w:p>
    <w:p>
      <w:pPr>
        <w:jc w:val="both"/>
        <w:ind w:left="660"/>
        <w:spacing w:after="0" w:line="333" w:lineRule="auto"/>
        <w:rPr>
          <w:rFonts w:ascii="Arial" w:cs="Arial" w:eastAsia="Arial" w:hAnsi="Arial"/>
          <w:sz w:val="19"/>
          <w:szCs w:val="19"/>
          <w:color w:val="auto"/>
        </w:rPr>
      </w:pPr>
      <w:r>
        <w:rPr>
          <w:rFonts w:ascii="Arial" w:cs="Arial" w:eastAsia="Arial" w:hAnsi="Arial"/>
          <w:sz w:val="19"/>
          <w:szCs w:val="19"/>
          <w:color w:val="auto"/>
        </w:rPr>
        <w:t>______________ until maturity. The Issuer shall pay interest semi-annually in arrears on April 1 and October 1 of each year, or if any such day is not a Business Day, on the next succeeding Business Day (each, an “</w:t>
      </w:r>
      <w:r>
        <w:rPr>
          <w:rFonts w:ascii="Arial" w:cs="Arial" w:eastAsia="Arial" w:hAnsi="Arial"/>
          <w:sz w:val="19"/>
          <w:szCs w:val="19"/>
          <w:i w:val="1"/>
          <w:iCs w:val="1"/>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_______________. The Issuer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shall be computed on the basis of a 360-day year of twelve 30-day months.</w:t>
      </w:r>
    </w:p>
    <w:p>
      <w:pPr>
        <w:spacing w:after="0" w:line="260" w:lineRule="exact"/>
        <w:rPr>
          <w:sz w:val="20"/>
          <w:szCs w:val="20"/>
          <w:color w:val="auto"/>
        </w:rPr>
      </w:pPr>
    </w:p>
    <w:p>
      <w:pPr>
        <w:jc w:val="both"/>
        <w:ind w:left="660" w:firstLine="645"/>
        <w:spacing w:after="0" w:line="298" w:lineRule="auto"/>
        <w:tabs>
          <w:tab w:leader="none" w:pos="1803" w:val="left"/>
        </w:tabs>
        <w:numPr>
          <w:ilvl w:val="0"/>
          <w:numId w:val="127"/>
        </w:numPr>
        <w:rPr>
          <w:rFonts w:ascii="Arial" w:cs="Arial" w:eastAsia="Arial" w:hAnsi="Arial"/>
          <w:sz w:val="21"/>
          <w:szCs w:val="21"/>
          <w:color w:val="auto"/>
        </w:rPr>
      </w:pPr>
      <w:r>
        <w:rPr>
          <w:rFonts w:ascii="Arial" w:cs="Arial" w:eastAsia="Arial" w:hAnsi="Arial"/>
          <w:sz w:val="21"/>
          <w:szCs w:val="21"/>
          <w:i w:val="1"/>
          <w:iCs w:val="1"/>
          <w:color w:val="auto"/>
        </w:rPr>
        <w:t>METHOD OF PAYMENT</w:t>
      </w:r>
      <w:r>
        <w:rPr>
          <w:rFonts w:ascii="Arial" w:cs="Arial" w:eastAsia="Arial" w:hAnsi="Arial"/>
          <w:sz w:val="21"/>
          <w:szCs w:val="21"/>
          <w:color w:val="auto"/>
        </w:rPr>
        <w:t>. The Issuer shall pay interest on the Notes (except defaulted interest) to the Persons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who are registered Holders of Notes at the close of business on the March 15 or September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 maintained for such purpose within or without the City and State of New York, or, at the option of the Issuer, payment of interest, if any, may be made by check mailed to the Holders at their addresses set forth in the register of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 or the Paying Agent. Such payment shall be in such coin or currency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United States of America as at the time of payment is legal tender for payment of public and private debts.</w:t>
      </w:r>
    </w:p>
    <w:p>
      <w:pPr>
        <w:spacing w:after="0" w:line="260" w:lineRule="exact"/>
        <w:rPr>
          <w:sz w:val="20"/>
          <w:szCs w:val="20"/>
          <w:color w:val="auto"/>
        </w:rPr>
      </w:pPr>
    </w:p>
    <w:p>
      <w:pPr>
        <w:jc w:val="both"/>
        <w:ind w:firstLine="645"/>
        <w:spacing w:after="0" w:line="292" w:lineRule="auto"/>
        <w:tabs>
          <w:tab w:leader="none" w:pos="1143"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Deutsche Bank Trust Company Americas, the Trustee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shall act as Paying Agent and Registrar. The Issuer may change any Paying Agent or Registrar without notice to any Holder. The Issuer may act in any such capacity.</w:t>
      </w:r>
    </w:p>
    <w:p>
      <w:pPr>
        <w:spacing w:after="0" w:line="184" w:lineRule="exact"/>
        <w:rPr>
          <w:rFonts w:ascii="Arial" w:cs="Arial" w:eastAsia="Arial" w:hAnsi="Arial"/>
          <w:sz w:val="22"/>
          <w:szCs w:val="22"/>
          <w:color w:val="auto"/>
        </w:rPr>
      </w:pPr>
    </w:p>
    <w:p>
      <w:pPr>
        <w:jc w:val="both"/>
        <w:ind w:firstLine="645"/>
        <w:spacing w:after="0" w:line="284" w:lineRule="auto"/>
        <w:tabs>
          <w:tab w:leader="none" w:pos="1346"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INDENTURE</w:t>
      </w:r>
      <w:r>
        <w:rPr>
          <w:rFonts w:ascii="Arial" w:cs="Arial" w:eastAsia="Arial" w:hAnsi="Arial"/>
          <w:sz w:val="22"/>
          <w:szCs w:val="22"/>
          <w:color w:val="auto"/>
        </w:rPr>
        <w:t>. The Issuer issued the Notes under an Indenture dated as of September 20, 2017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between the Issuer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22"/>
          <w:szCs w:val="22"/>
          <w:i w:val="1"/>
          <w:iCs w:val="1"/>
          <w:color w:val="auto"/>
        </w:rPr>
        <w:t>Additional Notes</w:t>
      </w:r>
      <w:r>
        <w:rPr>
          <w:rFonts w:ascii="Arial" w:cs="Arial" w:eastAsia="Arial" w:hAnsi="Arial"/>
          <w:sz w:val="22"/>
          <w:szCs w:val="22"/>
          <w:color w:val="auto"/>
        </w:rPr>
        <w:t>.” The term “</w:t>
      </w:r>
      <w:r>
        <w:rPr>
          <w:rFonts w:ascii="Arial" w:cs="Arial" w:eastAsia="Arial" w:hAnsi="Arial"/>
          <w:sz w:val="22"/>
          <w:szCs w:val="22"/>
          <w:i w:val="1"/>
          <w:iCs w:val="1"/>
          <w:color w:val="auto"/>
        </w:rPr>
        <w:t>Notes</w:t>
      </w:r>
      <w:r>
        <w:rPr>
          <w:rFonts w:ascii="Arial" w:cs="Arial" w:eastAsia="Arial" w:hAnsi="Arial"/>
          <w:sz w:val="22"/>
          <w:szCs w:val="22"/>
          <w:color w:val="auto"/>
        </w:rPr>
        <w:t>” includes any Additional Notes hereafter issued.</w:t>
      </w:r>
    </w:p>
    <w:p>
      <w:pPr>
        <w:spacing w:after="0" w:line="198" w:lineRule="exact"/>
        <w:rPr>
          <w:rFonts w:ascii="Arial" w:cs="Arial" w:eastAsia="Arial" w:hAnsi="Arial"/>
          <w:sz w:val="22"/>
          <w:szCs w:val="22"/>
          <w:color w:val="auto"/>
        </w:rPr>
      </w:pPr>
    </w:p>
    <w:p>
      <w:pPr>
        <w:ind w:left="1120" w:hanging="475"/>
        <w:spacing w:after="0"/>
        <w:tabs>
          <w:tab w:leader="none" w:pos="1120"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293"/>
        <w:spacing w:after="0" w:line="306" w:lineRule="auto"/>
        <w:tabs>
          <w:tab w:leader="none" w:pos="176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At any time prior to October 1, 2020, the Issuer may, on any one or more occasions, redeem up to 35% of the aggregate principal amount of the Notes issued under this Indenture at a redemption price of 104.875% of the principal amount, plus accrued and unpaid interest, if any, and Additional Amounts, if any, to (but excluding) the redemption date, with the net cash proceeds of one or more Equity Offerings; provided that:</w:t>
      </w:r>
    </w:p>
    <w:p>
      <w:pPr>
        <w:spacing w:after="0" w:line="172" w:lineRule="exact"/>
        <w:rPr>
          <w:rFonts w:ascii="Arial" w:cs="Arial" w:eastAsia="Arial" w:hAnsi="Arial"/>
          <w:sz w:val="21"/>
          <w:szCs w:val="21"/>
          <w:color w:val="auto"/>
        </w:rPr>
      </w:pPr>
    </w:p>
    <w:p>
      <w:pPr>
        <w:jc w:val="both"/>
        <w:ind w:left="1300" w:firstLine="641"/>
        <w:spacing w:after="0" w:line="292" w:lineRule="auto"/>
        <w:tabs>
          <w:tab w:leader="none" w:pos="2557" w:val="left"/>
        </w:tabs>
        <w:numPr>
          <w:ilvl w:val="2"/>
          <w:numId w:val="128"/>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84" w:lineRule="exact"/>
        <w:rPr>
          <w:rFonts w:ascii="Arial" w:cs="Arial" w:eastAsia="Arial" w:hAnsi="Arial"/>
          <w:sz w:val="22"/>
          <w:szCs w:val="22"/>
          <w:color w:val="auto"/>
        </w:rPr>
      </w:pPr>
    </w:p>
    <w:p>
      <w:pPr>
        <w:ind w:left="2420" w:hanging="479"/>
        <w:spacing w:after="0"/>
        <w:tabs>
          <w:tab w:leader="none" w:pos="2420" w:val="left"/>
        </w:tabs>
        <w:numPr>
          <w:ilvl w:val="2"/>
          <w:numId w:val="128"/>
        </w:numPr>
        <w:rPr>
          <w:rFonts w:ascii="Arial" w:cs="Arial" w:eastAsia="Arial" w:hAnsi="Arial"/>
          <w:sz w:val="21"/>
          <w:szCs w:val="21"/>
          <w:color w:val="auto"/>
        </w:rPr>
      </w:pPr>
      <w:r>
        <w:rPr>
          <w:rFonts w:ascii="Arial" w:cs="Arial" w:eastAsia="Arial" w:hAnsi="Arial"/>
          <w:sz w:val="21"/>
          <w:szCs w:val="21"/>
          <w:color w:val="auto"/>
        </w:rPr>
        <w:t>the redemption occurs within 45 days of the date of the closing of such Equity Offering.</w:t>
      </w:r>
    </w:p>
    <w:p>
      <w:pPr>
        <w:spacing w:after="0" w:line="271" w:lineRule="exact"/>
        <w:rPr>
          <w:rFonts w:ascii="Arial" w:cs="Arial" w:eastAsia="Arial" w:hAnsi="Arial"/>
          <w:sz w:val="21"/>
          <w:szCs w:val="21"/>
          <w:color w:val="auto"/>
        </w:rPr>
      </w:pPr>
    </w:p>
    <w:p>
      <w:pPr>
        <w:ind w:firstLine="1293"/>
        <w:spacing w:after="0" w:line="387" w:lineRule="auto"/>
        <w:tabs>
          <w:tab w:leader="none" w:pos="175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At any time prior to October 1, 2020, the Issuer may on any one or more occasions redeem all or part of the Notes, upon not less than 10 nor more than 60 days’ notice, at a redemption price equal to the greater of:</w:t>
      </w:r>
    </w:p>
    <w:p>
      <w:pPr>
        <w:spacing w:after="0" w:line="105" w:lineRule="exact"/>
        <w:rPr>
          <w:rFonts w:ascii="Arial" w:cs="Arial" w:eastAsia="Arial" w:hAnsi="Arial"/>
          <w:sz w:val="19"/>
          <w:szCs w:val="19"/>
          <w:color w:val="auto"/>
        </w:rPr>
      </w:pPr>
    </w:p>
    <w:p>
      <w:pPr>
        <w:ind w:left="2360" w:hanging="419"/>
        <w:spacing w:after="0"/>
        <w:tabs>
          <w:tab w:leader="none" w:pos="2360" w:val="left"/>
        </w:tabs>
        <w:numPr>
          <w:ilvl w:val="2"/>
          <w:numId w:val="128"/>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900" w:top="861" w:right="239" w:bottom="1440" w:gutter="0" w:footer="0" w:header="0"/>
        </w:sectPr>
      </w:pPr>
    </w:p>
    <w:bookmarkStart w:id="156" w:name="page157"/>
    <w:bookmarkEnd w:id="156"/>
    <w:p>
      <w:pPr>
        <w:jc w:val="both"/>
        <w:ind w:left="1300" w:firstLine="641"/>
        <w:spacing w:after="0" w:line="287" w:lineRule="auto"/>
        <w:tabs>
          <w:tab w:leader="none" w:pos="256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189" w:lineRule="exact"/>
        <w:rPr>
          <w:sz w:val="20"/>
          <w:szCs w:val="20"/>
          <w:color w:val="auto"/>
        </w:rPr>
      </w:pPr>
    </w:p>
    <w:p>
      <w:pPr>
        <w:ind w:left="130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right="20" w:firstLine="1293"/>
        <w:spacing w:after="0" w:line="302" w:lineRule="auto"/>
        <w:tabs>
          <w:tab w:leader="none" w:pos="191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Except as described in paragraphs 5(a), (b), (e), (7) and (8) of this Note, the Notes shall not be redeemable at the Issuer’s option prior to October 1, 2020.</w:t>
      </w:r>
    </w:p>
    <w:p>
      <w:pPr>
        <w:spacing w:after="0" w:line="173" w:lineRule="exact"/>
        <w:rPr>
          <w:rFonts w:ascii="Arial" w:cs="Arial" w:eastAsia="Arial" w:hAnsi="Arial"/>
          <w:sz w:val="22"/>
          <w:szCs w:val="22"/>
          <w:color w:val="auto"/>
        </w:rPr>
      </w:pPr>
    </w:p>
    <w:p>
      <w:pPr>
        <w:jc w:val="both"/>
        <w:ind w:firstLine="1293"/>
        <w:spacing w:after="0" w:line="341" w:lineRule="auto"/>
        <w:tabs>
          <w:tab w:leader="none" w:pos="18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On or after October 1, 2020,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October 1, of the years indicated below, subject to the rights of Holders on the relevant record date to receive interest on the relevant interest payment date:</w:t>
      </w:r>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6500" w:type="dxa"/>
            <w:vAlign w:val="bottom"/>
            <w:gridSpan w:val="2"/>
          </w:tcPr>
          <w:p>
            <w:pPr>
              <w:spacing w:after="0"/>
              <w:rPr>
                <w:sz w:val="20"/>
                <w:szCs w:val="20"/>
                <w:color w:val="auto"/>
              </w:rPr>
            </w:pPr>
            <w:r>
              <w:rPr>
                <w:rFonts w:ascii="Arial" w:cs="Arial" w:eastAsia="Arial" w:hAnsi="Arial"/>
                <w:sz w:val="22"/>
                <w:szCs w:val="22"/>
                <w:color w:val="auto"/>
              </w:rPr>
              <w:t>Year</w:t>
            </w:r>
          </w:p>
        </w:tc>
        <w:tc>
          <w:tcPr>
            <w:tcW w:w="1640" w:type="dxa"/>
            <w:vAlign w:val="bottom"/>
            <w:gridSpan w:val="2"/>
          </w:tcPr>
          <w:p>
            <w:pPr>
              <w:jc w:val="right"/>
              <w:ind w:right="700"/>
              <w:spacing w:after="0"/>
              <w:rPr>
                <w:sz w:val="20"/>
                <w:szCs w:val="20"/>
                <w:color w:val="auto"/>
              </w:rPr>
            </w:pPr>
            <w:r>
              <w:rPr>
                <w:rFonts w:ascii="Arial" w:cs="Arial" w:eastAsia="Arial" w:hAnsi="Arial"/>
                <w:sz w:val="22"/>
                <w:szCs w:val="22"/>
                <w:color w:val="auto"/>
                <w:w w:val="81"/>
              </w:rPr>
              <w:t>Percentage</w:t>
            </w:r>
          </w:p>
        </w:tc>
      </w:tr>
      <w:tr>
        <w:trPr>
          <w:trHeight w:val="20"/>
        </w:trPr>
        <w:tc>
          <w:tcPr>
            <w:tcW w:w="4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28"/>
        </w:trPr>
        <w:tc>
          <w:tcPr>
            <w:tcW w:w="6500" w:type="dxa"/>
            <w:vAlign w:val="bottom"/>
            <w:gridSpan w:val="2"/>
          </w:tcPr>
          <w:p>
            <w:pPr>
              <w:spacing w:after="0"/>
              <w:rPr>
                <w:sz w:val="20"/>
                <w:szCs w:val="20"/>
                <w:color w:val="auto"/>
              </w:rPr>
            </w:pPr>
            <w:r>
              <w:rPr>
                <w:rFonts w:ascii="Arial" w:cs="Arial" w:eastAsia="Arial" w:hAnsi="Arial"/>
                <w:sz w:val="22"/>
                <w:szCs w:val="22"/>
                <w:color w:val="auto"/>
              </w:rPr>
              <w:t>2020</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102.438%</w:t>
            </w:r>
          </w:p>
        </w:tc>
      </w:tr>
      <w:tr>
        <w:trPr>
          <w:trHeight w:val="297"/>
        </w:trPr>
        <w:tc>
          <w:tcPr>
            <w:tcW w:w="6500" w:type="dxa"/>
            <w:vAlign w:val="bottom"/>
            <w:gridSpan w:val="2"/>
          </w:tcPr>
          <w:p>
            <w:pPr>
              <w:spacing w:after="0"/>
              <w:rPr>
                <w:sz w:val="20"/>
                <w:szCs w:val="20"/>
                <w:color w:val="auto"/>
              </w:rPr>
            </w:pPr>
            <w:r>
              <w:rPr>
                <w:rFonts w:ascii="Arial" w:cs="Arial" w:eastAsia="Arial" w:hAnsi="Arial"/>
                <w:sz w:val="22"/>
                <w:szCs w:val="22"/>
                <w:color w:val="auto"/>
              </w:rPr>
              <w:t>2021</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101.219%</w:t>
            </w:r>
          </w:p>
        </w:tc>
      </w:tr>
      <w:tr>
        <w:trPr>
          <w:trHeight w:val="297"/>
        </w:trPr>
        <w:tc>
          <w:tcPr>
            <w:tcW w:w="6500" w:type="dxa"/>
            <w:vAlign w:val="bottom"/>
            <w:gridSpan w:val="2"/>
          </w:tcPr>
          <w:p>
            <w:pPr>
              <w:spacing w:after="0"/>
              <w:rPr>
                <w:sz w:val="20"/>
                <w:szCs w:val="20"/>
                <w:color w:val="auto"/>
              </w:rPr>
            </w:pPr>
            <w:r>
              <w:rPr>
                <w:rFonts w:ascii="Arial" w:cs="Arial" w:eastAsia="Arial" w:hAnsi="Arial"/>
                <w:sz w:val="22"/>
                <w:szCs w:val="22"/>
                <w:color w:val="auto"/>
              </w:rPr>
              <w:t>2022 and thereafter</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174" w:lineRule="exact"/>
        <w:rPr>
          <w:sz w:val="20"/>
          <w:szCs w:val="20"/>
          <w:color w:val="auto"/>
        </w:rPr>
      </w:pPr>
    </w:p>
    <w:p>
      <w:pPr>
        <w:jc w:val="both"/>
        <w:ind w:firstLine="1293"/>
        <w:spacing w:after="0" w:line="335" w:lineRule="auto"/>
        <w:tabs>
          <w:tab w:leader="none" w:pos="176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Any redemption set forth under Section 3.07(a), (b) or (d) of the Indenture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861" w:right="239" w:bottom="1440" w:gutter="0" w:footer="0" w:header="0"/>
        </w:sectPr>
      </w:pPr>
    </w:p>
    <w:bookmarkStart w:id="157" w:name="page158"/>
    <w:bookmarkEnd w:id="157"/>
    <w:p>
      <w:pPr>
        <w:ind w:left="4"/>
        <w:spacing w:after="0"/>
        <w:rPr>
          <w:sz w:val="20"/>
          <w:szCs w:val="20"/>
          <w:color w:val="auto"/>
        </w:rPr>
      </w:pPr>
      <w:r>
        <w:rPr>
          <w:rFonts w:ascii="Arial" w:cs="Arial" w:eastAsia="Arial" w:hAnsi="Arial"/>
          <w:sz w:val="22"/>
          <w:szCs w:val="22"/>
          <w:color w:val="auto"/>
        </w:rPr>
        <w:t>performance of the Issuer’s obligations with respect to such redemption may be performed by another Person.</w:t>
      </w:r>
    </w:p>
    <w:p>
      <w:pPr>
        <w:spacing w:after="0" w:line="260" w:lineRule="exact"/>
        <w:rPr>
          <w:sz w:val="20"/>
          <w:szCs w:val="20"/>
          <w:color w:val="auto"/>
        </w:rPr>
      </w:pPr>
    </w:p>
    <w:p>
      <w:pPr>
        <w:ind w:left="4" w:firstLine="645"/>
        <w:spacing w:after="0" w:line="302" w:lineRule="auto"/>
        <w:tabs>
          <w:tab w:leader="none" w:pos="1242"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 xml:space="preserve">MANDATORY REDEMPTION. </w:t>
      </w:r>
      <w:r>
        <w:rPr>
          <w:rFonts w:ascii="Arial" w:cs="Arial" w:eastAsia="Arial" w:hAnsi="Arial"/>
          <w:sz w:val="22"/>
          <w:szCs w:val="22"/>
          <w:color w:val="auto"/>
        </w:rPr>
        <w:t>The Issuer is not required to make mandatory redemption or sinking fund</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with respect to the Notes.</w:t>
      </w:r>
    </w:p>
    <w:p>
      <w:pPr>
        <w:spacing w:after="0" w:line="173" w:lineRule="exact"/>
        <w:rPr>
          <w:rFonts w:ascii="Arial" w:cs="Arial" w:eastAsia="Arial" w:hAnsi="Arial"/>
          <w:sz w:val="22"/>
          <w:szCs w:val="22"/>
          <w:color w:val="auto"/>
        </w:rPr>
      </w:pPr>
    </w:p>
    <w:p>
      <w:pPr>
        <w:jc w:val="both"/>
        <w:ind w:left="4" w:firstLine="645"/>
        <w:spacing w:after="0" w:line="330" w:lineRule="auto"/>
        <w:tabs>
          <w:tab w:leader="none" w:pos="1242"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w:t>
      </w:r>
      <w:r>
        <w:rPr>
          <w:rFonts w:ascii="Arial" w:cs="Arial" w:eastAsia="Arial" w:hAnsi="Arial"/>
          <w:sz w:val="19"/>
          <w:szCs w:val="19"/>
          <w:i w:val="1"/>
          <w:iCs w:val="1"/>
          <w:color w:val="auto"/>
        </w:rPr>
        <w:t xml:space="preserve"> </w:t>
      </w:r>
      <w:r>
        <w:rPr>
          <w:rFonts w:ascii="Arial" w:cs="Arial" w:eastAsia="Arial" w:hAnsi="Arial"/>
          <w:sz w:val="19"/>
          <w:szCs w:val="19"/>
          <w:color w:val="auto"/>
        </w:rPr>
        <w:t>other provision of 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 shall have the right, at its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excluding) the earlier of (A) the date of redemption or such earlier date as is required by the Gaming Authority or (B) the date of the finding of unsuitability by the Gaming Authority, which may be less than 30 days following the notice of redemption. The Issuer shall notify the Trustee in writing of any redemption pursuant to this paragraph 7 as soon as reasonably practicable.</w:t>
      </w:r>
    </w:p>
    <w:p>
      <w:pPr>
        <w:spacing w:after="0" w:line="200" w:lineRule="exact"/>
        <w:rPr>
          <w:sz w:val="20"/>
          <w:szCs w:val="20"/>
          <w:color w:val="auto"/>
        </w:rPr>
      </w:pPr>
    </w:p>
    <w:p>
      <w:pPr>
        <w:spacing w:after="0" w:line="260" w:lineRule="exact"/>
        <w:rPr>
          <w:sz w:val="20"/>
          <w:szCs w:val="20"/>
          <w:color w:val="auto"/>
        </w:rPr>
      </w:pPr>
    </w:p>
    <w:p>
      <w:pPr>
        <w:jc w:val="both"/>
        <w:ind w:left="4"/>
        <w:spacing w:after="0" w:line="326"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 w:lineRule="exact"/>
        <w:rPr>
          <w:sz w:val="20"/>
          <w:szCs w:val="20"/>
          <w:color w:val="auto"/>
        </w:rPr>
      </w:pPr>
    </w:p>
    <w:p>
      <w:pPr>
        <w:jc w:val="both"/>
        <w:ind w:left="4" w:hanging="4"/>
        <w:spacing w:after="0" w:line="292" w:lineRule="auto"/>
        <w:tabs>
          <w:tab w:leader="none" w:pos="31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 (b) receive any interest or any other distribution or payment with respect to the Notes, or any remuneration in any form from the Issuer for services rendered or otherwise, except the redemption price of the Notes.</w:t>
      </w:r>
    </w:p>
    <w:p>
      <w:pPr>
        <w:spacing w:after="0" w:line="184" w:lineRule="exact"/>
        <w:rPr>
          <w:sz w:val="20"/>
          <w:szCs w:val="20"/>
          <w:color w:val="auto"/>
        </w:rPr>
      </w:pPr>
    </w:p>
    <w:p>
      <w:pPr>
        <w:jc w:val="both"/>
        <w:ind w:left="4"/>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861" w:right="239" w:bottom="1440" w:gutter="0" w:footer="0" w:header="0"/>
        </w:sectPr>
      </w:pPr>
    </w:p>
    <w:bookmarkStart w:id="158" w:name="page159"/>
    <w:bookmarkEnd w:id="158"/>
    <w:p>
      <w:pPr>
        <w:jc w:val="both"/>
        <w:ind w:left="4" w:hanging="4"/>
        <w:spacing w:after="0" w:line="346" w:lineRule="auto"/>
        <w:tabs>
          <w:tab w:leader="none" w:pos="512"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REDEMPTION FOR TAX REASONS</w:t>
      </w:r>
      <w:r>
        <w:rPr>
          <w:rFonts w:ascii="Arial" w:cs="Arial" w:eastAsia="Arial" w:hAnsi="Arial"/>
          <w:sz w:val="19"/>
          <w:szCs w:val="19"/>
          <w:color w:val="auto"/>
        </w:rPr>
        <w:t>. The Notes may be redeemed, at the option of the Issuer, as a whole but not in</w:t>
      </w:r>
      <w:r>
        <w:rPr>
          <w:rFonts w:ascii="Arial" w:cs="Arial" w:eastAsia="Arial" w:hAnsi="Arial"/>
          <w:sz w:val="19"/>
          <w:szCs w:val="19"/>
          <w:i w:val="1"/>
          <w:iCs w:val="1"/>
          <w:color w:val="auto"/>
        </w:rPr>
        <w:t xml:space="preserve"> </w:t>
      </w:r>
      <w:r>
        <w:rPr>
          <w:rFonts w:ascii="Arial" w:cs="Arial" w:eastAsia="Arial" w:hAnsi="Arial"/>
          <w:sz w:val="19"/>
          <w:szCs w:val="19"/>
          <w:color w:val="auto"/>
        </w:rPr>
        <w:t>part, 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44" w:lineRule="exact"/>
        <w:rPr>
          <w:rFonts w:ascii="Arial" w:cs="Arial" w:eastAsia="Arial" w:hAnsi="Arial"/>
          <w:sz w:val="19"/>
          <w:szCs w:val="19"/>
          <w:color w:val="auto"/>
        </w:rPr>
      </w:pPr>
    </w:p>
    <w:p>
      <w:pPr>
        <w:ind w:left="4" w:firstLine="1293"/>
        <w:spacing w:after="0" w:line="302" w:lineRule="auto"/>
        <w:tabs>
          <w:tab w:leader="none" w:pos="180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3" w:lineRule="exact"/>
        <w:rPr>
          <w:rFonts w:ascii="Arial" w:cs="Arial" w:eastAsia="Arial" w:hAnsi="Arial"/>
          <w:sz w:val="22"/>
          <w:szCs w:val="22"/>
          <w:color w:val="auto"/>
        </w:rPr>
      </w:pPr>
    </w:p>
    <w:p>
      <w:pPr>
        <w:jc w:val="both"/>
        <w:ind w:left="4" w:firstLine="1293"/>
        <w:spacing w:after="0" w:line="292" w:lineRule="auto"/>
        <w:tabs>
          <w:tab w:leader="none" w:pos="1876"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4" w:lineRule="exact"/>
        <w:rPr>
          <w:sz w:val="20"/>
          <w:szCs w:val="20"/>
          <w:color w:val="auto"/>
        </w:rPr>
      </w:pPr>
    </w:p>
    <w:p>
      <w:pPr>
        <w:jc w:val="both"/>
        <w:ind w:left="4"/>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the Indenture or (ii) with respect to any Surviving Person, the date such Surviving Person becomes a Surviving Person with respect to any payment due or to become due under the Notes or the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56" w:lineRule="exact"/>
        <w:rPr>
          <w:sz w:val="20"/>
          <w:szCs w:val="20"/>
          <w:color w:val="auto"/>
        </w:rPr>
      </w:pPr>
    </w:p>
    <w:p>
      <w:pPr>
        <w:jc w:val="both"/>
        <w:ind w:left="4"/>
        <w:spacing w:after="0" w:line="302" w:lineRule="auto"/>
        <w:rPr>
          <w:sz w:val="20"/>
          <w:szCs w:val="20"/>
          <w:color w:val="auto"/>
        </w:rPr>
      </w:pPr>
      <w:r>
        <w:rPr>
          <w:rFonts w:ascii="Arial" w:cs="Arial" w:eastAsia="Arial" w:hAnsi="Arial"/>
          <w:sz w:val="22"/>
          <w:szCs w:val="22"/>
          <w:color w:val="auto"/>
        </w:rPr>
        <w:t>Prior to the mailing of any notice of redemption of the Notes pursuant to the foregoing, the Issuer or the Surviving Person, as the case may be, shall deliver to the Trustee:</w:t>
      </w:r>
    </w:p>
    <w:p>
      <w:pPr>
        <w:spacing w:after="0" w:line="174" w:lineRule="exact"/>
        <w:rPr>
          <w:sz w:val="20"/>
          <w:szCs w:val="20"/>
          <w:color w:val="auto"/>
        </w:rPr>
      </w:pPr>
    </w:p>
    <w:p>
      <w:pPr>
        <w:jc w:val="both"/>
        <w:ind w:left="4" w:firstLine="645"/>
        <w:spacing w:after="0" w:line="292" w:lineRule="auto"/>
        <w:tabs>
          <w:tab w:leader="none" w:pos="113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4" w:lineRule="exact"/>
        <w:rPr>
          <w:rFonts w:ascii="Arial" w:cs="Arial" w:eastAsia="Arial" w:hAnsi="Arial"/>
          <w:sz w:val="22"/>
          <w:szCs w:val="22"/>
          <w:color w:val="auto"/>
        </w:rPr>
      </w:pPr>
    </w:p>
    <w:p>
      <w:pPr>
        <w:ind w:left="4" w:firstLine="645"/>
        <w:spacing w:after="0" w:line="302" w:lineRule="auto"/>
        <w:tabs>
          <w:tab w:leader="none" w:pos="123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861" w:right="239" w:bottom="1440" w:gutter="0" w:footer="0" w:header="0"/>
        </w:sectPr>
      </w:pPr>
    </w:p>
    <w:bookmarkStart w:id="159" w:name="page160"/>
    <w:bookmarkEnd w:id="159"/>
    <w:p>
      <w:pPr>
        <w:ind w:left="4"/>
        <w:spacing w:after="0" w:line="302" w:lineRule="auto"/>
        <w:rPr>
          <w:sz w:val="20"/>
          <w:szCs w:val="20"/>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4" w:lineRule="exact"/>
        <w:rPr>
          <w:sz w:val="20"/>
          <w:szCs w:val="20"/>
          <w:color w:val="auto"/>
        </w:rPr>
      </w:pPr>
    </w:p>
    <w:p>
      <w:pPr>
        <w:ind w:left="4" w:right="20" w:firstLine="645"/>
        <w:spacing w:after="0" w:line="302" w:lineRule="auto"/>
        <w:tabs>
          <w:tab w:leader="none" w:pos="1147" w:val="left"/>
        </w:tabs>
        <w:numPr>
          <w:ilvl w:val="1"/>
          <w:numId w:val="136"/>
        </w:numPr>
        <w:rPr>
          <w:rFonts w:ascii="Arial" w:cs="Arial" w:eastAsia="Arial" w:hAnsi="Arial"/>
          <w:sz w:val="22"/>
          <w:szCs w:val="22"/>
          <w:color w:val="auto"/>
        </w:rPr>
      </w:pPr>
      <w:r>
        <w:rPr>
          <w:rFonts w:ascii="Arial" w:cs="Arial" w:eastAsia="Arial" w:hAnsi="Arial"/>
          <w:sz w:val="22"/>
          <w:szCs w:val="22"/>
          <w:i w:val="1"/>
          <w:iCs w:val="1"/>
          <w:color w:val="auto"/>
        </w:rPr>
        <w:t>REPURCHASE AT THE OPTION OF HOLDER</w:t>
      </w:r>
      <w:r>
        <w:rPr>
          <w:rFonts w:ascii="Arial" w:cs="Arial" w:eastAsia="Arial" w:hAnsi="Arial"/>
          <w:sz w:val="22"/>
          <w:szCs w:val="22"/>
          <w:color w:val="auto"/>
        </w:rPr>
        <w:t>. The Notes may be subject to a Change of Control Offer or a</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Put Option Offer, as further described in Section 4.08 and 4.10 of the Indenture.</w:t>
      </w:r>
    </w:p>
    <w:p>
      <w:pPr>
        <w:spacing w:after="0" w:line="173" w:lineRule="exact"/>
        <w:rPr>
          <w:rFonts w:ascii="Arial" w:cs="Arial" w:eastAsia="Arial" w:hAnsi="Arial"/>
          <w:sz w:val="22"/>
          <w:szCs w:val="22"/>
          <w:color w:val="auto"/>
        </w:rPr>
      </w:pPr>
    </w:p>
    <w:p>
      <w:pPr>
        <w:jc w:val="both"/>
        <w:ind w:left="4" w:firstLine="645"/>
        <w:spacing w:after="0" w:line="326" w:lineRule="auto"/>
        <w:tabs>
          <w:tab w:leader="none" w:pos="1323" w:val="left"/>
        </w:tabs>
        <w:numPr>
          <w:ilvl w:val="1"/>
          <w:numId w:val="136"/>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10 days but not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60 days before the redemption date to each Holder whose Notes are to be redeemed at its registered address, except that</w:t>
      </w:r>
    </w:p>
    <w:p>
      <w:pPr>
        <w:jc w:val="both"/>
        <w:ind w:left="4" w:hanging="4"/>
        <w:spacing w:after="0" w:line="341" w:lineRule="auto"/>
        <w:tabs>
          <w:tab w:leader="none" w:pos="27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redemption notices may be delivered more than 60 days prior to a redemption date if the notice is issued in connection with a defeasance of the Notes or a satisfaction and discharge of the Indenture and (ii) no minimum notice period is required for redemption under Section 3.09 of the Indenture. Notes in denominations larger than US$200,000 may be redeemed in part but only in whole multiples of US$1,000 in excess of US$200,000 unless all of the Notes held by a Holder are to be redeemed. On and after the redemption date interest ceases to accrue on Notes or portions thereof called for redemption.</w:t>
      </w:r>
    </w:p>
    <w:p>
      <w:pPr>
        <w:spacing w:after="0" w:line="149" w:lineRule="exact"/>
        <w:rPr>
          <w:rFonts w:ascii="Arial" w:cs="Arial" w:eastAsia="Arial" w:hAnsi="Arial"/>
          <w:sz w:val="19"/>
          <w:szCs w:val="19"/>
          <w:color w:val="auto"/>
        </w:rPr>
      </w:pPr>
    </w:p>
    <w:p>
      <w:pPr>
        <w:jc w:val="both"/>
        <w:ind w:left="4" w:firstLine="645"/>
        <w:spacing w:after="0" w:line="335" w:lineRule="auto"/>
        <w:tabs>
          <w:tab w:leader="none" w:pos="1436" w:val="left"/>
        </w:tabs>
        <w:numPr>
          <w:ilvl w:val="1"/>
          <w:numId w:val="137"/>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w:t>
      </w:r>
      <w:r>
        <w:rPr>
          <w:rFonts w:ascii="Arial" w:cs="Arial" w:eastAsia="Arial" w:hAnsi="Arial"/>
          <w:sz w:val="19"/>
          <w:szCs w:val="19"/>
          <w:i w:val="1"/>
          <w:iCs w:val="1"/>
          <w:color w:val="auto"/>
        </w:rPr>
        <w:t xml:space="preserve"> </w:t>
      </w:r>
      <w:r>
        <w:rPr>
          <w:rFonts w:ascii="Arial" w:cs="Arial" w:eastAsia="Arial" w:hAnsi="Arial"/>
          <w:sz w:val="19"/>
          <w:szCs w:val="19"/>
          <w:color w:val="auto"/>
        </w:rPr>
        <w:t>denominations of US$200,000 and integral multiples of US$1,000 in excess of US$200,000.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corresponding Interest Payment Date.</w:t>
      </w:r>
    </w:p>
    <w:p>
      <w:pPr>
        <w:spacing w:after="0" w:line="153" w:lineRule="exact"/>
        <w:rPr>
          <w:rFonts w:ascii="Arial" w:cs="Arial" w:eastAsia="Arial" w:hAnsi="Arial"/>
          <w:sz w:val="19"/>
          <w:szCs w:val="19"/>
          <w:color w:val="auto"/>
        </w:rPr>
      </w:pPr>
    </w:p>
    <w:p>
      <w:pPr>
        <w:ind w:left="1224" w:hanging="575"/>
        <w:spacing w:after="0"/>
        <w:tabs>
          <w:tab w:leader="none" w:pos="1224" w:val="left"/>
        </w:tabs>
        <w:numPr>
          <w:ilvl w:val="1"/>
          <w:numId w:val="137"/>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94" w:lineRule="exact"/>
        <w:rPr>
          <w:rFonts w:ascii="Arial" w:cs="Arial" w:eastAsia="Arial" w:hAnsi="Arial"/>
          <w:sz w:val="19"/>
          <w:szCs w:val="19"/>
          <w:color w:val="auto"/>
        </w:rPr>
      </w:pPr>
    </w:p>
    <w:p>
      <w:pPr>
        <w:ind w:left="1224" w:hanging="575"/>
        <w:spacing w:after="0"/>
        <w:tabs>
          <w:tab w:leader="none" w:pos="1224" w:val="left"/>
        </w:tabs>
        <w:numPr>
          <w:ilvl w:val="1"/>
          <w:numId w:val="137"/>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4" w:firstLine="1293"/>
        <w:spacing w:after="0" w:line="287" w:lineRule="auto"/>
        <w:tabs>
          <w:tab w:leader="none" w:pos="1772" w:val="left"/>
        </w:tabs>
        <w:numPr>
          <w:ilvl w:val="2"/>
          <w:numId w:val="137"/>
        </w:numPr>
        <w:rPr>
          <w:rFonts w:ascii="Arial" w:cs="Arial" w:eastAsia="Arial" w:hAnsi="Arial"/>
          <w:sz w:val="22"/>
          <w:szCs w:val="22"/>
          <w:color w:val="auto"/>
        </w:rPr>
      </w:pPr>
      <w:r>
        <w:rPr>
          <w:rFonts w:ascii="Arial" w:cs="Arial" w:eastAsia="Arial" w:hAnsi="Arial"/>
          <w:sz w:val="22"/>
          <w:szCs w:val="22"/>
          <w:color w:val="auto"/>
        </w:rPr>
        <w:t>Subject to certain exceptions set forth in the Indenture, the Indenture and the Notes may be amended or supplemented with the consent of the Holders of at least a majority in principal amount of the then outstanding Notes, voting as a single class, and any existing Default or Event of Default or compliance with any provision of the Indenture and the Notes may be waived with the consent of the Holders of a majority in principal amount of the then outstanding Notes, 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861" w:right="239" w:bottom="1440" w:gutter="0" w:footer="0" w:header="0"/>
        </w:sectPr>
      </w:pPr>
    </w:p>
    <w:bookmarkStart w:id="160" w:name="page161"/>
    <w:bookmarkEnd w:id="160"/>
    <w:p>
      <w:pPr>
        <w:jc w:val="both"/>
        <w:ind w:left="4" w:firstLine="1293"/>
        <w:spacing w:after="0" w:line="326" w:lineRule="auto"/>
        <w:tabs>
          <w:tab w:leader="none" w:pos="1819" w:val="left"/>
        </w:tabs>
        <w:numPr>
          <w:ilvl w:val="1"/>
          <w:numId w:val="138"/>
        </w:numPr>
        <w:rPr>
          <w:rFonts w:ascii="Arial" w:cs="Arial" w:eastAsia="Arial" w:hAnsi="Arial"/>
          <w:sz w:val="19"/>
          <w:szCs w:val="19"/>
          <w:color w:val="auto"/>
        </w:rPr>
      </w:pPr>
      <w:r>
        <w:rPr>
          <w:rFonts w:ascii="Arial" w:cs="Arial" w:eastAsia="Arial" w:hAnsi="Arial"/>
          <w:sz w:val="19"/>
          <w:szCs w:val="19"/>
          <w:color w:val="auto"/>
        </w:rPr>
        <w:t>Without the consent of Holders of at least 90% in aggregate principal amount of the then outstanding Notes, an amendment, supplement or waiver may not (i) reduce the principal amount of Notes whose Holders must consent to an amendment, supplement or waiver, (ii) reduce the principal of or change the fixed maturity of any Note or alter or waive any of the provisions with respect to the redemption of the Notes (other than Section 4.08 of the Indenture),</w:t>
      </w:r>
    </w:p>
    <w:p>
      <w:pPr>
        <w:spacing w:after="0" w:line="1" w:lineRule="exact"/>
        <w:rPr>
          <w:rFonts w:ascii="Arial" w:cs="Arial" w:eastAsia="Arial" w:hAnsi="Arial"/>
          <w:sz w:val="19"/>
          <w:szCs w:val="19"/>
          <w:color w:val="auto"/>
        </w:rPr>
      </w:pPr>
    </w:p>
    <w:p>
      <w:pPr>
        <w:jc w:val="both"/>
        <w:ind w:left="4" w:hanging="4"/>
        <w:spacing w:after="0" w:line="299" w:lineRule="auto"/>
        <w:tabs>
          <w:tab w:leader="none" w:pos="412" w:val="left"/>
        </w:tabs>
        <w:numPr>
          <w:ilvl w:val="0"/>
          <w:numId w:val="139"/>
        </w:numPr>
        <w:rPr>
          <w:rFonts w:ascii="Arial" w:cs="Arial" w:eastAsia="Arial" w:hAnsi="Arial"/>
          <w:sz w:val="21"/>
          <w:szCs w:val="21"/>
          <w:color w:val="auto"/>
        </w:rPr>
      </w:pPr>
      <w:r>
        <w:rPr>
          <w:rFonts w:ascii="Arial" w:cs="Arial" w:eastAsia="Arial" w:hAnsi="Arial"/>
          <w:sz w:val="21"/>
          <w:szCs w:val="21"/>
          <w:color w:val="auto"/>
        </w:rPr>
        <w:t>reduce the rate of or change the time for payment of interest, including default interest, on any Note, (iv)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or premium, if any, on the Notes, (vii) waive a redemption payment with respect to any Note (other than a payment required by Section 4.08 of the Indenture) or (viii) make any change in the preceding amendment and waiver provisions.</w:t>
      </w:r>
    </w:p>
    <w:p>
      <w:pPr>
        <w:spacing w:after="0" w:line="186" w:lineRule="exact"/>
        <w:rPr>
          <w:rFonts w:ascii="Arial" w:cs="Arial" w:eastAsia="Arial" w:hAnsi="Arial"/>
          <w:sz w:val="21"/>
          <w:szCs w:val="21"/>
          <w:color w:val="auto"/>
        </w:rPr>
      </w:pPr>
    </w:p>
    <w:p>
      <w:pPr>
        <w:jc w:val="both"/>
        <w:ind w:left="4" w:firstLine="1293"/>
        <w:spacing w:after="0" w:line="330" w:lineRule="auto"/>
        <w:tabs>
          <w:tab w:leader="none" w:pos="1787" w:val="left"/>
        </w:tabs>
        <w:numPr>
          <w:ilvl w:val="1"/>
          <w:numId w:val="139"/>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 and the Trustee may amend or supplement the Indenture or the Notes to (i) cure any ambiguity, defect or inconsistency, (ii) provide for uncertificated Notes in addition to or in place of Definitive Notes (provided that the uncertificated Notes are issued in registered form for purposes of Section 163(f) of the U.S. Internal Revenue Code of 1986, as amended), (iii) provide for the assumption of the Issuer’s obligations to the Holders of the Notes by a successor to the Issuer in the case of a merger or consolidation or sale of all or substantially all of the Issuer’s assets pursuant to Article 5 of the Indenture, (iv) make any change that would provide any additional rights or benefits to the Holders of the Notes or that does not adversely affect the legal rights of any such Holder under the Indenture, (v) conform the text of the Indenture or the Notes to any provision of the “Description of the Notes” in the Issuer’s Offering Memorandum, dated as of September 13, 2017, relating to the offering of the Initial Notes, to the extent that such provision in the “Description of the Notes” was intended to be a verbatim recitation of a provision of the Indenture or the Notes, which intent may be evidenced by an Officer’s Certificate to that effect, (vi) provide for the issuance of Additional Notes in accordance with the limitations set forth in the Indenture as of the date of the Indenture, (vii) evidence and provide for the acceptance of appointment by a successor Trustee, (viii) comply with the procedures of DTC, Euroclear or Clearstream, (ix) allow a Person to Guarantee the Issuer’s obligations under the Indenture and the Notes by executing a supplemental indenture with respect to the Notes (or to release any such Person from such a Guarantee as provided or permitted by the terms of the Indenture and such Guarantee) or (x) provide for the Notes to be secured (or to release such security as permitted by the Indenture and the applicable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861" w:right="239" w:bottom="1440" w:gutter="0" w:footer="0" w:header="0"/>
        </w:sectPr>
      </w:pPr>
    </w:p>
    <w:bookmarkStart w:id="161" w:name="page162"/>
    <w:bookmarkEnd w:id="161"/>
    <w:p>
      <w:pPr>
        <w:jc w:val="both"/>
        <w:ind w:left="-540" w:firstLine="645"/>
        <w:spacing w:after="0" w:line="328" w:lineRule="auto"/>
        <w:tabs>
          <w:tab w:leader="none" w:pos="711" w:val="left"/>
        </w:tabs>
        <w:numPr>
          <w:ilvl w:val="0"/>
          <w:numId w:val="140"/>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 (iii) failure by the Issuer to comply with Sections 4.08, Section 4.10 or 5.01 of the Indenture; (iv) failure by the Issuer for 60 days after written notice from the Trustee or Holders of at least 25% in aggregate principal amount of the Notes then outstanding voting as a single class to comply with any of the other agreements in the Indenture or the Notes, not set forth in clauses (i), (ii) or (iii) above; (v) default under any mortgage, indenture or instrument under which there may be issued or by which there may be secured or evidenced any Indebtedness for money borrowed by the Issuer or any of its Subsidiaries (or the payment of which is guaranteed by the Issuer) whether such Indebtedness or guarantee existed on the date of the Indenture,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the Indenture; (vi) failure by the Issuer or any of its Significant Subsidiaries to pay final non-appealable judgments (not paid or covered by insurance as to which the relevant insurance company has not denied responsibility) rendered against Wynn Macau or any Significant Subsidiary aggregating in excess of US$50.0 million (or the Dollar Equivalent thereof), which judgments are not paid, bonded, discharged or stayed for a period of 60 days; and (vii) certain events of bankruptcy or insolvency specified in the Indenture with respect to the Issuer or any of its Subsidiaries that is a Significant Subsidiary or any group of Subsidiaries that, taken together, would constitute a Significant Subsidiary. In the case of an Event of Default arising from certain events of bankruptcy or insolvency with respect to the Issuer specified in the Indenture, any Subsidiary of the Issuer that is a Significant Subsidiary or any group of Subsidiaries of the Issuer that, taken together, would constitute a Significant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specified in the Indenture,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20"/>
          </w:cols>
          <w:pgMar w:left="1440" w:top="861" w:right="239" w:bottom="1440" w:gutter="0" w:footer="0" w:header="0"/>
        </w:sectPr>
      </w:pPr>
    </w:p>
    <w:bookmarkStart w:id="162" w:name="page163"/>
    <w:bookmarkEnd w:id="162"/>
    <w:p>
      <w:pPr>
        <w:jc w:val="both"/>
        <w:spacing w:after="0" w:line="346" w:lineRule="auto"/>
        <w:rPr>
          <w:sz w:val="20"/>
          <w:szCs w:val="20"/>
          <w:color w:val="auto"/>
        </w:rPr>
      </w:pPr>
      <w:r>
        <w:rPr>
          <w:rFonts w:ascii="Arial" w:cs="Arial" w:eastAsia="Arial" w:hAnsi="Arial"/>
          <w:sz w:val="19"/>
          <w:szCs w:val="19"/>
          <w:color w:val="auto"/>
        </w:rPr>
        <w:t>any existing Default or Event of Default and its consequences under the Indenture, except a continuing Default or Event of Default in the payment of interest or premium, if any, on, or the principal of, the Notes. The Issuer is required to deliver to the Trustee annually a statement regarding compliance with the Indenture. Upon becoming aware of any Default or Event of Default, the Issuer is required to deliver to the Trustee a statement specifying such Default or Event of Default.</w:t>
      </w:r>
    </w:p>
    <w:p>
      <w:pPr>
        <w:spacing w:after="0" w:line="145" w:lineRule="exact"/>
        <w:rPr>
          <w:sz w:val="20"/>
          <w:szCs w:val="20"/>
          <w:color w:val="auto"/>
        </w:rPr>
      </w:pPr>
    </w:p>
    <w:p>
      <w:pPr>
        <w:jc w:val="both"/>
        <w:ind w:firstLine="645"/>
        <w:spacing w:after="0" w:line="287" w:lineRule="auto"/>
        <w:tabs>
          <w:tab w:leader="none" w:pos="1265"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TRUSTEE DEALINGS WITH ISSUER</w:t>
      </w:r>
      <w:r>
        <w:rPr>
          <w:rFonts w:ascii="Arial" w:cs="Arial" w:eastAsia="Arial" w:hAnsi="Arial"/>
          <w:sz w:val="22"/>
          <w:szCs w:val="22"/>
          <w:color w:val="auto"/>
        </w:rPr>
        <w:t>. The Trustee, in its individual or any other capacity, may become the</w:t>
      </w:r>
      <w:r>
        <w:rPr>
          <w:rFonts w:ascii="Arial" w:cs="Arial" w:eastAsia="Arial" w:hAnsi="Arial"/>
          <w:sz w:val="22"/>
          <w:szCs w:val="22"/>
          <w:i w:val="1"/>
          <w:iCs w:val="1"/>
          <w:color w:val="auto"/>
        </w:rPr>
        <w:t xml:space="preserve"> </w:t>
      </w:r>
      <w:r>
        <w:rPr>
          <w:rFonts w:ascii="Arial" w:cs="Arial" w:eastAsia="Arial" w:hAnsi="Arial"/>
          <w:sz w:val="22"/>
          <w:szCs w:val="22"/>
          <w:color w:val="auto"/>
        </w:rPr>
        <w:t>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89" w:lineRule="exact"/>
        <w:rPr>
          <w:rFonts w:ascii="Arial" w:cs="Arial" w:eastAsia="Arial" w:hAnsi="Arial"/>
          <w:sz w:val="22"/>
          <w:szCs w:val="22"/>
          <w:color w:val="auto"/>
        </w:rPr>
      </w:pPr>
    </w:p>
    <w:p>
      <w:pPr>
        <w:jc w:val="both"/>
        <w:ind w:firstLine="645"/>
        <w:spacing w:after="0" w:line="341" w:lineRule="auto"/>
        <w:tabs>
          <w:tab w:leader="none" w:pos="1332"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organizer, equity holder or member of the Issuer, as such, shall have any liability for any obligations of the Issuer under the Notes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49" w:lineRule="exact"/>
        <w:rPr>
          <w:rFonts w:ascii="Arial" w:cs="Arial" w:eastAsia="Arial" w:hAnsi="Arial"/>
          <w:sz w:val="19"/>
          <w:szCs w:val="19"/>
          <w:color w:val="auto"/>
        </w:rPr>
      </w:pPr>
    </w:p>
    <w:p>
      <w:pPr>
        <w:ind w:firstLine="645"/>
        <w:spacing w:after="0" w:line="302" w:lineRule="auto"/>
        <w:tabs>
          <w:tab w:leader="none" w:pos="1265"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w:t>
      </w:r>
      <w:r>
        <w:rPr>
          <w:rFonts w:ascii="Arial" w:cs="Arial" w:eastAsia="Arial" w:hAnsi="Arial"/>
          <w:sz w:val="22"/>
          <w:szCs w:val="22"/>
          <w:i w:val="1"/>
          <w:iCs w:val="1"/>
          <w:color w:val="auto"/>
        </w:rPr>
        <w:t xml:space="preserve"> </w:t>
      </w:r>
      <w:r>
        <w:rPr>
          <w:rFonts w:ascii="Arial" w:cs="Arial" w:eastAsia="Arial" w:hAnsi="Arial"/>
          <w:sz w:val="22"/>
          <w:szCs w:val="22"/>
          <w:color w:val="auto"/>
        </w:rPr>
        <w:t>or an authenticating agent.</w:t>
      </w:r>
    </w:p>
    <w:p>
      <w:pPr>
        <w:spacing w:after="0" w:line="173" w:lineRule="exact"/>
        <w:rPr>
          <w:rFonts w:ascii="Arial" w:cs="Arial" w:eastAsia="Arial" w:hAnsi="Arial"/>
          <w:sz w:val="22"/>
          <w:szCs w:val="22"/>
          <w:color w:val="auto"/>
        </w:rPr>
      </w:pPr>
    </w:p>
    <w:p>
      <w:pPr>
        <w:jc w:val="both"/>
        <w:ind w:firstLine="645"/>
        <w:spacing w:after="0" w:line="311" w:lineRule="auto"/>
        <w:tabs>
          <w:tab w:leader="none" w:pos="1292" w:val="left"/>
        </w:tabs>
        <w:numPr>
          <w:ilvl w:val="0"/>
          <w:numId w:val="141"/>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w:t>
      </w:r>
      <w:r>
        <w:rPr>
          <w:rFonts w:ascii="Arial" w:cs="Arial" w:eastAsia="Arial" w:hAnsi="Arial"/>
          <w:sz w:val="21"/>
          <w:szCs w:val="21"/>
          <w:i w:val="1"/>
          <w:iCs w:val="1"/>
          <w:color w:val="auto"/>
        </w:rPr>
        <w:t xml:space="preserve"> </w:t>
      </w:r>
      <w:r>
        <w:rPr>
          <w:rFonts w:ascii="Arial" w:cs="Arial" w:eastAsia="Arial" w:hAnsi="Arial"/>
          <w:sz w:val="21"/>
          <w:szCs w:val="21"/>
          <w:color w:val="auto"/>
        </w:rPr>
        <w:t>TEN COM (= tenants in common), TEN ENT (= tenants by the entireties), JT TEN (= joint tenants with right of survivorship and not as tenants in common), CUST (= Custodian), and U/G/M/A (= Uniform Gifts to Minors Act).</w:t>
      </w:r>
    </w:p>
    <w:p>
      <w:pPr>
        <w:spacing w:after="0" w:line="168" w:lineRule="exact"/>
        <w:rPr>
          <w:rFonts w:ascii="Arial" w:cs="Arial" w:eastAsia="Arial" w:hAnsi="Arial"/>
          <w:sz w:val="21"/>
          <w:szCs w:val="21"/>
          <w:color w:val="auto"/>
        </w:rPr>
      </w:pPr>
    </w:p>
    <w:p>
      <w:pPr>
        <w:jc w:val="both"/>
        <w:ind w:right="20" w:firstLine="645"/>
        <w:spacing w:after="0" w:line="292" w:lineRule="auto"/>
        <w:tabs>
          <w:tab w:leader="none" w:pos="1522"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AND THIS NOTE SHALL BE GOVERNED BY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IN ACCORDANCE WITH THE LAWS OF THE STATE OF NEW YORK, INCLUDING, WITHOUT LIMITATION, SECTION 5-1401 OF THE NEW YORK OBLIGATIONS LAW.</w:t>
      </w:r>
    </w:p>
    <w:p>
      <w:pPr>
        <w:spacing w:after="0" w:line="184" w:lineRule="exact"/>
        <w:rPr>
          <w:rFonts w:ascii="Arial" w:cs="Arial" w:eastAsia="Arial" w:hAnsi="Arial"/>
          <w:sz w:val="22"/>
          <w:szCs w:val="22"/>
          <w:color w:val="auto"/>
        </w:rPr>
      </w:pPr>
    </w:p>
    <w:p>
      <w:pPr>
        <w:jc w:val="both"/>
        <w:ind w:firstLine="645"/>
        <w:spacing w:after="0" w:line="287" w:lineRule="auto"/>
        <w:tabs>
          <w:tab w:leader="none" w:pos="1116"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0"/>
          </w:cols>
          <w:pgMar w:left="900" w:top="861" w:right="239" w:bottom="1440" w:gutter="0" w:footer="0" w:header="0"/>
        </w:sectPr>
      </w:pPr>
    </w:p>
    <w:bookmarkStart w:id="163" w:name="page164"/>
    <w:bookmarkEnd w:id="163"/>
    <w:p>
      <w:pPr>
        <w:ind w:firstLine="648"/>
        <w:spacing w:after="0" w:line="302" w:lineRule="auto"/>
        <w:rPr>
          <w:sz w:val="20"/>
          <w:szCs w:val="20"/>
          <w:color w:val="auto"/>
        </w:rPr>
      </w:pPr>
      <w:r>
        <w:rPr>
          <w:rFonts w:ascii="Arial" w:cs="Arial" w:eastAsia="Arial" w:hAnsi="Arial"/>
          <w:sz w:val="22"/>
          <w:szCs w:val="22"/>
          <w:color w:val="auto"/>
        </w:rPr>
        <w:t>The Issuer shall furnish a copy of the Indenture to any Holder upon written request and without charge. Requests may be made 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74"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color w:val="auto"/>
        </w:rPr>
        <w:t>ASSIGNMENT FORM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w:t>
      </w:r>
    </w:p>
    <w:p>
      <w:pPr>
        <w:spacing w:after="0" w:line="44"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(Insert assignee’s legal name)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to transfer this Note on the books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the Issuer. The agent may substitute another to act for him.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 ___________________________</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13</w:t>
      </w:r>
    </w:p>
    <w:p>
      <w:pPr>
        <w:sectPr>
          <w:pgSz w:w="11900" w:h="16838" w:orient="portrait"/>
          <w:cols w:equalWidth="0" w:num="1">
            <w:col w:w="11420"/>
          </w:cols>
          <w:pgMar w:left="240" w:top="861"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If you want to elect to have this Note purchased by the Issuer pursuant to Section 4.08 or Section 4.10 of the Indenture, check the appropriate box below:</w:t>
      </w:r>
    </w:p>
    <w:p>
      <w:pPr>
        <w:spacing w:after="0" w:line="282" w:lineRule="exact"/>
        <w:rPr>
          <w:sz w:val="20"/>
          <w:szCs w:val="20"/>
          <w:color w:val="auto"/>
        </w:rPr>
      </w:pPr>
    </w:p>
    <w:p>
      <w:pPr>
        <w:ind w:left="1960"/>
        <w:spacing w:after="0"/>
        <w:tabs>
          <w:tab w:leader="none" w:pos="3880" w:val="left"/>
        </w:tabs>
        <w:rPr>
          <w:sz w:val="20"/>
          <w:szCs w:val="20"/>
          <w:color w:val="auto"/>
        </w:rPr>
      </w:pPr>
      <w:r>
        <w:rPr>
          <w:rFonts w:ascii="Arial" w:cs="Arial" w:eastAsia="Arial" w:hAnsi="Arial"/>
          <w:sz w:val="22"/>
          <w:szCs w:val="22"/>
          <w:color w:val="auto"/>
        </w:rPr>
        <w:t>£ Section 4.08</w:t>
      </w:r>
      <w:r>
        <w:rPr>
          <w:sz w:val="20"/>
          <w:szCs w:val="20"/>
          <w:color w:val="auto"/>
        </w:rPr>
        <w:tab/>
      </w:r>
      <w:r>
        <w:rPr>
          <w:rFonts w:ascii="Arial" w:cs="Arial" w:eastAsia="Arial" w:hAnsi="Arial"/>
          <w:sz w:val="19"/>
          <w:szCs w:val="19"/>
          <w:color w:val="auto"/>
        </w:rPr>
        <w:t>£ Section 4.10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4.08 or Section 4.10 of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6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US$________________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Signature:___________________________</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(Sign exactly as your name appears on the face of this Note)</w:t>
      </w:r>
    </w:p>
    <w:p>
      <w:pPr>
        <w:spacing w:after="0" w:line="29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Tax Identification No.:______________________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14</w:t>
      </w:r>
    </w:p>
    <w:p>
      <w:pPr>
        <w:sectPr>
          <w:pgSz w:w="11900" w:h="16838" w:orient="portrait"/>
          <w:cols w:equalWidth="0" w:num="1">
            <w:col w:w="11420"/>
          </w:cols>
          <w:pgMar w:left="240" w:top="861" w:right="2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60" w:lineRule="exact"/>
        <w:rPr>
          <w:sz w:val="20"/>
          <w:szCs w:val="20"/>
          <w:color w:val="auto"/>
        </w:rPr>
      </w:pPr>
    </w:p>
    <w:p>
      <w:pPr>
        <w:ind w:firstLine="648"/>
        <w:spacing w:after="0" w:line="328"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41"/>
              <w:spacing w:after="0"/>
              <w:rPr>
                <w:sz w:val="20"/>
                <w:szCs w:val="20"/>
                <w:color w:val="auto"/>
              </w:rPr>
            </w:pPr>
            <w:r>
              <w:rPr>
                <w:rFonts w:ascii="Arial" w:cs="Arial" w:eastAsia="Arial" w:hAnsi="Arial"/>
                <w:sz w:val="20"/>
                <w:szCs w:val="20"/>
                <w:color w:val="auto"/>
                <w:w w:val="94"/>
              </w:rPr>
              <w:t>Amount of</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3"/>
              </w:rPr>
              <w:t>Principal Amount</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21"/>
              <w:spacing w:after="0"/>
              <w:rPr>
                <w:sz w:val="20"/>
                <w:szCs w:val="20"/>
                <w:color w:val="auto"/>
              </w:rPr>
            </w:pPr>
            <w:r>
              <w:rPr>
                <w:rFonts w:ascii="Arial" w:cs="Arial" w:eastAsia="Arial" w:hAnsi="Arial"/>
                <w:sz w:val="20"/>
                <w:szCs w:val="20"/>
                <w:color w:val="auto"/>
                <w:w w:val="85"/>
              </w:rPr>
              <w:t>decrease in</w:t>
            </w:r>
          </w:p>
        </w:tc>
        <w:tc>
          <w:tcPr>
            <w:tcW w:w="2360" w:type="dxa"/>
            <w:vAlign w:val="bottom"/>
            <w:gridSpan w:val="3"/>
          </w:tcPr>
          <w:p>
            <w:pPr>
              <w:jc w:val="center"/>
              <w:ind w:right="20"/>
              <w:spacing w:after="0"/>
              <w:rPr>
                <w:sz w:val="20"/>
                <w:szCs w:val="20"/>
                <w:color w:val="auto"/>
              </w:rPr>
            </w:pPr>
            <w:r>
              <w:rPr>
                <w:rFonts w:ascii="Arial" w:cs="Arial" w:eastAsia="Arial" w:hAnsi="Arial"/>
                <w:sz w:val="20"/>
                <w:szCs w:val="20"/>
                <w:color w:val="auto"/>
                <w:w w:val="94"/>
              </w:rPr>
              <w:t>Amount of</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4"/>
              </w:rPr>
              <w:t>of this Global</w:t>
            </w:r>
          </w:p>
        </w:tc>
        <w:tc>
          <w:tcPr>
            <w:tcW w:w="2000" w:type="dxa"/>
            <w:vAlign w:val="bottom"/>
            <w:gridSpan w:val="3"/>
          </w:tcPr>
          <w:p>
            <w:pPr>
              <w:jc w:val="center"/>
              <w:ind w:left="281"/>
              <w:spacing w:after="0"/>
              <w:rPr>
                <w:sz w:val="20"/>
                <w:szCs w:val="20"/>
                <w:color w:val="auto"/>
              </w:rPr>
            </w:pPr>
            <w:r>
              <w:rPr>
                <w:rFonts w:ascii="Arial" w:cs="Arial" w:eastAsia="Arial" w:hAnsi="Arial"/>
                <w:sz w:val="20"/>
                <w:szCs w:val="20"/>
                <w:color w:val="auto"/>
                <w:w w:val="90"/>
              </w:rPr>
              <w:t>Signature of</w:t>
            </w: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01"/>
              <w:spacing w:after="0"/>
              <w:rPr>
                <w:sz w:val="20"/>
                <w:szCs w:val="20"/>
                <w:color w:val="auto"/>
              </w:rPr>
            </w:pPr>
            <w:r>
              <w:rPr>
                <w:rFonts w:ascii="Arial" w:cs="Arial" w:eastAsia="Arial" w:hAnsi="Arial"/>
                <w:sz w:val="20"/>
                <w:szCs w:val="20"/>
                <w:color w:val="auto"/>
                <w:w w:val="93"/>
              </w:rPr>
              <w:t>Principal Amount</w:t>
            </w:r>
          </w:p>
        </w:tc>
        <w:tc>
          <w:tcPr>
            <w:tcW w:w="2360" w:type="dxa"/>
            <w:vAlign w:val="bottom"/>
            <w:gridSpan w:val="3"/>
          </w:tcPr>
          <w:p>
            <w:pPr>
              <w:jc w:val="center"/>
              <w:ind w:right="20"/>
              <w:spacing w:after="0"/>
              <w:rPr>
                <w:sz w:val="20"/>
                <w:szCs w:val="20"/>
                <w:color w:val="auto"/>
              </w:rPr>
            </w:pPr>
            <w:r>
              <w:rPr>
                <w:rFonts w:ascii="Arial" w:cs="Arial" w:eastAsia="Arial" w:hAnsi="Arial"/>
                <w:sz w:val="20"/>
                <w:szCs w:val="20"/>
                <w:color w:val="auto"/>
                <w:w w:val="88"/>
              </w:rPr>
              <w:t>increase in</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7"/>
              </w:rPr>
              <w:t>Note following</w:t>
            </w:r>
          </w:p>
        </w:tc>
        <w:tc>
          <w:tcPr>
            <w:tcW w:w="2000" w:type="dxa"/>
            <w:vAlign w:val="bottom"/>
            <w:gridSpan w:val="3"/>
          </w:tcPr>
          <w:p>
            <w:pPr>
              <w:jc w:val="center"/>
              <w:ind w:left="281"/>
              <w:spacing w:after="0"/>
              <w:rPr>
                <w:sz w:val="20"/>
                <w:szCs w:val="20"/>
                <w:color w:val="auto"/>
              </w:rPr>
            </w:pPr>
            <w:r>
              <w:rPr>
                <w:rFonts w:ascii="Arial" w:cs="Arial" w:eastAsia="Arial" w:hAnsi="Arial"/>
                <w:sz w:val="20"/>
                <w:szCs w:val="20"/>
                <w:color w:val="auto"/>
                <w:w w:val="89"/>
              </w:rPr>
              <w:t>authorized signatory</w:t>
            </w: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281"/>
              <w:spacing w:after="0"/>
              <w:rPr>
                <w:sz w:val="20"/>
                <w:szCs w:val="20"/>
                <w:color w:val="auto"/>
              </w:rPr>
            </w:pPr>
            <w:r>
              <w:rPr>
                <w:rFonts w:ascii="Arial" w:cs="Arial" w:eastAsia="Arial" w:hAnsi="Arial"/>
                <w:sz w:val="20"/>
                <w:szCs w:val="20"/>
                <w:color w:val="auto"/>
                <w:w w:val="92"/>
              </w:rPr>
              <w:t>of this Global</w:t>
            </w:r>
          </w:p>
        </w:tc>
        <w:tc>
          <w:tcPr>
            <w:tcW w:w="2360" w:type="dxa"/>
            <w:vAlign w:val="bottom"/>
            <w:gridSpan w:val="3"/>
          </w:tcPr>
          <w:p>
            <w:pPr>
              <w:jc w:val="center"/>
              <w:ind w:right="60"/>
              <w:spacing w:after="0"/>
              <w:rPr>
                <w:sz w:val="20"/>
                <w:szCs w:val="20"/>
                <w:color w:val="auto"/>
              </w:rPr>
            </w:pPr>
            <w:r>
              <w:rPr>
                <w:rFonts w:ascii="Arial" w:cs="Arial" w:eastAsia="Arial" w:hAnsi="Arial"/>
                <w:sz w:val="20"/>
                <w:szCs w:val="20"/>
                <w:color w:val="auto"/>
                <w:w w:val="93"/>
              </w:rPr>
              <w:t>Principal Amount</w:t>
            </w:r>
          </w:p>
        </w:tc>
        <w:tc>
          <w:tcPr>
            <w:tcW w:w="2180" w:type="dxa"/>
            <w:vAlign w:val="bottom"/>
            <w:gridSpan w:val="3"/>
          </w:tcPr>
          <w:p>
            <w:pPr>
              <w:jc w:val="center"/>
              <w:ind w:right="40"/>
              <w:spacing w:after="0"/>
              <w:rPr>
                <w:sz w:val="20"/>
                <w:szCs w:val="20"/>
                <w:color w:val="auto"/>
              </w:rPr>
            </w:pPr>
            <w:r>
              <w:rPr>
                <w:rFonts w:ascii="Arial" w:cs="Arial" w:eastAsia="Arial" w:hAnsi="Arial"/>
                <w:sz w:val="20"/>
                <w:szCs w:val="20"/>
                <w:color w:val="auto"/>
                <w:w w:val="84"/>
              </w:rPr>
              <w:t>such decrease</w:t>
            </w:r>
          </w:p>
        </w:tc>
        <w:tc>
          <w:tcPr>
            <w:tcW w:w="2000" w:type="dxa"/>
            <w:vAlign w:val="bottom"/>
            <w:gridSpan w:val="3"/>
          </w:tcPr>
          <w:p>
            <w:pPr>
              <w:jc w:val="center"/>
              <w:ind w:left="241"/>
              <w:spacing w:after="0"/>
              <w:rPr>
                <w:sz w:val="20"/>
                <w:szCs w:val="20"/>
                <w:color w:val="auto"/>
              </w:rPr>
            </w:pPr>
            <w:r>
              <w:rPr>
                <w:rFonts w:ascii="Arial" w:cs="Arial" w:eastAsia="Arial" w:hAnsi="Arial"/>
                <w:sz w:val="20"/>
                <w:szCs w:val="20"/>
                <w:color w:val="auto"/>
                <w:w w:val="89"/>
              </w:rPr>
              <w:t>of Trustee or</w:t>
            </w:r>
          </w:p>
        </w:tc>
      </w:tr>
      <w:tr>
        <w:trPr>
          <w:trHeight w:val="206"/>
        </w:trPr>
        <w:tc>
          <w:tcPr>
            <w:tcW w:w="1420" w:type="dxa"/>
            <w:vAlign w:val="bottom"/>
          </w:tcPr>
          <w:p>
            <w:pPr>
              <w:spacing w:after="0" w:line="206" w:lineRule="exact"/>
              <w:rPr>
                <w:sz w:val="20"/>
                <w:szCs w:val="20"/>
                <w:color w:val="auto"/>
              </w:rPr>
            </w:pPr>
            <w:r>
              <w:rPr>
                <w:rFonts w:ascii="Arial" w:cs="Arial" w:eastAsia="Arial" w:hAnsi="Arial"/>
                <w:sz w:val="20"/>
                <w:szCs w:val="20"/>
                <w:color w:val="auto"/>
                <w:w w:val="88"/>
              </w:rPr>
              <w:t>Date of Exchange</w:t>
            </w:r>
          </w:p>
        </w:tc>
        <w:tc>
          <w:tcPr>
            <w:tcW w:w="1380" w:type="dxa"/>
            <w:vAlign w:val="bottom"/>
          </w:tcPr>
          <w:p>
            <w:pPr>
              <w:spacing w:after="0"/>
              <w:rPr>
                <w:sz w:val="17"/>
                <w:szCs w:val="17"/>
                <w:color w:val="auto"/>
              </w:rPr>
            </w:pPr>
          </w:p>
        </w:tc>
        <w:tc>
          <w:tcPr>
            <w:tcW w:w="1280" w:type="dxa"/>
            <w:vAlign w:val="bottom"/>
            <w:gridSpan w:val="2"/>
          </w:tcPr>
          <w:p>
            <w:pPr>
              <w:jc w:val="center"/>
              <w:ind w:right="900"/>
              <w:spacing w:after="0" w:line="206" w:lineRule="exact"/>
              <w:rPr>
                <w:sz w:val="20"/>
                <w:szCs w:val="20"/>
                <w:color w:val="auto"/>
              </w:rPr>
            </w:pPr>
            <w:r>
              <w:rPr>
                <w:rFonts w:ascii="Arial" w:cs="Arial" w:eastAsia="Arial" w:hAnsi="Arial"/>
                <w:sz w:val="20"/>
                <w:szCs w:val="20"/>
                <w:color w:val="auto"/>
                <w:w w:val="89"/>
              </w:rPr>
              <w:t>Note</w:t>
            </w:r>
          </w:p>
        </w:tc>
        <w:tc>
          <w:tcPr>
            <w:tcW w:w="236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92"/>
              </w:rPr>
              <w:t>of this Global Note</w:t>
            </w:r>
          </w:p>
        </w:tc>
        <w:tc>
          <w:tcPr>
            <w:tcW w:w="218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89"/>
              </w:rPr>
              <w:t>(or increase)</w:t>
            </w:r>
          </w:p>
        </w:tc>
        <w:tc>
          <w:tcPr>
            <w:tcW w:w="2000" w:type="dxa"/>
            <w:vAlign w:val="bottom"/>
            <w:gridSpan w:val="3"/>
          </w:tcPr>
          <w:p>
            <w:pPr>
              <w:jc w:val="center"/>
              <w:ind w:left="341"/>
              <w:spacing w:after="0" w:line="206" w:lineRule="exact"/>
              <w:rPr>
                <w:sz w:val="20"/>
                <w:szCs w:val="20"/>
                <w:color w:val="auto"/>
              </w:rPr>
            </w:pPr>
            <w:r>
              <w:rPr>
                <w:rFonts w:ascii="Arial" w:cs="Arial" w:eastAsia="Arial" w:hAnsi="Arial"/>
                <w:sz w:val="20"/>
                <w:szCs w:val="20"/>
                <w:color w:val="auto"/>
                <w:w w:val="88"/>
              </w:rPr>
              <w:t>Custodian</w:t>
            </w:r>
          </w:p>
        </w:tc>
      </w:tr>
      <w:tr>
        <w:trPr>
          <w:trHeight w:val="20"/>
        </w:trPr>
        <w:tc>
          <w:tcPr>
            <w:tcW w:w="14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6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AT3335</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4.875% Senior Notes due 2024</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September 20, 2017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US$________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(the “</w:t>
      </w:r>
      <w:r>
        <w:rPr>
          <w:rFonts w:ascii="Arial" w:cs="Arial" w:eastAsia="Arial" w:hAnsi="Arial"/>
          <w:sz w:val="19"/>
          <w:szCs w:val="19"/>
          <w:i w:val="1"/>
          <w:iCs w:val="1"/>
          <w:color w:val="auto"/>
        </w:rPr>
        <w:t>Transferee</w:t>
      </w:r>
      <w:r>
        <w:rPr>
          <w:rFonts w:ascii="Arial" w:cs="Arial" w:eastAsia="Arial" w:hAnsi="Arial"/>
          <w:sz w:val="19"/>
          <w:szCs w:val="19"/>
          <w:color w:val="auto"/>
        </w:rPr>
        <w:t>”), as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further specified in Annex A hereto. In connection with the Transfer, the Transferor hereby certifies that: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54" w:lineRule="exact"/>
        <w:rPr>
          <w:sz w:val="20"/>
          <w:szCs w:val="20"/>
          <w:color w:val="auto"/>
        </w:rPr>
      </w:pPr>
    </w:p>
    <w:p>
      <w:pPr>
        <w:jc w:val="both"/>
        <w:ind w:firstLine="656"/>
        <w:spacing w:after="0" w:line="299" w:lineRule="auto"/>
        <w:tabs>
          <w:tab w:leader="none" w:pos="102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if Transferee will take delivery of a beneficial interest in the 144A Global Note or a Restricted Definitive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Note pursuant to Rule 144A</w:t>
      </w:r>
      <w:r>
        <w:rPr>
          <w:rFonts w:ascii="Arial" w:cs="Arial" w:eastAsia="Arial" w:hAnsi="Arial"/>
          <w:sz w:val="21"/>
          <w:szCs w:val="21"/>
          <w:color w:val="auto"/>
        </w:rPr>
        <w:t>. The Transfer is being effected pursuant to and in accordance with Rule 144A under the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Securities Act of 1933, as amended (the “</w:t>
      </w:r>
      <w:r>
        <w:rPr>
          <w:rFonts w:ascii="Arial" w:cs="Arial" w:eastAsia="Arial" w:hAnsi="Arial"/>
          <w:sz w:val="21"/>
          <w:szCs w:val="21"/>
          <w:i w:val="1"/>
          <w:iCs w:val="1"/>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168" w:name="page169"/>
    <w:bookmarkEnd w:id="168"/>
    <w:p>
      <w:pPr>
        <w:jc w:val="both"/>
        <w:ind w:firstLine="656"/>
        <w:spacing w:after="0" w:line="327" w:lineRule="auto"/>
        <w:tabs>
          <w:tab w:leader="none" w:pos="1067"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u w:val="single" w:color="auto"/>
          <w:color w:val="auto"/>
        </w:rPr>
        <w:t>Check if Transferee will take delivery of a beneficial interest in the Regulation S Global Note or a Restricted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Definitive Note pursuant to Regulation S</w:t>
      </w:r>
      <w:r>
        <w:rPr>
          <w:rFonts w:ascii="Arial" w:cs="Arial" w:eastAsia="Arial" w:hAnsi="Arial"/>
          <w:sz w:val="19"/>
          <w:szCs w:val="19"/>
          <w:color w:val="auto"/>
        </w:rPr>
        <w:t>. The Transfer is being effected pursuant to and in accordance with Rule 903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w:t>
      </w:r>
    </w:p>
    <w:p>
      <w:pPr>
        <w:spacing w:after="0" w:line="3" w:lineRule="exact"/>
        <w:rPr>
          <w:rFonts w:ascii="Arial" w:cs="Arial" w:eastAsia="Arial" w:hAnsi="Arial"/>
          <w:sz w:val="19"/>
          <w:szCs w:val="19"/>
          <w:color w:val="auto"/>
        </w:rPr>
      </w:pPr>
    </w:p>
    <w:p>
      <w:pPr>
        <w:jc w:val="both"/>
        <w:ind w:firstLine="8"/>
        <w:spacing w:after="0" w:line="334" w:lineRule="auto"/>
        <w:tabs>
          <w:tab w:leader="none" w:pos="35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by the Issuer to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7" w:lineRule="exact"/>
        <w:rPr>
          <w:rFonts w:ascii="Arial" w:cs="Arial" w:eastAsia="Arial" w:hAnsi="Arial"/>
          <w:sz w:val="19"/>
          <w:szCs w:val="19"/>
          <w:color w:val="auto"/>
        </w:rPr>
      </w:pPr>
    </w:p>
    <w:p>
      <w:pPr>
        <w:jc w:val="both"/>
        <w:ind w:firstLine="656"/>
        <w:spacing w:after="0" w:line="304" w:lineRule="auto"/>
        <w:tabs>
          <w:tab w:leader="none" w:pos="1067" w:val="left"/>
        </w:tabs>
        <w:numPr>
          <w:ilvl w:val="1"/>
          <w:numId w:val="147"/>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and complete if Transferee will take delivery of a beneficial interest in the a Restricted Definitive Note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pursuant to any provision of the Securities Act other than Rule 144A or Regulation S</w:t>
      </w:r>
      <w:r>
        <w:rPr>
          <w:rFonts w:ascii="Arial" w:cs="Arial" w:eastAsia="Arial" w:hAnsi="Arial"/>
          <w:sz w:val="21"/>
          <w:szCs w:val="21"/>
          <w:color w:val="auto"/>
        </w:rPr>
        <w:t>. The Transfer is being effected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8" w:lineRule="exact"/>
        <w:rPr>
          <w:rFonts w:ascii="Arial" w:cs="Arial" w:eastAsia="Arial" w:hAnsi="Arial"/>
          <w:sz w:val="21"/>
          <w:szCs w:val="21"/>
          <w:color w:val="auto"/>
        </w:rPr>
      </w:pPr>
    </w:p>
    <w:p>
      <w:pPr>
        <w:ind w:left="1760" w:hanging="455"/>
        <w:spacing w:after="0"/>
        <w:tabs>
          <w:tab w:leader="none" w:pos="1760" w:val="left"/>
        </w:tabs>
        <w:numPr>
          <w:ilvl w:val="2"/>
          <w:numId w:val="147"/>
        </w:numPr>
        <w:rPr>
          <w:rFonts w:ascii="Arial" w:cs="Arial" w:eastAsia="Arial" w:hAnsi="Arial"/>
          <w:sz w:val="21"/>
          <w:szCs w:val="21"/>
          <w:color w:val="auto"/>
        </w:rPr>
      </w:pPr>
      <w:r>
        <w:rPr>
          <w:rFonts w:ascii="Arial" w:cs="Arial" w:eastAsia="Arial" w:hAnsi="Arial"/>
          <w:sz w:val="21"/>
          <w:szCs w:val="21"/>
          <w:color w:val="auto"/>
        </w:rPr>
        <w:t>c such Transfer is being effected pursuant to and in accordance with Rule 144 under the Securities Act;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5620" w:right="3680" w:hanging="4315"/>
        <w:spacing w:after="0" w:line="486" w:lineRule="auto"/>
        <w:tabs>
          <w:tab w:leader="none" w:pos="176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 such Transfer is being effected to the Issuer or a subsidiary thereof; or</w:t>
      </w:r>
    </w:p>
    <w:p>
      <w:pPr>
        <w:spacing w:after="0" w:line="1" w:lineRule="exact"/>
        <w:rPr>
          <w:rFonts w:ascii="Arial" w:cs="Arial" w:eastAsia="Arial" w:hAnsi="Arial"/>
          <w:sz w:val="22"/>
          <w:szCs w:val="22"/>
          <w:color w:val="auto"/>
        </w:rPr>
      </w:pPr>
    </w:p>
    <w:p>
      <w:pPr>
        <w:ind w:left="660" w:firstLine="645"/>
        <w:spacing w:after="0" w:line="302" w:lineRule="auto"/>
        <w:tabs>
          <w:tab w:leader="none" w:pos="177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 such Transfer is being effected pursuant to an effective registration statement under the Securities Act and in compliance with the prospectus delivery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5" w:right="239" w:bottom="1440" w:gutter="0" w:footer="0" w:header="0"/>
        </w:sectPr>
      </w:pPr>
    </w:p>
    <w:bookmarkStart w:id="169" w:name="page170"/>
    <w:bookmarkEnd w:id="169"/>
    <w:p>
      <w:pPr>
        <w:ind w:firstLine="656"/>
        <w:spacing w:after="0" w:line="308" w:lineRule="auto"/>
        <w:tabs>
          <w:tab w:leader="none" w:pos="1243"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jc w:val="both"/>
        <w:ind w:left="660" w:firstLine="645"/>
        <w:spacing w:after="0" w:line="337" w:lineRule="auto"/>
        <w:tabs>
          <w:tab w:leader="none" w:pos="177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Rule 144</w:t>
      </w:r>
      <w:r>
        <w:rPr>
          <w:rFonts w:ascii="Arial" w:cs="Arial" w:eastAsia="Arial" w:hAnsi="Arial"/>
          <w:sz w:val="19"/>
          <w:szCs w:val="19"/>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60" w:firstLine="645"/>
        <w:spacing w:after="0" w:line="337" w:lineRule="auto"/>
        <w:tabs>
          <w:tab w:leader="none" w:pos="189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60" w:firstLine="645"/>
        <w:spacing w:after="0" w:line="300" w:lineRule="auto"/>
        <w:tabs>
          <w:tab w:leader="none" w:pos="1818" w:val="left"/>
        </w:tabs>
        <w:numPr>
          <w:ilvl w:val="1"/>
          <w:numId w:val="149"/>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Transfer is Pursuant to Other Exemption</w:t>
      </w:r>
      <w:r>
        <w:rPr>
          <w:rFonts w:ascii="Arial" w:cs="Arial" w:eastAsia="Arial" w:hAnsi="Arial"/>
          <w:sz w:val="21"/>
          <w:szCs w:val="21"/>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55" w:right="239" w:bottom="1440" w:gutter="0" w:footer="0" w:header="0"/>
        </w:sectPr>
      </w:pPr>
    </w:p>
    <w:bookmarkStart w:id="170" w:name="page171"/>
    <w:bookmarkEnd w:id="170"/>
    <w:p>
      <w:pPr>
        <w:ind w:left="3880"/>
        <w:spacing w:after="0"/>
        <w:rPr>
          <w:sz w:val="20"/>
          <w:szCs w:val="20"/>
          <w:color w:val="auto"/>
        </w:rPr>
      </w:pPr>
      <w:r>
        <w:rPr>
          <w:rFonts w:ascii="Arial" w:cs="Arial" w:eastAsia="Arial" w:hAnsi="Arial"/>
          <w:sz w:val="19"/>
          <w:szCs w:val="19"/>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861" w:right="1440" w:bottom="1440" w:gutter="0" w:footer="0" w:header="0"/>
        </w:sectPr>
      </w:pPr>
    </w:p>
    <w:bookmarkStart w:id="171" w:name="page172"/>
    <w:bookmarkEnd w:id="171"/>
    <w:p>
      <w:pPr>
        <w:jc w:val="right"/>
        <w:ind w:right="2419"/>
        <w:spacing w:after="0"/>
        <w:rPr>
          <w:sz w:val="20"/>
          <w:szCs w:val="20"/>
          <w:color w:val="auto"/>
        </w:rPr>
      </w:pPr>
      <w:r>
        <w:rPr>
          <w:rFonts w:ascii="Arial" w:cs="Arial" w:eastAsia="Arial" w:hAnsi="Arial"/>
          <w:sz w:val="22"/>
          <w:szCs w:val="22"/>
          <w:color w:val="auto"/>
        </w:rPr>
        <w:t>ANNEX A TO CERTIFICATE OF TRANSFER</w:t>
      </w:r>
    </w:p>
    <w:p>
      <w:pPr>
        <w:spacing w:after="0" w:line="260"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Transferor owns and proposes to transfer the following:</w:t>
      </w:r>
    </w:p>
    <w:p>
      <w:pPr>
        <w:spacing w:after="0" w:line="26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260" w:lineRule="exact"/>
        <w:rPr>
          <w:sz w:val="20"/>
          <w:szCs w:val="20"/>
          <w:color w:val="auto"/>
        </w:rPr>
      </w:pPr>
    </w:p>
    <w:p>
      <w:pPr>
        <w:ind w:left="1300" w:hanging="644"/>
        <w:spacing w:after="0"/>
        <w:tabs>
          <w:tab w:leader="none" w:pos="13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151"/>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151"/>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 a Restricted Definitive Note.</w:t>
      </w:r>
    </w:p>
    <w:p>
      <w:pPr>
        <w:spacing w:after="0" w:line="260" w:lineRule="exact"/>
        <w:rPr>
          <w:rFonts w:ascii="Arial" w:cs="Arial" w:eastAsia="Arial" w:hAnsi="Arial"/>
          <w:sz w:val="22"/>
          <w:szCs w:val="22"/>
          <w:color w:val="auto"/>
        </w:rPr>
      </w:pPr>
    </w:p>
    <w:p>
      <w:pPr>
        <w:ind w:left="660" w:hanging="652"/>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6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260"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 Unrestricted Global Note (CUSIP __________);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 a Restricted Definitive Note;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 an Unrestricted Definitive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861"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AT3335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4.875% Senior Notes due 2024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September 20, 2017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Note[s] or interest in such Note[s]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US$_________ in such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In connection with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254" w:lineRule="exact"/>
        <w:rPr>
          <w:sz w:val="20"/>
          <w:szCs w:val="20"/>
          <w:color w:val="auto"/>
        </w:rPr>
      </w:pPr>
    </w:p>
    <w:p>
      <w:pPr>
        <w:ind w:right="20" w:firstLine="656"/>
        <w:spacing w:after="0" w:line="308" w:lineRule="auto"/>
        <w:tabs>
          <w:tab w:leader="none" w:pos="113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1" w:lineRule="exact"/>
        <w:rPr>
          <w:sz w:val="20"/>
          <w:szCs w:val="20"/>
          <w:color w:val="auto"/>
        </w:rPr>
      </w:pPr>
    </w:p>
    <w:p>
      <w:pPr>
        <w:jc w:val="both"/>
        <w:ind w:firstLine="656"/>
        <w:spacing w:after="0" w:line="336" w:lineRule="auto"/>
        <w:tabs>
          <w:tab w:leader="none" w:pos="123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beneficial interest in a Restricted Global Note to beneficial interest in an</w:t>
      </w:r>
      <w:r>
        <w:rPr>
          <w:rFonts w:ascii="Arial" w:cs="Arial" w:eastAsia="Arial" w:hAnsi="Arial"/>
          <w:sz w:val="19"/>
          <w:szCs w:val="19"/>
          <w:color w:val="auto"/>
        </w:rPr>
        <w:t xml:space="preserve"> </w:t>
      </w:r>
      <w:r>
        <w:rPr>
          <w:rFonts w:ascii="Arial" w:cs="Arial" w:eastAsia="Arial" w:hAnsi="Arial"/>
          <w:sz w:val="19"/>
          <w:szCs w:val="19"/>
          <w:b w:val="1"/>
          <w:bCs w:val="1"/>
          <w:color w:val="auto"/>
        </w:rPr>
        <w:t>Unrestricted Global Note</w:t>
      </w:r>
      <w:r>
        <w:rPr>
          <w:rFonts w:ascii="Arial" w:cs="Arial" w:eastAsia="Arial" w:hAnsi="Arial"/>
          <w:sz w:val="19"/>
          <w:szCs w:val="19"/>
          <w:color w:val="auto"/>
        </w:rPr>
        <w:t>. 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173" w:name="page174"/>
    <w:bookmarkEnd w:id="173"/>
    <w:p>
      <w:pPr>
        <w:jc w:val="both"/>
        <w:ind w:firstLine="656"/>
        <w:spacing w:after="0" w:line="337" w:lineRule="auto"/>
        <w:tabs>
          <w:tab w:leader="none" w:pos="113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beneficial interest in a Restricted Global Note to Unrestricted Definitive Note</w:t>
      </w:r>
      <w:r>
        <w:rPr>
          <w:rFonts w:ascii="Arial" w:cs="Arial" w:eastAsia="Arial" w:hAnsi="Arial"/>
          <w:sz w:val="19"/>
          <w:szCs w:val="19"/>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37" w:lineRule="auto"/>
        <w:tabs>
          <w:tab w:leader="none" w:pos="110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an Unrestricted Global Note</w:t>
      </w:r>
      <w:r>
        <w:rPr>
          <w:rFonts w:ascii="Arial" w:cs="Arial" w:eastAsia="Arial" w:hAnsi="Arial"/>
          <w:sz w:val="19"/>
          <w:szCs w:val="19"/>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01" w:lineRule="auto"/>
        <w:tabs>
          <w:tab w:leader="none" w:pos="114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6" w:lineRule="exact"/>
        <w:rPr>
          <w:sz w:val="20"/>
          <w:szCs w:val="20"/>
          <w:color w:val="auto"/>
        </w:rPr>
      </w:pPr>
    </w:p>
    <w:p>
      <w:pPr>
        <w:ind w:firstLine="656"/>
        <w:spacing w:after="0" w:line="308" w:lineRule="auto"/>
        <w:tabs>
          <w:tab w:leader="none" w:pos="1216" w:val="left"/>
        </w:tabs>
        <w:numPr>
          <w:ilvl w:val="0"/>
          <w:numId w:val="157"/>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1" w:lineRule="exact"/>
        <w:rPr>
          <w:sz w:val="20"/>
          <w:szCs w:val="20"/>
          <w:color w:val="auto"/>
        </w:rPr>
      </w:pPr>
    </w:p>
    <w:p>
      <w:pPr>
        <w:jc w:val="both"/>
        <w:ind w:firstLine="656"/>
        <w:spacing w:after="0" w:line="288" w:lineRule="auto"/>
        <w:tabs>
          <w:tab w:leader="none" w:pos="115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Check if Exchange is from beneficial interest in a Restricted Global Note to Restricted Definitive Note</w:t>
      </w:r>
      <w:r>
        <w:rPr>
          <w:rFonts w:ascii="Arial" w:cs="Arial" w:eastAsia="Arial" w:hAnsi="Arial"/>
          <w:sz w:val="22"/>
          <w:szCs w:val="22"/>
          <w:color w:val="auto"/>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5" w:right="239" w:bottom="1440" w:gutter="0" w:footer="0" w:header="0"/>
        </w:sectPr>
      </w:pPr>
    </w:p>
    <w:bookmarkStart w:id="174" w:name="page175"/>
    <w:bookmarkEnd w:id="174"/>
    <w:p>
      <w:pPr>
        <w:ind w:right="20"/>
        <w:spacing w:after="0" w:line="302" w:lineRule="auto"/>
        <w:rPr>
          <w:sz w:val="20"/>
          <w:szCs w:val="20"/>
          <w:color w:val="auto"/>
        </w:rPr>
      </w:pPr>
      <w:r>
        <w:rPr>
          <w:rFonts w:ascii="Arial" w:cs="Arial" w:eastAsia="Arial" w:hAnsi="Arial"/>
          <w:sz w:val="22"/>
          <w:szCs w:val="22"/>
          <w:color w:val="auto"/>
        </w:rPr>
        <w:t>to be subject to the restrictions on transfer enumerated in the Private Placement Legend printed on the Restricted Definitive Note and in the Indenture and the Securities Act.</w:t>
      </w:r>
    </w:p>
    <w:p>
      <w:pPr>
        <w:spacing w:after="0" w:line="168" w:lineRule="exact"/>
        <w:rPr>
          <w:sz w:val="20"/>
          <w:szCs w:val="20"/>
          <w:color w:val="auto"/>
        </w:rPr>
      </w:pPr>
    </w:p>
    <w:p>
      <w:pPr>
        <w:jc w:val="both"/>
        <w:ind w:firstLine="656"/>
        <w:spacing w:after="0" w:line="336" w:lineRule="auto"/>
        <w:tabs>
          <w:tab w:leader="none" w:pos="117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 Restricted Global Note.</w:t>
      </w:r>
      <w:r>
        <w:rPr>
          <w:rFonts w:ascii="Arial" w:cs="Arial" w:eastAsia="Arial" w:hAnsi="Arial"/>
          <w:sz w:val="19"/>
          <w:szCs w:val="19"/>
          <w:color w:val="auto"/>
        </w:rPr>
        <w:t xml:space="preserve"> In connection with the Exchange of the Owner’s Restricted Definitive Note for a beneficial interest in the [CHECK ONE] c 144A Global Note, c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Exhibit 10.4</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946785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5.500% SENIOR NOTES DUE 2027</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September 20,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6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DEUTSCHE BANK TRUST COMPANY AMERICAS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Trustee</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354965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9"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5"/>
              </w:rPr>
              <w:t>TABLE OF CONTENTS</w:t>
            </w:r>
          </w:p>
        </w:tc>
        <w:tc>
          <w:tcPr>
            <w:tcW w:w="2320" w:type="dxa"/>
            <w:vAlign w:val="bottom"/>
          </w:tcPr>
          <w:p>
            <w:pPr>
              <w:spacing w:after="0"/>
              <w:rPr>
                <w:sz w:val="20"/>
                <w:szCs w:val="20"/>
                <w:color w:val="auto"/>
              </w:rPr>
            </w:pPr>
          </w:p>
        </w:tc>
      </w:tr>
      <w:tr>
        <w:trPr>
          <w:trHeight w:val="510"/>
        </w:trPr>
        <w:tc>
          <w:tcPr>
            <w:tcW w:w="13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543"/>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181">
              <w:r>
                <w:rPr>
                  <w:rFonts w:ascii="Arial" w:cs="Arial" w:eastAsia="Arial" w:hAnsi="Arial"/>
                  <w:sz w:val="18"/>
                  <w:szCs w:val="18"/>
                  <w:color w:val="auto"/>
                  <w:w w:val="98"/>
                </w:rPr>
                <w:t>ARTICLE 1</w:t>
              </w:r>
            </w:hyperlink>
          </w:p>
        </w:tc>
        <w:tc>
          <w:tcPr>
            <w:tcW w:w="232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color w:val="auto"/>
                <w:w w:val="97"/>
              </w:rPr>
              <w:t>DEFINITIONS AND INCORPORATION</w:t>
            </w:r>
          </w:p>
        </w:tc>
        <w:tc>
          <w:tcPr>
            <w:tcW w:w="23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Arial" w:cs="Arial" w:eastAsia="Arial" w:hAnsi="Arial"/>
                <w:sz w:val="18"/>
                <w:szCs w:val="18"/>
                <w:color w:val="auto"/>
                <w:w w:val="94"/>
              </w:rPr>
              <w:t>BY REFERENCE</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776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7760" w:type="dxa"/>
            <w:vAlign w:val="bottom"/>
          </w:tcPr>
          <w:p>
            <w:pPr>
              <w:ind w:left="420"/>
              <w:spacing w:after="0"/>
              <w:rPr>
                <w:sz w:val="20"/>
                <w:szCs w:val="20"/>
                <w:color w:val="auto"/>
              </w:rPr>
            </w:pPr>
            <w:r>
              <w:rPr>
                <w:rFonts w:ascii="Arial" w:cs="Arial" w:eastAsia="Arial" w:hAnsi="Arial"/>
                <w:sz w:val="18"/>
                <w:szCs w:val="18"/>
                <w:color w:val="auto"/>
              </w:rPr>
              <w:t>Other Definitions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7760" w:type="dxa"/>
            <w:vAlign w:val="bottom"/>
          </w:tcPr>
          <w:p>
            <w:pPr>
              <w:ind w:left="420"/>
              <w:spacing w:after="0"/>
              <w:rPr>
                <w:sz w:val="20"/>
                <w:szCs w:val="20"/>
                <w:color w:val="auto"/>
              </w:rPr>
            </w:pPr>
            <w:r>
              <w:rPr>
                <w:rFonts w:ascii="Arial" w:cs="Arial" w:eastAsia="Arial" w:hAnsi="Arial"/>
                <w:sz w:val="18"/>
                <w:szCs w:val="18"/>
                <w:color w:val="auto"/>
              </w:rPr>
              <w:t>Rules of Construction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195">
              <w:r>
                <w:rPr>
                  <w:rFonts w:ascii="Arial" w:cs="Arial" w:eastAsia="Arial" w:hAnsi="Arial"/>
                  <w:sz w:val="18"/>
                  <w:szCs w:val="18"/>
                  <w:color w:val="auto"/>
                  <w:w w:val="98"/>
                </w:rPr>
                <w:t>ARTICLE 2</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5"/>
              </w:rPr>
              <w:t>THE NOTES</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7760" w:type="dxa"/>
            <w:vAlign w:val="bottom"/>
          </w:tcPr>
          <w:p>
            <w:pPr>
              <w:ind w:left="420"/>
              <w:spacing w:after="0"/>
              <w:rPr>
                <w:sz w:val="20"/>
                <w:szCs w:val="20"/>
                <w:color w:val="auto"/>
              </w:rPr>
            </w:pPr>
            <w:r>
              <w:rPr>
                <w:rFonts w:ascii="Arial" w:cs="Arial" w:eastAsia="Arial" w:hAnsi="Arial"/>
                <w:sz w:val="18"/>
                <w:szCs w:val="18"/>
                <w:color w:val="auto"/>
              </w:rPr>
              <w:t>Form and Dating</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7760" w:type="dxa"/>
            <w:vAlign w:val="bottom"/>
          </w:tcPr>
          <w:p>
            <w:pPr>
              <w:ind w:left="420"/>
              <w:spacing w:after="0"/>
              <w:rPr>
                <w:sz w:val="20"/>
                <w:szCs w:val="20"/>
                <w:color w:val="auto"/>
              </w:rPr>
            </w:pPr>
            <w:r>
              <w:rPr>
                <w:rFonts w:ascii="Arial" w:cs="Arial" w:eastAsia="Arial" w:hAnsi="Arial"/>
                <w:sz w:val="18"/>
                <w:szCs w:val="18"/>
                <w:color w:val="auto"/>
              </w:rPr>
              <w:t>Execution and Authentication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7760" w:type="dxa"/>
            <w:vAlign w:val="bottom"/>
          </w:tcPr>
          <w:p>
            <w:pPr>
              <w:ind w:left="420"/>
              <w:spacing w:after="0"/>
              <w:rPr>
                <w:sz w:val="20"/>
                <w:szCs w:val="20"/>
                <w:color w:val="auto"/>
              </w:rPr>
            </w:pPr>
            <w:r>
              <w:rPr>
                <w:rFonts w:ascii="Arial" w:cs="Arial" w:eastAsia="Arial" w:hAnsi="Arial"/>
                <w:sz w:val="18"/>
                <w:szCs w:val="18"/>
                <w:color w:val="auto"/>
              </w:rPr>
              <w:t>Registrar and Paying Agent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7760" w:type="dxa"/>
            <w:vAlign w:val="bottom"/>
          </w:tcPr>
          <w:p>
            <w:pPr>
              <w:ind w:left="420"/>
              <w:spacing w:after="0"/>
              <w:rPr>
                <w:sz w:val="20"/>
                <w:szCs w:val="20"/>
                <w:color w:val="auto"/>
              </w:rPr>
            </w:pPr>
            <w:r>
              <w:rPr>
                <w:rFonts w:ascii="Arial" w:cs="Arial" w:eastAsia="Arial" w:hAnsi="Arial"/>
                <w:sz w:val="18"/>
                <w:szCs w:val="18"/>
                <w:color w:val="auto"/>
              </w:rPr>
              <w:t>Paying Agent to Hold Money in Trust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7760" w:type="dxa"/>
            <w:vAlign w:val="bottom"/>
          </w:tcPr>
          <w:p>
            <w:pPr>
              <w:ind w:left="420"/>
              <w:spacing w:after="0"/>
              <w:rPr>
                <w:sz w:val="20"/>
                <w:szCs w:val="20"/>
                <w:color w:val="auto"/>
              </w:rPr>
            </w:pPr>
            <w:r>
              <w:rPr>
                <w:rFonts w:ascii="Arial" w:cs="Arial" w:eastAsia="Arial" w:hAnsi="Arial"/>
                <w:sz w:val="18"/>
                <w:szCs w:val="18"/>
                <w:color w:val="auto"/>
              </w:rPr>
              <w:t>Holder Lists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7760" w:type="dxa"/>
            <w:vAlign w:val="bottom"/>
          </w:tcPr>
          <w:p>
            <w:pPr>
              <w:ind w:left="420"/>
              <w:spacing w:after="0"/>
              <w:rPr>
                <w:sz w:val="20"/>
                <w:szCs w:val="20"/>
                <w:color w:val="auto"/>
              </w:rPr>
            </w:pPr>
            <w:r>
              <w:rPr>
                <w:rFonts w:ascii="Arial" w:cs="Arial" w:eastAsia="Arial" w:hAnsi="Arial"/>
                <w:sz w:val="18"/>
                <w:szCs w:val="18"/>
                <w:color w:val="auto"/>
              </w:rPr>
              <w:t>Transfer and Exchange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7760" w:type="dxa"/>
            <w:vAlign w:val="bottom"/>
          </w:tcPr>
          <w:p>
            <w:pPr>
              <w:ind w:left="420"/>
              <w:spacing w:after="0"/>
              <w:rPr>
                <w:sz w:val="20"/>
                <w:szCs w:val="20"/>
                <w:color w:val="auto"/>
              </w:rPr>
            </w:pPr>
            <w:r>
              <w:rPr>
                <w:rFonts w:ascii="Arial" w:cs="Arial" w:eastAsia="Arial" w:hAnsi="Arial"/>
                <w:sz w:val="18"/>
                <w:szCs w:val="18"/>
                <w:color w:val="auto"/>
              </w:rPr>
              <w:t>Replacement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7760" w:type="dxa"/>
            <w:vAlign w:val="bottom"/>
          </w:tcPr>
          <w:p>
            <w:pPr>
              <w:ind w:left="420"/>
              <w:spacing w:after="0"/>
              <w:rPr>
                <w:sz w:val="20"/>
                <w:szCs w:val="20"/>
                <w:color w:val="auto"/>
              </w:rPr>
            </w:pPr>
            <w:r>
              <w:rPr>
                <w:rFonts w:ascii="Arial" w:cs="Arial" w:eastAsia="Arial" w:hAnsi="Arial"/>
                <w:sz w:val="18"/>
                <w:szCs w:val="18"/>
                <w:color w:val="auto"/>
              </w:rPr>
              <w:t>Outstanding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7760" w:type="dxa"/>
            <w:vAlign w:val="bottom"/>
          </w:tcPr>
          <w:p>
            <w:pPr>
              <w:ind w:left="420"/>
              <w:spacing w:after="0"/>
              <w:rPr>
                <w:sz w:val="20"/>
                <w:szCs w:val="20"/>
                <w:color w:val="auto"/>
              </w:rPr>
            </w:pPr>
            <w:r>
              <w:rPr>
                <w:rFonts w:ascii="Arial" w:cs="Arial" w:eastAsia="Arial" w:hAnsi="Arial"/>
                <w:sz w:val="18"/>
                <w:szCs w:val="18"/>
                <w:color w:val="auto"/>
              </w:rPr>
              <w:t>Treasury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7760" w:type="dxa"/>
            <w:vAlign w:val="bottom"/>
          </w:tcPr>
          <w:p>
            <w:pPr>
              <w:ind w:left="420"/>
              <w:spacing w:after="0"/>
              <w:rPr>
                <w:sz w:val="20"/>
                <w:szCs w:val="20"/>
                <w:color w:val="auto"/>
              </w:rPr>
            </w:pPr>
            <w:r>
              <w:rPr>
                <w:rFonts w:ascii="Arial" w:cs="Arial" w:eastAsia="Arial" w:hAnsi="Arial"/>
                <w:sz w:val="18"/>
                <w:szCs w:val="18"/>
                <w:color w:val="auto"/>
              </w:rPr>
              <w:t>Temporary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7760" w:type="dxa"/>
            <w:vAlign w:val="bottom"/>
          </w:tcPr>
          <w:p>
            <w:pPr>
              <w:ind w:left="420"/>
              <w:spacing w:after="0"/>
              <w:rPr>
                <w:sz w:val="20"/>
                <w:szCs w:val="20"/>
                <w:color w:val="auto"/>
              </w:rPr>
            </w:pPr>
            <w:r>
              <w:rPr>
                <w:rFonts w:ascii="Arial" w:cs="Arial" w:eastAsia="Arial" w:hAnsi="Arial"/>
                <w:sz w:val="18"/>
                <w:szCs w:val="18"/>
                <w:color w:val="auto"/>
              </w:rPr>
              <w:t>Cancelation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2.12</w:t>
            </w:r>
          </w:p>
        </w:tc>
        <w:tc>
          <w:tcPr>
            <w:tcW w:w="7760" w:type="dxa"/>
            <w:vAlign w:val="bottom"/>
          </w:tcPr>
          <w:p>
            <w:pPr>
              <w:ind w:left="420"/>
              <w:spacing w:after="0"/>
              <w:rPr>
                <w:sz w:val="20"/>
                <w:szCs w:val="20"/>
                <w:color w:val="auto"/>
              </w:rPr>
            </w:pPr>
            <w:r>
              <w:rPr>
                <w:rFonts w:ascii="Arial" w:cs="Arial" w:eastAsia="Arial" w:hAnsi="Arial"/>
                <w:sz w:val="18"/>
                <w:szCs w:val="18"/>
                <w:color w:val="auto"/>
              </w:rPr>
              <w:t>Defaulted Interest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2.13</w:t>
            </w:r>
          </w:p>
        </w:tc>
        <w:tc>
          <w:tcPr>
            <w:tcW w:w="7760" w:type="dxa"/>
            <w:vAlign w:val="bottom"/>
          </w:tcPr>
          <w:p>
            <w:pPr>
              <w:ind w:left="420"/>
              <w:spacing w:after="0"/>
              <w:rPr>
                <w:sz w:val="20"/>
                <w:szCs w:val="20"/>
                <w:color w:val="auto"/>
              </w:rPr>
            </w:pPr>
            <w:r>
              <w:rPr>
                <w:rFonts w:ascii="Arial" w:cs="Arial" w:eastAsia="Arial" w:hAnsi="Arial"/>
                <w:sz w:val="18"/>
                <w:szCs w:val="18"/>
                <w:color w:val="auto"/>
              </w:rPr>
              <w:t>Issuance of Additional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212">
              <w:r>
                <w:rPr>
                  <w:rFonts w:ascii="Arial" w:cs="Arial" w:eastAsia="Arial" w:hAnsi="Arial"/>
                  <w:sz w:val="18"/>
                  <w:szCs w:val="18"/>
                  <w:color w:val="auto"/>
                  <w:w w:val="98"/>
                </w:rPr>
                <w:t>ARTICLE 3</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Arial" w:cs="Arial" w:eastAsia="Arial" w:hAnsi="Arial"/>
                <w:sz w:val="18"/>
                <w:szCs w:val="18"/>
                <w:color w:val="auto"/>
                <w:w w:val="95"/>
              </w:rPr>
              <w:t>REDEMPTION AND PREPAYMENT</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7760" w:type="dxa"/>
            <w:vAlign w:val="bottom"/>
          </w:tcPr>
          <w:p>
            <w:pPr>
              <w:ind w:left="420"/>
              <w:spacing w:after="0"/>
              <w:rPr>
                <w:sz w:val="20"/>
                <w:szCs w:val="20"/>
                <w:color w:val="auto"/>
              </w:rPr>
            </w:pPr>
            <w:r>
              <w:rPr>
                <w:rFonts w:ascii="Arial" w:cs="Arial" w:eastAsia="Arial" w:hAnsi="Arial"/>
                <w:sz w:val="18"/>
                <w:szCs w:val="18"/>
                <w:color w:val="auto"/>
              </w:rPr>
              <w:t>Notices to Trustee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7760" w:type="dxa"/>
            <w:vAlign w:val="bottom"/>
          </w:tcPr>
          <w:p>
            <w:pPr>
              <w:ind w:left="420"/>
              <w:spacing w:after="0"/>
              <w:rPr>
                <w:sz w:val="20"/>
                <w:szCs w:val="20"/>
                <w:color w:val="auto"/>
              </w:rPr>
            </w:pPr>
            <w:r>
              <w:rPr>
                <w:rFonts w:ascii="Arial" w:cs="Arial" w:eastAsia="Arial" w:hAnsi="Arial"/>
                <w:sz w:val="18"/>
                <w:szCs w:val="18"/>
                <w:color w:val="auto"/>
              </w:rPr>
              <w:t>Selection of Notes to Be Redeemed or Purchased</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776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7760" w:type="dxa"/>
            <w:vAlign w:val="bottom"/>
          </w:tcPr>
          <w:p>
            <w:pPr>
              <w:ind w:left="420"/>
              <w:spacing w:after="0"/>
              <w:rPr>
                <w:sz w:val="20"/>
                <w:szCs w:val="20"/>
                <w:color w:val="auto"/>
              </w:rPr>
            </w:pPr>
            <w:r>
              <w:rPr>
                <w:rFonts w:ascii="Arial" w:cs="Arial" w:eastAsia="Arial" w:hAnsi="Arial"/>
                <w:sz w:val="18"/>
                <w:szCs w:val="18"/>
                <w:color w:val="auto"/>
              </w:rPr>
              <w:t>Effect of Notice of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7760" w:type="dxa"/>
            <w:vAlign w:val="bottom"/>
          </w:tcPr>
          <w:p>
            <w:pPr>
              <w:ind w:left="420"/>
              <w:spacing w:after="0"/>
              <w:rPr>
                <w:sz w:val="20"/>
                <w:szCs w:val="20"/>
                <w:color w:val="auto"/>
              </w:rPr>
            </w:pPr>
            <w:r>
              <w:rPr>
                <w:rFonts w:ascii="Arial" w:cs="Arial" w:eastAsia="Arial" w:hAnsi="Arial"/>
                <w:sz w:val="18"/>
                <w:szCs w:val="18"/>
                <w:color w:val="auto"/>
              </w:rPr>
              <w:t>Deposit of Redemption or Purchase Price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7760" w:type="dxa"/>
            <w:vAlign w:val="bottom"/>
          </w:tcPr>
          <w:p>
            <w:pPr>
              <w:ind w:left="420"/>
              <w:spacing w:after="0"/>
              <w:rPr>
                <w:sz w:val="20"/>
                <w:szCs w:val="20"/>
                <w:color w:val="auto"/>
              </w:rPr>
            </w:pPr>
            <w:r>
              <w:rPr>
                <w:rFonts w:ascii="Arial" w:cs="Arial" w:eastAsia="Arial" w:hAnsi="Arial"/>
                <w:sz w:val="18"/>
                <w:szCs w:val="18"/>
                <w:color w:val="auto"/>
              </w:rPr>
              <w:t>Notes Redeemed or Purchased in Part</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7760" w:type="dxa"/>
            <w:vAlign w:val="bottom"/>
          </w:tcPr>
          <w:p>
            <w:pPr>
              <w:ind w:left="420"/>
              <w:spacing w:after="0"/>
              <w:rPr>
                <w:sz w:val="20"/>
                <w:szCs w:val="20"/>
                <w:color w:val="auto"/>
              </w:rPr>
            </w:pPr>
            <w:r>
              <w:rPr>
                <w:rFonts w:ascii="Arial" w:cs="Arial" w:eastAsia="Arial" w:hAnsi="Arial"/>
                <w:sz w:val="18"/>
                <w:szCs w:val="18"/>
                <w:color w:val="auto"/>
              </w:rPr>
              <w:t>Optional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7760" w:type="dxa"/>
            <w:vAlign w:val="bottom"/>
          </w:tcPr>
          <w:p>
            <w:pPr>
              <w:ind w:left="420"/>
              <w:spacing w:after="0"/>
              <w:rPr>
                <w:sz w:val="20"/>
                <w:szCs w:val="20"/>
                <w:color w:val="auto"/>
              </w:rPr>
            </w:pPr>
            <w:r>
              <w:rPr>
                <w:rFonts w:ascii="Arial" w:cs="Arial" w:eastAsia="Arial" w:hAnsi="Arial"/>
                <w:sz w:val="18"/>
                <w:szCs w:val="18"/>
                <w:color w:val="auto"/>
              </w:rPr>
              <w:t>Mandatory Redemption</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3.09</w:t>
            </w:r>
          </w:p>
        </w:tc>
        <w:tc>
          <w:tcPr>
            <w:tcW w:w="7760" w:type="dxa"/>
            <w:vAlign w:val="bottom"/>
          </w:tcPr>
          <w:p>
            <w:pPr>
              <w:ind w:left="420"/>
              <w:spacing w:after="0"/>
              <w:rPr>
                <w:sz w:val="20"/>
                <w:szCs w:val="20"/>
                <w:color w:val="auto"/>
              </w:rPr>
            </w:pPr>
            <w:r>
              <w:rPr>
                <w:rFonts w:ascii="Arial" w:cs="Arial" w:eastAsia="Arial" w:hAnsi="Arial"/>
                <w:sz w:val="18"/>
                <w:szCs w:val="18"/>
                <w:color w:val="auto"/>
              </w:rPr>
              <w:t>Mandatory Disposition or Redemption Pursuant to Gaming Laws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3.10</w:t>
            </w:r>
          </w:p>
        </w:tc>
        <w:tc>
          <w:tcPr>
            <w:tcW w:w="7760" w:type="dxa"/>
            <w:vAlign w:val="bottom"/>
          </w:tcPr>
          <w:p>
            <w:pPr>
              <w:ind w:left="420"/>
              <w:spacing w:after="0"/>
              <w:rPr>
                <w:sz w:val="20"/>
                <w:szCs w:val="20"/>
                <w:color w:val="auto"/>
              </w:rPr>
            </w:pPr>
            <w:r>
              <w:rPr>
                <w:rFonts w:ascii="Arial" w:cs="Arial" w:eastAsia="Arial" w:hAnsi="Arial"/>
                <w:sz w:val="18"/>
                <w:szCs w:val="18"/>
                <w:color w:val="auto"/>
              </w:rPr>
              <w:t>Redemption Upon Changes in Withholding Taxes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39</w:t>
            </w:r>
          </w:p>
        </w:tc>
      </w:tr>
      <w:tr>
        <w:trPr>
          <w:trHeight w:val="445"/>
        </w:trPr>
        <w:tc>
          <w:tcPr>
            <w:tcW w:w="1300" w:type="dxa"/>
            <w:vAlign w:val="bottom"/>
          </w:tcPr>
          <w:p>
            <w:pPr>
              <w:spacing w:after="0"/>
              <w:rPr>
                <w:sz w:val="24"/>
                <w:szCs w:val="24"/>
                <w:color w:val="auto"/>
              </w:rPr>
            </w:pPr>
          </w:p>
        </w:tc>
        <w:tc>
          <w:tcPr>
            <w:tcW w:w="7760" w:type="dxa"/>
            <w:vAlign w:val="bottom"/>
          </w:tcPr>
          <w:p>
            <w:pPr>
              <w:jc w:val="center"/>
              <w:ind w:left="850"/>
              <w:spacing w:after="0"/>
              <w:rPr>
                <w:rFonts w:ascii="Arial" w:cs="Arial" w:eastAsia="Arial" w:hAnsi="Arial"/>
                <w:sz w:val="18"/>
                <w:szCs w:val="18"/>
                <w:color w:val="auto"/>
                <w:w w:val="98"/>
              </w:rPr>
            </w:pPr>
            <w:hyperlink w:anchor="page219">
              <w:r>
                <w:rPr>
                  <w:rFonts w:ascii="Arial" w:cs="Arial" w:eastAsia="Arial" w:hAnsi="Arial"/>
                  <w:sz w:val="18"/>
                  <w:szCs w:val="18"/>
                  <w:color w:val="auto"/>
                  <w:w w:val="98"/>
                </w:rPr>
                <w:t>ARTICLE 4</w:t>
              </w:r>
            </w:hyperlink>
          </w:p>
        </w:tc>
        <w:tc>
          <w:tcPr>
            <w:tcW w:w="23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760" w:type="dxa"/>
            <w:vAlign w:val="bottom"/>
          </w:tcPr>
          <w:p>
            <w:pPr>
              <w:jc w:val="center"/>
              <w:ind w:left="890"/>
              <w:spacing w:after="0"/>
              <w:rPr>
                <w:sz w:val="20"/>
                <w:szCs w:val="20"/>
                <w:color w:val="auto"/>
              </w:rPr>
            </w:pPr>
            <w:r>
              <w:rPr>
                <w:rFonts w:ascii="Arial" w:cs="Arial" w:eastAsia="Arial" w:hAnsi="Arial"/>
                <w:sz w:val="18"/>
                <w:szCs w:val="18"/>
                <w:color w:val="auto"/>
                <w:w w:val="98"/>
              </w:rPr>
              <w:t>COVENANTS</w:t>
            </w:r>
          </w:p>
        </w:tc>
        <w:tc>
          <w:tcPr>
            <w:tcW w:w="232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7760" w:type="dxa"/>
            <w:vAlign w:val="bottom"/>
          </w:tcPr>
          <w:p>
            <w:pPr>
              <w:ind w:left="420"/>
              <w:spacing w:after="0"/>
              <w:rPr>
                <w:sz w:val="20"/>
                <w:szCs w:val="20"/>
                <w:color w:val="auto"/>
              </w:rPr>
            </w:pPr>
            <w:r>
              <w:rPr>
                <w:rFonts w:ascii="Arial" w:cs="Arial" w:eastAsia="Arial" w:hAnsi="Arial"/>
                <w:sz w:val="18"/>
                <w:szCs w:val="18"/>
                <w:color w:val="auto"/>
              </w:rPr>
              <w:t>Payment of Notes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7760" w:type="dxa"/>
            <w:vAlign w:val="bottom"/>
          </w:tcPr>
          <w:p>
            <w:pPr>
              <w:ind w:left="420"/>
              <w:spacing w:after="0"/>
              <w:rPr>
                <w:sz w:val="20"/>
                <w:szCs w:val="20"/>
                <w:color w:val="auto"/>
              </w:rPr>
            </w:pPr>
            <w:r>
              <w:rPr>
                <w:rFonts w:ascii="Arial" w:cs="Arial" w:eastAsia="Arial" w:hAnsi="Arial"/>
                <w:sz w:val="18"/>
                <w:szCs w:val="18"/>
                <w:color w:val="auto"/>
              </w:rPr>
              <w:t>Maintenance of Office or Agency</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7760" w:type="dxa"/>
            <w:vAlign w:val="bottom"/>
          </w:tcPr>
          <w:p>
            <w:pPr>
              <w:ind w:left="420"/>
              <w:spacing w:after="0"/>
              <w:rPr>
                <w:sz w:val="20"/>
                <w:szCs w:val="20"/>
                <w:color w:val="auto"/>
              </w:rPr>
            </w:pPr>
            <w:r>
              <w:rPr>
                <w:rFonts w:ascii="Arial" w:cs="Arial" w:eastAsia="Arial" w:hAnsi="Arial"/>
                <w:sz w:val="18"/>
                <w:szCs w:val="18"/>
                <w:color w:val="auto"/>
              </w:rPr>
              <w:t>Reports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7760" w:type="dxa"/>
            <w:vAlign w:val="bottom"/>
          </w:tcPr>
          <w:p>
            <w:pPr>
              <w:ind w:left="420"/>
              <w:spacing w:after="0"/>
              <w:rPr>
                <w:sz w:val="20"/>
                <w:szCs w:val="20"/>
                <w:color w:val="auto"/>
              </w:rPr>
            </w:pPr>
            <w:r>
              <w:rPr>
                <w:rFonts w:ascii="Arial" w:cs="Arial" w:eastAsia="Arial" w:hAnsi="Arial"/>
                <w:sz w:val="18"/>
                <w:szCs w:val="18"/>
                <w:color w:val="auto"/>
              </w:rPr>
              <w:t>Compliance Certificate</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7760" w:type="dxa"/>
            <w:vAlign w:val="bottom"/>
          </w:tcPr>
          <w:p>
            <w:pPr>
              <w:ind w:left="420"/>
              <w:spacing w:after="0"/>
              <w:rPr>
                <w:sz w:val="20"/>
                <w:szCs w:val="20"/>
                <w:color w:val="auto"/>
              </w:rPr>
            </w:pPr>
            <w:r>
              <w:rPr>
                <w:rFonts w:ascii="Arial" w:cs="Arial" w:eastAsia="Arial" w:hAnsi="Arial"/>
                <w:sz w:val="18"/>
                <w:szCs w:val="18"/>
                <w:color w:val="auto"/>
              </w:rPr>
              <w:t>Taxes</w:t>
            </w:r>
          </w:p>
        </w:tc>
        <w:tc>
          <w:tcPr>
            <w:tcW w:w="2320" w:type="dxa"/>
            <w:vAlign w:val="bottom"/>
          </w:tcPr>
          <w:p>
            <w:pPr>
              <w:jc w:val="right"/>
              <w:ind w:right="9"/>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ectPr>
          <w:pgSz w:w="11900" w:h="16838" w:orient="portrait"/>
          <w:cols w:equalWidth="0" w:num="1">
            <w:col w:w="11380"/>
          </w:cols>
          <w:pgMar w:left="280" w:top="8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854" w:right="2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85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854"/>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8580" w:type="dxa"/>
            <w:vAlign w:val="bottom"/>
          </w:tcPr>
          <w:p>
            <w:pPr>
              <w:ind w:left="420"/>
              <w:spacing w:after="0"/>
              <w:rPr>
                <w:sz w:val="20"/>
                <w:szCs w:val="20"/>
                <w:color w:val="auto"/>
              </w:rPr>
            </w:pPr>
            <w:r>
              <w:rPr>
                <w:rFonts w:ascii="Arial" w:cs="Arial" w:eastAsia="Arial" w:hAnsi="Arial"/>
                <w:sz w:val="18"/>
                <w:szCs w:val="18"/>
                <w:color w:val="auto"/>
              </w:rPr>
              <w:t>Stay, Extension and Usury Laws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8580" w:type="dxa"/>
            <w:vAlign w:val="bottom"/>
          </w:tcPr>
          <w:p>
            <w:pPr>
              <w:ind w:left="420"/>
              <w:spacing w:after="0"/>
              <w:rPr>
                <w:sz w:val="20"/>
                <w:szCs w:val="20"/>
                <w:color w:val="auto"/>
              </w:rPr>
            </w:pPr>
            <w:r>
              <w:rPr>
                <w:rFonts w:ascii="Arial" w:cs="Arial" w:eastAsia="Arial" w:hAnsi="Arial"/>
                <w:sz w:val="18"/>
                <w:szCs w:val="18"/>
                <w:color w:val="auto"/>
              </w:rPr>
              <w:t>Corporate and Organizational Existence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4.08</w:t>
            </w:r>
          </w:p>
        </w:tc>
        <w:tc>
          <w:tcPr>
            <w:tcW w:w="8580" w:type="dxa"/>
            <w:vAlign w:val="bottom"/>
          </w:tcPr>
          <w:p>
            <w:pPr>
              <w:ind w:left="420"/>
              <w:spacing w:after="0"/>
              <w:rPr>
                <w:sz w:val="20"/>
                <w:szCs w:val="20"/>
                <w:color w:val="auto"/>
              </w:rPr>
            </w:pPr>
            <w:r>
              <w:rPr>
                <w:rFonts w:ascii="Arial" w:cs="Arial" w:eastAsia="Arial" w:hAnsi="Arial"/>
                <w:sz w:val="18"/>
                <w:szCs w:val="18"/>
                <w:color w:val="auto"/>
              </w:rPr>
              <w:t>Offer to Purchase Upon Change of Control Triggering Event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4.09</w:t>
            </w:r>
          </w:p>
        </w:tc>
        <w:tc>
          <w:tcPr>
            <w:tcW w:w="8580" w:type="dxa"/>
            <w:vAlign w:val="bottom"/>
          </w:tcPr>
          <w:p>
            <w:pPr>
              <w:ind w:left="420"/>
              <w:spacing w:after="0"/>
              <w:rPr>
                <w:sz w:val="20"/>
                <w:szCs w:val="20"/>
                <w:color w:val="auto"/>
              </w:rPr>
            </w:pPr>
            <w:r>
              <w:rPr>
                <w:rFonts w:ascii="Arial" w:cs="Arial" w:eastAsia="Arial" w:hAnsi="Arial"/>
                <w:sz w:val="18"/>
                <w:szCs w:val="18"/>
                <w:color w:val="auto"/>
              </w:rPr>
              <w:t>Additional Amounts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4.10</w:t>
            </w:r>
          </w:p>
        </w:tc>
        <w:tc>
          <w:tcPr>
            <w:tcW w:w="8580" w:type="dxa"/>
            <w:vAlign w:val="bottom"/>
          </w:tcPr>
          <w:p>
            <w:pPr>
              <w:ind w:left="420"/>
              <w:spacing w:after="0"/>
              <w:rPr>
                <w:sz w:val="20"/>
                <w:szCs w:val="20"/>
                <w:color w:val="auto"/>
              </w:rPr>
            </w:pPr>
            <w:r>
              <w:rPr>
                <w:rFonts w:ascii="Arial" w:cs="Arial" w:eastAsia="Arial" w:hAnsi="Arial"/>
                <w:sz w:val="18"/>
                <w:szCs w:val="18"/>
                <w:color w:val="auto"/>
              </w:rPr>
              <w:t>Special Put Option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49</w:t>
            </w:r>
          </w:p>
        </w:tc>
      </w:tr>
      <w:tr>
        <w:trPr>
          <w:trHeight w:val="337"/>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229">
              <w:r>
                <w:rPr>
                  <w:rFonts w:ascii="Arial" w:cs="Arial" w:eastAsia="Arial" w:hAnsi="Arial"/>
                  <w:sz w:val="18"/>
                  <w:szCs w:val="18"/>
                  <w:color w:val="auto"/>
                  <w:w w:val="98"/>
                </w:rPr>
                <w:t>ARTICLE 5</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0"/>
              </w:rPr>
              <w:t>SUCCESSORS</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580" w:type="dxa"/>
            <w:vAlign w:val="bottom"/>
          </w:tcPr>
          <w:p>
            <w:pPr>
              <w:ind w:left="420"/>
              <w:spacing w:after="0"/>
              <w:rPr>
                <w:sz w:val="20"/>
                <w:szCs w:val="20"/>
                <w:color w:val="auto"/>
              </w:rPr>
            </w:pPr>
            <w:r>
              <w:rPr>
                <w:rFonts w:ascii="Arial" w:cs="Arial" w:eastAsia="Arial" w:hAnsi="Arial"/>
                <w:sz w:val="18"/>
                <w:szCs w:val="18"/>
                <w:color w:val="auto"/>
              </w:rPr>
              <w:t>Merger, Consolidation or Sale of Assets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580" w:type="dxa"/>
            <w:vAlign w:val="bottom"/>
          </w:tcPr>
          <w:p>
            <w:pPr>
              <w:ind w:left="420"/>
              <w:spacing w:after="0"/>
              <w:rPr>
                <w:sz w:val="20"/>
                <w:szCs w:val="20"/>
                <w:color w:val="auto"/>
              </w:rPr>
            </w:pPr>
            <w:r>
              <w:rPr>
                <w:rFonts w:ascii="Arial" w:cs="Arial" w:eastAsia="Arial" w:hAnsi="Arial"/>
                <w:sz w:val="18"/>
                <w:szCs w:val="18"/>
                <w:color w:val="auto"/>
              </w:rPr>
              <w:t>Successor Corporation Substituted</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51</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230">
              <w:r>
                <w:rPr>
                  <w:rFonts w:ascii="Arial" w:cs="Arial" w:eastAsia="Arial" w:hAnsi="Arial"/>
                  <w:sz w:val="18"/>
                  <w:szCs w:val="18"/>
                  <w:color w:val="auto"/>
                  <w:w w:val="98"/>
                </w:rPr>
                <w:t>ARTICLE 6</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5"/>
              </w:rPr>
              <w:t>DEFAULTS AND REMEDIES</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580" w:type="dxa"/>
            <w:vAlign w:val="bottom"/>
          </w:tcPr>
          <w:p>
            <w:pPr>
              <w:ind w:left="420"/>
              <w:spacing w:after="0"/>
              <w:rPr>
                <w:sz w:val="20"/>
                <w:szCs w:val="20"/>
                <w:color w:val="auto"/>
              </w:rPr>
            </w:pPr>
            <w:r>
              <w:rPr>
                <w:rFonts w:ascii="Arial" w:cs="Arial" w:eastAsia="Arial" w:hAnsi="Arial"/>
                <w:sz w:val="18"/>
                <w:szCs w:val="18"/>
                <w:color w:val="auto"/>
              </w:rPr>
              <w:t>Events of Default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8580" w:type="dxa"/>
            <w:vAlign w:val="bottom"/>
          </w:tcPr>
          <w:p>
            <w:pPr>
              <w:ind w:left="420"/>
              <w:spacing w:after="0"/>
              <w:rPr>
                <w:sz w:val="20"/>
                <w:szCs w:val="20"/>
                <w:color w:val="auto"/>
              </w:rPr>
            </w:pPr>
            <w:r>
              <w:rPr>
                <w:rFonts w:ascii="Arial" w:cs="Arial" w:eastAsia="Arial" w:hAnsi="Arial"/>
                <w:sz w:val="18"/>
                <w:szCs w:val="18"/>
                <w:color w:val="auto"/>
              </w:rPr>
              <w:t>Acceleration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8580" w:type="dxa"/>
            <w:vAlign w:val="bottom"/>
          </w:tcPr>
          <w:p>
            <w:pPr>
              <w:ind w:left="420"/>
              <w:spacing w:after="0"/>
              <w:rPr>
                <w:sz w:val="20"/>
                <w:szCs w:val="20"/>
                <w:color w:val="auto"/>
              </w:rPr>
            </w:pPr>
            <w:r>
              <w:rPr>
                <w:rFonts w:ascii="Arial" w:cs="Arial" w:eastAsia="Arial" w:hAnsi="Arial"/>
                <w:sz w:val="18"/>
                <w:szCs w:val="18"/>
                <w:color w:val="auto"/>
              </w:rPr>
              <w:t>Other Remedies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8580" w:type="dxa"/>
            <w:vAlign w:val="bottom"/>
          </w:tcPr>
          <w:p>
            <w:pPr>
              <w:ind w:left="420"/>
              <w:spacing w:after="0"/>
              <w:rPr>
                <w:sz w:val="20"/>
                <w:szCs w:val="20"/>
                <w:color w:val="auto"/>
              </w:rPr>
            </w:pPr>
            <w:r>
              <w:rPr>
                <w:rFonts w:ascii="Arial" w:cs="Arial" w:eastAsia="Arial" w:hAnsi="Arial"/>
                <w:sz w:val="18"/>
                <w:szCs w:val="18"/>
                <w:color w:val="auto"/>
              </w:rPr>
              <w:t>Waiver of Defaults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8580" w:type="dxa"/>
            <w:vAlign w:val="bottom"/>
          </w:tcPr>
          <w:p>
            <w:pPr>
              <w:ind w:left="420"/>
              <w:spacing w:after="0"/>
              <w:rPr>
                <w:sz w:val="20"/>
                <w:szCs w:val="20"/>
                <w:color w:val="auto"/>
              </w:rPr>
            </w:pPr>
            <w:r>
              <w:rPr>
                <w:rFonts w:ascii="Arial" w:cs="Arial" w:eastAsia="Arial" w:hAnsi="Arial"/>
                <w:sz w:val="18"/>
                <w:szCs w:val="18"/>
                <w:color w:val="auto"/>
              </w:rPr>
              <w:t>Control by Majority</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8580" w:type="dxa"/>
            <w:vAlign w:val="bottom"/>
          </w:tcPr>
          <w:p>
            <w:pPr>
              <w:ind w:left="420"/>
              <w:spacing w:after="0"/>
              <w:rPr>
                <w:sz w:val="20"/>
                <w:szCs w:val="20"/>
                <w:color w:val="auto"/>
              </w:rPr>
            </w:pPr>
            <w:r>
              <w:rPr>
                <w:rFonts w:ascii="Arial" w:cs="Arial" w:eastAsia="Arial" w:hAnsi="Arial"/>
                <w:sz w:val="18"/>
                <w:szCs w:val="18"/>
                <w:color w:val="auto"/>
              </w:rPr>
              <w:t>Limitation on Suits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8580" w:type="dxa"/>
            <w:vAlign w:val="bottom"/>
          </w:tcPr>
          <w:p>
            <w:pPr>
              <w:ind w:left="420"/>
              <w:spacing w:after="0"/>
              <w:rPr>
                <w:sz w:val="20"/>
                <w:szCs w:val="20"/>
                <w:color w:val="auto"/>
              </w:rPr>
            </w:pPr>
            <w:r>
              <w:rPr>
                <w:rFonts w:ascii="Arial" w:cs="Arial" w:eastAsia="Arial" w:hAnsi="Arial"/>
                <w:sz w:val="18"/>
                <w:szCs w:val="18"/>
                <w:color w:val="auto"/>
              </w:rPr>
              <w:t>Rights of Holders of Notes to Receive Payment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8580" w:type="dxa"/>
            <w:vAlign w:val="bottom"/>
          </w:tcPr>
          <w:p>
            <w:pPr>
              <w:ind w:left="420"/>
              <w:spacing w:after="0"/>
              <w:rPr>
                <w:sz w:val="20"/>
                <w:szCs w:val="20"/>
                <w:color w:val="auto"/>
              </w:rPr>
            </w:pPr>
            <w:r>
              <w:rPr>
                <w:rFonts w:ascii="Arial" w:cs="Arial" w:eastAsia="Arial" w:hAnsi="Arial"/>
                <w:sz w:val="18"/>
                <w:szCs w:val="18"/>
                <w:color w:val="auto"/>
              </w:rPr>
              <w:t>Collection Suit by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8580" w:type="dxa"/>
            <w:vAlign w:val="bottom"/>
          </w:tcPr>
          <w:p>
            <w:pPr>
              <w:ind w:left="420"/>
              <w:spacing w:after="0"/>
              <w:rPr>
                <w:sz w:val="20"/>
                <w:szCs w:val="20"/>
                <w:color w:val="auto"/>
              </w:rPr>
            </w:pPr>
            <w:r>
              <w:rPr>
                <w:rFonts w:ascii="Arial" w:cs="Arial" w:eastAsia="Arial" w:hAnsi="Arial"/>
                <w:sz w:val="18"/>
                <w:szCs w:val="18"/>
                <w:color w:val="auto"/>
              </w:rPr>
              <w:t>Trustee May File Proofs of Claim</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8580" w:type="dxa"/>
            <w:vAlign w:val="bottom"/>
          </w:tcPr>
          <w:p>
            <w:pPr>
              <w:ind w:left="420"/>
              <w:spacing w:after="0"/>
              <w:rPr>
                <w:sz w:val="20"/>
                <w:szCs w:val="20"/>
                <w:color w:val="auto"/>
              </w:rPr>
            </w:pPr>
            <w:r>
              <w:rPr>
                <w:rFonts w:ascii="Arial" w:cs="Arial" w:eastAsia="Arial" w:hAnsi="Arial"/>
                <w:sz w:val="18"/>
                <w:szCs w:val="18"/>
                <w:color w:val="auto"/>
              </w:rPr>
              <w:t>Priorities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6.11</w:t>
            </w:r>
          </w:p>
        </w:tc>
        <w:tc>
          <w:tcPr>
            <w:tcW w:w="8580" w:type="dxa"/>
            <w:vAlign w:val="bottom"/>
          </w:tcPr>
          <w:p>
            <w:pPr>
              <w:ind w:left="420"/>
              <w:spacing w:after="0"/>
              <w:rPr>
                <w:sz w:val="20"/>
                <w:szCs w:val="20"/>
                <w:color w:val="auto"/>
              </w:rPr>
            </w:pPr>
            <w:r>
              <w:rPr>
                <w:rFonts w:ascii="Arial" w:cs="Arial" w:eastAsia="Arial" w:hAnsi="Arial"/>
                <w:sz w:val="18"/>
                <w:szCs w:val="18"/>
                <w:color w:val="auto"/>
              </w:rPr>
              <w:t>Undertaking for Costs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57</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236">
              <w:r>
                <w:rPr>
                  <w:rFonts w:ascii="Arial" w:cs="Arial" w:eastAsia="Arial" w:hAnsi="Arial"/>
                  <w:sz w:val="18"/>
                  <w:szCs w:val="18"/>
                  <w:color w:val="auto"/>
                  <w:w w:val="98"/>
                </w:rPr>
                <w:t>ARTICLE 7</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2"/>
              </w:rPr>
              <w:t>TRUSTEE</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8580" w:type="dxa"/>
            <w:vAlign w:val="bottom"/>
          </w:tcPr>
          <w:p>
            <w:pPr>
              <w:ind w:left="420"/>
              <w:spacing w:after="0"/>
              <w:rPr>
                <w:sz w:val="20"/>
                <w:szCs w:val="20"/>
                <w:color w:val="auto"/>
              </w:rPr>
            </w:pPr>
            <w:r>
              <w:rPr>
                <w:rFonts w:ascii="Arial" w:cs="Arial" w:eastAsia="Arial" w:hAnsi="Arial"/>
                <w:sz w:val="18"/>
                <w:szCs w:val="18"/>
                <w:color w:val="auto"/>
              </w:rPr>
              <w:t>Duties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57</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8580" w:type="dxa"/>
            <w:vAlign w:val="bottom"/>
          </w:tcPr>
          <w:p>
            <w:pPr>
              <w:ind w:left="420"/>
              <w:spacing w:after="0"/>
              <w:rPr>
                <w:sz w:val="20"/>
                <w:szCs w:val="20"/>
                <w:color w:val="auto"/>
              </w:rPr>
            </w:pPr>
            <w:r>
              <w:rPr>
                <w:rFonts w:ascii="Arial" w:cs="Arial" w:eastAsia="Arial" w:hAnsi="Arial"/>
                <w:sz w:val="18"/>
                <w:szCs w:val="18"/>
                <w:color w:val="auto"/>
              </w:rPr>
              <w:t>Rights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58</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8580" w:type="dxa"/>
            <w:vAlign w:val="bottom"/>
          </w:tcPr>
          <w:p>
            <w:pPr>
              <w:ind w:left="420"/>
              <w:spacing w:after="0"/>
              <w:rPr>
                <w:sz w:val="20"/>
                <w:szCs w:val="20"/>
                <w:color w:val="auto"/>
              </w:rPr>
            </w:pPr>
            <w:r>
              <w:rPr>
                <w:rFonts w:ascii="Arial" w:cs="Arial" w:eastAsia="Arial" w:hAnsi="Arial"/>
                <w:sz w:val="18"/>
                <w:szCs w:val="18"/>
                <w:color w:val="auto"/>
              </w:rPr>
              <w:t>Individual Rights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8580" w:type="dxa"/>
            <w:vAlign w:val="bottom"/>
          </w:tcPr>
          <w:p>
            <w:pPr>
              <w:ind w:left="420"/>
              <w:spacing w:after="0"/>
              <w:rPr>
                <w:sz w:val="20"/>
                <w:szCs w:val="20"/>
                <w:color w:val="auto"/>
              </w:rPr>
            </w:pPr>
            <w:r>
              <w:rPr>
                <w:rFonts w:ascii="Arial" w:cs="Arial" w:eastAsia="Arial" w:hAnsi="Arial"/>
                <w:sz w:val="18"/>
                <w:szCs w:val="18"/>
                <w:color w:val="auto"/>
              </w:rPr>
              <w:t>Trustee's Disclaimer</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8580" w:type="dxa"/>
            <w:vAlign w:val="bottom"/>
          </w:tcPr>
          <w:p>
            <w:pPr>
              <w:ind w:left="420"/>
              <w:spacing w:after="0"/>
              <w:rPr>
                <w:sz w:val="20"/>
                <w:szCs w:val="20"/>
                <w:color w:val="auto"/>
              </w:rPr>
            </w:pPr>
            <w:r>
              <w:rPr>
                <w:rFonts w:ascii="Arial" w:cs="Arial" w:eastAsia="Arial" w:hAnsi="Arial"/>
                <w:sz w:val="18"/>
                <w:szCs w:val="18"/>
                <w:color w:val="auto"/>
              </w:rPr>
              <w:t>Notice of Defaults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7.06</w:t>
            </w:r>
          </w:p>
        </w:tc>
        <w:tc>
          <w:tcPr>
            <w:tcW w:w="8580" w:type="dxa"/>
            <w:vAlign w:val="bottom"/>
          </w:tcPr>
          <w:p>
            <w:pPr>
              <w:ind w:left="420"/>
              <w:spacing w:after="0"/>
              <w:rPr>
                <w:sz w:val="20"/>
                <w:szCs w:val="20"/>
                <w:color w:val="auto"/>
              </w:rPr>
            </w:pPr>
            <w:r>
              <w:rPr>
                <w:rFonts w:ascii="Arial" w:cs="Arial" w:eastAsia="Arial" w:hAnsi="Arial"/>
                <w:sz w:val="18"/>
                <w:szCs w:val="18"/>
                <w:color w:val="auto"/>
              </w:rPr>
              <w:t>Compensation and Indemnity</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7.07</w:t>
            </w:r>
          </w:p>
        </w:tc>
        <w:tc>
          <w:tcPr>
            <w:tcW w:w="8580" w:type="dxa"/>
            <w:vAlign w:val="bottom"/>
          </w:tcPr>
          <w:p>
            <w:pPr>
              <w:ind w:left="420"/>
              <w:spacing w:after="0"/>
              <w:rPr>
                <w:sz w:val="20"/>
                <w:szCs w:val="20"/>
                <w:color w:val="auto"/>
              </w:rPr>
            </w:pPr>
            <w:r>
              <w:rPr>
                <w:rFonts w:ascii="Arial" w:cs="Arial" w:eastAsia="Arial" w:hAnsi="Arial"/>
                <w:sz w:val="18"/>
                <w:szCs w:val="18"/>
                <w:color w:val="auto"/>
              </w:rPr>
              <w:t>Replacement of Trustee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61</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7.08</w:t>
            </w:r>
          </w:p>
        </w:tc>
        <w:tc>
          <w:tcPr>
            <w:tcW w:w="8580" w:type="dxa"/>
            <w:vAlign w:val="bottom"/>
          </w:tcPr>
          <w:p>
            <w:pPr>
              <w:ind w:left="420"/>
              <w:spacing w:after="0"/>
              <w:rPr>
                <w:sz w:val="20"/>
                <w:szCs w:val="20"/>
                <w:color w:val="auto"/>
              </w:rPr>
            </w:pPr>
            <w:r>
              <w:rPr>
                <w:rFonts w:ascii="Arial" w:cs="Arial" w:eastAsia="Arial" w:hAnsi="Arial"/>
                <w:sz w:val="18"/>
                <w:szCs w:val="18"/>
                <w:color w:val="auto"/>
              </w:rPr>
              <w:t>Successor Trustee by Merger, etc.</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62</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7.09</w:t>
            </w:r>
          </w:p>
        </w:tc>
        <w:tc>
          <w:tcPr>
            <w:tcW w:w="8580" w:type="dxa"/>
            <w:vAlign w:val="bottom"/>
          </w:tcPr>
          <w:p>
            <w:pPr>
              <w:ind w:left="420"/>
              <w:spacing w:after="0"/>
              <w:rPr>
                <w:sz w:val="20"/>
                <w:szCs w:val="20"/>
                <w:color w:val="auto"/>
              </w:rPr>
            </w:pPr>
            <w:r>
              <w:rPr>
                <w:rFonts w:ascii="Arial" w:cs="Arial" w:eastAsia="Arial" w:hAnsi="Arial"/>
                <w:sz w:val="18"/>
                <w:szCs w:val="18"/>
                <w:color w:val="auto"/>
              </w:rPr>
              <w:t>Eligibility; Disqualification</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62</w:t>
            </w:r>
          </w:p>
        </w:tc>
      </w:tr>
      <w:tr>
        <w:trPr>
          <w:trHeight w:val="445"/>
        </w:trPr>
        <w:tc>
          <w:tcPr>
            <w:tcW w:w="1300" w:type="dxa"/>
            <w:vAlign w:val="bottom"/>
          </w:tcPr>
          <w:p>
            <w:pPr>
              <w:spacing w:after="0"/>
              <w:rPr>
                <w:sz w:val="24"/>
                <w:szCs w:val="24"/>
                <w:color w:val="auto"/>
              </w:rPr>
            </w:pPr>
          </w:p>
        </w:tc>
        <w:tc>
          <w:tcPr>
            <w:tcW w:w="8580" w:type="dxa"/>
            <w:vAlign w:val="bottom"/>
          </w:tcPr>
          <w:p>
            <w:pPr>
              <w:jc w:val="center"/>
              <w:ind w:left="30"/>
              <w:spacing w:after="0"/>
              <w:rPr>
                <w:rFonts w:ascii="Arial" w:cs="Arial" w:eastAsia="Arial" w:hAnsi="Arial"/>
                <w:sz w:val="18"/>
                <w:szCs w:val="18"/>
                <w:color w:val="auto"/>
                <w:w w:val="98"/>
              </w:rPr>
            </w:pPr>
            <w:hyperlink w:anchor="page241">
              <w:r>
                <w:rPr>
                  <w:rFonts w:ascii="Arial" w:cs="Arial" w:eastAsia="Arial" w:hAnsi="Arial"/>
                  <w:sz w:val="18"/>
                  <w:szCs w:val="18"/>
                  <w:color w:val="auto"/>
                  <w:w w:val="98"/>
                </w:rPr>
                <w:t>ARTICLE 8</w:t>
              </w:r>
            </w:hyperlink>
          </w:p>
        </w:tc>
        <w:tc>
          <w:tcPr>
            <w:tcW w:w="150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80" w:type="dxa"/>
            <w:vAlign w:val="bottom"/>
          </w:tcPr>
          <w:p>
            <w:pPr>
              <w:jc w:val="center"/>
              <w:ind w:left="70"/>
              <w:spacing w:after="0"/>
              <w:rPr>
                <w:sz w:val="20"/>
                <w:szCs w:val="20"/>
                <w:color w:val="auto"/>
              </w:rPr>
            </w:pPr>
            <w:r>
              <w:rPr>
                <w:rFonts w:ascii="Arial" w:cs="Arial" w:eastAsia="Arial" w:hAnsi="Arial"/>
                <w:sz w:val="18"/>
                <w:szCs w:val="18"/>
                <w:color w:val="auto"/>
                <w:w w:val="97"/>
              </w:rPr>
              <w:t>LEGAL DEFEASANCE AND COVENANT DEFEASANCE</w:t>
            </w:r>
          </w:p>
        </w:tc>
        <w:tc>
          <w:tcPr>
            <w:tcW w:w="1500" w:type="dxa"/>
            <w:vAlign w:val="bottom"/>
          </w:tcPr>
          <w:p>
            <w:pPr>
              <w:spacing w:after="0"/>
              <w:rPr>
                <w:sz w:val="20"/>
                <w:szCs w:val="20"/>
                <w:color w:val="auto"/>
              </w:rPr>
            </w:pP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8580" w:type="dxa"/>
            <w:vAlign w:val="bottom"/>
          </w:tcPr>
          <w:p>
            <w:pPr>
              <w:ind w:left="420"/>
              <w:spacing w:after="0"/>
              <w:rPr>
                <w:sz w:val="20"/>
                <w:szCs w:val="20"/>
                <w:color w:val="auto"/>
              </w:rPr>
            </w:pPr>
            <w:r>
              <w:rPr>
                <w:rFonts w:ascii="Arial" w:cs="Arial" w:eastAsia="Arial" w:hAnsi="Arial"/>
                <w:sz w:val="18"/>
                <w:szCs w:val="18"/>
                <w:color w:val="auto"/>
              </w:rPr>
              <w:t>Option to Effect Legal Defeasance or 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8580" w:type="dxa"/>
            <w:vAlign w:val="bottom"/>
          </w:tcPr>
          <w:p>
            <w:pPr>
              <w:ind w:left="420"/>
              <w:spacing w:after="0"/>
              <w:rPr>
                <w:sz w:val="20"/>
                <w:szCs w:val="20"/>
                <w:color w:val="auto"/>
              </w:rPr>
            </w:pPr>
            <w:r>
              <w:rPr>
                <w:rFonts w:ascii="Arial" w:cs="Arial" w:eastAsia="Arial" w:hAnsi="Arial"/>
                <w:sz w:val="18"/>
                <w:szCs w:val="18"/>
                <w:color w:val="auto"/>
              </w:rPr>
              <w:t>Legal Defeasance and Discharge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8.03</w:t>
            </w:r>
          </w:p>
        </w:tc>
        <w:tc>
          <w:tcPr>
            <w:tcW w:w="8580" w:type="dxa"/>
            <w:vAlign w:val="bottom"/>
          </w:tcPr>
          <w:p>
            <w:pPr>
              <w:ind w:left="420"/>
              <w:spacing w:after="0"/>
              <w:rPr>
                <w:sz w:val="20"/>
                <w:szCs w:val="20"/>
                <w:color w:val="auto"/>
              </w:rPr>
            </w:pPr>
            <w:r>
              <w:rPr>
                <w:rFonts w:ascii="Arial" w:cs="Arial" w:eastAsia="Arial" w:hAnsi="Arial"/>
                <w:sz w:val="18"/>
                <w:szCs w:val="18"/>
                <w:color w:val="auto"/>
              </w:rPr>
              <w:t>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63</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8580" w:type="dxa"/>
            <w:vAlign w:val="bottom"/>
          </w:tcPr>
          <w:p>
            <w:pPr>
              <w:ind w:left="420"/>
              <w:spacing w:after="0"/>
              <w:rPr>
                <w:sz w:val="20"/>
                <w:szCs w:val="20"/>
                <w:color w:val="auto"/>
              </w:rPr>
            </w:pPr>
            <w:r>
              <w:rPr>
                <w:rFonts w:ascii="Arial" w:cs="Arial" w:eastAsia="Arial" w:hAnsi="Arial"/>
                <w:sz w:val="18"/>
                <w:szCs w:val="18"/>
                <w:color w:val="auto"/>
              </w:rPr>
              <w:t>Conditions to Legal or Covenant Defeasance</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64</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8580" w:type="dxa"/>
            <w:vAlign w:val="bottom"/>
          </w:tcPr>
          <w:p>
            <w:pPr>
              <w:ind w:left="4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65</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8.06</w:t>
            </w:r>
          </w:p>
        </w:tc>
        <w:tc>
          <w:tcPr>
            <w:tcW w:w="8580" w:type="dxa"/>
            <w:vAlign w:val="bottom"/>
          </w:tcPr>
          <w:p>
            <w:pPr>
              <w:ind w:left="420"/>
              <w:spacing w:after="0"/>
              <w:rPr>
                <w:sz w:val="20"/>
                <w:szCs w:val="20"/>
                <w:color w:val="auto"/>
              </w:rPr>
            </w:pPr>
            <w:r>
              <w:rPr>
                <w:rFonts w:ascii="Arial" w:cs="Arial" w:eastAsia="Arial" w:hAnsi="Arial"/>
                <w:sz w:val="18"/>
                <w:szCs w:val="18"/>
                <w:color w:val="auto"/>
              </w:rPr>
              <w:t>Repayment to Issuer</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66</w:t>
            </w: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8.07</w:t>
            </w:r>
          </w:p>
        </w:tc>
        <w:tc>
          <w:tcPr>
            <w:tcW w:w="8580" w:type="dxa"/>
            <w:vAlign w:val="bottom"/>
          </w:tcPr>
          <w:p>
            <w:pPr>
              <w:ind w:left="420"/>
              <w:spacing w:after="0"/>
              <w:rPr>
                <w:sz w:val="20"/>
                <w:szCs w:val="20"/>
                <w:color w:val="auto"/>
              </w:rPr>
            </w:pPr>
            <w:r>
              <w:rPr>
                <w:rFonts w:ascii="Arial" w:cs="Arial" w:eastAsia="Arial" w:hAnsi="Arial"/>
                <w:sz w:val="18"/>
                <w:szCs w:val="18"/>
                <w:color w:val="auto"/>
              </w:rPr>
              <w:t>Reinstatement</w:t>
            </w:r>
          </w:p>
        </w:tc>
        <w:tc>
          <w:tcPr>
            <w:tcW w:w="1500" w:type="dxa"/>
            <w:vAlign w:val="bottom"/>
          </w:tcPr>
          <w:p>
            <w:pPr>
              <w:jc w:val="right"/>
              <w:ind w:right="9"/>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ectPr>
          <w:pgSz w:w="11900" w:h="16838" w:orient="portrait"/>
          <w:cols w:equalWidth="0" w:num="1">
            <w:col w:w="11380"/>
          </w:cols>
          <w:pgMar w:left="280" w:top="1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145" w:right="239" w:bottom="1440" w:gutter="0" w:footer="0" w:header="0"/>
          <w:type w:val="continuous"/>
        </w:sectPr>
      </w:pPr>
    </w:p>
    <w:bookmarkStart w:id="178" w:name="page179"/>
    <w:bookmarkEnd w:id="178"/>
    <w:tbl>
      <w:tblPr>
        <w:tblLayout w:type="fixed"/>
        <w:tblInd w:w="40" w:type="dxa"/>
        <w:tblCellMar>
          <w:top w:w="0" w:type="dxa"/>
          <w:left w:w="0" w:type="dxa"/>
          <w:bottom w:w="0" w:type="dxa"/>
          <w:right w:w="0" w:type="dxa"/>
        </w:tblCellMar>
      </w:tblPr>
      <w:tr>
        <w:trPr>
          <w:trHeight w:val="275"/>
        </w:trPr>
        <w:tc>
          <w:tcPr>
            <w:tcW w:w="1360" w:type="dxa"/>
            <w:vAlign w:val="bottom"/>
          </w:tcPr>
          <w:p>
            <w:pPr>
              <w:spacing w:after="0"/>
              <w:rPr>
                <w:sz w:val="23"/>
                <w:szCs w:val="23"/>
                <w:color w:val="auto"/>
              </w:rPr>
            </w:pPr>
          </w:p>
        </w:tc>
        <w:tc>
          <w:tcPr>
            <w:tcW w:w="79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814"/>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8"/>
              </w:rPr>
            </w:pPr>
            <w:hyperlink w:anchor="page245">
              <w:r>
                <w:rPr>
                  <w:rFonts w:ascii="Arial" w:cs="Arial" w:eastAsia="Arial" w:hAnsi="Arial"/>
                  <w:sz w:val="18"/>
                  <w:szCs w:val="18"/>
                  <w:color w:val="auto"/>
                  <w:w w:val="98"/>
                </w:rPr>
                <w:t>ARTICLE 9</w:t>
              </w:r>
            </w:hyperlink>
          </w:p>
        </w:tc>
        <w:tc>
          <w:tcPr>
            <w:tcW w:w="212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7900" w:type="dxa"/>
            <w:vAlign w:val="bottom"/>
          </w:tcPr>
          <w:p>
            <w:pPr>
              <w:jc w:val="center"/>
              <w:ind w:left="630"/>
              <w:spacing w:after="0"/>
              <w:rPr>
                <w:sz w:val="20"/>
                <w:szCs w:val="20"/>
                <w:color w:val="auto"/>
              </w:rPr>
            </w:pPr>
            <w:r>
              <w:rPr>
                <w:rFonts w:ascii="Arial" w:cs="Arial" w:eastAsia="Arial" w:hAnsi="Arial"/>
                <w:sz w:val="18"/>
                <w:szCs w:val="18"/>
                <w:color w:val="auto"/>
                <w:w w:val="97"/>
              </w:rPr>
              <w:t>AMENDMENT, SUPPLEMENT AND WAIVER</w:t>
            </w:r>
          </w:p>
        </w:tc>
        <w:tc>
          <w:tcPr>
            <w:tcW w:w="2120" w:type="dxa"/>
            <w:vAlign w:val="bottom"/>
          </w:tcPr>
          <w:p>
            <w:pPr>
              <w:spacing w:after="0"/>
              <w:rPr>
                <w:sz w:val="21"/>
                <w:szCs w:val="2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7900" w:type="dxa"/>
            <w:vAlign w:val="bottom"/>
          </w:tcPr>
          <w:p>
            <w:pPr>
              <w:ind w:left="360"/>
              <w:spacing w:after="0"/>
              <w:rPr>
                <w:sz w:val="20"/>
                <w:szCs w:val="20"/>
                <w:color w:val="auto"/>
              </w:rPr>
            </w:pPr>
            <w:r>
              <w:rPr>
                <w:rFonts w:ascii="Arial" w:cs="Arial" w:eastAsia="Arial" w:hAnsi="Arial"/>
                <w:sz w:val="18"/>
                <w:szCs w:val="18"/>
                <w:color w:val="auto"/>
              </w:rPr>
              <w:t>Without Consent of Holders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7900" w:type="dxa"/>
            <w:vAlign w:val="bottom"/>
          </w:tcPr>
          <w:p>
            <w:pPr>
              <w:ind w:left="360"/>
              <w:spacing w:after="0"/>
              <w:rPr>
                <w:sz w:val="20"/>
                <w:szCs w:val="20"/>
                <w:color w:val="auto"/>
              </w:rPr>
            </w:pPr>
            <w:r>
              <w:rPr>
                <w:rFonts w:ascii="Arial" w:cs="Arial" w:eastAsia="Arial" w:hAnsi="Arial"/>
                <w:sz w:val="18"/>
                <w:szCs w:val="18"/>
                <w:color w:val="auto"/>
              </w:rPr>
              <w:t>With Consent of Holders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7900" w:type="dxa"/>
            <w:vAlign w:val="bottom"/>
          </w:tcPr>
          <w:p>
            <w:pPr>
              <w:ind w:left="360"/>
              <w:spacing w:after="0"/>
              <w:rPr>
                <w:sz w:val="20"/>
                <w:szCs w:val="20"/>
                <w:color w:val="auto"/>
              </w:rPr>
            </w:pPr>
            <w:r>
              <w:rPr>
                <w:rFonts w:ascii="Arial" w:cs="Arial" w:eastAsia="Arial" w:hAnsi="Arial"/>
                <w:sz w:val="18"/>
                <w:szCs w:val="18"/>
                <w:color w:val="auto"/>
              </w:rPr>
              <w:t>Revocation and Effect of Consents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7900" w:type="dxa"/>
            <w:vAlign w:val="bottom"/>
          </w:tcPr>
          <w:p>
            <w:pPr>
              <w:ind w:left="360"/>
              <w:spacing w:after="0"/>
              <w:rPr>
                <w:sz w:val="20"/>
                <w:szCs w:val="20"/>
                <w:color w:val="auto"/>
              </w:rPr>
            </w:pPr>
            <w:r>
              <w:rPr>
                <w:rFonts w:ascii="Arial" w:cs="Arial" w:eastAsia="Arial" w:hAnsi="Arial"/>
                <w:sz w:val="18"/>
                <w:szCs w:val="18"/>
                <w:color w:val="auto"/>
              </w:rPr>
              <w:t>Notation on or Exchange of Notes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7900" w:type="dxa"/>
            <w:vAlign w:val="bottom"/>
          </w:tcPr>
          <w:p>
            <w:pPr>
              <w:ind w:left="360"/>
              <w:spacing w:after="0"/>
              <w:rPr>
                <w:sz w:val="20"/>
                <w:szCs w:val="20"/>
                <w:color w:val="auto"/>
              </w:rPr>
            </w:pPr>
            <w:r>
              <w:rPr>
                <w:rFonts w:ascii="Arial" w:cs="Arial" w:eastAsia="Arial" w:hAnsi="Arial"/>
                <w:sz w:val="18"/>
                <w:szCs w:val="18"/>
                <w:color w:val="auto"/>
              </w:rPr>
              <w:t>Trustee to Sign Amendments, etc.</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473"/>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6"/>
              </w:rPr>
            </w:pPr>
            <w:hyperlink w:anchor="page249">
              <w:r>
                <w:rPr>
                  <w:rFonts w:ascii="Arial" w:cs="Arial" w:eastAsia="Arial" w:hAnsi="Arial"/>
                  <w:sz w:val="18"/>
                  <w:szCs w:val="18"/>
                  <w:color w:val="auto"/>
                  <w:w w:val="96"/>
                </w:rPr>
                <w:t>ARTICLE 10</w:t>
              </w:r>
            </w:hyperlink>
          </w:p>
        </w:tc>
        <w:tc>
          <w:tcPr>
            <w:tcW w:w="212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7900" w:type="dxa"/>
            <w:vAlign w:val="bottom"/>
          </w:tcPr>
          <w:p>
            <w:pPr>
              <w:jc w:val="center"/>
              <w:ind w:left="650"/>
              <w:spacing w:after="0"/>
              <w:rPr>
                <w:sz w:val="20"/>
                <w:szCs w:val="20"/>
                <w:color w:val="auto"/>
              </w:rPr>
            </w:pPr>
            <w:r>
              <w:rPr>
                <w:rFonts w:ascii="Arial" w:cs="Arial" w:eastAsia="Arial" w:hAnsi="Arial"/>
                <w:sz w:val="18"/>
                <w:szCs w:val="18"/>
                <w:color w:val="auto"/>
                <w:w w:val="96"/>
              </w:rPr>
              <w:t>SATISFACTION AND DISCHARGE</w:t>
            </w:r>
          </w:p>
        </w:tc>
        <w:tc>
          <w:tcPr>
            <w:tcW w:w="2120" w:type="dxa"/>
            <w:vAlign w:val="bottom"/>
          </w:tcPr>
          <w:p>
            <w:pPr>
              <w:spacing w:after="0"/>
              <w:rPr>
                <w:sz w:val="21"/>
                <w:szCs w:val="2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7900" w:type="dxa"/>
            <w:vAlign w:val="bottom"/>
          </w:tcPr>
          <w:p>
            <w:pPr>
              <w:ind w:left="360"/>
              <w:spacing w:after="0"/>
              <w:rPr>
                <w:sz w:val="20"/>
                <w:szCs w:val="20"/>
                <w:color w:val="auto"/>
              </w:rPr>
            </w:pPr>
            <w:r>
              <w:rPr>
                <w:rFonts w:ascii="Arial" w:cs="Arial" w:eastAsia="Arial" w:hAnsi="Arial"/>
                <w:sz w:val="18"/>
                <w:szCs w:val="18"/>
                <w:color w:val="auto"/>
              </w:rPr>
              <w:t>Satisfaction and Discharge</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70</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7900" w:type="dxa"/>
            <w:vAlign w:val="bottom"/>
          </w:tcPr>
          <w:p>
            <w:pPr>
              <w:ind w:left="360"/>
              <w:spacing w:after="0"/>
              <w:rPr>
                <w:sz w:val="20"/>
                <w:szCs w:val="20"/>
                <w:color w:val="auto"/>
              </w:rPr>
            </w:pPr>
            <w:r>
              <w:rPr>
                <w:rFonts w:ascii="Arial" w:cs="Arial" w:eastAsia="Arial" w:hAnsi="Arial"/>
                <w:sz w:val="18"/>
                <w:szCs w:val="18"/>
                <w:color w:val="auto"/>
              </w:rPr>
              <w:t>Application of Trust Money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71</w:t>
            </w:r>
          </w:p>
        </w:tc>
      </w:tr>
      <w:tr>
        <w:trPr>
          <w:trHeight w:val="445"/>
        </w:trPr>
        <w:tc>
          <w:tcPr>
            <w:tcW w:w="1360" w:type="dxa"/>
            <w:vAlign w:val="bottom"/>
          </w:tcPr>
          <w:p>
            <w:pPr>
              <w:spacing w:after="0"/>
              <w:rPr>
                <w:sz w:val="24"/>
                <w:szCs w:val="24"/>
                <w:color w:val="auto"/>
              </w:rPr>
            </w:pPr>
          </w:p>
        </w:tc>
        <w:tc>
          <w:tcPr>
            <w:tcW w:w="7900" w:type="dxa"/>
            <w:vAlign w:val="bottom"/>
          </w:tcPr>
          <w:p>
            <w:pPr>
              <w:jc w:val="center"/>
              <w:ind w:left="590"/>
              <w:spacing w:after="0"/>
              <w:rPr>
                <w:rFonts w:ascii="Arial" w:cs="Arial" w:eastAsia="Arial" w:hAnsi="Arial"/>
                <w:sz w:val="18"/>
                <w:szCs w:val="18"/>
                <w:color w:val="auto"/>
                <w:w w:val="96"/>
              </w:rPr>
            </w:pPr>
            <w:hyperlink w:anchor="page251">
              <w:r>
                <w:rPr>
                  <w:rFonts w:ascii="Arial" w:cs="Arial" w:eastAsia="Arial" w:hAnsi="Arial"/>
                  <w:sz w:val="18"/>
                  <w:szCs w:val="18"/>
                  <w:color w:val="auto"/>
                  <w:w w:val="96"/>
                </w:rPr>
                <w:t>ARTICLE 11</w:t>
              </w:r>
            </w:hyperlink>
          </w:p>
        </w:tc>
        <w:tc>
          <w:tcPr>
            <w:tcW w:w="21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900" w:type="dxa"/>
            <w:vAlign w:val="bottom"/>
          </w:tcPr>
          <w:p>
            <w:pPr>
              <w:jc w:val="center"/>
              <w:ind w:left="630"/>
              <w:spacing w:after="0"/>
              <w:rPr>
                <w:sz w:val="20"/>
                <w:szCs w:val="20"/>
                <w:color w:val="auto"/>
              </w:rPr>
            </w:pPr>
            <w:r>
              <w:rPr>
                <w:rFonts w:ascii="Arial" w:cs="Arial" w:eastAsia="Arial" w:hAnsi="Arial"/>
                <w:sz w:val="18"/>
                <w:szCs w:val="18"/>
                <w:color w:val="auto"/>
                <w:w w:val="97"/>
              </w:rPr>
              <w:t>MISCELLANEOUS</w:t>
            </w:r>
          </w:p>
        </w:tc>
        <w:tc>
          <w:tcPr>
            <w:tcW w:w="2120" w:type="dxa"/>
            <w:vAlign w:val="bottom"/>
          </w:tcPr>
          <w:p>
            <w:pPr>
              <w:spacing w:after="0"/>
              <w:rPr>
                <w:sz w:val="20"/>
                <w:szCs w:val="20"/>
                <w:color w:val="auto"/>
              </w:rPr>
            </w:pPr>
          </w:p>
        </w:tc>
      </w:tr>
      <w:tr>
        <w:trPr>
          <w:trHeight w:val="378"/>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7900" w:type="dxa"/>
            <w:vAlign w:val="bottom"/>
          </w:tcPr>
          <w:p>
            <w:pPr>
              <w:ind w:left="360"/>
              <w:spacing w:after="0"/>
              <w:rPr>
                <w:sz w:val="20"/>
                <w:szCs w:val="20"/>
                <w:color w:val="auto"/>
              </w:rPr>
            </w:pPr>
            <w:r>
              <w:rPr>
                <w:rFonts w:ascii="Arial" w:cs="Arial" w:eastAsia="Arial" w:hAnsi="Arial"/>
                <w:sz w:val="18"/>
                <w:szCs w:val="18"/>
                <w:color w:val="auto"/>
              </w:rPr>
              <w:t>Notices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72</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7900" w:type="dxa"/>
            <w:vAlign w:val="bottom"/>
          </w:tcPr>
          <w:p>
            <w:pPr>
              <w:ind w:left="360"/>
              <w:spacing w:after="0"/>
              <w:rPr>
                <w:sz w:val="20"/>
                <w:szCs w:val="20"/>
                <w:color w:val="auto"/>
              </w:rPr>
            </w:pPr>
            <w:r>
              <w:rPr>
                <w:rFonts w:ascii="Arial" w:cs="Arial" w:eastAsia="Arial" w:hAnsi="Arial"/>
                <w:sz w:val="18"/>
                <w:szCs w:val="18"/>
                <w:color w:val="auto"/>
              </w:rPr>
              <w:t>Certificate and Opinion as to Conditions Precedent</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73</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11.03</w:t>
            </w:r>
          </w:p>
        </w:tc>
        <w:tc>
          <w:tcPr>
            <w:tcW w:w="7900" w:type="dxa"/>
            <w:vAlign w:val="bottom"/>
          </w:tcPr>
          <w:p>
            <w:pPr>
              <w:ind w:left="360"/>
              <w:spacing w:after="0"/>
              <w:rPr>
                <w:sz w:val="20"/>
                <w:szCs w:val="20"/>
                <w:color w:val="auto"/>
              </w:rPr>
            </w:pPr>
            <w:r>
              <w:rPr>
                <w:rFonts w:ascii="Arial" w:cs="Arial" w:eastAsia="Arial" w:hAnsi="Arial"/>
                <w:sz w:val="18"/>
                <w:szCs w:val="18"/>
                <w:color w:val="auto"/>
              </w:rPr>
              <w:t>Statements Required in Certificate or Opinion</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11.04</w:t>
            </w:r>
          </w:p>
        </w:tc>
        <w:tc>
          <w:tcPr>
            <w:tcW w:w="7900" w:type="dxa"/>
            <w:vAlign w:val="bottom"/>
          </w:tcPr>
          <w:p>
            <w:pPr>
              <w:ind w:left="360"/>
              <w:spacing w:after="0"/>
              <w:rPr>
                <w:sz w:val="20"/>
                <w:szCs w:val="20"/>
                <w:color w:val="auto"/>
              </w:rPr>
            </w:pPr>
            <w:r>
              <w:rPr>
                <w:rFonts w:ascii="Arial" w:cs="Arial" w:eastAsia="Arial" w:hAnsi="Arial"/>
                <w:sz w:val="18"/>
                <w:szCs w:val="18"/>
                <w:color w:val="auto"/>
              </w:rPr>
              <w:t>Rules by Trustee and Agents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11.05</w:t>
            </w:r>
          </w:p>
        </w:tc>
        <w:tc>
          <w:tcPr>
            <w:tcW w:w="7900" w:type="dxa"/>
            <w:vAlign w:val="bottom"/>
          </w:tcPr>
          <w:p>
            <w:pPr>
              <w:ind w:left="360"/>
              <w:spacing w:after="0"/>
              <w:rPr>
                <w:sz w:val="20"/>
                <w:szCs w:val="20"/>
                <w:color w:val="auto"/>
              </w:rPr>
            </w:pPr>
            <w:r>
              <w:rPr>
                <w:rFonts w:ascii="Arial" w:cs="Arial" w:eastAsia="Arial" w:hAnsi="Arial"/>
                <w:sz w:val="18"/>
                <w:szCs w:val="18"/>
                <w:color w:val="auto"/>
              </w:rPr>
              <w:t>No Personal Liability of Directors, Officers, Employees and Equity Holders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11.06</w:t>
            </w:r>
          </w:p>
        </w:tc>
        <w:tc>
          <w:tcPr>
            <w:tcW w:w="7900" w:type="dxa"/>
            <w:vAlign w:val="bottom"/>
          </w:tcPr>
          <w:p>
            <w:pPr>
              <w:ind w:left="360"/>
              <w:spacing w:after="0"/>
              <w:rPr>
                <w:sz w:val="20"/>
                <w:szCs w:val="20"/>
                <w:color w:val="auto"/>
              </w:rPr>
            </w:pPr>
            <w:r>
              <w:rPr>
                <w:rFonts w:ascii="Arial" w:cs="Arial" w:eastAsia="Arial" w:hAnsi="Arial"/>
                <w:sz w:val="18"/>
                <w:szCs w:val="18"/>
                <w:color w:val="auto"/>
              </w:rPr>
              <w:t>Governing Law; Waiver of Jury Trial</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11.07</w:t>
            </w:r>
          </w:p>
        </w:tc>
        <w:tc>
          <w:tcPr>
            <w:tcW w:w="7900" w:type="dxa"/>
            <w:vAlign w:val="bottom"/>
          </w:tcPr>
          <w:p>
            <w:pPr>
              <w:ind w:left="360"/>
              <w:spacing w:after="0"/>
              <w:rPr>
                <w:sz w:val="20"/>
                <w:szCs w:val="20"/>
                <w:color w:val="auto"/>
              </w:rPr>
            </w:pPr>
            <w:r>
              <w:rPr>
                <w:rFonts w:ascii="Arial" w:cs="Arial" w:eastAsia="Arial" w:hAnsi="Arial"/>
                <w:sz w:val="18"/>
                <w:szCs w:val="18"/>
                <w:color w:val="auto"/>
              </w:rPr>
              <w:t>Submission to Jurisdiction; Waiver of Immunities; Agent for Service</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11.08</w:t>
            </w:r>
          </w:p>
        </w:tc>
        <w:tc>
          <w:tcPr>
            <w:tcW w:w="7900" w:type="dxa"/>
            <w:vAlign w:val="bottom"/>
          </w:tcPr>
          <w:p>
            <w:pPr>
              <w:ind w:left="360"/>
              <w:spacing w:after="0"/>
              <w:rPr>
                <w:sz w:val="20"/>
                <w:szCs w:val="20"/>
                <w:color w:val="auto"/>
              </w:rPr>
            </w:pPr>
            <w:r>
              <w:rPr>
                <w:rFonts w:ascii="Arial" w:cs="Arial" w:eastAsia="Arial" w:hAnsi="Arial"/>
                <w:sz w:val="18"/>
                <w:szCs w:val="18"/>
                <w:color w:val="auto"/>
              </w:rPr>
              <w:t>Indemnification for Judgment Currency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11.09</w:t>
            </w:r>
          </w:p>
        </w:tc>
        <w:tc>
          <w:tcPr>
            <w:tcW w:w="7900" w:type="dxa"/>
            <w:vAlign w:val="bottom"/>
          </w:tcPr>
          <w:p>
            <w:pPr>
              <w:ind w:left="360"/>
              <w:spacing w:after="0"/>
              <w:rPr>
                <w:sz w:val="20"/>
                <w:szCs w:val="20"/>
                <w:color w:val="auto"/>
              </w:rPr>
            </w:pPr>
            <w:r>
              <w:rPr>
                <w:rFonts w:ascii="Arial" w:cs="Arial" w:eastAsia="Arial" w:hAnsi="Arial"/>
                <w:sz w:val="18"/>
                <w:szCs w:val="18"/>
                <w:color w:val="auto"/>
              </w:rPr>
              <w:t>No Adverse Interpretation of Other Agreements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11.10</w:t>
            </w:r>
          </w:p>
        </w:tc>
        <w:tc>
          <w:tcPr>
            <w:tcW w:w="7900" w:type="dxa"/>
            <w:vAlign w:val="bottom"/>
          </w:tcPr>
          <w:p>
            <w:pPr>
              <w:ind w:left="360"/>
              <w:spacing w:after="0"/>
              <w:rPr>
                <w:sz w:val="20"/>
                <w:szCs w:val="20"/>
                <w:color w:val="auto"/>
              </w:rPr>
            </w:pPr>
            <w:r>
              <w:rPr>
                <w:rFonts w:ascii="Arial" w:cs="Arial" w:eastAsia="Arial" w:hAnsi="Arial"/>
                <w:sz w:val="18"/>
                <w:szCs w:val="18"/>
                <w:color w:val="auto"/>
              </w:rPr>
              <w:t>Successors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11.11</w:t>
            </w:r>
          </w:p>
        </w:tc>
        <w:tc>
          <w:tcPr>
            <w:tcW w:w="790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11.12</w:t>
            </w:r>
          </w:p>
        </w:tc>
        <w:tc>
          <w:tcPr>
            <w:tcW w:w="7900" w:type="dxa"/>
            <w:vAlign w:val="bottom"/>
          </w:tcPr>
          <w:p>
            <w:pPr>
              <w:ind w:left="360"/>
              <w:spacing w:after="0"/>
              <w:rPr>
                <w:sz w:val="20"/>
                <w:szCs w:val="20"/>
                <w:color w:val="auto"/>
              </w:rPr>
            </w:pPr>
            <w:r>
              <w:rPr>
                <w:rFonts w:ascii="Arial" w:cs="Arial" w:eastAsia="Arial" w:hAnsi="Arial"/>
                <w:sz w:val="18"/>
                <w:szCs w:val="18"/>
                <w:color w:val="auto"/>
              </w:rPr>
              <w:t>Counterpart Originals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11.13</w:t>
            </w:r>
          </w:p>
        </w:tc>
        <w:tc>
          <w:tcPr>
            <w:tcW w:w="7900" w:type="dxa"/>
            <w:vAlign w:val="bottom"/>
          </w:tcPr>
          <w:p>
            <w:pPr>
              <w:ind w:left="360"/>
              <w:spacing w:after="0"/>
              <w:rPr>
                <w:sz w:val="20"/>
                <w:szCs w:val="20"/>
                <w:color w:val="auto"/>
              </w:rPr>
            </w:pPr>
            <w:r>
              <w:rPr>
                <w:rFonts w:ascii="Arial" w:cs="Arial" w:eastAsia="Arial" w:hAnsi="Arial"/>
                <w:sz w:val="18"/>
                <w:szCs w:val="18"/>
                <w:color w:val="auto"/>
              </w:rPr>
              <w:t>Table of Contents, Heading, etc.</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11.14</w:t>
            </w:r>
          </w:p>
        </w:tc>
        <w:tc>
          <w:tcPr>
            <w:tcW w:w="7900" w:type="dxa"/>
            <w:vAlign w:val="bottom"/>
          </w:tcPr>
          <w:p>
            <w:pPr>
              <w:ind w:left="360"/>
              <w:spacing w:after="0"/>
              <w:rPr>
                <w:sz w:val="20"/>
                <w:szCs w:val="20"/>
                <w:color w:val="auto"/>
              </w:rPr>
            </w:pPr>
            <w:r>
              <w:rPr>
                <w:rFonts w:ascii="Arial" w:cs="Arial" w:eastAsia="Arial" w:hAnsi="Arial"/>
                <w:sz w:val="18"/>
                <w:szCs w:val="18"/>
                <w:color w:val="auto"/>
              </w:rPr>
              <w:t>Compliance with Applicable Anti-Terrorism and Money Laundering Regulations</w:t>
            </w:r>
          </w:p>
        </w:tc>
        <w:tc>
          <w:tcPr>
            <w:tcW w:w="2120" w:type="dxa"/>
            <w:vAlign w:val="bottom"/>
          </w:tcPr>
          <w:p>
            <w:pPr>
              <w:jc w:val="right"/>
              <w:ind w:right="9"/>
              <w:spacing w:after="0"/>
              <w:rPr>
                <w:sz w:val="20"/>
                <w:szCs w:val="20"/>
                <w:color w:val="auto"/>
              </w:rPr>
            </w:pPr>
            <w:r>
              <w:rPr>
                <w:rFonts w:ascii="Arial" w:cs="Arial" w:eastAsia="Arial" w:hAnsi="Arial"/>
                <w:sz w:val="18"/>
                <w:szCs w:val="18"/>
                <w:color w:val="auto"/>
              </w:rPr>
              <w:t>76</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EXHIBITS</w:t>
      </w:r>
    </w:p>
    <w:p>
      <w:pPr>
        <w:spacing w:after="0" w:line="26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4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5" w:right="239" w:bottom="1440" w:gutter="0" w:footer="0" w:header="0"/>
        </w:sectPr>
      </w:pPr>
    </w:p>
    <w:bookmarkStart w:id="179" w:name="page180"/>
    <w:bookmarkEnd w:id="179"/>
    <w:p>
      <w:pPr>
        <w:jc w:val="both"/>
        <w:ind w:firstLine="648"/>
        <w:spacing w:after="0" w:line="292" w:lineRule="auto"/>
        <w:rPr>
          <w:sz w:val="20"/>
          <w:szCs w:val="20"/>
          <w:color w:val="auto"/>
        </w:rPr>
      </w:pPr>
      <w:r>
        <w:rPr>
          <w:rFonts w:ascii="Arial" w:cs="Arial" w:eastAsia="Arial" w:hAnsi="Arial"/>
          <w:sz w:val="22"/>
          <w:szCs w:val="22"/>
          <w:color w:val="auto"/>
        </w:rPr>
        <w:t>INDENTURE, dated as of September 20, 2017, between Wynn Macau, Limited, a company incorporated with limited liability under the laws of the Cayman Islands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 New York banking corporation,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and the Trustee agree as follows for the benefit of each other and for the equal and ratable benefit of the Holders (as defined below) of the 5.500% Senior Notes due 2027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180" w:name="page181"/>
    <w:bookmarkEnd w:id="180"/>
    <w:p>
      <w:pPr>
        <w:jc w:val="center"/>
        <w:ind w:right="40"/>
        <w:spacing w:after="0"/>
        <w:rPr>
          <w:sz w:val="20"/>
          <w:szCs w:val="20"/>
          <w:color w:val="auto"/>
        </w:rPr>
      </w:pPr>
      <w:r>
        <w:rPr>
          <w:rFonts w:ascii="Arial" w:cs="Arial" w:eastAsia="Arial" w:hAnsi="Arial"/>
          <w:sz w:val="22"/>
          <w:szCs w:val="22"/>
          <w:color w:val="auto"/>
        </w:rPr>
        <w:t>Article 1</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DEFINITIONS AND INCORPORATION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REFERENCE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60" w:lineRule="exact"/>
        <w:rPr>
          <w:sz w:val="20"/>
          <w:szCs w:val="20"/>
          <w:color w:val="auto"/>
        </w:rPr>
      </w:pPr>
    </w:p>
    <w:p>
      <w:pPr>
        <w:ind w:left="1120" w:hanging="464"/>
        <w:spacing w:after="0"/>
        <w:tabs>
          <w:tab w:leader="none" w:pos="11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w:t>
      </w:r>
    </w:p>
    <w:p>
      <w:pPr>
        <w:spacing w:after="0" w:line="92" w:lineRule="exact"/>
        <w:rPr>
          <w:rFonts w:ascii="Arial" w:cs="Arial" w:eastAsia="Arial" w:hAnsi="Arial"/>
          <w:sz w:val="19"/>
          <w:szCs w:val="19"/>
          <w:color w:val="auto"/>
        </w:rPr>
      </w:pPr>
    </w:p>
    <w:p>
      <w:pPr>
        <w:jc w:val="both"/>
        <w:ind w:left="340"/>
        <w:spacing w:after="0" w:line="338" w:lineRule="auto"/>
        <w:rPr>
          <w:rFonts w:ascii="Arial" w:cs="Arial" w:eastAsia="Arial" w:hAnsi="Arial"/>
          <w:sz w:val="19"/>
          <w:szCs w:val="19"/>
          <w:color w:val="auto"/>
        </w:rPr>
      </w:pPr>
      <w:r>
        <w:rPr>
          <w:rFonts w:ascii="Arial" w:cs="Arial" w:eastAsia="Arial" w:hAnsi="Arial"/>
          <w:sz w:val="19"/>
          <w:szCs w:val="19"/>
          <w:color w:val="auto"/>
        </w:rPr>
        <w:t>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2" w:lineRule="exact"/>
        <w:rPr>
          <w:rFonts w:ascii="Arial" w:cs="Arial" w:eastAsia="Arial" w:hAnsi="Arial"/>
          <w:sz w:val="19"/>
          <w:szCs w:val="19"/>
          <w:color w:val="auto"/>
        </w:rPr>
      </w:pPr>
    </w:p>
    <w:p>
      <w:pPr>
        <w:ind w:left="1120" w:hanging="464"/>
        <w:spacing w:after="0"/>
        <w:tabs>
          <w:tab w:leader="none" w:pos="11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such release (or any successor release) is not published during the week preceding the calculation date or does not</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purposes of this definition, “control,” as used with respect to any Person,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61" w:right="239" w:bottom="1440" w:gutter="0" w:footer="0" w:header="0"/>
        </w:sectPr>
      </w:pPr>
    </w:p>
    <w:bookmarkStart w:id="181" w:name="page182"/>
    <w:bookmarkEnd w:id="181"/>
    <w:p>
      <w:pPr>
        <w:jc w:val="both"/>
        <w:spacing w:after="0" w:line="285" w:lineRule="auto"/>
        <w:rPr>
          <w:sz w:val="20"/>
          <w:szCs w:val="20"/>
          <w:color w:val="auto"/>
        </w:rPr>
      </w:pPr>
      <w:r>
        <w:rPr>
          <w:rFonts w:ascii="Arial" w:cs="Arial" w:eastAsia="Arial" w:hAnsi="Arial"/>
          <w:sz w:val="22"/>
          <w:szCs w:val="22"/>
          <w:color w:val="auto"/>
        </w:rPr>
        <w:t xml:space="preserve">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Ms. Chen Chih Ling, Linda shall not, by virtue of 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6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or for beneficial interests in any Global Note, the rules and procedures of the Depositary, Euroclear and Clearstream that apply to such transfer or exchange.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Bankruptcy Law</w:t>
      </w:r>
      <w:r>
        <w:rPr>
          <w:rFonts w:ascii="Arial" w:cs="Arial" w:eastAsia="Arial" w:hAnsi="Arial"/>
          <w:sz w:val="21"/>
          <w:szCs w:val="21"/>
          <w:color w:val="auto"/>
        </w:rPr>
        <w:t>” means Title 11, U.S. Code or any similar federal, state or foreign law for the relief of debtors.</w:t>
      </w:r>
    </w:p>
    <w:p>
      <w:pPr>
        <w:spacing w:after="0" w:line="2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60" w:lineRule="exact"/>
        <w:rPr>
          <w:sz w:val="20"/>
          <w:szCs w:val="20"/>
          <w:color w:val="auto"/>
        </w:rPr>
      </w:pPr>
    </w:p>
    <w:p>
      <w:pPr>
        <w:ind w:left="340" w:firstLine="316"/>
        <w:spacing w:after="0" w:line="315" w:lineRule="auto"/>
        <w:tabs>
          <w:tab w:leader="none" w:pos="111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73" w:lineRule="exact"/>
        <w:rPr>
          <w:rFonts w:ascii="Arial" w:cs="Arial" w:eastAsia="Arial" w:hAnsi="Arial"/>
          <w:sz w:val="22"/>
          <w:szCs w:val="22"/>
          <w:color w:val="auto"/>
        </w:rPr>
      </w:pPr>
    </w:p>
    <w:p>
      <w:pPr>
        <w:ind w:left="340" w:firstLine="316"/>
        <w:spacing w:after="0" w:line="315" w:lineRule="auto"/>
        <w:tabs>
          <w:tab w:leader="none" w:pos="125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means, at the time any determination is to be made, the amount of the liability in respect of a capital lease that would at that time be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182" w:name="page183"/>
    <w:bookmarkEnd w:id="182"/>
    <w:p>
      <w:pPr>
        <w:jc w:val="both"/>
        <w:spacing w:after="0" w:line="292" w:lineRule="auto"/>
        <w:rPr>
          <w:sz w:val="20"/>
          <w:szCs w:val="20"/>
          <w:color w:val="auto"/>
        </w:rPr>
      </w:pPr>
      <w:r>
        <w:rPr>
          <w:rFonts w:ascii="Arial" w:cs="Arial" w:eastAsia="Arial" w:hAnsi="Arial"/>
          <w:sz w:val="22"/>
          <w:szCs w:val="22"/>
          <w:color w:val="auto"/>
        </w:rPr>
        <w:t xml:space="preserve">capitalized on a balance sheet in </w:t>
      </w:r>
      <w:r>
        <w:rPr>
          <w:rFonts w:ascii="Arial" w:cs="Arial" w:eastAsia="Arial" w:hAnsi="Arial"/>
          <w:sz w:val="22"/>
          <w:szCs w:val="22"/>
          <w:i w:val="1"/>
          <w:iCs w:val="1"/>
          <w:color w:val="auto"/>
        </w:rPr>
        <w:t>accordance</w:t>
      </w:r>
      <w:r>
        <w:rPr>
          <w:rFonts w:ascii="Arial" w:cs="Arial" w:eastAsia="Arial" w:hAnsi="Arial"/>
          <w:sz w:val="22"/>
          <w:szCs w:val="22"/>
          <w:color w:val="auto"/>
        </w:rPr>
        <w:t xml:space="preserve"> with IFRS, and the Stated Maturity thereof shall be the date of the last payment of rent or any other amount due under such lease prior to the first date upon which such lease may be prepaid by the lessee without payment of a penalty.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60"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73" w:lineRule="exact"/>
        <w:rPr>
          <w:rFonts w:ascii="Arial" w:cs="Arial" w:eastAsia="Arial" w:hAnsi="Arial"/>
          <w:sz w:val="22"/>
          <w:szCs w:val="22"/>
          <w:color w:val="auto"/>
        </w:rPr>
      </w:pPr>
    </w:p>
    <w:p>
      <w:pPr>
        <w:ind w:left="340" w:right="20" w:firstLine="316"/>
        <w:spacing w:after="0" w:line="315" w:lineRule="auto"/>
        <w:tabs>
          <w:tab w:leader="none" w:pos="113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59" w:lineRule="exact"/>
        <w:rPr>
          <w:rFonts w:ascii="Arial" w:cs="Arial" w:eastAsia="Arial" w:hAnsi="Arial"/>
          <w:sz w:val="22"/>
          <w:szCs w:val="22"/>
          <w:color w:val="auto"/>
        </w:rPr>
      </w:pPr>
    </w:p>
    <w:p>
      <w:pPr>
        <w:ind w:left="340" w:firstLine="316"/>
        <w:spacing w:after="0" w:line="315" w:lineRule="auto"/>
        <w:tabs>
          <w:tab w:leader="none" w:pos="128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any other interests or participation that confers on a Person the right to receive a share of the profits and losses of, or</w:t>
      </w:r>
    </w:p>
    <w:p>
      <w:pPr>
        <w:spacing w:after="0" w:line="92" w:lineRule="exact"/>
        <w:rPr>
          <w:rFonts w:ascii="Arial" w:cs="Arial" w:eastAsia="Arial" w:hAnsi="Arial"/>
          <w:sz w:val="19"/>
          <w:szCs w:val="19"/>
          <w:color w:val="auto"/>
        </w:rPr>
      </w:pPr>
    </w:p>
    <w:p>
      <w:pPr>
        <w:ind w:left="340"/>
        <w:spacing w:after="0" w:line="328" w:lineRule="auto"/>
        <w:rPr>
          <w:rFonts w:ascii="Arial" w:cs="Arial" w:eastAsia="Arial" w:hAnsi="Arial"/>
          <w:sz w:val="19"/>
          <w:szCs w:val="19"/>
          <w:color w:val="auto"/>
        </w:rPr>
      </w:pPr>
      <w:r>
        <w:rPr>
          <w:rFonts w:ascii="Arial" w:cs="Arial" w:eastAsia="Arial" w:hAnsi="Arial"/>
          <w:sz w:val="21"/>
          <w:szCs w:val="21"/>
          <w:color w:val="auto"/>
        </w:rPr>
        <w:t>distributions of assets of, the issuing Person, but excluding from all of the foregoing any debt securities convertible into Capital Stock, whether or not such debt securities include any right of participation with Capital Stock.</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60" w:lineRule="exact"/>
        <w:rPr>
          <w:sz w:val="20"/>
          <w:szCs w:val="20"/>
          <w:color w:val="auto"/>
        </w:rPr>
      </w:pPr>
    </w:p>
    <w:p>
      <w:pPr>
        <w:ind w:left="1120" w:hanging="464"/>
        <w:spacing w:after="0"/>
        <w:tabs>
          <w:tab w:leader="none" w:pos="11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direct or indirect sale, transfer, conveyance or other disposition (other than by way of merger or consolidation), in</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one or a series of related transactions, of all or substantially all of the properties or assets of the Issuer and its Subsidiaries, taken as a whole, to any “person” (as that term is used in Section 13(d)(3) of the Exchange Act), other than to the Principal or a Related Party of the Principal;</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Issuer or any successor thereto;</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w:t>
      </w:r>
    </w:p>
    <w:p>
      <w:pPr>
        <w:spacing w:after="0" w:line="92" w:lineRule="exact"/>
        <w:rPr>
          <w:rFonts w:ascii="Arial" w:cs="Arial" w:eastAsia="Arial" w:hAnsi="Arial"/>
          <w:sz w:val="19"/>
          <w:szCs w:val="19"/>
          <w:color w:val="auto"/>
        </w:rPr>
      </w:pPr>
    </w:p>
    <w:p>
      <w:pPr>
        <w:jc w:val="both"/>
        <w:ind w:left="340"/>
        <w:spacing w:after="0" w:line="292" w:lineRule="auto"/>
        <w:rPr>
          <w:rFonts w:ascii="Arial" w:cs="Arial" w:eastAsia="Arial" w:hAnsi="Arial"/>
          <w:sz w:val="19"/>
          <w:szCs w:val="19"/>
          <w:color w:val="auto"/>
        </w:rPr>
      </w:pPr>
      <w:r>
        <w:rPr>
          <w:rFonts w:ascii="Arial" w:cs="Arial" w:eastAsia="Arial" w:hAnsi="Arial"/>
          <w:sz w:val="22"/>
          <w:szCs w:val="22"/>
          <w:color w:val="auto"/>
        </w:rPr>
        <w:t>that 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first day on which a majority of the members of the Board of Directors of the Issuer are not Continuing Directors;</w:t>
      </w:r>
    </w:p>
    <w:p>
      <w:pPr>
        <w:spacing w:after="0" w:line="308" w:lineRule="exact"/>
        <w:rPr>
          <w:rFonts w:ascii="Arial" w:cs="Arial" w:eastAsia="Arial" w:hAnsi="Arial"/>
          <w:sz w:val="19"/>
          <w:szCs w:val="19"/>
          <w:color w:val="auto"/>
        </w:rPr>
      </w:pPr>
    </w:p>
    <w:p>
      <w:pPr>
        <w:ind w:left="340" w:firstLine="316"/>
        <w:spacing w:after="0" w:line="315" w:lineRule="auto"/>
        <w:tabs>
          <w:tab w:leader="none" w:pos="109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first day on which the Issuer ceases to own, directly or indirectly, at least 60% of the outstanding Equity Interests of (and at least a 60% economic interest in) the Concessionaire;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30th day following the date on which the Issuer ceases to be entitled to use the “WYNN”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61" w:right="239" w:bottom="1440" w:gutter="0" w:footer="0" w:header="0"/>
        </w:sectPr>
      </w:pPr>
    </w:p>
    <w:bookmarkStart w:id="183" w:name="page184"/>
    <w:bookmarkEnd w:id="183"/>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a Change of Control and, if the Notes are rated by both Rating Agencies, a Ratings Event.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Concessionaire</w:t>
      </w:r>
      <w:r>
        <w:rPr>
          <w:rFonts w:ascii="Arial" w:cs="Arial" w:eastAsia="Arial" w:hAnsi="Arial"/>
          <w:sz w:val="22"/>
          <w:szCs w:val="22"/>
          <w:color w:val="auto"/>
        </w:rPr>
        <w:t>” means Wynn Resorts (Macau) S.A., a company incorporated under the laws of Macau.</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60"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was nominated for election, or was elected or appointed, to such Board of Directors with the approval of a majority of</w:t>
      </w:r>
    </w:p>
    <w:p>
      <w:pPr>
        <w:spacing w:after="0" w:line="92" w:lineRule="exact"/>
        <w:rPr>
          <w:rFonts w:ascii="Arial" w:cs="Arial" w:eastAsia="Arial" w:hAnsi="Arial"/>
          <w:sz w:val="19"/>
          <w:szCs w:val="19"/>
          <w:color w:val="auto"/>
        </w:rPr>
      </w:pPr>
    </w:p>
    <w:p>
      <w:pPr>
        <w:ind w:left="340" w:right="20"/>
        <w:spacing w:after="0" w:line="302" w:lineRule="auto"/>
        <w:rPr>
          <w:rFonts w:ascii="Arial" w:cs="Arial" w:eastAsia="Arial" w:hAnsi="Arial"/>
          <w:sz w:val="19"/>
          <w:szCs w:val="19"/>
          <w:color w:val="auto"/>
        </w:rPr>
      </w:pPr>
      <w:r>
        <w:rPr>
          <w:rFonts w:ascii="Arial" w:cs="Arial" w:eastAsia="Arial" w:hAnsi="Arial"/>
          <w:sz w:val="22"/>
          <w:szCs w:val="22"/>
          <w:color w:val="auto"/>
        </w:rPr>
        <w:t>the Continuing Directors who were members of such Board of Directors at the time of such nomination, election or appointment.</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11.01 hereof or such other address as to which the Trustee may give notice to the Issuer.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61" w:right="239" w:bottom="1440" w:gutter="0" w:footer="0" w:header="0"/>
        </w:sectPr>
      </w:pPr>
    </w:p>
    <w:bookmarkStart w:id="184" w:name="page185"/>
    <w:bookmarkEnd w:id="184"/>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 Equivalent</w:t>
      </w:r>
      <w:r>
        <w:rPr>
          <w:rFonts w:ascii="Arial" w:cs="Arial" w:eastAsia="Arial" w:hAnsi="Arial"/>
          <w:sz w:val="22"/>
          <w:szCs w:val="22"/>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9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Offering</w:t>
      </w:r>
      <w:r>
        <w:rPr>
          <w:rFonts w:ascii="Arial" w:cs="Arial" w:eastAsia="Arial" w:hAnsi="Arial"/>
          <w:sz w:val="21"/>
          <w:szCs w:val="21"/>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United States Securities Exchange Act of 1934, as amended.</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185" w:name="page186"/>
    <w:bookmarkEnd w:id="185"/>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Authority</w:t>
      </w:r>
      <w:r>
        <w:rPr>
          <w:rFonts w:ascii="Arial" w:cs="Arial" w:eastAsia="Arial" w:hAnsi="Arial"/>
          <w:sz w:val="21"/>
          <w:szCs w:val="21"/>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 Issuer or any of its respective Affiliates, including the Concessionaire.</w:t>
      </w:r>
    </w:p>
    <w:p>
      <w:pPr>
        <w:spacing w:after="0" w:line="18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the license, concession, subconcession or other authorization from any Government Authority which authorizes, permits, concedes or allows Wynn Macau or any of its Subsidiaries, at the relevant time, to own or manage casino or gaming areas or operate casino games of fortune and chance.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6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direct obligations of the United States of America for the timely payment of which its full faith and credit is pledged;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1120" w:hanging="464"/>
        <w:spacing w:after="0"/>
        <w:tabs>
          <w:tab w:leader="none" w:pos="11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obligations of a Person controlled or supervised by and acting as an agency or instrumentality of the United States of</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America the timely payment of which is unconditionally guaranteed as a full faith and credit obligation by the United States of America;</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61" w:right="239" w:bottom="1440" w:gutter="0" w:footer="0" w:header="0"/>
        </w:sectPr>
      </w:pPr>
    </w:p>
    <w:bookmarkStart w:id="186" w:name="page187"/>
    <w:bookmarkEnd w:id="186"/>
    <w:p>
      <w:pPr>
        <w:jc w:val="both"/>
        <w:spacing w:after="0" w:line="302" w:lineRule="auto"/>
        <w:rPr>
          <w:sz w:val="20"/>
          <w:szCs w:val="20"/>
          <w:color w:val="auto"/>
        </w:rPr>
      </w:pPr>
      <w:r>
        <w:rPr>
          <w:rFonts w:ascii="Arial" w:cs="Arial" w:eastAsia="Arial" w:hAnsi="Arial"/>
          <w:sz w:val="22"/>
          <w:szCs w:val="22"/>
          <w:color w:val="auto"/>
        </w:rPr>
        <w:t>such depository receipt from any amount received by the custodian in respect of the Government Security or the specific payment of principal of or interest on the Government Security evidenced by such depository receipt.</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60" w:lineRule="exact"/>
        <w:rPr>
          <w:sz w:val="20"/>
          <w:szCs w:val="20"/>
          <w:color w:val="auto"/>
        </w:rPr>
      </w:pPr>
    </w:p>
    <w:p>
      <w:pPr>
        <w:ind w:left="340" w:firstLine="316"/>
        <w:spacing w:after="0" w:line="315" w:lineRule="auto"/>
        <w:tabs>
          <w:tab w:leader="none" w:pos="115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IFRS</w:t>
      </w:r>
      <w:r>
        <w:rPr>
          <w:rFonts w:ascii="Arial" w:cs="Arial" w:eastAsia="Arial" w:hAnsi="Arial"/>
          <w:sz w:val="22"/>
          <w:szCs w:val="22"/>
          <w:color w:val="auto"/>
        </w:rPr>
        <w:t>” means International Financial Reporting Standards as in effect from time to time.</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4"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73" w:lineRule="exact"/>
        <w:rPr>
          <w:rFonts w:ascii="Arial" w:cs="Arial" w:eastAsia="Arial" w:hAnsi="Arial"/>
          <w:sz w:val="22"/>
          <w:szCs w:val="22"/>
          <w:color w:val="auto"/>
        </w:rPr>
      </w:pPr>
    </w:p>
    <w:p>
      <w:pPr>
        <w:ind w:left="340" w:firstLine="316"/>
        <w:spacing w:after="0" w:line="315" w:lineRule="auto"/>
        <w:tabs>
          <w:tab w:leader="none" w:pos="120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61" w:right="239" w:bottom="1440" w:gutter="0" w:footer="0" w:header="0"/>
        </w:sectPr>
      </w:pPr>
    </w:p>
    <w:bookmarkStart w:id="187" w:name="page188"/>
    <w:bookmarkEnd w:id="187"/>
    <w:p>
      <w:pPr>
        <w:jc w:val="both"/>
        <w:ind w:firstLine="648"/>
        <w:spacing w:after="0" w:line="287" w:lineRule="auto"/>
        <w:rPr>
          <w:sz w:val="20"/>
          <w:szCs w:val="20"/>
          <w:color w:val="auto"/>
        </w:rPr>
      </w:pPr>
      <w:r>
        <w:rPr>
          <w:rFonts w:ascii="Arial" w:cs="Arial" w:eastAsia="Arial" w:hAnsi="Arial"/>
          <w:sz w:val="22"/>
          <w:szCs w:val="22"/>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60"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accreted value of the Indebtedness, in the case of any Indebtedness issued with original issue discount;</w:t>
      </w:r>
    </w:p>
    <w:p>
      <w:pPr>
        <w:spacing w:after="0" w:line="285" w:lineRule="exact"/>
        <w:rPr>
          <w:rFonts w:ascii="Arial" w:cs="Arial" w:eastAsia="Arial" w:hAnsi="Arial"/>
          <w:sz w:val="21"/>
          <w:szCs w:val="21"/>
          <w:color w:val="auto"/>
        </w:rPr>
      </w:pPr>
    </w:p>
    <w:p>
      <w:pPr>
        <w:ind w:left="340" w:right="20" w:firstLine="316"/>
        <w:spacing w:after="0" w:line="315" w:lineRule="auto"/>
        <w:tabs>
          <w:tab w:leader="none" w:pos="111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59" w:lineRule="exact"/>
        <w:rPr>
          <w:rFonts w:ascii="Arial" w:cs="Arial" w:eastAsia="Arial" w:hAnsi="Arial"/>
          <w:sz w:val="22"/>
          <w:szCs w:val="22"/>
          <w:color w:val="auto"/>
        </w:rPr>
      </w:pPr>
    </w:p>
    <w:p>
      <w:pPr>
        <w:ind w:left="340" w:firstLine="316"/>
        <w:spacing w:after="0" w:line="315" w:lineRule="auto"/>
        <w:tabs>
          <w:tab w:leader="none" w:pos="127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 the case of a Guarantee of Indebtedness, the maximum amount of the Indebtedness guaranteed under such Guarantee;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in the case of Indebtedness of others secured by a Lien on any asset of the specified Person, the lesser of:</w:t>
      </w:r>
    </w:p>
    <w:p>
      <w:pPr>
        <w:spacing w:after="0" w:line="285" w:lineRule="exact"/>
        <w:rPr>
          <w:sz w:val="20"/>
          <w:szCs w:val="20"/>
          <w:color w:val="auto"/>
        </w:rPr>
      </w:pPr>
    </w:p>
    <w:p>
      <w:pPr>
        <w:ind w:right="20" w:firstLine="656"/>
        <w:spacing w:after="0" w:line="315" w:lineRule="auto"/>
        <w:tabs>
          <w:tab w:leader="none" w:pos="109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one of the Reference Treasury Dealers appointed by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US$750,000,000 aggregate principal amount of Notes issued under this Indenture on the date of this Indenture.</w:t>
      </w:r>
    </w:p>
    <w:p>
      <w:pPr>
        <w:spacing w:after="0" w:line="1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Purchasers</w:t>
      </w:r>
      <w:r>
        <w:rPr>
          <w:rFonts w:ascii="Arial" w:cs="Arial" w:eastAsia="Arial" w:hAnsi="Arial"/>
          <w:sz w:val="19"/>
          <w:szCs w:val="19"/>
          <w:color w:val="auto"/>
        </w:rPr>
        <w:t>” means Deutsche Bank AG, Singapore Branch, BNP Paribas Securities Corp., BOCI Asia Limited, DBS Bank Ltd., Industrial and Commercial Bank of China (Macau) Limited, Merrill Lynch, Pierce Fenner &amp; Smith Incorporated, Scotia Capital (USA) Inc., SMBC Nikko Securities America, Inc., United Overseas Bank Limited, Banco Nacional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61"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Ultramarino, S.A., Bank of Communications Co., Ltd. Macau Branch and J.P. Morgan Securities LLC.</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additional Rating Agency or Rating Agencies selected by the Issuer, as applicable.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date on which the Notes (other than Additional Notes) are originally issued.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Wynn Macau, Limited, and any and all successors thereto.</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New York, New York, Hong Kong, 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Lien</w:t>
      </w:r>
      <w:r>
        <w:rPr>
          <w:rFonts w:ascii="Arial" w:cs="Arial" w:eastAsia="Arial" w:hAnsi="Arial"/>
          <w:sz w:val="19"/>
          <w:szCs w:val="19"/>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32"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61" w:right="239" w:bottom="1440" w:gutter="0" w:footer="0" w:header="0"/>
        </w:sectPr>
      </w:pPr>
    </w:p>
    <w:bookmarkStart w:id="189" w:name="page190"/>
    <w:bookmarkEnd w:id="189"/>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the Chairman of the Board, Chief Executive Officer, Chief Financial Officer, President, any Executive Vice 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174"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Officer’s Certificate</w:t>
      </w:r>
      <w:r>
        <w:rPr>
          <w:rFonts w:ascii="Arial" w:cs="Arial" w:eastAsia="Arial" w:hAnsi="Arial"/>
          <w:sz w:val="19"/>
          <w:szCs w:val="19"/>
          <w:color w:val="auto"/>
        </w:rPr>
        <w:t>” means a certificate signed on behalf of the Issuer , or the Surviving Person, as the case may be, by an Officer of the Issuer, or the Surviving Person, as the case may be, that meets the requirements of Section 11.03 hereof.</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11.03 hereof. The counsel may be an employee of or counsel to the Issuer.</w:t>
      </w:r>
    </w:p>
    <w:p>
      <w:pPr>
        <w:spacing w:after="0" w:line="174"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Agencies</w:t>
      </w:r>
      <w:r>
        <w:rPr>
          <w:rFonts w:ascii="Arial" w:cs="Arial" w:eastAsia="Arial" w:hAnsi="Arial"/>
          <w:sz w:val="19"/>
          <w:szCs w:val="19"/>
          <w:color w:val="auto"/>
        </w:rPr>
        <w:t>” means (a) each of Moody’s and S&amp;P and (b) if either Moody’s or S&amp;P ceases to rate the Notes or fails to 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1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Category</w:t>
      </w:r>
      <w:r>
        <w:rPr>
          <w:rFonts w:ascii="Arial" w:cs="Arial" w:eastAsia="Arial" w:hAnsi="Arial"/>
          <w:sz w:val="22"/>
          <w:szCs w:val="22"/>
          <w:color w:val="auto"/>
        </w:rPr>
        <w:t>” means (1) with respect to S&amp;P, any of the following categories: “BB,” “B,” “CCC,” “CC,” “C” and “D” (or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190" w:name="page191"/>
    <w:bookmarkEnd w:id="190"/>
    <w:p>
      <w:pPr>
        <w:jc w:val="both"/>
        <w:spacing w:after="0" w:line="302" w:lineRule="auto"/>
        <w:rPr>
          <w:sz w:val="20"/>
          <w:szCs w:val="20"/>
          <w:color w:val="auto"/>
        </w:rPr>
      </w:pPr>
      <w:r>
        <w:rPr>
          <w:rFonts w:ascii="Arial" w:cs="Arial" w:eastAsia="Arial" w:hAnsi="Arial"/>
          <w:sz w:val="22"/>
          <w:szCs w:val="22"/>
          <w:color w:val="auto"/>
        </w:rPr>
        <w:t>(e.g., with respect to S&amp;P, a decline in a rating from “BB+” to “BB,” or from “BB” to “BB–,” shall constitute a decrease of one gradation).</w:t>
      </w:r>
    </w:p>
    <w:p>
      <w:pPr>
        <w:spacing w:after="0" w:line="17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the Issuer to affect a Change of Control.</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Ratings Event</w:t>
      </w:r>
      <w:r>
        <w:rPr>
          <w:rFonts w:ascii="Arial" w:cs="Arial" w:eastAsia="Arial" w:hAnsi="Arial"/>
          <w:sz w:val="21"/>
          <w:szCs w:val="21"/>
          <w:color w:val="auto"/>
        </w:rPr>
        <w:t>” means the occurrence of the events described in (1) or (2) of this definition on, or within 60 days after the earlier of (i) the occurrence of a Change of Control 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73" w:lineRule="exact"/>
        <w:rPr>
          <w:sz w:val="20"/>
          <w:szCs w:val="20"/>
          <w:color w:val="auto"/>
        </w:rPr>
      </w:pPr>
    </w:p>
    <w:p>
      <w:pPr>
        <w:ind w:left="340" w:right="20" w:firstLine="316"/>
        <w:spacing w:after="0" w:line="315" w:lineRule="auto"/>
        <w:tabs>
          <w:tab w:leader="none" w:pos="111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if the Notes are rated by one or both Rating Agencies on the Rating Date as Investment Grade, the rating of the Notes shall be reduced so that the Notes are rated below Investment Grade by both Rating Agencies; or</w:t>
      </w:r>
    </w:p>
    <w:p>
      <w:pPr>
        <w:spacing w:after="0" w:line="159" w:lineRule="exact"/>
        <w:rPr>
          <w:rFonts w:ascii="Arial" w:cs="Arial" w:eastAsia="Arial" w:hAnsi="Arial"/>
          <w:sz w:val="22"/>
          <w:szCs w:val="22"/>
          <w:color w:val="auto"/>
        </w:rPr>
      </w:pPr>
    </w:p>
    <w:p>
      <w:pPr>
        <w:ind w:left="1100" w:hanging="444"/>
        <w:spacing w:after="0"/>
        <w:tabs>
          <w:tab w:leader="none" w:pos="11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Notes are rated below Investment Grade by both Rating Agencies on the Rating Date, the rating of the Notes by</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either Rating Agency shall decrease by one or more gradations (including gradations within Rating Categories as well as between Rating Categories).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any primary U.S. Government securities dealer in New York City selected by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Issuer.</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Regulation S Global Note</w:t>
      </w:r>
      <w:r>
        <w:rPr>
          <w:rFonts w:ascii="Arial" w:cs="Arial" w:eastAsia="Arial" w:hAnsi="Arial"/>
          <w:sz w:val="19"/>
          <w:szCs w:val="19"/>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60" w:lineRule="exact"/>
        <w:rPr>
          <w:sz w:val="20"/>
          <w:szCs w:val="20"/>
          <w:color w:val="auto"/>
        </w:rPr>
      </w:pPr>
    </w:p>
    <w:p>
      <w:pPr>
        <w:ind w:left="1080" w:hanging="424"/>
        <w:spacing w:after="0"/>
        <w:tabs>
          <w:tab w:leader="none" w:pos="10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immediate family member or former spouse (in the case of an individual) of the Principal;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spacing w:after="0"/>
        <w:rPr>
          <w:rFonts w:ascii="Arial" w:cs="Arial" w:eastAsia="Arial" w:hAnsi="Arial"/>
          <w:sz w:val="22"/>
          <w:szCs w:val="22"/>
          <w:color w:val="auto"/>
        </w:rPr>
      </w:pPr>
      <w:r>
        <w:rPr>
          <w:rFonts w:ascii="Arial" w:cs="Arial" w:eastAsia="Arial" w:hAnsi="Arial"/>
          <w:sz w:val="22"/>
          <w:szCs w:val="22"/>
          <w:color w:val="auto"/>
        </w:rPr>
        <w:t>12</w:t>
      </w:r>
    </w:p>
    <w:p>
      <w:pPr>
        <w:sectPr>
          <w:pgSz w:w="11900" w:h="16838" w:orient="portrait"/>
          <w:cols w:equalWidth="0" w:num="1">
            <w:col w:w="11420"/>
          </w:cols>
          <w:pgMar w:left="240" w:top="861" w:right="239" w:bottom="1440" w:gutter="0" w:footer="0" w:header="0"/>
        </w:sectPr>
      </w:pPr>
    </w:p>
    <w:bookmarkStart w:id="191" w:name="page192"/>
    <w:bookmarkEnd w:id="191"/>
    <w:p>
      <w:pPr>
        <w:ind w:left="1140" w:hanging="484"/>
        <w:spacing w:after="0"/>
        <w:tabs>
          <w:tab w:leader="none" w:pos="1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trust, corporation, partnership, limited liability company or other entity, the beneficiaries, stockholders, partners,</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members, owners or Persons beneficially holding an 51% or more controlling interest of which consist of the Principal and/or such other Persons referred to in the immediately preceding clause (1) or this clause (2).</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when used with respect to the Trustee, means any officer of the Trustee with direct responsibility for the administration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S&amp;P</w:t>
      </w:r>
      <w:r>
        <w:rPr>
          <w:rFonts w:ascii="Arial" w:cs="Arial" w:eastAsia="Arial" w:hAnsi="Arial"/>
          <w:sz w:val="19"/>
          <w:szCs w:val="19"/>
          <w:color w:val="auto"/>
        </w:rPr>
        <w:t>” means Standard &amp; Poor’s Rating Group or any successor to its statistical rating business, except that any reference to a particular rating by S&amp;P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United States Securities and Exchange Commission.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United States Securities Act of 1933, as amended.</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Significant Subsidiary</w:t>
      </w:r>
      <w:r>
        <w:rPr>
          <w:rFonts w:ascii="Arial" w:cs="Arial" w:eastAsia="Arial" w:hAnsi="Arial"/>
          <w:sz w:val="19"/>
          <w:szCs w:val="19"/>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Triggering Event</w:t>
      </w:r>
      <w:r>
        <w:rPr>
          <w:rFonts w:ascii="Arial" w:cs="Arial" w:eastAsia="Arial" w:hAnsi="Arial"/>
          <w:sz w:val="22"/>
          <w:szCs w:val="22"/>
          <w:color w:val="auto"/>
        </w:rPr>
        <w:t>” means:</w:t>
      </w:r>
    </w:p>
    <w:p>
      <w:pPr>
        <w:spacing w:after="0" w:line="260" w:lineRule="exact"/>
        <w:rPr>
          <w:sz w:val="20"/>
          <w:szCs w:val="20"/>
          <w:color w:val="auto"/>
        </w:rPr>
      </w:pPr>
    </w:p>
    <w:p>
      <w:pPr>
        <w:jc w:val="both"/>
        <w:ind w:firstLine="656"/>
        <w:spacing w:after="0" w:line="341" w:lineRule="auto"/>
        <w:tabs>
          <w:tab w:leader="none" w:pos="96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 material adverse effect on the financial condition, business, properties, or results of operations of the Issuer and its Subsidiaries, taken as a whole;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61" w:right="239" w:bottom="1440" w:gutter="0" w:footer="0" w:header="0"/>
        </w:sectPr>
      </w:pPr>
    </w:p>
    <w:bookmarkStart w:id="192" w:name="page193"/>
    <w:bookmarkEnd w:id="192"/>
    <w:p>
      <w:pPr>
        <w:ind w:firstLine="656"/>
        <w:spacing w:after="0" w:line="387" w:lineRule="auto"/>
        <w:tabs>
          <w:tab w:leader="none" w:pos="96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any Gaming License which has had a material adverse effect on the financial condition, business, properties, or results of operations of Wynn Macau and its Subsidiaries, taken as a whole.</w:t>
      </w:r>
    </w:p>
    <w:p>
      <w:pPr>
        <w:spacing w:after="0" w:line="10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60" w:lineRule="exact"/>
        <w:rPr>
          <w:sz w:val="20"/>
          <w:szCs w:val="20"/>
          <w:color w:val="auto"/>
        </w:rPr>
      </w:pPr>
    </w:p>
    <w:p>
      <w:pPr>
        <w:ind w:left="1160" w:hanging="504"/>
        <w:spacing w:after="0"/>
        <w:tabs>
          <w:tab w:leader="none" w:pos="116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w:t>
      </w:r>
    </w:p>
    <w:p>
      <w:pPr>
        <w:spacing w:after="0" w:line="92" w:lineRule="exact"/>
        <w:rPr>
          <w:rFonts w:ascii="Arial" w:cs="Arial" w:eastAsia="Arial" w:hAnsi="Arial"/>
          <w:sz w:val="19"/>
          <w:szCs w:val="19"/>
          <w:color w:val="auto"/>
        </w:rPr>
      </w:pPr>
    </w:p>
    <w:p>
      <w:pPr>
        <w:jc w:val="both"/>
        <w:ind w:left="340"/>
        <w:spacing w:after="0" w:line="306" w:lineRule="auto"/>
        <w:rPr>
          <w:rFonts w:ascii="Arial" w:cs="Arial" w:eastAsia="Arial" w:hAnsi="Arial"/>
          <w:sz w:val="19"/>
          <w:szCs w:val="19"/>
          <w:color w:val="auto"/>
        </w:rPr>
      </w:pPr>
      <w:r>
        <w:rPr>
          <w:rFonts w:ascii="Arial" w:cs="Arial" w:eastAsia="Arial" w:hAnsi="Arial"/>
          <w:sz w:val="21"/>
          <w:szCs w:val="21"/>
          <w:color w:val="auto"/>
        </w:rPr>
        <w:t>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2" w:lineRule="exact"/>
        <w:rPr>
          <w:rFonts w:ascii="Arial" w:cs="Arial" w:eastAsia="Arial" w:hAnsi="Arial"/>
          <w:sz w:val="19"/>
          <w:szCs w:val="19"/>
          <w:color w:val="auto"/>
        </w:rPr>
      </w:pPr>
    </w:p>
    <w:p>
      <w:pPr>
        <w:ind w:left="1100" w:hanging="444"/>
        <w:spacing w:after="0"/>
        <w:tabs>
          <w:tab w:leader="none" w:pos="11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partnership (a) the sole general partner or the managing general partner of which is such Person or a Subsidiary of</w:t>
      </w:r>
    </w:p>
    <w:p>
      <w:pPr>
        <w:spacing w:after="0" w:line="92" w:lineRule="exact"/>
        <w:rPr>
          <w:rFonts w:ascii="Arial" w:cs="Arial" w:eastAsia="Arial" w:hAnsi="Arial"/>
          <w:sz w:val="19"/>
          <w:szCs w:val="19"/>
          <w:color w:val="auto"/>
        </w:rPr>
      </w:pPr>
    </w:p>
    <w:p>
      <w:pPr>
        <w:ind w:left="340"/>
        <w:spacing w:after="0" w:line="302" w:lineRule="auto"/>
        <w:rPr>
          <w:rFonts w:ascii="Arial" w:cs="Arial" w:eastAsia="Arial" w:hAnsi="Arial"/>
          <w:sz w:val="19"/>
          <w:szCs w:val="19"/>
          <w:color w:val="auto"/>
        </w:rPr>
      </w:pPr>
      <w:r>
        <w:rPr>
          <w:rFonts w:ascii="Arial" w:cs="Arial" w:eastAsia="Arial" w:hAnsi="Arial"/>
          <w:sz w:val="22"/>
          <w:szCs w:val="22"/>
          <w:color w:val="auto"/>
        </w:rPr>
        <w:t>such Person or (b) the only general partners of which are that Person or one or more Subsidiaries of that Person (or any combination thereof); or</w:t>
      </w:r>
    </w:p>
    <w:p>
      <w:pPr>
        <w:spacing w:after="0" w:line="173" w:lineRule="exact"/>
        <w:rPr>
          <w:rFonts w:ascii="Arial" w:cs="Arial" w:eastAsia="Arial" w:hAnsi="Arial"/>
          <w:sz w:val="19"/>
          <w:szCs w:val="19"/>
          <w:color w:val="auto"/>
        </w:rPr>
      </w:pPr>
    </w:p>
    <w:p>
      <w:pPr>
        <w:ind w:left="1140" w:hanging="484"/>
        <w:spacing w:after="0"/>
        <w:tabs>
          <w:tab w:leader="none" w:pos="11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limited liability company (a) the manager or managing member of which is such Person or a Subsidiary of such</w:t>
      </w:r>
    </w:p>
    <w:p>
      <w:pPr>
        <w:spacing w:after="0" w:line="92" w:lineRule="exact"/>
        <w:rPr>
          <w:rFonts w:ascii="Arial" w:cs="Arial" w:eastAsia="Arial" w:hAnsi="Arial"/>
          <w:sz w:val="19"/>
          <w:szCs w:val="19"/>
          <w:color w:val="auto"/>
        </w:rPr>
      </w:pPr>
    </w:p>
    <w:p>
      <w:pPr>
        <w:ind w:left="340" w:right="20"/>
        <w:spacing w:after="0" w:line="302" w:lineRule="auto"/>
        <w:rPr>
          <w:rFonts w:ascii="Arial" w:cs="Arial" w:eastAsia="Arial" w:hAnsi="Arial"/>
          <w:sz w:val="19"/>
          <w:szCs w:val="19"/>
          <w:color w:val="auto"/>
        </w:rPr>
      </w:pPr>
      <w:r>
        <w:rPr>
          <w:rFonts w:ascii="Arial" w:cs="Arial" w:eastAsia="Arial" w:hAnsi="Arial"/>
          <w:sz w:val="22"/>
          <w:szCs w:val="22"/>
          <w:color w:val="auto"/>
        </w:rPr>
        <w:t>Person or (b) the only members of which are that Person or one or more Subsidiaries of that Person (or any combination thereof).</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the Issuer and its Subsidiaries at such date, determined on a consolidated basis in accordance with IFRS.</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61" w:right="239" w:bottom="1440" w:gutter="0" w:footer="0" w:header="0"/>
        </w:sectPr>
      </w:pPr>
    </w:p>
    <w:bookmarkStart w:id="193" w:name="page194"/>
    <w:bookmarkEnd w:id="193"/>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940" w:type="dxa"/>
            <w:vAlign w:val="bottom"/>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w:t>
            </w: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8420" w:type="dxa"/>
            <w:vAlign w:val="bottom"/>
            <w:gridSpan w:val="3"/>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r>
              <w:rPr>
                <w:rFonts w:ascii="Arial" w:cs="Arial" w:eastAsia="Arial" w:hAnsi="Arial"/>
                <w:sz w:val="22"/>
                <w:szCs w:val="22"/>
                <w:color w:val="auto"/>
              </w:rPr>
              <w:t>.</w:t>
            </w: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20" w:type="dxa"/>
            <w:vAlign w:val="bottom"/>
            <w:gridSpan w:val="2"/>
          </w:tcPr>
          <w:p>
            <w:pPr>
              <w:jc w:val="center"/>
              <w:ind w:left="1592"/>
              <w:spacing w:after="0"/>
              <w:rPr>
                <w:sz w:val="20"/>
                <w:szCs w:val="20"/>
                <w:color w:val="auto"/>
              </w:rPr>
            </w:pPr>
            <w:r>
              <w:rPr>
                <w:rFonts w:ascii="Arial" w:cs="Arial" w:eastAsia="Arial" w:hAnsi="Arial"/>
                <w:sz w:val="22"/>
                <w:szCs w:val="22"/>
                <w:color w:val="auto"/>
                <w:w w:val="89"/>
              </w:rPr>
              <w:t>Defined</w:t>
            </w:r>
          </w:p>
        </w:tc>
        <w:tc>
          <w:tcPr>
            <w:tcW w:w="0" w:type="dxa"/>
            <w:vAlign w:val="bottom"/>
          </w:tcPr>
          <w:p>
            <w:pPr>
              <w:spacing w:after="0"/>
              <w:rPr>
                <w:sz w:val="1"/>
                <w:szCs w:val="1"/>
                <w:color w:val="auto"/>
              </w:rPr>
            </w:pPr>
          </w:p>
        </w:tc>
      </w:tr>
      <w:tr>
        <w:trPr>
          <w:trHeight w:val="243"/>
        </w:trPr>
        <w:tc>
          <w:tcPr>
            <w:tcW w:w="8420" w:type="dxa"/>
            <w:vAlign w:val="bottom"/>
            <w:gridSpan w:val="3"/>
            <w:vMerge w:val="restart"/>
          </w:tcPr>
          <w:p>
            <w:pPr>
              <w:ind w:left="40"/>
              <w:spacing w:after="0"/>
              <w:rPr>
                <w:sz w:val="20"/>
                <w:szCs w:val="20"/>
                <w:color w:val="auto"/>
              </w:rPr>
            </w:pPr>
            <w:r>
              <w:rPr>
                <w:rFonts w:ascii="Arial" w:cs="Arial" w:eastAsia="Arial" w:hAnsi="Arial"/>
                <w:sz w:val="22"/>
                <w:szCs w:val="22"/>
                <w:color w:val="auto"/>
              </w:rPr>
              <w:t>Term</w:t>
            </w:r>
          </w:p>
        </w:tc>
        <w:tc>
          <w:tcPr>
            <w:tcW w:w="1760" w:type="dxa"/>
            <w:vAlign w:val="bottom"/>
          </w:tcPr>
          <w:p>
            <w:pPr>
              <w:spacing w:after="0"/>
              <w:rPr>
                <w:sz w:val="21"/>
                <w:szCs w:val="21"/>
                <w:color w:val="auto"/>
              </w:rPr>
            </w:pPr>
          </w:p>
        </w:tc>
        <w:tc>
          <w:tcPr>
            <w:tcW w:w="660" w:type="dxa"/>
            <w:vAlign w:val="bottom"/>
          </w:tcPr>
          <w:p>
            <w:pPr>
              <w:jc w:val="center"/>
              <w:spacing w:after="0" w:line="243" w:lineRule="exact"/>
              <w:rPr>
                <w:sz w:val="20"/>
                <w:szCs w:val="20"/>
                <w:color w:val="auto"/>
              </w:rPr>
            </w:pPr>
            <w:r>
              <w:rPr>
                <w:rFonts w:ascii="Arial" w:cs="Arial" w:eastAsia="Arial" w:hAnsi="Arial"/>
                <w:sz w:val="22"/>
                <w:szCs w:val="22"/>
                <w:color w:val="auto"/>
              </w:rPr>
              <w:t>in</w:t>
            </w:r>
          </w:p>
        </w:tc>
        <w:tc>
          <w:tcPr>
            <w:tcW w:w="0" w:type="dxa"/>
            <w:vAlign w:val="bottom"/>
          </w:tcPr>
          <w:p>
            <w:pPr>
              <w:spacing w:after="0"/>
              <w:rPr>
                <w:sz w:val="1"/>
                <w:szCs w:val="1"/>
                <w:color w:val="auto"/>
              </w:rPr>
            </w:pPr>
          </w:p>
        </w:tc>
      </w:tr>
      <w:tr>
        <w:trPr>
          <w:trHeight w:val="143"/>
        </w:trPr>
        <w:tc>
          <w:tcPr>
            <w:tcW w:w="8420" w:type="dxa"/>
            <w:vAlign w:val="bottom"/>
            <w:gridSpan w:val="3"/>
            <w:vMerge w:val="continue"/>
          </w:tcPr>
          <w:p>
            <w:pPr>
              <w:spacing w:after="0"/>
              <w:rPr>
                <w:sz w:val="12"/>
                <w:szCs w:val="12"/>
                <w:color w:val="auto"/>
              </w:rPr>
            </w:pPr>
          </w:p>
        </w:tc>
        <w:tc>
          <w:tcPr>
            <w:tcW w:w="1760" w:type="dxa"/>
            <w:vAlign w:val="bottom"/>
            <w:vMerge w:val="restart"/>
          </w:tcPr>
          <w:p>
            <w:pPr>
              <w:spacing w:after="0"/>
              <w:rPr>
                <w:sz w:val="12"/>
                <w:szCs w:val="12"/>
                <w:color w:val="auto"/>
              </w:rPr>
            </w:pPr>
          </w:p>
        </w:tc>
        <w:tc>
          <w:tcPr>
            <w:tcW w:w="660" w:type="dxa"/>
            <w:vAlign w:val="bottom"/>
            <w:vMerge w:val="restart"/>
          </w:tcPr>
          <w:p>
            <w:pPr>
              <w:jc w:val="center"/>
              <w:spacing w:after="0" w:line="224" w:lineRule="exact"/>
              <w:rPr>
                <w:sz w:val="20"/>
                <w:szCs w:val="20"/>
                <w:color w:val="auto"/>
              </w:rPr>
            </w:pPr>
            <w:r>
              <w:rPr>
                <w:rFonts w:ascii="Arial" w:cs="Arial" w:eastAsia="Arial" w:hAnsi="Arial"/>
                <w:sz w:val="22"/>
                <w:szCs w:val="22"/>
                <w:color w:val="auto"/>
                <w:w w:val="89"/>
              </w:rPr>
              <w:t>Section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6"/>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2.02</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8.03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6.01</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HKSE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2420" w:type="dxa"/>
            <w:vAlign w:val="bottom"/>
            <w:gridSpan w:val="2"/>
          </w:tcPr>
          <w:p>
            <w:pPr>
              <w:jc w:val="center"/>
              <w:ind w:left="1632"/>
              <w:spacing w:after="0"/>
              <w:rPr>
                <w:sz w:val="20"/>
                <w:szCs w:val="20"/>
                <w:color w:val="auto"/>
              </w:rPr>
            </w:pPr>
            <w:r>
              <w:rPr>
                <w:rFonts w:ascii="Arial" w:cs="Arial" w:eastAsia="Arial" w:hAnsi="Arial"/>
                <w:sz w:val="22"/>
                <w:szCs w:val="22"/>
                <w:color w:val="auto"/>
                <w:w w:val="87"/>
              </w:rPr>
              <w:t>11.08</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8.02</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Jurisdiction</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Offer</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Person</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297"/>
        </w:trPr>
        <w:tc>
          <w:tcPr>
            <w:tcW w:w="8420" w:type="dxa"/>
            <w:vAlign w:val="bottom"/>
            <w:gridSpan w:val="3"/>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w:t>
            </w:r>
          </w:p>
        </w:tc>
        <w:tc>
          <w:tcPr>
            <w:tcW w:w="2420" w:type="dxa"/>
            <w:vAlign w:val="bottom"/>
            <w:gridSpan w:val="2"/>
          </w:tcPr>
          <w:p>
            <w:pPr>
              <w:jc w:val="center"/>
              <w:ind w:left="16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Rules of Construction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60" w:lineRule="exact"/>
        <w:rPr>
          <w:sz w:val="20"/>
          <w:szCs w:val="20"/>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in accordance with IFRS;</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“will” and “shall” shall be interpreted to express a command;</w:t>
      </w:r>
    </w:p>
    <w:p>
      <w:pPr>
        <w:sectPr>
          <w:pgSz w:w="11900" w:h="16838" w:orient="portrait"/>
          <w:cols w:equalWidth="0" w:num="1">
            <w:col w:w="11420"/>
          </w:cols>
          <w:pgMar w:left="240" w:top="8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20"/>
          </w:cols>
          <w:pgMar w:left="240" w:top="861" w:right="239" w:bottom="1440" w:gutter="0" w:footer="0" w:header="0"/>
          <w:type w:val="continuous"/>
        </w:sectPr>
      </w:pPr>
    </w:p>
    <w:bookmarkStart w:id="194" w:name="page195"/>
    <w:bookmarkEnd w:id="194"/>
    <w:p>
      <w:pPr>
        <w:ind w:left="1740" w:hanging="435"/>
        <w:spacing w:after="0"/>
        <w:tabs>
          <w:tab w:leader="none" w:pos="17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73" w:lineRule="exact"/>
        <w:rPr>
          <w:rFonts w:ascii="Arial" w:cs="Arial" w:eastAsia="Arial" w:hAnsi="Arial"/>
          <w:sz w:val="22"/>
          <w:szCs w:val="22"/>
          <w:color w:val="auto"/>
        </w:rPr>
      </w:pPr>
    </w:p>
    <w:p>
      <w:pPr>
        <w:ind w:left="660" w:right="20" w:firstLine="645"/>
        <w:spacing w:after="0" w:line="315" w:lineRule="auto"/>
        <w:tabs>
          <w:tab w:leader="none" w:pos="175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59" w:lineRule="exact"/>
        <w:rPr>
          <w:rFonts w:ascii="Arial" w:cs="Arial" w:eastAsia="Arial" w:hAnsi="Arial"/>
          <w:sz w:val="22"/>
          <w:szCs w:val="22"/>
          <w:color w:val="auto"/>
        </w:rPr>
      </w:pPr>
    </w:p>
    <w:p>
      <w:pPr>
        <w:ind w:left="660" w:firstLine="645"/>
        <w:spacing w:after="0" w:line="315" w:lineRule="auto"/>
        <w:tabs>
          <w:tab w:leader="none" w:pos="1835"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59" w:lineRule="exact"/>
        <w:rPr>
          <w:rFonts w:ascii="Arial" w:cs="Arial" w:eastAsia="Arial" w:hAnsi="Arial"/>
          <w:sz w:val="22"/>
          <w:szCs w:val="22"/>
          <w:color w:val="auto"/>
        </w:rPr>
      </w:pPr>
    </w:p>
    <w:p>
      <w:pPr>
        <w:ind w:left="1860" w:hanging="555"/>
        <w:spacing w:after="0"/>
        <w:tabs>
          <w:tab w:leader="none" w:pos="186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references to any contract, agreement or instrument shall mean the same as amended, modified, supplemented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or amended and restated from time to time, in each case, in accordance with any applicable restrictions contained therein and in this Indenture; and</w:t>
      </w:r>
    </w:p>
    <w:p>
      <w:pPr>
        <w:spacing w:after="0" w:line="173" w:lineRule="exact"/>
        <w:rPr>
          <w:rFonts w:ascii="Arial" w:cs="Arial" w:eastAsia="Arial" w:hAnsi="Arial"/>
          <w:sz w:val="19"/>
          <w:szCs w:val="19"/>
          <w:color w:val="auto"/>
        </w:rPr>
      </w:pPr>
    </w:p>
    <w:p>
      <w:pPr>
        <w:ind w:left="1940" w:hanging="635"/>
        <w:spacing w:after="0"/>
        <w:tabs>
          <w:tab w:leader="none" w:pos="1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consummation by the Issuer on the date of this Indenture of the transactions described in the Issuer’s</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Offering Memorandum, dated as of September 13, 2017, relating to the offering of the Initial Notes, shall be deemed to occur concurrently.</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THE NOTES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Notes and the Trustee’s certificate of authentication shall be substantially in the form of Exhibit A hereto.</w:t>
      </w:r>
    </w:p>
    <w:p>
      <w:pPr>
        <w:spacing w:after="0" w:line="92" w:lineRule="exact"/>
        <w:rPr>
          <w:rFonts w:ascii="Arial" w:cs="Arial" w:eastAsia="Arial" w:hAnsi="Arial"/>
          <w:sz w:val="19"/>
          <w:szCs w:val="19"/>
          <w:color w:val="auto"/>
        </w:rPr>
      </w:pPr>
    </w:p>
    <w:p>
      <w:pPr>
        <w:jc w:val="both"/>
        <w:ind w:right="20"/>
        <w:spacing w:after="0" w:line="292" w:lineRule="auto"/>
        <w:rPr>
          <w:rFonts w:ascii="Arial" w:cs="Arial" w:eastAsia="Arial" w:hAnsi="Arial"/>
          <w:sz w:val="19"/>
          <w:szCs w:val="19"/>
          <w:color w:val="auto"/>
        </w:rPr>
      </w:pPr>
      <w:r>
        <w:rPr>
          <w:rFonts w:ascii="Arial" w:cs="Arial" w:eastAsia="Arial" w:hAnsi="Arial"/>
          <w:sz w:val="22"/>
          <w:szCs w:val="22"/>
          <w:color w:val="auto"/>
        </w:rPr>
        <w:t>The Notes may 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90" w:lineRule="exact"/>
        <w:rPr>
          <w:sz w:val="20"/>
          <w:szCs w:val="20"/>
          <w:color w:val="auto"/>
        </w:rPr>
      </w:pPr>
    </w:p>
    <w:p>
      <w:pPr>
        <w:ind w:left="1120" w:hanging="464"/>
        <w:spacing w:after="0"/>
        <w:tabs>
          <w:tab w:leader="none" w:pos="1120"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 Exhibit A hereto (including the Global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61" w:right="239" w:bottom="1440" w:gutter="0" w:footer="0" w:header="0"/>
        </w:sectPr>
      </w:pPr>
    </w:p>
    <w:bookmarkStart w:id="195" w:name="page196"/>
    <w:bookmarkEnd w:id="195"/>
    <w:p>
      <w:pPr>
        <w:jc w:val="both"/>
        <w:spacing w:after="0" w:line="300" w:lineRule="auto"/>
        <w:rPr>
          <w:sz w:val="20"/>
          <w:szCs w:val="20"/>
          <w:color w:val="auto"/>
        </w:rPr>
      </w:pPr>
      <w:r>
        <w:rPr>
          <w:rFonts w:ascii="Arial" w:cs="Arial" w:eastAsia="Arial" w:hAnsi="Arial"/>
          <w:sz w:val="21"/>
          <w:szCs w:val="21"/>
          <w:color w:val="auto"/>
        </w:rPr>
        <w:t>duly executed by the Issuer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83" w:lineRule="exact"/>
        <w:rPr>
          <w:sz w:val="20"/>
          <w:szCs w:val="20"/>
          <w:color w:val="auto"/>
        </w:rPr>
      </w:pPr>
    </w:p>
    <w:p>
      <w:pPr>
        <w:ind w:left="1200" w:hanging="544"/>
        <w:spacing w:after="0"/>
        <w:tabs>
          <w:tab w:leader="none" w:pos="1200"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 xml:space="preserve">Euroclear and Clearstream Procedures Applicable. </w:t>
      </w:r>
      <w:r>
        <w:rPr>
          <w:rFonts w:ascii="Arial" w:cs="Arial" w:eastAsia="Arial" w:hAnsi="Arial"/>
          <w:sz w:val="19"/>
          <w:szCs w:val="19"/>
          <w:color w:val="auto"/>
        </w:rPr>
        <w:t>The provisions of the “Operating Procedures of the Euroclear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Designated Officer must sign the Notes for the Issuer by manual or facsimile signature.</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upon receipt of a written order of the Issuer signed by a Designated Officer of the Issuer (an “</w:t>
      </w:r>
      <w:r>
        <w:rPr>
          <w:rFonts w:ascii="Arial" w:cs="Arial" w:eastAsia="Arial" w:hAnsi="Arial"/>
          <w:sz w:val="22"/>
          <w:szCs w:val="22"/>
          <w:i w:val="1"/>
          <w:iCs w:val="1"/>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61" w:right="239" w:bottom="1440" w:gutter="0" w:footer="0" w:header="0"/>
        </w:sectPr>
      </w:pPr>
    </w:p>
    <w:bookmarkStart w:id="196" w:name="page197"/>
    <w:bookmarkEnd w:id="196"/>
    <w:p>
      <w:pPr>
        <w:spacing w:after="0"/>
        <w:tabs>
          <w:tab w:leader="none" w:pos="12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2"/>
          <w:szCs w:val="22"/>
          <w:color w:val="auto"/>
        </w:rPr>
        <w:t>The Issuer shall maintain an office or agency where Notes may be presented for registration of transfer or for exchange (“</w:t>
      </w:r>
      <w:r>
        <w:rPr>
          <w:rFonts w:ascii="Arial" w:cs="Arial" w:eastAsia="Arial" w:hAnsi="Arial"/>
          <w:sz w:val="22"/>
          <w:szCs w:val="22"/>
          <w:i w:val="1"/>
          <w:iCs w:val="1"/>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color w:val="auto"/>
        </w:rPr>
        <w:t>Paying Agent</w:t>
      </w:r>
      <w:r>
        <w:rPr>
          <w:rFonts w:ascii="Arial" w:cs="Arial" w:eastAsia="Arial" w:hAnsi="Arial"/>
          <w:sz w:val="22"/>
          <w:szCs w:val="22"/>
          <w:color w:val="auto"/>
        </w:rPr>
        <w: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9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rely and shall be fully protected in relying upon information furnished by DTC with respect to its agent members and other members, participants and any beneficial owners.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initially appoints the Trustee to act as the Registrar and Paying Agent and to act as Custodian with respect to the Global Notes.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 Paying Agent, it shall segregate and hold in a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61" w:right="239" w:bottom="1440" w:gutter="0" w:footer="0" w:header="0"/>
        </w:sectPr>
      </w:pPr>
    </w:p>
    <w:bookmarkStart w:id="197" w:name="page198"/>
    <w:bookmarkEnd w:id="197"/>
    <w:p>
      <w:pPr>
        <w:jc w:val="both"/>
        <w:ind w:right="20"/>
        <w:spacing w:after="0" w:line="302" w:lineRule="auto"/>
        <w:rPr>
          <w:sz w:val="20"/>
          <w:szCs w:val="20"/>
          <w:color w:val="auto"/>
        </w:rPr>
      </w:pPr>
      <w:r>
        <w:rPr>
          <w:rFonts w:ascii="Arial" w:cs="Arial" w:eastAsia="Arial" w:hAnsi="Arial"/>
          <w:sz w:val="22"/>
          <w:szCs w:val="22"/>
          <w:color w:val="auto"/>
        </w:rPr>
        <w:t>trust fund for the benefit of the Holders all money held by it as Paying Agent. Upon any bankruptcy or reorganization proceedings relating to the Issuer, the Trustee shall serve as Paying Agent for the Notes.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Transfer and Exchange</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181"/>
        </w:numPr>
        <w:rPr>
          <w:rFonts w:ascii="Arial" w:cs="Arial" w:eastAsia="Arial" w:hAnsi="Arial"/>
          <w:sz w:val="19"/>
          <w:szCs w:val="19"/>
          <w:color w:val="auto"/>
        </w:rPr>
      </w:pPr>
      <w:r>
        <w:rPr>
          <w:rFonts w:ascii="Arial" w:cs="Arial" w:eastAsia="Arial" w:hAnsi="Arial"/>
          <w:sz w:val="19"/>
          <w:szCs w:val="19"/>
          <w:i w:val="1"/>
          <w:iCs w:val="1"/>
          <w:color w:val="auto"/>
        </w:rPr>
        <w:t>Transfer and Exchange of Global Notes</w:t>
      </w:r>
      <w:r>
        <w:rPr>
          <w:rFonts w:ascii="Arial" w:cs="Arial" w:eastAsia="Arial" w:hAnsi="Arial"/>
          <w:sz w:val="19"/>
          <w:szCs w:val="19"/>
          <w:color w:val="auto"/>
        </w:rPr>
        <w:t>. A Global Note may not be transferred except as a whole by the Depositary to</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184" w:lineRule="exact"/>
        <w:rPr>
          <w:rFonts w:ascii="Arial" w:cs="Arial" w:eastAsia="Arial" w:hAnsi="Arial"/>
          <w:sz w:val="19"/>
          <w:szCs w:val="19"/>
          <w:color w:val="auto"/>
        </w:rPr>
      </w:pPr>
    </w:p>
    <w:p>
      <w:pPr>
        <w:ind w:left="1760" w:hanging="455"/>
        <w:spacing w:after="0"/>
        <w:tabs>
          <w:tab w:leader="none" w:pos="176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Issuer delivers to the Trustee written notice from the Depositary that it is unwilling or unable to continue to</w:t>
      </w:r>
    </w:p>
    <w:p>
      <w:pPr>
        <w:spacing w:after="0" w:line="92" w:lineRule="exact"/>
        <w:rPr>
          <w:rFonts w:ascii="Arial" w:cs="Arial" w:eastAsia="Arial" w:hAnsi="Arial"/>
          <w:sz w:val="19"/>
          <w:szCs w:val="19"/>
          <w:color w:val="auto"/>
        </w:rPr>
      </w:pPr>
    </w:p>
    <w:p>
      <w:pPr>
        <w:ind w:left="660" w:right="20"/>
        <w:spacing w:after="0" w:line="387" w:lineRule="auto"/>
        <w:rPr>
          <w:rFonts w:ascii="Arial" w:cs="Arial" w:eastAsia="Arial" w:hAnsi="Arial"/>
          <w:sz w:val="19"/>
          <w:szCs w:val="19"/>
          <w:color w:val="auto"/>
        </w:rPr>
      </w:pPr>
      <w:r>
        <w:rPr>
          <w:rFonts w:ascii="Arial" w:cs="Arial" w:eastAsia="Arial" w:hAnsi="Arial"/>
          <w:sz w:val="19"/>
          <w:szCs w:val="19"/>
          <w:color w:val="auto"/>
        </w:rPr>
        <w:t>act as Depositary or that it is no longer a clearing agency registered under the Exchange Act and, in either case, a successor Depositary is not appointed by the Issuer within 120 days after the date of such notice from the Depositary;</w:t>
      </w:r>
    </w:p>
    <w:p>
      <w:pPr>
        <w:spacing w:after="0" w:line="105" w:lineRule="exact"/>
        <w:rPr>
          <w:rFonts w:ascii="Arial" w:cs="Arial" w:eastAsia="Arial" w:hAnsi="Arial"/>
          <w:sz w:val="19"/>
          <w:szCs w:val="19"/>
          <w:color w:val="auto"/>
        </w:rPr>
      </w:pPr>
    </w:p>
    <w:p>
      <w:pPr>
        <w:ind w:left="660" w:firstLine="645"/>
        <w:spacing w:after="0" w:line="315" w:lineRule="auto"/>
        <w:tabs>
          <w:tab w:leader="none" w:pos="174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Issuer in its sole discretion determines that the Global Notes (in whole but not in part) should be exchanged for Definitive Notes and delivers a written notice to such effect to the Trustee; or</w:t>
      </w:r>
    </w:p>
    <w:p>
      <w:pPr>
        <w:spacing w:after="0" w:line="159" w:lineRule="exact"/>
        <w:rPr>
          <w:rFonts w:ascii="Arial" w:cs="Arial" w:eastAsia="Arial" w:hAnsi="Arial"/>
          <w:sz w:val="22"/>
          <w:szCs w:val="22"/>
          <w:color w:val="auto"/>
        </w:rPr>
      </w:pPr>
    </w:p>
    <w:p>
      <w:pPr>
        <w:ind w:left="1800" w:hanging="495"/>
        <w:spacing w:after="0"/>
        <w:tabs>
          <w:tab w:leader="none" w:pos="180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following the occurrence and during the continuation of a Default or Event of Default, any Person having a</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beneficial interest in a Global Note requests that the Global Notes should be exchanged for Definitive Notes and delivers a written notice to such effect to the Trustee.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61"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beneficial interests in a Global Note may be transferred and exchanged as provided in Section 2.06(b) or (c) hereof.</w:t>
      </w:r>
    </w:p>
    <w:p>
      <w:pPr>
        <w:spacing w:after="0" w:line="260" w:lineRule="exact"/>
        <w:rPr>
          <w:sz w:val="20"/>
          <w:szCs w:val="20"/>
          <w:color w:val="auto"/>
        </w:rPr>
      </w:pPr>
    </w:p>
    <w:p>
      <w:pPr>
        <w:ind w:left="1100" w:hanging="444"/>
        <w:spacing w:after="0"/>
        <w:tabs>
          <w:tab w:leader="none" w:pos="1100" w:val="left"/>
        </w:tabs>
        <w:numPr>
          <w:ilvl w:val="0"/>
          <w:numId w:val="182"/>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the Global Notes</w:t>
      </w:r>
      <w:r>
        <w:rPr>
          <w:rFonts w:ascii="Arial" w:cs="Arial" w:eastAsia="Arial" w:hAnsi="Arial"/>
          <w:sz w:val="19"/>
          <w:szCs w:val="19"/>
          <w:color w:val="auto"/>
        </w:rPr>
        <w:t>. The transfer and exchange of beneficial interests in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9" w:lineRule="exact"/>
        <w:rPr>
          <w:rFonts w:ascii="Arial" w:cs="Arial" w:eastAsia="Arial" w:hAnsi="Arial"/>
          <w:sz w:val="19"/>
          <w:szCs w:val="19"/>
          <w:color w:val="auto"/>
        </w:rPr>
      </w:pPr>
    </w:p>
    <w:p>
      <w:pPr>
        <w:ind w:left="1820" w:hanging="515"/>
        <w:spacing w:after="0"/>
        <w:tabs>
          <w:tab w:leader="none" w:pos="1820"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Transfer of Beneficial Interests in the Same Global Note</w:t>
      </w:r>
      <w:r>
        <w:rPr>
          <w:rFonts w:ascii="Arial" w:cs="Arial" w:eastAsia="Arial" w:hAnsi="Arial"/>
          <w:sz w:val="19"/>
          <w:szCs w:val="19"/>
          <w:color w:val="auto"/>
        </w:rPr>
        <w:t>. Beneficial interests in any Restricted Global Note</w:t>
      </w:r>
    </w:p>
    <w:p>
      <w:pPr>
        <w:spacing w:after="0" w:line="92" w:lineRule="exact"/>
        <w:rPr>
          <w:rFonts w:ascii="Arial" w:cs="Arial" w:eastAsia="Arial" w:hAnsi="Arial"/>
          <w:sz w:val="19"/>
          <w:szCs w:val="19"/>
          <w:color w:val="auto"/>
        </w:rPr>
      </w:pPr>
    </w:p>
    <w:p>
      <w:pPr>
        <w:jc w:val="both"/>
        <w:ind w:left="66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expiration of the Restricted Period, transfers of beneficial interests in the Regulation S 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54" w:lineRule="exact"/>
        <w:rPr>
          <w:rFonts w:ascii="Arial" w:cs="Arial" w:eastAsia="Arial" w:hAnsi="Arial"/>
          <w:sz w:val="19"/>
          <w:szCs w:val="19"/>
          <w:color w:val="auto"/>
        </w:rPr>
      </w:pPr>
    </w:p>
    <w:p>
      <w:pPr>
        <w:ind w:left="1760" w:hanging="455"/>
        <w:spacing w:after="0"/>
        <w:tabs>
          <w:tab w:leader="none" w:pos="1760"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 xml:space="preserve">All Other Transfers and Exchanges of Beneficial Interests in Global Notes. </w:t>
      </w:r>
      <w:r>
        <w:rPr>
          <w:rFonts w:ascii="Arial" w:cs="Arial" w:eastAsia="Arial" w:hAnsi="Arial"/>
          <w:sz w:val="19"/>
          <w:szCs w:val="19"/>
          <w:color w:val="auto"/>
        </w:rPr>
        <w:t>In connection with all transfers and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73" w:lineRule="exact"/>
        <w:rPr>
          <w:rFonts w:ascii="Arial" w:cs="Arial" w:eastAsia="Arial" w:hAnsi="Arial"/>
          <w:sz w:val="19"/>
          <w:szCs w:val="19"/>
          <w:color w:val="auto"/>
        </w:rPr>
      </w:pPr>
    </w:p>
    <w:p>
      <w:pPr>
        <w:ind w:left="2440" w:hanging="487"/>
        <w:spacing w:after="0"/>
        <w:tabs>
          <w:tab w:leader="none" w:pos="244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both:</w:t>
      </w:r>
    </w:p>
    <w:p>
      <w:pPr>
        <w:spacing w:after="0" w:line="273" w:lineRule="exact"/>
        <w:rPr>
          <w:rFonts w:ascii="Arial" w:cs="Arial" w:eastAsia="Arial" w:hAnsi="Arial"/>
          <w:sz w:val="22"/>
          <w:szCs w:val="22"/>
          <w:color w:val="auto"/>
        </w:rPr>
      </w:pPr>
    </w:p>
    <w:p>
      <w:pPr>
        <w:ind w:left="2980" w:hanging="379"/>
        <w:spacing w:after="0"/>
        <w:tabs>
          <w:tab w:leader="none" w:pos="2980" w:val="left"/>
        </w:tabs>
        <w:numPr>
          <w:ilvl w:val="3"/>
          <w:numId w:val="182"/>
        </w:numPr>
        <w:rPr>
          <w:rFonts w:ascii="Arial" w:cs="Arial" w:eastAsia="Arial" w:hAnsi="Arial"/>
          <w:sz w:val="19"/>
          <w:szCs w:val="19"/>
          <w:color w:val="auto"/>
        </w:rPr>
      </w:pPr>
      <w:r>
        <w:rPr>
          <w:rFonts w:ascii="Arial" w:cs="Arial" w:eastAsia="Arial" w:hAnsi="Arial"/>
          <w:sz w:val="19"/>
          <w:szCs w:val="19"/>
          <w:color w:val="auto"/>
        </w:rPr>
        <w:t>a written order from a Participant or an Indirect Participant given to the Depositary in accordance</w:t>
      </w:r>
    </w:p>
    <w:p>
      <w:pPr>
        <w:spacing w:after="0" w:line="92" w:lineRule="exact"/>
        <w:rPr>
          <w:rFonts w:ascii="Arial" w:cs="Arial" w:eastAsia="Arial" w:hAnsi="Arial"/>
          <w:sz w:val="19"/>
          <w:szCs w:val="19"/>
          <w:color w:val="auto"/>
        </w:rPr>
      </w:pPr>
    </w:p>
    <w:p>
      <w:pPr>
        <w:ind w:left="1960"/>
        <w:spacing w:after="0" w:line="387" w:lineRule="auto"/>
        <w:rPr>
          <w:rFonts w:ascii="Arial" w:cs="Arial" w:eastAsia="Arial" w:hAnsi="Arial"/>
          <w:sz w:val="19"/>
          <w:szCs w:val="19"/>
          <w:color w:val="auto"/>
        </w:rPr>
      </w:pPr>
      <w:r>
        <w:rPr>
          <w:rFonts w:ascii="Arial" w:cs="Arial" w:eastAsia="Arial" w:hAnsi="Arial"/>
          <w:sz w:val="19"/>
          <w:szCs w:val="19"/>
          <w:color w:val="auto"/>
        </w:rPr>
        <w:t>with the Applicable Procedures directing the Depositary to credit or cause to be credited a beneficial interest in another Global Note in an amount equal to the beneficial interest to be transferred or exchanged; and</w:t>
      </w:r>
    </w:p>
    <w:p>
      <w:pPr>
        <w:spacing w:after="0" w:line="105" w:lineRule="exact"/>
        <w:rPr>
          <w:rFonts w:ascii="Arial" w:cs="Arial" w:eastAsia="Arial" w:hAnsi="Arial"/>
          <w:sz w:val="19"/>
          <w:szCs w:val="19"/>
          <w:color w:val="auto"/>
        </w:rPr>
      </w:pPr>
    </w:p>
    <w:p>
      <w:pPr>
        <w:ind w:left="1960" w:firstLine="641"/>
        <w:spacing w:after="0" w:line="315" w:lineRule="auto"/>
        <w:tabs>
          <w:tab w:leader="none" w:pos="3282" w:val="left"/>
        </w:tabs>
        <w:numPr>
          <w:ilvl w:val="3"/>
          <w:numId w:val="182"/>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59" w:lineRule="exact"/>
        <w:rPr>
          <w:rFonts w:ascii="Arial" w:cs="Arial" w:eastAsia="Arial" w:hAnsi="Arial"/>
          <w:sz w:val="22"/>
          <w:szCs w:val="22"/>
          <w:color w:val="auto"/>
        </w:rPr>
      </w:pPr>
    </w:p>
    <w:p>
      <w:pPr>
        <w:ind w:left="2420" w:hanging="467"/>
        <w:spacing w:after="0"/>
        <w:tabs>
          <w:tab w:leader="none" w:pos="242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both:</w:t>
      </w:r>
    </w:p>
    <w:p>
      <w:pPr>
        <w:spacing w:after="0" w:line="273" w:lineRule="exact"/>
        <w:rPr>
          <w:rFonts w:ascii="Arial" w:cs="Arial" w:eastAsia="Arial" w:hAnsi="Arial"/>
          <w:sz w:val="22"/>
          <w:szCs w:val="22"/>
          <w:color w:val="auto"/>
        </w:rPr>
      </w:pPr>
    </w:p>
    <w:p>
      <w:pPr>
        <w:ind w:left="1960" w:firstLine="641"/>
        <w:spacing w:after="0" w:line="315" w:lineRule="auto"/>
        <w:tabs>
          <w:tab w:leader="none" w:pos="2992" w:val="left"/>
        </w:tabs>
        <w:numPr>
          <w:ilvl w:val="3"/>
          <w:numId w:val="182"/>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61" w:right="239" w:bottom="1440" w:gutter="0" w:footer="0" w:header="0"/>
        </w:sectPr>
      </w:pPr>
    </w:p>
    <w:bookmarkStart w:id="199" w:name="page200"/>
    <w:bookmarkEnd w:id="199"/>
    <w:p>
      <w:pPr>
        <w:ind w:left="1960"/>
        <w:spacing w:after="0" w:line="302" w:lineRule="auto"/>
        <w:rPr>
          <w:sz w:val="20"/>
          <w:szCs w:val="20"/>
          <w:color w:val="auto"/>
        </w:rPr>
      </w:pPr>
      <w:r>
        <w:rPr>
          <w:rFonts w:ascii="Arial" w:cs="Arial" w:eastAsia="Arial" w:hAnsi="Arial"/>
          <w:sz w:val="22"/>
          <w:szCs w:val="22"/>
          <w:color w:val="auto"/>
        </w:rPr>
        <w:t>directing the Depositary to cause to be issued a Definitive Note in an amount equal to the beneficial interest to be transferred or exchanged; and</w:t>
      </w:r>
    </w:p>
    <w:p>
      <w:pPr>
        <w:spacing w:after="0" w:line="174" w:lineRule="exact"/>
        <w:rPr>
          <w:sz w:val="20"/>
          <w:szCs w:val="20"/>
          <w:color w:val="auto"/>
        </w:rPr>
      </w:pPr>
    </w:p>
    <w:p>
      <w:pPr>
        <w:ind w:left="3200" w:hanging="599"/>
        <w:spacing w:after="0"/>
        <w:tabs>
          <w:tab w:leader="none" w:pos="320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instructions given by the Depositary to the Registrar containing information regarding the</w:t>
      </w:r>
    </w:p>
    <w:p>
      <w:pPr>
        <w:spacing w:after="0" w:line="69" w:lineRule="exact"/>
        <w:rPr>
          <w:rFonts w:ascii="Arial" w:cs="Arial" w:eastAsia="Arial" w:hAnsi="Arial"/>
          <w:sz w:val="21"/>
          <w:szCs w:val="21"/>
          <w:color w:val="auto"/>
        </w:rPr>
      </w:pPr>
    </w:p>
    <w:p>
      <w:pPr>
        <w:ind w:left="1960"/>
        <w:spacing w:after="0" w:line="302" w:lineRule="auto"/>
        <w:rPr>
          <w:rFonts w:ascii="Arial" w:cs="Arial" w:eastAsia="Arial" w:hAnsi="Arial"/>
          <w:sz w:val="21"/>
          <w:szCs w:val="21"/>
          <w:color w:val="auto"/>
        </w:rPr>
      </w:pPr>
      <w:r>
        <w:rPr>
          <w:rFonts w:ascii="Arial" w:cs="Arial" w:eastAsia="Arial" w:hAnsi="Arial"/>
          <w:sz w:val="22"/>
          <w:szCs w:val="22"/>
          <w:color w:val="auto"/>
        </w:rPr>
        <w:t>Person in whose name such Definitive Note shall be registered to effect the transfer or exchange referred to in (1) above.</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4" w:lineRule="exact"/>
        <w:rPr>
          <w:sz w:val="20"/>
          <w:szCs w:val="20"/>
          <w:color w:val="auto"/>
        </w:rPr>
      </w:pPr>
    </w:p>
    <w:p>
      <w:pPr>
        <w:ind w:left="1880" w:hanging="575"/>
        <w:spacing w:after="0"/>
        <w:tabs>
          <w:tab w:leader="none" w:pos="1880"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 xml:space="preserve">Transfer of Beneficial Interests to Another Restricted Global Note. </w:t>
      </w:r>
      <w:r>
        <w:rPr>
          <w:rFonts w:ascii="Arial" w:cs="Arial" w:eastAsia="Arial" w:hAnsi="Arial"/>
          <w:sz w:val="19"/>
          <w:szCs w:val="19"/>
          <w:color w:val="auto"/>
        </w:rPr>
        <w:t>A beneficial interest in any Restricted</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4" w:lineRule="exact"/>
        <w:rPr>
          <w:rFonts w:ascii="Arial" w:cs="Arial" w:eastAsia="Arial" w:hAnsi="Arial"/>
          <w:sz w:val="19"/>
          <w:szCs w:val="19"/>
          <w:color w:val="auto"/>
        </w:rPr>
      </w:pPr>
    </w:p>
    <w:p>
      <w:pPr>
        <w:ind w:left="2440" w:hanging="487"/>
        <w:spacing w:after="0"/>
        <w:tabs>
          <w:tab w:leader="none" w:pos="244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144A Global Note, then the</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transferor must deliver a certificate in the form of Exhibit B hereto, including the certifications in item (1) thereof; and</w:t>
      </w:r>
    </w:p>
    <w:p>
      <w:pPr>
        <w:spacing w:after="0" w:line="173" w:lineRule="exact"/>
        <w:rPr>
          <w:rFonts w:ascii="Arial" w:cs="Arial" w:eastAsia="Arial" w:hAnsi="Arial"/>
          <w:sz w:val="19"/>
          <w:szCs w:val="19"/>
          <w:color w:val="auto"/>
        </w:rPr>
      </w:pPr>
    </w:p>
    <w:p>
      <w:pPr>
        <w:jc w:val="both"/>
        <w:ind w:left="1300" w:firstLine="653"/>
        <w:spacing w:after="0" w:line="333" w:lineRule="auto"/>
        <w:tabs>
          <w:tab w:leader="none" w:pos="243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Regulation S Global Note, then the transferor must deliver a certificate in the form of Exhibit B hereto, including the certifications in item</w:t>
      </w:r>
    </w:p>
    <w:p>
      <w:pPr>
        <w:spacing w:after="0" w:line="1" w:lineRule="exact"/>
        <w:rPr>
          <w:rFonts w:ascii="Arial" w:cs="Arial" w:eastAsia="Arial" w:hAnsi="Arial"/>
          <w:sz w:val="19"/>
          <w:szCs w:val="19"/>
          <w:color w:val="auto"/>
        </w:rPr>
      </w:pPr>
    </w:p>
    <w:p>
      <w:pPr>
        <w:ind w:left="1620" w:hanging="315"/>
        <w:spacing w:after="0"/>
        <w:tabs>
          <w:tab w:leader="none" w:pos="16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thereof.</w:t>
      </w:r>
    </w:p>
    <w:p>
      <w:pPr>
        <w:spacing w:after="0" w:line="260" w:lineRule="exact"/>
        <w:rPr>
          <w:rFonts w:ascii="Arial" w:cs="Arial" w:eastAsia="Arial" w:hAnsi="Arial"/>
          <w:sz w:val="22"/>
          <w:szCs w:val="22"/>
          <w:color w:val="auto"/>
        </w:rPr>
      </w:pPr>
    </w:p>
    <w:p>
      <w:pPr>
        <w:ind w:left="1900" w:hanging="595"/>
        <w:spacing w:after="0"/>
        <w:tabs>
          <w:tab w:leader="none" w:pos="1900" w:val="left"/>
        </w:tabs>
        <w:numPr>
          <w:ilvl w:val="0"/>
          <w:numId w:val="186"/>
        </w:numPr>
        <w:rPr>
          <w:rFonts w:ascii="Arial" w:cs="Arial" w:eastAsia="Arial" w:hAnsi="Arial"/>
          <w:sz w:val="21"/>
          <w:szCs w:val="21"/>
          <w:color w:val="auto"/>
        </w:rPr>
      </w:pPr>
      <w:r>
        <w:rPr>
          <w:rFonts w:ascii="Arial" w:cs="Arial" w:eastAsia="Arial" w:hAnsi="Arial"/>
          <w:sz w:val="21"/>
          <w:szCs w:val="21"/>
          <w:i w:val="1"/>
          <w:iCs w:val="1"/>
          <w:color w:val="auto"/>
        </w:rPr>
        <w:t>Transfer and Exchange of Beneficial Interests in a Restricted Global Note for Beneficial Interests in an</w:t>
      </w:r>
    </w:p>
    <w:p>
      <w:pPr>
        <w:spacing w:after="0" w:line="69" w:lineRule="exact"/>
        <w:rPr>
          <w:rFonts w:ascii="Arial" w:cs="Arial" w:eastAsia="Arial" w:hAnsi="Arial"/>
          <w:sz w:val="21"/>
          <w:szCs w:val="21"/>
          <w:color w:val="auto"/>
        </w:rPr>
      </w:pPr>
    </w:p>
    <w:p>
      <w:pPr>
        <w:jc w:val="both"/>
        <w:ind w:left="660"/>
        <w:spacing w:after="0" w:line="326" w:lineRule="auto"/>
        <w:rPr>
          <w:rFonts w:ascii="Arial" w:cs="Arial" w:eastAsia="Arial" w:hAnsi="Arial"/>
          <w:sz w:val="21"/>
          <w:szCs w:val="21"/>
          <w:color w:val="auto"/>
        </w:rPr>
      </w:pPr>
      <w:r>
        <w:rPr>
          <w:rFonts w:ascii="Arial" w:cs="Arial" w:eastAsia="Arial" w:hAnsi="Arial"/>
          <w:sz w:val="19"/>
          <w:szCs w:val="19"/>
          <w:i w:val="1"/>
          <w:iCs w:val="1"/>
          <w:color w:val="auto"/>
        </w:rPr>
        <w:t>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2.06(b)(2) above and the Registrar receives the following:</w:t>
      </w:r>
    </w:p>
    <w:p>
      <w:pPr>
        <w:spacing w:after="0" w:line="260" w:lineRule="exact"/>
        <w:rPr>
          <w:rFonts w:ascii="Arial" w:cs="Arial" w:eastAsia="Arial" w:hAnsi="Arial"/>
          <w:sz w:val="21"/>
          <w:szCs w:val="21"/>
          <w:color w:val="auto"/>
        </w:rPr>
      </w:pPr>
    </w:p>
    <w:p>
      <w:pPr>
        <w:ind w:left="2600" w:hanging="647"/>
        <w:spacing w:after="0"/>
        <w:tabs>
          <w:tab w:leader="none" w:pos="2600" w:val="left"/>
        </w:tabs>
        <w:numPr>
          <w:ilvl w:val="1"/>
          <w:numId w:val="186"/>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 beneficial interest in an Unrestricted Global Note, a certificate from such holder in the form of Exhibit C hereto, including the certifications in item (1)(a) thereof; or</w:t>
      </w:r>
    </w:p>
    <w:p>
      <w:pPr>
        <w:spacing w:after="0" w:line="173" w:lineRule="exact"/>
        <w:rPr>
          <w:rFonts w:ascii="Arial" w:cs="Arial" w:eastAsia="Arial" w:hAnsi="Arial"/>
          <w:sz w:val="21"/>
          <w:szCs w:val="21"/>
          <w:color w:val="auto"/>
        </w:rPr>
      </w:pPr>
    </w:p>
    <w:p>
      <w:pPr>
        <w:ind w:left="1300" w:firstLine="653"/>
        <w:spacing w:after="0" w:line="315" w:lineRule="auto"/>
        <w:tabs>
          <w:tab w:leader="none" w:pos="243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61" w:right="239" w:bottom="1440" w:gutter="0" w:footer="0" w:header="0"/>
        </w:sectPr>
      </w:pPr>
    </w:p>
    <w:bookmarkStart w:id="200" w:name="page201"/>
    <w:bookmarkEnd w:id="200"/>
    <w:p>
      <w:pPr>
        <w:jc w:val="both"/>
        <w:ind w:left="1300"/>
        <w:spacing w:after="0" w:line="302" w:lineRule="auto"/>
        <w:rPr>
          <w:sz w:val="20"/>
          <w:szCs w:val="20"/>
          <w:color w:val="auto"/>
        </w:rPr>
      </w:pPr>
      <w:r>
        <w:rPr>
          <w:rFonts w:ascii="Arial" w:cs="Arial" w:eastAsia="Arial" w:hAnsi="Arial"/>
          <w:sz w:val="22"/>
          <w:szCs w:val="22"/>
          <w:color w:val="auto"/>
        </w:rPr>
        <w:t>thereof in the form of a beneficial interest in an Unrestricted Global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4"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840" w:hanging="535"/>
        <w:spacing w:after="0"/>
        <w:tabs>
          <w:tab w:leader="none" w:pos="1840" w:val="left"/>
        </w:tabs>
        <w:numPr>
          <w:ilvl w:val="1"/>
          <w:numId w:val="187"/>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Restricted Global Notes to Restricted Definitive Notes. </w:t>
      </w:r>
      <w:r>
        <w:rPr>
          <w:rFonts w:ascii="Arial" w:cs="Arial" w:eastAsia="Arial" w:hAnsi="Arial"/>
          <w:sz w:val="19"/>
          <w:szCs w:val="19"/>
          <w:color w:val="auto"/>
        </w:rPr>
        <w:t>If any holder of a beneficial</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4" w:lineRule="exact"/>
        <w:rPr>
          <w:rFonts w:ascii="Arial" w:cs="Arial" w:eastAsia="Arial" w:hAnsi="Arial"/>
          <w:sz w:val="19"/>
          <w:szCs w:val="19"/>
          <w:color w:val="auto"/>
        </w:rPr>
      </w:pPr>
    </w:p>
    <w:p>
      <w:pPr>
        <w:ind w:left="2600" w:hanging="647"/>
        <w:spacing w:after="0"/>
        <w:tabs>
          <w:tab w:leader="none" w:pos="2600" w:val="left"/>
        </w:tabs>
        <w:numPr>
          <w:ilvl w:val="2"/>
          <w:numId w:val="187"/>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 Restricted Definitive Note, a certificate from such holder in the form of Exhibit C hereto, including the certifications in item (2)(a) thereof;</w:t>
      </w:r>
    </w:p>
    <w:p>
      <w:pPr>
        <w:spacing w:after="0" w:line="173" w:lineRule="exact"/>
        <w:rPr>
          <w:rFonts w:ascii="Arial" w:cs="Arial" w:eastAsia="Arial" w:hAnsi="Arial"/>
          <w:sz w:val="21"/>
          <w:szCs w:val="21"/>
          <w:color w:val="auto"/>
        </w:rPr>
      </w:pPr>
    </w:p>
    <w:p>
      <w:pPr>
        <w:ind w:left="1300" w:firstLine="653"/>
        <w:spacing w:after="0" w:line="315" w:lineRule="auto"/>
        <w:tabs>
          <w:tab w:leader="none" w:pos="2457" w:val="left"/>
        </w:tabs>
        <w:numPr>
          <w:ilvl w:val="2"/>
          <w:numId w:val="187"/>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159" w:lineRule="exact"/>
        <w:rPr>
          <w:rFonts w:ascii="Arial" w:cs="Arial" w:eastAsia="Arial" w:hAnsi="Arial"/>
          <w:sz w:val="22"/>
          <w:szCs w:val="22"/>
          <w:color w:val="auto"/>
        </w:rPr>
      </w:pPr>
    </w:p>
    <w:p>
      <w:pPr>
        <w:ind w:left="2560" w:hanging="607"/>
        <w:spacing w:after="0"/>
        <w:tabs>
          <w:tab w:leader="none" w:pos="2560" w:val="left"/>
        </w:tabs>
        <w:numPr>
          <w:ilvl w:val="2"/>
          <w:numId w:val="187"/>
        </w:numPr>
        <w:rPr>
          <w:rFonts w:ascii="Arial" w:cs="Arial" w:eastAsia="Arial" w:hAnsi="Arial"/>
          <w:sz w:val="21"/>
          <w:szCs w:val="21"/>
          <w:color w:val="auto"/>
        </w:rPr>
      </w:pPr>
      <w:r>
        <w:rPr>
          <w:rFonts w:ascii="Arial" w:cs="Arial" w:eastAsia="Arial" w:hAnsi="Arial"/>
          <w:sz w:val="21"/>
          <w:szCs w:val="21"/>
          <w:color w:val="auto"/>
        </w:rPr>
        <w:t>if such beneficial interest is being transferred to a Non-U.S. Person in an offshore transaction in</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accordance with Rule 903 or Rule 904, a certificate to the effect set forth in Exhibit B hereto, including the certifications in item (2) thereof;</w:t>
      </w:r>
    </w:p>
    <w:p>
      <w:pPr>
        <w:spacing w:after="0" w:line="173" w:lineRule="exact"/>
        <w:rPr>
          <w:rFonts w:ascii="Arial" w:cs="Arial" w:eastAsia="Arial" w:hAnsi="Arial"/>
          <w:sz w:val="21"/>
          <w:szCs w:val="21"/>
          <w:color w:val="auto"/>
        </w:rPr>
      </w:pPr>
    </w:p>
    <w:p>
      <w:pPr>
        <w:ind w:left="1300" w:firstLine="653"/>
        <w:spacing w:after="0" w:line="315" w:lineRule="auto"/>
        <w:tabs>
          <w:tab w:leader="none" w:pos="2658" w:val="left"/>
        </w:tabs>
        <w:numPr>
          <w:ilvl w:val="2"/>
          <w:numId w:val="187"/>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61" w:right="239" w:bottom="1440" w:gutter="0" w:footer="0" w:header="0"/>
        </w:sectPr>
      </w:pPr>
    </w:p>
    <w:bookmarkStart w:id="201" w:name="page202"/>
    <w:bookmarkEnd w:id="201"/>
    <w:p>
      <w:pPr>
        <w:ind w:left="1300"/>
        <w:spacing w:after="0" w:line="302" w:lineRule="auto"/>
        <w:rPr>
          <w:sz w:val="20"/>
          <w:szCs w:val="20"/>
          <w:color w:val="auto"/>
        </w:rPr>
      </w:pPr>
      <w:r>
        <w:rPr>
          <w:rFonts w:ascii="Arial" w:cs="Arial" w:eastAsia="Arial" w:hAnsi="Arial"/>
          <w:sz w:val="22"/>
          <w:szCs w:val="22"/>
          <w:color w:val="auto"/>
        </w:rPr>
        <w:t>with Rule 144, a certificate to the effect set forth in Exhibit B hereto, including the certifications in item (3)(a) thereof;</w:t>
      </w:r>
    </w:p>
    <w:p>
      <w:pPr>
        <w:spacing w:after="0" w:line="174" w:lineRule="exact"/>
        <w:rPr>
          <w:sz w:val="20"/>
          <w:szCs w:val="20"/>
          <w:color w:val="auto"/>
        </w:rPr>
      </w:pPr>
    </w:p>
    <w:p>
      <w:pPr>
        <w:ind w:left="1300" w:firstLine="653"/>
        <w:spacing w:after="0" w:line="315" w:lineRule="auto"/>
        <w:tabs>
          <w:tab w:leader="none" w:pos="241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Issuer or any of its Subsidiaries, a certificate to the effect set forth in Exhibit B hereto, including the certifications in item (3)(b) thereof; or</w:t>
      </w:r>
    </w:p>
    <w:p>
      <w:pPr>
        <w:spacing w:after="0" w:line="159" w:lineRule="exact"/>
        <w:rPr>
          <w:rFonts w:ascii="Arial" w:cs="Arial" w:eastAsia="Arial" w:hAnsi="Arial"/>
          <w:sz w:val="22"/>
          <w:szCs w:val="22"/>
          <w:color w:val="auto"/>
        </w:rPr>
      </w:pPr>
    </w:p>
    <w:p>
      <w:pPr>
        <w:ind w:left="2460" w:hanging="507"/>
        <w:spacing w:after="0"/>
        <w:tabs>
          <w:tab w:leader="none" w:pos="24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such beneficial interest is being transferred pursuant to an effective registration statement under the</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Securities Act, a certificate to the effect set forth in Exhibit B hereto, including the certifications in item (3)(c) thereof,</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3" w:lineRule="exact"/>
        <w:rPr>
          <w:sz w:val="20"/>
          <w:szCs w:val="20"/>
          <w:color w:val="auto"/>
        </w:rPr>
      </w:pPr>
    </w:p>
    <w:p>
      <w:pPr>
        <w:ind w:left="1740" w:hanging="435"/>
        <w:spacing w:after="0"/>
        <w:tabs>
          <w:tab w:leader="none" w:pos="1740" w:val="left"/>
        </w:tabs>
        <w:numPr>
          <w:ilvl w:val="0"/>
          <w:numId w:val="189"/>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Restricted Global Notes to Unrestricted Definitive Notes. </w:t>
      </w:r>
      <w:r>
        <w:rPr>
          <w:rFonts w:ascii="Arial" w:cs="Arial" w:eastAsia="Arial" w:hAnsi="Arial"/>
          <w:sz w:val="19"/>
          <w:szCs w:val="19"/>
          <w:color w:val="auto"/>
        </w:rPr>
        <w:t>A holder of a beneficial interest</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4" w:lineRule="exact"/>
        <w:rPr>
          <w:rFonts w:ascii="Arial" w:cs="Arial" w:eastAsia="Arial" w:hAnsi="Arial"/>
          <w:sz w:val="19"/>
          <w:szCs w:val="19"/>
          <w:color w:val="auto"/>
        </w:rPr>
      </w:pPr>
    </w:p>
    <w:p>
      <w:pPr>
        <w:ind w:left="2600" w:hanging="647"/>
        <w:spacing w:after="0"/>
        <w:tabs>
          <w:tab w:leader="none" w:pos="260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beneficial interest for an Unrestricted Definitive Note, a certificate from such holder in the form of Exhibit C hereto, including the certifications in item (1)(b) thereof; or</w:t>
      </w:r>
    </w:p>
    <w:p>
      <w:pPr>
        <w:spacing w:after="0" w:line="173" w:lineRule="exact"/>
        <w:rPr>
          <w:rFonts w:ascii="Arial" w:cs="Arial" w:eastAsia="Arial" w:hAnsi="Arial"/>
          <w:sz w:val="21"/>
          <w:szCs w:val="21"/>
          <w:color w:val="auto"/>
        </w:rPr>
      </w:pPr>
    </w:p>
    <w:p>
      <w:pPr>
        <w:ind w:left="2440" w:hanging="487"/>
        <w:spacing w:after="0"/>
        <w:tabs>
          <w:tab w:leader="none" w:pos="244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transfer such beneficial</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interest to a Person who shall take delivery thereof in the form of an Unrestricted Definitive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292"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61" w:right="239" w:bottom="1440" w:gutter="0" w:footer="0" w:header="0"/>
        </w:sectPr>
      </w:pPr>
    </w:p>
    <w:bookmarkStart w:id="202" w:name="page203"/>
    <w:bookmarkEnd w:id="202"/>
    <w:p>
      <w:pPr>
        <w:ind w:left="644" w:right="20"/>
        <w:spacing w:after="0" w:line="302" w:lineRule="auto"/>
        <w:rPr>
          <w:sz w:val="20"/>
          <w:szCs w:val="20"/>
          <w:color w:val="auto"/>
        </w:rPr>
      </w:pPr>
      <w:r>
        <w:rPr>
          <w:rFonts w:ascii="Arial" w:cs="Arial" w:eastAsia="Arial" w:hAnsi="Arial"/>
          <w:sz w:val="22"/>
          <w:szCs w:val="22"/>
          <w:color w:val="auto"/>
        </w:rPr>
        <w:t>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ind w:left="1104" w:hanging="455"/>
        <w:spacing w:after="0"/>
        <w:tabs>
          <w:tab w:leader="none" w:pos="1104" w:val="left"/>
        </w:tabs>
        <w:numPr>
          <w:ilvl w:val="1"/>
          <w:numId w:val="190"/>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 beneficial</w:t>
      </w:r>
    </w:p>
    <w:p>
      <w:pPr>
        <w:spacing w:after="0" w:line="92" w:lineRule="exact"/>
        <w:rPr>
          <w:rFonts w:ascii="Arial" w:cs="Arial" w:eastAsia="Arial" w:hAnsi="Arial"/>
          <w:sz w:val="19"/>
          <w:szCs w:val="19"/>
          <w:color w:val="auto"/>
        </w:rPr>
      </w:pPr>
    </w:p>
    <w:p>
      <w:pPr>
        <w:jc w:val="both"/>
        <w:ind w:left="4"/>
        <w:spacing w:after="0" w:line="333" w:lineRule="auto"/>
        <w:rPr>
          <w:rFonts w:ascii="Arial" w:cs="Arial" w:eastAsia="Arial" w:hAnsi="Arial"/>
          <w:sz w:val="19"/>
          <w:szCs w:val="19"/>
          <w:color w:val="auto"/>
        </w:rPr>
      </w:pPr>
      <w:r>
        <w:rPr>
          <w:rFonts w:ascii="Arial" w:cs="Arial" w:eastAsia="Arial" w:hAnsi="Arial"/>
          <w:sz w:val="19"/>
          <w:szCs w:val="19"/>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2.06(c)(3) shall not bear the Private Placement Legend.</w:t>
      </w:r>
    </w:p>
    <w:p>
      <w:pPr>
        <w:spacing w:after="0" w:line="155" w:lineRule="exact"/>
        <w:rPr>
          <w:rFonts w:ascii="Arial" w:cs="Arial" w:eastAsia="Arial" w:hAnsi="Arial"/>
          <w:sz w:val="19"/>
          <w:szCs w:val="19"/>
          <w:color w:val="auto"/>
        </w:rPr>
      </w:pPr>
    </w:p>
    <w:p>
      <w:pPr>
        <w:ind w:left="424" w:hanging="424"/>
        <w:spacing w:after="0"/>
        <w:tabs>
          <w:tab w:leader="none" w:pos="424" w:val="left"/>
        </w:tabs>
        <w:numPr>
          <w:ilvl w:val="0"/>
          <w:numId w:val="191"/>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184" w:hanging="535"/>
        <w:spacing w:after="0"/>
        <w:tabs>
          <w:tab w:leader="none" w:pos="1184" w:val="left"/>
        </w:tabs>
        <w:numPr>
          <w:ilvl w:val="1"/>
          <w:numId w:val="191"/>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Restricted Global Notes. </w:t>
      </w:r>
      <w:r>
        <w:rPr>
          <w:rFonts w:ascii="Arial" w:cs="Arial" w:eastAsia="Arial" w:hAnsi="Arial"/>
          <w:sz w:val="19"/>
          <w:szCs w:val="19"/>
          <w:color w:val="auto"/>
        </w:rPr>
        <w:t>If any Holder of a Restricted</w:t>
      </w:r>
    </w:p>
    <w:p>
      <w:pPr>
        <w:spacing w:after="0" w:line="92" w:lineRule="exact"/>
        <w:rPr>
          <w:rFonts w:ascii="Arial" w:cs="Arial" w:eastAsia="Arial" w:hAnsi="Arial"/>
          <w:sz w:val="19"/>
          <w:szCs w:val="19"/>
          <w:color w:val="auto"/>
        </w:rPr>
      </w:pPr>
    </w:p>
    <w:p>
      <w:pPr>
        <w:jc w:val="both"/>
        <w:ind w:left="4"/>
        <w:spacing w:after="0" w:line="292" w:lineRule="auto"/>
        <w:rPr>
          <w:rFonts w:ascii="Arial" w:cs="Arial" w:eastAsia="Arial" w:hAnsi="Arial"/>
          <w:sz w:val="19"/>
          <w:szCs w:val="19"/>
          <w:color w:val="auto"/>
        </w:rPr>
      </w:pP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4" w:lineRule="exact"/>
        <w:rPr>
          <w:rFonts w:ascii="Arial" w:cs="Arial" w:eastAsia="Arial" w:hAnsi="Arial"/>
          <w:sz w:val="19"/>
          <w:szCs w:val="19"/>
          <w:color w:val="auto"/>
        </w:rPr>
      </w:pPr>
    </w:p>
    <w:p>
      <w:pPr>
        <w:ind w:left="1904" w:hanging="607"/>
        <w:spacing w:after="0"/>
        <w:tabs>
          <w:tab w:leader="none" w:pos="1904" w:val="left"/>
        </w:tabs>
        <w:numPr>
          <w:ilvl w:val="2"/>
          <w:numId w:val="191"/>
        </w:numPr>
        <w:rPr>
          <w:rFonts w:ascii="Arial" w:cs="Arial" w:eastAsia="Arial" w:hAnsi="Arial"/>
          <w:sz w:val="21"/>
          <w:szCs w:val="21"/>
          <w:color w:val="auto"/>
        </w:rPr>
      </w:pPr>
      <w:r>
        <w:rPr>
          <w:rFonts w:ascii="Arial" w:cs="Arial" w:eastAsia="Arial" w:hAnsi="Arial"/>
          <w:sz w:val="21"/>
          <w:szCs w:val="21"/>
          <w:color w:val="auto"/>
        </w:rPr>
        <w:t>if the Holder of such Restricted Definitive Note proposes to exchange such Note for a beneficial</w:t>
      </w:r>
    </w:p>
    <w:p>
      <w:pPr>
        <w:spacing w:after="0" w:line="69" w:lineRule="exact"/>
        <w:rPr>
          <w:rFonts w:ascii="Arial" w:cs="Arial" w:eastAsia="Arial" w:hAnsi="Arial"/>
          <w:sz w:val="21"/>
          <w:szCs w:val="21"/>
          <w:color w:val="auto"/>
        </w:rPr>
      </w:pPr>
    </w:p>
    <w:p>
      <w:pPr>
        <w:ind w:left="644" w:right="20"/>
        <w:spacing w:after="0" w:line="302" w:lineRule="auto"/>
        <w:rPr>
          <w:rFonts w:ascii="Arial" w:cs="Arial" w:eastAsia="Arial" w:hAnsi="Arial"/>
          <w:sz w:val="21"/>
          <w:szCs w:val="21"/>
          <w:color w:val="auto"/>
        </w:rPr>
      </w:pPr>
      <w:r>
        <w:rPr>
          <w:rFonts w:ascii="Arial" w:cs="Arial" w:eastAsia="Arial" w:hAnsi="Arial"/>
          <w:sz w:val="22"/>
          <w:szCs w:val="22"/>
          <w:color w:val="auto"/>
        </w:rPr>
        <w:t>interest in a Restricted Global Note, a certificate from such Holder in the form of Exhibit C hereto, including the certifications in item (2)(b) thereof;</w:t>
      </w:r>
    </w:p>
    <w:p>
      <w:pPr>
        <w:spacing w:after="0" w:line="173" w:lineRule="exact"/>
        <w:rPr>
          <w:rFonts w:ascii="Arial" w:cs="Arial" w:eastAsia="Arial" w:hAnsi="Arial"/>
          <w:sz w:val="21"/>
          <w:szCs w:val="21"/>
          <w:color w:val="auto"/>
        </w:rPr>
      </w:pPr>
    </w:p>
    <w:p>
      <w:pPr>
        <w:ind w:left="644" w:firstLine="653"/>
        <w:spacing w:after="0" w:line="341" w:lineRule="auto"/>
        <w:tabs>
          <w:tab w:leader="none" w:pos="1895" w:val="left"/>
        </w:tabs>
        <w:numPr>
          <w:ilvl w:val="2"/>
          <w:numId w:val="191"/>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 QIB in accordance with Rule 144A, a certificate to the effect set forth in Exhibit B hereto, including the certifications in item (1) thereof;</w:t>
      </w:r>
    </w:p>
    <w:p>
      <w:pPr>
        <w:spacing w:after="0" w:line="137" w:lineRule="exact"/>
        <w:rPr>
          <w:rFonts w:ascii="Arial" w:cs="Arial" w:eastAsia="Arial" w:hAnsi="Arial"/>
          <w:sz w:val="21"/>
          <w:szCs w:val="21"/>
          <w:color w:val="auto"/>
        </w:rPr>
      </w:pPr>
    </w:p>
    <w:p>
      <w:pPr>
        <w:ind w:left="1804" w:hanging="507"/>
        <w:spacing w:after="0"/>
        <w:tabs>
          <w:tab w:leader="none" w:pos="1804" w:val="left"/>
        </w:tabs>
        <w:numPr>
          <w:ilvl w:val="2"/>
          <w:numId w:val="191"/>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 Non-U.S. Person in an offshore transaction</w:t>
      </w:r>
    </w:p>
    <w:p>
      <w:pPr>
        <w:spacing w:after="0" w:line="92" w:lineRule="exact"/>
        <w:rPr>
          <w:rFonts w:ascii="Arial" w:cs="Arial" w:eastAsia="Arial" w:hAnsi="Arial"/>
          <w:sz w:val="19"/>
          <w:szCs w:val="19"/>
          <w:color w:val="auto"/>
        </w:rPr>
      </w:pPr>
    </w:p>
    <w:p>
      <w:pPr>
        <w:ind w:left="644"/>
        <w:spacing w:after="0" w:line="302" w:lineRule="auto"/>
        <w:rPr>
          <w:rFonts w:ascii="Arial" w:cs="Arial" w:eastAsia="Arial" w:hAnsi="Arial"/>
          <w:sz w:val="19"/>
          <w:szCs w:val="19"/>
          <w:color w:val="auto"/>
        </w:rPr>
      </w:pPr>
      <w:r>
        <w:rPr>
          <w:rFonts w:ascii="Arial" w:cs="Arial" w:eastAsia="Arial" w:hAnsi="Arial"/>
          <w:sz w:val="22"/>
          <w:szCs w:val="22"/>
          <w:color w:val="auto"/>
        </w:rPr>
        <w:t>in accordance with Rule 903 or Rule 904, a certificate to the effect set forth in Exhibit B hereto, including the certifications in item (2)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64"/>
          </w:cols>
          <w:pgMar w:left="896" w:top="861" w:right="239" w:bottom="1440" w:gutter="0" w:footer="0" w:header="0"/>
        </w:sectPr>
      </w:pPr>
    </w:p>
    <w:bookmarkStart w:id="203" w:name="page204"/>
    <w:bookmarkEnd w:id="203"/>
    <w:p>
      <w:pPr>
        <w:ind w:left="1820" w:hanging="527"/>
        <w:spacing w:after="0"/>
        <w:tabs>
          <w:tab w:leader="none" w:pos="18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exemption from the registration</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requirements of the Securities Act in accordance with Rule 144, a certificate to the effect set forth in Exhibit B hereto, including the certifications in item (3)(a) thereof;</w:t>
      </w:r>
    </w:p>
    <w:p>
      <w:pPr>
        <w:spacing w:after="0" w:line="173" w:lineRule="exact"/>
        <w:rPr>
          <w:rFonts w:ascii="Arial" w:cs="Arial" w:eastAsia="Arial" w:hAnsi="Arial"/>
          <w:sz w:val="19"/>
          <w:szCs w:val="19"/>
          <w:color w:val="auto"/>
        </w:rPr>
      </w:pPr>
    </w:p>
    <w:p>
      <w:pPr>
        <w:ind w:left="640" w:firstLine="653"/>
        <w:spacing w:after="0" w:line="341" w:lineRule="auto"/>
        <w:tabs>
          <w:tab w:leader="none" w:pos="1906"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the Issuer or any of its Subsidiaries, a certificate to the effect set forth in Exhibit B hereto, including the certifications in item (3)(b) thereof; or</w:t>
      </w:r>
    </w:p>
    <w:p>
      <w:pPr>
        <w:spacing w:after="0" w:line="137" w:lineRule="exact"/>
        <w:rPr>
          <w:rFonts w:ascii="Arial" w:cs="Arial" w:eastAsia="Arial" w:hAnsi="Arial"/>
          <w:sz w:val="21"/>
          <w:szCs w:val="21"/>
          <w:color w:val="auto"/>
        </w:rPr>
      </w:pPr>
    </w:p>
    <w:p>
      <w:pPr>
        <w:ind w:left="1820" w:hanging="527"/>
        <w:spacing w:after="0"/>
        <w:tabs>
          <w:tab w:leader="none" w:pos="18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w:t>
      </w:r>
    </w:p>
    <w:p>
      <w:pPr>
        <w:spacing w:after="0" w:line="9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under the Securities Act, a certificate to the effect set forth in Exhibit B hereto, including the certifications in item</w:t>
      </w:r>
    </w:p>
    <w:p>
      <w:pPr>
        <w:spacing w:after="0" w:line="7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(3)(c) thereof,</w:t>
      </w:r>
    </w:p>
    <w:p>
      <w:pPr>
        <w:spacing w:after="0" w:line="260" w:lineRule="exact"/>
        <w:rPr>
          <w:sz w:val="20"/>
          <w:szCs w:val="20"/>
          <w:color w:val="auto"/>
        </w:rPr>
      </w:pPr>
    </w:p>
    <w:p>
      <w:pPr>
        <w:jc w:val="both"/>
        <w:ind w:left="640"/>
        <w:spacing w:after="0" w:line="311"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69" w:lineRule="exact"/>
        <w:rPr>
          <w:sz w:val="20"/>
          <w:szCs w:val="20"/>
          <w:color w:val="auto"/>
        </w:rPr>
      </w:pPr>
    </w:p>
    <w:p>
      <w:pPr>
        <w:ind w:left="1220" w:hanging="575"/>
        <w:spacing w:after="0"/>
        <w:tabs>
          <w:tab w:leader="none" w:pos="1220" w:val="left"/>
        </w:tabs>
        <w:numPr>
          <w:ilvl w:val="0"/>
          <w:numId w:val="193"/>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Unrestricted Global Notes. </w:t>
      </w:r>
      <w:r>
        <w:rPr>
          <w:rFonts w:ascii="Arial" w:cs="Arial" w:eastAsia="Arial" w:hAnsi="Arial"/>
          <w:sz w:val="19"/>
          <w:szCs w:val="19"/>
          <w:color w:val="auto"/>
        </w:rPr>
        <w:t>A Holder of a Restricted</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4" w:lineRule="exact"/>
        <w:rPr>
          <w:rFonts w:ascii="Arial" w:cs="Arial" w:eastAsia="Arial" w:hAnsi="Arial"/>
          <w:sz w:val="19"/>
          <w:szCs w:val="19"/>
          <w:color w:val="auto"/>
        </w:rPr>
      </w:pPr>
    </w:p>
    <w:p>
      <w:pPr>
        <w:ind w:left="1800" w:hanging="507"/>
        <w:spacing w:after="0"/>
        <w:tabs>
          <w:tab w:leader="none" w:pos="180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if the Holder of such Definitive Notes proposes to exchange such Notes for a beneficial interest in the</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Unrestricted Global Note, a certificate from such Holder in the form of Exhibit C hereto, including the certifications in item (1)(c) thereof; or</w:t>
      </w:r>
    </w:p>
    <w:p>
      <w:pPr>
        <w:spacing w:after="0" w:line="173" w:lineRule="exact"/>
        <w:rPr>
          <w:rFonts w:ascii="Arial" w:cs="Arial" w:eastAsia="Arial" w:hAnsi="Arial"/>
          <w:sz w:val="19"/>
          <w:szCs w:val="19"/>
          <w:color w:val="auto"/>
        </w:rPr>
      </w:pPr>
    </w:p>
    <w:p>
      <w:pPr>
        <w:ind w:left="1880" w:hanging="587"/>
        <w:spacing w:after="0"/>
        <w:tabs>
          <w:tab w:leader="none" w:pos="188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if the Holder of such Definitive Notes proposes to transfer such Notes to a Person who shall take</w:t>
      </w:r>
    </w:p>
    <w:p>
      <w:pPr>
        <w:spacing w:after="0" w:line="92" w:lineRule="exact"/>
        <w:rPr>
          <w:rFonts w:ascii="Arial" w:cs="Arial" w:eastAsia="Arial" w:hAnsi="Arial"/>
          <w:sz w:val="19"/>
          <w:szCs w:val="19"/>
          <w:color w:val="auto"/>
        </w:rPr>
      </w:pPr>
    </w:p>
    <w:p>
      <w:pPr>
        <w:ind w:left="640"/>
        <w:spacing w:after="0" w:line="302" w:lineRule="auto"/>
        <w:rPr>
          <w:rFonts w:ascii="Arial" w:cs="Arial" w:eastAsia="Arial" w:hAnsi="Arial"/>
          <w:sz w:val="19"/>
          <w:szCs w:val="19"/>
          <w:color w:val="auto"/>
        </w:rPr>
      </w:pPr>
      <w:r>
        <w:rPr>
          <w:rFonts w:ascii="Arial" w:cs="Arial" w:eastAsia="Arial" w:hAnsi="Arial"/>
          <w:sz w:val="22"/>
          <w:szCs w:val="22"/>
          <w:color w:val="auto"/>
        </w:rPr>
        <w:t>delivery thereof in the form of a beneficial interest in the Unrestricted Global Note, a certificate from such Holder in the form of Exhibit B hereto, including the certifications in item (4) thereof;</w:t>
      </w:r>
    </w:p>
    <w:p>
      <w:pPr>
        <w:spacing w:after="0" w:line="174" w:lineRule="exact"/>
        <w:rPr>
          <w:sz w:val="20"/>
          <w:szCs w:val="20"/>
          <w:color w:val="auto"/>
        </w:rPr>
      </w:pPr>
    </w:p>
    <w:p>
      <w:pPr>
        <w:jc w:val="both"/>
        <w:ind w:left="64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ind w:firstLine="648"/>
        <w:spacing w:after="0" w:line="387"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60"/>
          </w:cols>
          <w:pgMar w:left="900" w:top="861" w:right="239" w:bottom="1440" w:gutter="0" w:footer="0" w:header="0"/>
        </w:sectPr>
      </w:pPr>
    </w:p>
    <w:bookmarkStart w:id="204" w:name="page205"/>
    <w:bookmarkEnd w:id="204"/>
    <w:p>
      <w:pPr>
        <w:ind w:left="1760" w:hanging="455"/>
        <w:spacing w:after="0"/>
        <w:tabs>
          <w:tab w:leader="none" w:pos="1760" w:val="left"/>
        </w:tabs>
        <w:numPr>
          <w:ilvl w:val="0"/>
          <w:numId w:val="194"/>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p>
    <w:p>
      <w:pPr>
        <w:spacing w:after="0" w:line="92" w:lineRule="exact"/>
        <w:rPr>
          <w:rFonts w:ascii="Arial" w:cs="Arial" w:eastAsia="Arial" w:hAnsi="Arial"/>
          <w:sz w:val="19"/>
          <w:szCs w:val="19"/>
          <w:color w:val="auto"/>
        </w:rPr>
      </w:pPr>
    </w:p>
    <w:p>
      <w:pPr>
        <w:jc w:val="both"/>
        <w:ind w:left="660"/>
        <w:spacing w:after="0" w:line="346" w:lineRule="auto"/>
        <w:rPr>
          <w:rFonts w:ascii="Arial" w:cs="Arial" w:eastAsia="Arial" w:hAnsi="Arial"/>
          <w:sz w:val="19"/>
          <w:szCs w:val="19"/>
          <w:color w:val="auto"/>
        </w:rPr>
      </w:pP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 or (3)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9" w:lineRule="exact"/>
        <w:rPr>
          <w:sz w:val="20"/>
          <w:szCs w:val="20"/>
          <w:color w:val="auto"/>
        </w:rPr>
      </w:pPr>
    </w:p>
    <w:p>
      <w:pPr>
        <w:ind w:left="1080" w:hanging="424"/>
        <w:spacing w:after="0"/>
        <w:tabs>
          <w:tab w:leader="none" w:pos="1080" w:val="left"/>
        </w:tabs>
        <w:numPr>
          <w:ilvl w:val="0"/>
          <w:numId w:val="195"/>
        </w:numPr>
        <w:rPr>
          <w:rFonts w:ascii="Arial" w:cs="Arial" w:eastAsia="Arial" w:hAnsi="Arial"/>
          <w:sz w:val="19"/>
          <w:szCs w:val="19"/>
          <w:color w:val="auto"/>
        </w:rPr>
      </w:pPr>
      <w:r>
        <w:rPr>
          <w:rFonts w:ascii="Arial" w:cs="Arial" w:eastAsia="Arial" w:hAnsi="Arial"/>
          <w:sz w:val="19"/>
          <w:szCs w:val="19"/>
          <w:i w:val="1"/>
          <w:iCs w:val="1"/>
          <w:color w:val="auto"/>
        </w:rPr>
        <w:t xml:space="preserve">Transfer and Exchange of Definitive Notes for Definitive Notes. </w:t>
      </w:r>
      <w:r>
        <w:rPr>
          <w:rFonts w:ascii="Arial" w:cs="Arial" w:eastAsia="Arial" w:hAnsi="Arial"/>
          <w:sz w:val="19"/>
          <w:szCs w:val="19"/>
          <w:color w:val="auto"/>
        </w:rPr>
        <w:t>Upon request by a Holder of Definitive Notes and such</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6" w:lineRule="exact"/>
        <w:rPr>
          <w:rFonts w:ascii="Arial" w:cs="Arial" w:eastAsia="Arial" w:hAnsi="Arial"/>
          <w:sz w:val="19"/>
          <w:szCs w:val="19"/>
          <w:color w:val="auto"/>
        </w:rPr>
      </w:pPr>
    </w:p>
    <w:p>
      <w:pPr>
        <w:ind w:left="1740" w:hanging="435"/>
        <w:spacing w:after="0"/>
        <w:tabs>
          <w:tab w:leader="none" w:pos="1740" w:val="left"/>
        </w:tabs>
        <w:numPr>
          <w:ilvl w:val="1"/>
          <w:numId w:val="195"/>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Restricted Definitive Notes. </w:t>
      </w:r>
      <w:r>
        <w:rPr>
          <w:rFonts w:ascii="Arial" w:cs="Arial" w:eastAsia="Arial" w:hAnsi="Arial"/>
          <w:sz w:val="19"/>
          <w:szCs w:val="19"/>
          <w:color w:val="auto"/>
        </w:rPr>
        <w:t>Any Restricted Definitive Note may be transferred to</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73" w:lineRule="exact"/>
        <w:rPr>
          <w:rFonts w:ascii="Arial" w:cs="Arial" w:eastAsia="Arial" w:hAnsi="Arial"/>
          <w:sz w:val="19"/>
          <w:szCs w:val="19"/>
          <w:color w:val="auto"/>
        </w:rPr>
      </w:pPr>
    </w:p>
    <w:p>
      <w:pPr>
        <w:ind w:left="1300" w:firstLine="653"/>
        <w:spacing w:after="0" w:line="315" w:lineRule="auto"/>
        <w:tabs>
          <w:tab w:leader="none" w:pos="2442" w:val="left"/>
        </w:tabs>
        <w:numPr>
          <w:ilvl w:val="2"/>
          <w:numId w:val="195"/>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159" w:lineRule="exact"/>
        <w:rPr>
          <w:rFonts w:ascii="Arial" w:cs="Arial" w:eastAsia="Arial" w:hAnsi="Arial"/>
          <w:sz w:val="22"/>
          <w:szCs w:val="22"/>
          <w:color w:val="auto"/>
        </w:rPr>
      </w:pPr>
    </w:p>
    <w:p>
      <w:pPr>
        <w:ind w:left="1300" w:right="20" w:firstLine="653"/>
        <w:spacing w:after="0" w:line="315" w:lineRule="auto"/>
        <w:tabs>
          <w:tab w:leader="none" w:pos="2538" w:val="left"/>
        </w:tabs>
        <w:numPr>
          <w:ilvl w:val="2"/>
          <w:numId w:val="195"/>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159" w:lineRule="exact"/>
        <w:rPr>
          <w:rFonts w:ascii="Arial" w:cs="Arial" w:eastAsia="Arial" w:hAnsi="Arial"/>
          <w:sz w:val="22"/>
          <w:szCs w:val="22"/>
          <w:color w:val="auto"/>
        </w:rPr>
      </w:pPr>
    </w:p>
    <w:p>
      <w:pPr>
        <w:ind w:left="2440" w:hanging="487"/>
        <w:spacing w:after="0"/>
        <w:tabs>
          <w:tab w:leader="none" w:pos="2440" w:val="left"/>
        </w:tabs>
        <w:numPr>
          <w:ilvl w:val="2"/>
          <w:numId w:val="195"/>
        </w:numPr>
        <w:rPr>
          <w:rFonts w:ascii="Arial" w:cs="Arial" w:eastAsia="Arial" w:hAnsi="Arial"/>
          <w:sz w:val="19"/>
          <w:szCs w:val="19"/>
          <w:color w:val="auto"/>
        </w:rPr>
      </w:pPr>
      <w:r>
        <w:rPr>
          <w:rFonts w:ascii="Arial" w:cs="Arial" w:eastAsia="Arial" w:hAnsi="Arial"/>
          <w:sz w:val="19"/>
          <w:szCs w:val="19"/>
          <w:color w:val="auto"/>
        </w:rPr>
        <w:t>if the transfer shall be made pursuant to any other exemption from the registration requirements of the</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Securities Act, then the transferor must deliver a certificate in the form of Exhibit B hereto, including the certifications, certificates and Opinion of Counsel required by item (3) thereof,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61" w:right="239" w:bottom="1440" w:gutter="0" w:footer="0" w:header="0"/>
        </w:sectPr>
      </w:pPr>
    </w:p>
    <w:bookmarkStart w:id="205" w:name="page206"/>
    <w:bookmarkEnd w:id="205"/>
    <w:p>
      <w:pPr>
        <w:ind w:left="1760" w:hanging="455"/>
        <w:spacing w:after="0"/>
        <w:tabs>
          <w:tab w:leader="none" w:pos="1760"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Unrestricted Definitive Notes. </w:t>
      </w:r>
      <w:r>
        <w:rPr>
          <w:rFonts w:ascii="Arial" w:cs="Arial" w:eastAsia="Arial" w:hAnsi="Arial"/>
          <w:sz w:val="19"/>
          <w:szCs w:val="19"/>
          <w:color w:val="auto"/>
        </w:rPr>
        <w:t>Any Restricted Definitive Note may be exchanged</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73" w:lineRule="exact"/>
        <w:rPr>
          <w:rFonts w:ascii="Arial" w:cs="Arial" w:eastAsia="Arial" w:hAnsi="Arial"/>
          <w:sz w:val="19"/>
          <w:szCs w:val="19"/>
          <w:color w:val="auto"/>
        </w:rPr>
      </w:pPr>
    </w:p>
    <w:p>
      <w:pPr>
        <w:ind w:left="2460" w:hanging="507"/>
        <w:spacing w:after="0"/>
        <w:tabs>
          <w:tab w:leader="none" w:pos="246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color w:val="auto"/>
        </w:rPr>
        <w:t>Definitive Note, a certificate from such Holder in the form of Exhibit C hereto, including the certifications in item</w:t>
      </w:r>
    </w:p>
    <w:p>
      <w:pPr>
        <w:spacing w:after="0" w:line="78"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(1)(d) thereof; or</w:t>
      </w:r>
    </w:p>
    <w:p>
      <w:pPr>
        <w:spacing w:after="0" w:line="260" w:lineRule="exact"/>
        <w:rPr>
          <w:rFonts w:ascii="Arial" w:cs="Arial" w:eastAsia="Arial" w:hAnsi="Arial"/>
          <w:sz w:val="19"/>
          <w:szCs w:val="19"/>
          <w:color w:val="auto"/>
        </w:rPr>
      </w:pPr>
    </w:p>
    <w:p>
      <w:pPr>
        <w:ind w:left="2440" w:hanging="487"/>
        <w:spacing w:after="0"/>
        <w:tabs>
          <w:tab w:leader="none" w:pos="24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transfer such Notes to a Person who shall</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take delivery thereof in the form of an Unrestricted Definitive Note, a certificate from such Holder in the form of Exhibit B hereto, including the certifications in item (4) thereof;</w:t>
      </w:r>
    </w:p>
    <w:p>
      <w:pPr>
        <w:spacing w:after="0" w:line="174" w:lineRule="exact"/>
        <w:rPr>
          <w:sz w:val="20"/>
          <w:szCs w:val="20"/>
          <w:color w:val="auto"/>
        </w:rPr>
      </w:pPr>
    </w:p>
    <w:p>
      <w:pPr>
        <w:jc w:val="both"/>
        <w:ind w:left="1300"/>
        <w:spacing w:after="0" w:line="288"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0" w:lineRule="exact"/>
        <w:rPr>
          <w:sz w:val="20"/>
          <w:szCs w:val="20"/>
          <w:color w:val="auto"/>
        </w:rPr>
      </w:pPr>
    </w:p>
    <w:p>
      <w:pPr>
        <w:ind w:left="1760" w:hanging="455"/>
        <w:spacing w:after="0"/>
        <w:tabs>
          <w:tab w:leader="none" w:pos="1760" w:val="left"/>
        </w:tabs>
        <w:numPr>
          <w:ilvl w:val="1"/>
          <w:numId w:val="197"/>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Unrestricted Definitive Notes. </w:t>
      </w:r>
      <w:r>
        <w:rPr>
          <w:rFonts w:ascii="Arial" w:cs="Arial" w:eastAsia="Arial" w:hAnsi="Arial"/>
          <w:sz w:val="19"/>
          <w:szCs w:val="19"/>
          <w:color w:val="auto"/>
        </w:rPr>
        <w:t>A Holder of Unrestricted Definitive Notes may</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4" w:lineRule="exact"/>
        <w:rPr>
          <w:rFonts w:ascii="Arial" w:cs="Arial" w:eastAsia="Arial" w:hAnsi="Arial"/>
          <w:sz w:val="19"/>
          <w:szCs w:val="19"/>
          <w:color w:val="auto"/>
        </w:rPr>
      </w:pPr>
    </w:p>
    <w:p>
      <w:pPr>
        <w:ind w:firstLine="656"/>
        <w:spacing w:after="0" w:line="315" w:lineRule="auto"/>
        <w:tabs>
          <w:tab w:leader="none" w:pos="1112" w:val="left"/>
        </w:tabs>
        <w:numPr>
          <w:ilvl w:val="0"/>
          <w:numId w:val="198"/>
        </w:numPr>
        <w:rPr>
          <w:rFonts w:ascii="Arial" w:cs="Arial" w:eastAsia="Arial" w:hAnsi="Arial"/>
          <w:sz w:val="22"/>
          <w:szCs w:val="22"/>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198"/>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300" w:firstLine="653"/>
        <w:spacing w:after="0" w:line="402" w:lineRule="auto"/>
        <w:tabs>
          <w:tab w:leader="none" w:pos="2496" w:val="left"/>
        </w:tabs>
        <w:numPr>
          <w:ilvl w:val="2"/>
          <w:numId w:val="198"/>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61" w:right="239" w:bottom="1440" w:gutter="0" w:footer="0" w:header="0"/>
        </w:sectPr>
      </w:pPr>
    </w:p>
    <w:bookmarkStart w:id="206" w:name="page207"/>
    <w:bookmarkEnd w:id="206"/>
    <w:p>
      <w:pPr>
        <w:jc w:val="both"/>
        <w:spacing w:after="0" w:line="295" w:lineRule="auto"/>
        <w:rPr>
          <w:sz w:val="20"/>
          <w:szCs w:val="20"/>
          <w:color w:val="auto"/>
        </w:rPr>
      </w:pPr>
      <w:r>
        <w:rPr>
          <w:rFonts w:ascii="Arial" w:cs="Arial" w:eastAsia="Arial" w:hAnsi="Arial"/>
          <w:sz w:val="21"/>
          <w:szCs w:val="21"/>
          <w:color w:val="auto"/>
        </w:rPr>
        <w:t>SECURITIES ACT) (A “QIB”) OR (B) IT IS NOT A U.S. PERSON, IS NOT ACQUIRING THIS NOTE FOR THE ACCOUNT OR BENEFIT OF A U.S. PERSON AND IS ACQUIRING THIS NOTE IN AN OFFSHORE TRANSACTION IN COMPLIANCE WITH REGULATION S UNDER THE SECURITIES ACT, (2) 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TO A PERSON WHOM THE HOLDER REASONABLY BELIEVES IS A QIB PURCHASING FOR ITS OWN ACCOUNT OR FOR THE ACCOUNT OF A QIB IN COMPLIANCE WITH RULE 144A UNDER THE SECURITIES ACT,</w:t>
      </w:r>
    </w:p>
    <w:p>
      <w:pPr>
        <w:spacing w:after="0" w:line="3" w:lineRule="exact"/>
        <w:rPr>
          <w:sz w:val="20"/>
          <w:szCs w:val="20"/>
          <w:color w:val="auto"/>
        </w:rPr>
      </w:pPr>
    </w:p>
    <w:p>
      <w:pPr>
        <w:jc w:val="both"/>
        <w:ind w:firstLine="8"/>
        <w:spacing w:after="0" w:line="298" w:lineRule="auto"/>
        <w:tabs>
          <w:tab w:leader="none" w:pos="375" w:val="left"/>
        </w:tabs>
        <w:numPr>
          <w:ilvl w:val="0"/>
          <w:numId w:val="199"/>
        </w:numPr>
        <w:rPr>
          <w:rFonts w:ascii="Arial" w:cs="Arial" w:eastAsia="Arial" w:hAnsi="Arial"/>
          <w:sz w:val="21"/>
          <w:szCs w:val="21"/>
          <w:color w:val="auto"/>
        </w:rPr>
      </w:pPr>
      <w:r>
        <w:rPr>
          <w:rFonts w:ascii="Arial" w:cs="Arial" w:eastAsia="Arial" w:hAnsi="Arial"/>
          <w:sz w:val="21"/>
          <w:szCs w:val="21"/>
          <w:color w:val="auto"/>
        </w:rPr>
        <w:t>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80" w:lineRule="exact"/>
        <w:rPr>
          <w:rFonts w:ascii="Arial" w:cs="Arial" w:eastAsia="Arial" w:hAnsi="Arial"/>
          <w:sz w:val="21"/>
          <w:szCs w:val="21"/>
          <w:color w:val="auto"/>
        </w:rPr>
      </w:pPr>
    </w:p>
    <w:p>
      <w:pPr>
        <w:ind w:left="2820" w:hanging="867"/>
        <w:spacing w:after="0"/>
        <w:tabs>
          <w:tab w:leader="none" w:pos="2820" w:val="left"/>
        </w:tabs>
        <w:numPr>
          <w:ilvl w:val="2"/>
          <w:numId w:val="199"/>
        </w:numPr>
        <w:rPr>
          <w:rFonts w:ascii="Arial" w:cs="Arial" w:eastAsia="Arial" w:hAnsi="Arial"/>
          <w:sz w:val="21"/>
          <w:szCs w:val="21"/>
          <w:color w:val="auto"/>
        </w:rPr>
      </w:pPr>
      <w:r>
        <w:rPr>
          <w:rFonts w:ascii="Arial" w:cs="Arial" w:eastAsia="Arial" w:hAnsi="Arial"/>
          <w:sz w:val="21"/>
          <w:szCs w:val="21"/>
          <w:color w:val="auto"/>
        </w:rPr>
        <w:t>Notwithstanding  the  foregoing,  any  Global  Note  or  Definitive  Note  issued  pursuant  to</w:t>
      </w:r>
    </w:p>
    <w:p>
      <w:pPr>
        <w:spacing w:after="0" w:line="69" w:lineRule="exact"/>
        <w:rPr>
          <w:rFonts w:ascii="Arial" w:cs="Arial" w:eastAsia="Arial" w:hAnsi="Arial"/>
          <w:sz w:val="21"/>
          <w:szCs w:val="21"/>
          <w:color w:val="auto"/>
        </w:rPr>
      </w:pPr>
    </w:p>
    <w:p>
      <w:pPr>
        <w:ind w:left="1300"/>
        <w:spacing w:after="0" w:line="302" w:lineRule="auto"/>
        <w:rPr>
          <w:rFonts w:ascii="Arial" w:cs="Arial" w:eastAsia="Arial" w:hAnsi="Arial"/>
          <w:sz w:val="21"/>
          <w:szCs w:val="21"/>
          <w:color w:val="auto"/>
        </w:rPr>
      </w:pPr>
      <w:r>
        <w:rPr>
          <w:rFonts w:ascii="Arial" w:cs="Arial" w:eastAsia="Arial" w:hAnsi="Arial"/>
          <w:sz w:val="22"/>
          <w:szCs w:val="22"/>
          <w:color w:val="auto"/>
        </w:rPr>
        <w:t>subparagraphs (b)(4), (c)(2), (c)(3), (d)(2), (d)(3), (e)(2) or (e)(3) of this Section 2.06 (and all Notes issued in exchange therefor or substitution thereof) shall not bear the Private Placement Legend.</w:t>
      </w:r>
    </w:p>
    <w:p>
      <w:pPr>
        <w:spacing w:after="0" w:line="173" w:lineRule="exact"/>
        <w:rPr>
          <w:rFonts w:ascii="Arial" w:cs="Arial" w:eastAsia="Arial" w:hAnsi="Arial"/>
          <w:sz w:val="21"/>
          <w:szCs w:val="21"/>
          <w:color w:val="auto"/>
        </w:rPr>
      </w:pPr>
    </w:p>
    <w:p>
      <w:pPr>
        <w:ind w:left="1740" w:hanging="435"/>
        <w:spacing w:after="0"/>
        <w:tabs>
          <w:tab w:leader="none" w:pos="1740" w:val="left"/>
        </w:tabs>
        <w:numPr>
          <w:ilvl w:val="1"/>
          <w:numId w:val="199"/>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shall bear a legend in substantially the following form:</w:t>
      </w:r>
    </w:p>
    <w:p>
      <w:pPr>
        <w:spacing w:after="0" w:line="274"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61" w:right="239" w:bottom="1440" w:gutter="0" w:footer="0" w:header="0"/>
        </w:sectPr>
      </w:pPr>
    </w:p>
    <w:bookmarkStart w:id="207" w:name="page208"/>
    <w:bookmarkEnd w:id="207"/>
    <w:p>
      <w:pPr>
        <w:jc w:val="both"/>
        <w:spacing w:after="0" w:line="295" w:lineRule="auto"/>
        <w:rPr>
          <w:sz w:val="20"/>
          <w:szCs w:val="20"/>
          <w:color w:val="auto"/>
        </w:rPr>
      </w:pPr>
      <w:r>
        <w:rPr>
          <w:rFonts w:ascii="Arial" w:cs="Arial" w:eastAsia="Arial" w:hAnsi="Arial"/>
          <w:sz w:val="21"/>
          <w:szCs w:val="21"/>
          <w:color w:val="auto"/>
        </w:rPr>
        <w:t>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w:t>
      </w:r>
    </w:p>
    <w:p>
      <w:pPr>
        <w:spacing w:after="0" w:line="1" w:lineRule="exact"/>
        <w:rPr>
          <w:sz w:val="20"/>
          <w:szCs w:val="20"/>
          <w:color w:val="auto"/>
        </w:rPr>
      </w:pPr>
    </w:p>
    <w:p>
      <w:pPr>
        <w:ind w:right="20" w:firstLine="8"/>
        <w:spacing w:after="0" w:line="302" w:lineRule="auto"/>
        <w:tabs>
          <w:tab w:leader="none" w:pos="344"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THIS GLOBAL NOTE MAY BE TRANSFERRED TO A SUCCESSOR DEPOSITARY WITH THE PRIOR WRITTEN CONSENT OF THE ISSUER.</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ind w:left="1160" w:hanging="504"/>
        <w:spacing w:after="0"/>
        <w:tabs>
          <w:tab w:leader="none" w:pos="1160" w:val="left"/>
        </w:tabs>
        <w:numPr>
          <w:ilvl w:val="0"/>
          <w:numId w:val="201"/>
        </w:numPr>
        <w:rPr>
          <w:rFonts w:ascii="Arial" w:cs="Arial" w:eastAsia="Arial" w:hAnsi="Arial"/>
          <w:sz w:val="19"/>
          <w:szCs w:val="19"/>
          <w:color w:val="auto"/>
        </w:rPr>
      </w:pPr>
      <w:r>
        <w:rPr>
          <w:rFonts w:ascii="Arial" w:cs="Arial" w:eastAsia="Arial" w:hAnsi="Arial"/>
          <w:sz w:val="19"/>
          <w:szCs w:val="19"/>
          <w:i w:val="1"/>
          <w:iCs w:val="1"/>
          <w:color w:val="auto"/>
        </w:rPr>
        <w:t xml:space="preserve">Cancelation and/or Adjustment of Global Notes. </w:t>
      </w:r>
      <w:r>
        <w:rPr>
          <w:rFonts w:ascii="Arial" w:cs="Arial" w:eastAsia="Arial" w:hAnsi="Arial"/>
          <w:sz w:val="19"/>
          <w:szCs w:val="19"/>
          <w:color w:val="auto"/>
        </w:rPr>
        <w:t>At such time as all beneficial interests in a particular Global Note</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61" w:right="239" w:bottom="1440" w:gutter="0" w:footer="0" w:header="0"/>
        </w:sectPr>
      </w:pPr>
    </w:p>
    <w:bookmarkStart w:id="208" w:name="page209"/>
    <w:bookmarkEnd w:id="208"/>
    <w:p>
      <w:pPr>
        <w:ind w:left="424" w:hanging="424"/>
        <w:spacing w:after="0"/>
        <w:tabs>
          <w:tab w:leader="none" w:pos="424"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144" w:hanging="495"/>
        <w:spacing w:after="0"/>
        <w:tabs>
          <w:tab w:leader="none" w:pos="114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To permit registrations of transfers and exchanges, the Issuer shall execute and the Trustee shall authenticate</w:t>
      </w:r>
    </w:p>
    <w:p>
      <w:pPr>
        <w:spacing w:after="0" w:line="92" w:lineRule="exact"/>
        <w:rPr>
          <w:rFonts w:ascii="Arial" w:cs="Arial" w:eastAsia="Arial" w:hAnsi="Arial"/>
          <w:sz w:val="19"/>
          <w:szCs w:val="19"/>
          <w:color w:val="auto"/>
        </w:rPr>
      </w:pPr>
    </w:p>
    <w:p>
      <w:pPr>
        <w:ind w:left="4"/>
        <w:spacing w:after="0" w:line="302" w:lineRule="auto"/>
        <w:rPr>
          <w:rFonts w:ascii="Arial" w:cs="Arial" w:eastAsia="Arial" w:hAnsi="Arial"/>
          <w:sz w:val="19"/>
          <w:szCs w:val="19"/>
          <w:color w:val="auto"/>
        </w:rPr>
      </w:pPr>
      <w:r>
        <w:rPr>
          <w:rFonts w:ascii="Arial" w:cs="Arial" w:eastAsia="Arial" w:hAnsi="Arial"/>
          <w:sz w:val="22"/>
          <w:szCs w:val="22"/>
          <w:color w:val="auto"/>
        </w:rPr>
        <w:t>Global Notes and Definitive Notes upon receipt of an Authentication Order in accordance with Section 2.02 hereof or at the Registrar’s request.</w:t>
      </w:r>
    </w:p>
    <w:p>
      <w:pPr>
        <w:spacing w:after="0" w:line="173" w:lineRule="exact"/>
        <w:rPr>
          <w:rFonts w:ascii="Arial" w:cs="Arial" w:eastAsia="Arial" w:hAnsi="Arial"/>
          <w:sz w:val="19"/>
          <w:szCs w:val="19"/>
          <w:color w:val="auto"/>
        </w:rPr>
      </w:pPr>
    </w:p>
    <w:p>
      <w:pPr>
        <w:ind w:left="1184" w:hanging="535"/>
        <w:spacing w:after="0"/>
        <w:tabs>
          <w:tab w:leader="none" w:pos="118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No service charge shall be made to a Holder of, or a Beneficial Owner of an interest in, a Global Note or</w:t>
      </w:r>
    </w:p>
    <w:p>
      <w:pPr>
        <w:spacing w:after="0" w:line="92" w:lineRule="exact"/>
        <w:rPr>
          <w:rFonts w:ascii="Arial" w:cs="Arial" w:eastAsia="Arial" w:hAnsi="Arial"/>
          <w:sz w:val="19"/>
          <w:szCs w:val="19"/>
          <w:color w:val="auto"/>
        </w:rPr>
      </w:pPr>
    </w:p>
    <w:p>
      <w:pPr>
        <w:jc w:val="both"/>
        <w:ind w:left="4"/>
        <w:spacing w:after="0" w:line="288" w:lineRule="auto"/>
        <w:rPr>
          <w:rFonts w:ascii="Arial" w:cs="Arial" w:eastAsia="Arial" w:hAnsi="Arial"/>
          <w:sz w:val="19"/>
          <w:szCs w:val="19"/>
          <w:color w:val="auto"/>
        </w:rPr>
      </w:pPr>
      <w:r>
        <w:rPr>
          <w:rFonts w:ascii="Arial" w:cs="Arial" w:eastAsia="Arial" w:hAnsi="Arial"/>
          <w:sz w:val="22"/>
          <w:szCs w:val="22"/>
          <w:color w:val="auto"/>
        </w:rPr>
        <w:t>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90" w:lineRule="exact"/>
        <w:rPr>
          <w:rFonts w:ascii="Arial" w:cs="Arial" w:eastAsia="Arial" w:hAnsi="Arial"/>
          <w:sz w:val="19"/>
          <w:szCs w:val="19"/>
          <w:color w:val="auto"/>
        </w:rPr>
      </w:pPr>
    </w:p>
    <w:p>
      <w:pPr>
        <w:ind w:left="4" w:right="20" w:firstLine="645"/>
        <w:spacing w:after="0" w:line="315" w:lineRule="auto"/>
        <w:tabs>
          <w:tab w:leader="none" w:pos="1111"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of any Note selected for redemption in whole or in part, except the unredeemed portion of any Note being redeemed in part.</w:t>
      </w:r>
    </w:p>
    <w:p>
      <w:pPr>
        <w:spacing w:after="0" w:line="159" w:lineRule="exact"/>
        <w:rPr>
          <w:rFonts w:ascii="Arial" w:cs="Arial" w:eastAsia="Arial" w:hAnsi="Arial"/>
          <w:sz w:val="22"/>
          <w:szCs w:val="22"/>
          <w:color w:val="auto"/>
        </w:rPr>
      </w:pPr>
    </w:p>
    <w:p>
      <w:pPr>
        <w:ind w:left="1104" w:hanging="455"/>
        <w:spacing w:after="0"/>
        <w:tabs>
          <w:tab w:leader="none" w:pos="110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w:t>
      </w:r>
    </w:p>
    <w:p>
      <w:pPr>
        <w:spacing w:after="0" w:line="92" w:lineRule="exact"/>
        <w:rPr>
          <w:rFonts w:ascii="Arial" w:cs="Arial" w:eastAsia="Arial" w:hAnsi="Arial"/>
          <w:sz w:val="19"/>
          <w:szCs w:val="19"/>
          <w:color w:val="auto"/>
        </w:rPr>
      </w:pPr>
    </w:p>
    <w:p>
      <w:pPr>
        <w:ind w:left="4"/>
        <w:spacing w:after="0" w:line="387" w:lineRule="auto"/>
        <w:rPr>
          <w:rFonts w:ascii="Arial" w:cs="Arial" w:eastAsia="Arial" w:hAnsi="Arial"/>
          <w:sz w:val="19"/>
          <w:szCs w:val="19"/>
          <w:color w:val="auto"/>
        </w:rPr>
      </w:pPr>
      <w:r>
        <w:rPr>
          <w:rFonts w:ascii="Arial" w:cs="Arial" w:eastAsia="Arial" w:hAnsi="Arial"/>
          <w:sz w:val="19"/>
          <w:szCs w:val="19"/>
          <w:color w:val="auto"/>
        </w:rPr>
        <w:t>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05" w:lineRule="exact"/>
        <w:rPr>
          <w:rFonts w:ascii="Arial" w:cs="Arial" w:eastAsia="Arial" w:hAnsi="Arial"/>
          <w:sz w:val="19"/>
          <w:szCs w:val="19"/>
          <w:color w:val="auto"/>
        </w:rPr>
      </w:pPr>
    </w:p>
    <w:p>
      <w:pPr>
        <w:ind w:left="1084" w:hanging="435"/>
        <w:spacing w:after="0"/>
        <w:tabs>
          <w:tab w:leader="none" w:pos="108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Neither the Registrar nor the Issuer shall be required:</w:t>
      </w:r>
    </w:p>
    <w:p>
      <w:pPr>
        <w:spacing w:after="0" w:line="273" w:lineRule="exact"/>
        <w:rPr>
          <w:rFonts w:ascii="Arial" w:cs="Arial" w:eastAsia="Arial" w:hAnsi="Arial"/>
          <w:sz w:val="22"/>
          <w:szCs w:val="22"/>
          <w:color w:val="auto"/>
        </w:rPr>
      </w:pPr>
    </w:p>
    <w:p>
      <w:pPr>
        <w:ind w:left="644" w:firstLine="653"/>
        <w:spacing w:after="0" w:line="402" w:lineRule="auto"/>
        <w:tabs>
          <w:tab w:leader="none" w:pos="1772" w:val="left"/>
        </w:tabs>
        <w:numPr>
          <w:ilvl w:val="2"/>
          <w:numId w:val="202"/>
        </w:numPr>
        <w:rPr>
          <w:rFonts w:ascii="Arial" w:cs="Arial" w:eastAsia="Arial" w:hAnsi="Arial"/>
          <w:sz w:val="19"/>
          <w:szCs w:val="19"/>
          <w:color w:val="auto"/>
        </w:rPr>
      </w:pPr>
      <w:r>
        <w:rPr>
          <w:rFonts w:ascii="Arial" w:cs="Arial" w:eastAsia="Arial" w:hAnsi="Arial"/>
          <w:sz w:val="19"/>
          <w:szCs w:val="19"/>
          <w:color w:val="auto"/>
        </w:rPr>
        <w:t>to issue, to register the transfer of or to exchange any Notes during a period beginning at the opening of business 15 days before the mailing of a notice of redemption for Notes under Section 3.02 hereof;</w:t>
      </w:r>
    </w:p>
    <w:p>
      <w:pPr>
        <w:spacing w:after="0" w:line="91" w:lineRule="exact"/>
        <w:rPr>
          <w:rFonts w:ascii="Arial" w:cs="Arial" w:eastAsia="Arial" w:hAnsi="Arial"/>
          <w:sz w:val="19"/>
          <w:szCs w:val="19"/>
          <w:color w:val="auto"/>
        </w:rPr>
      </w:pPr>
    </w:p>
    <w:p>
      <w:pPr>
        <w:ind w:left="644" w:right="20" w:firstLine="653"/>
        <w:spacing w:after="0" w:line="315" w:lineRule="auto"/>
        <w:tabs>
          <w:tab w:leader="none" w:pos="1801" w:val="left"/>
        </w:tabs>
        <w:numPr>
          <w:ilvl w:val="2"/>
          <w:numId w:val="202"/>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59" w:lineRule="exact"/>
        <w:rPr>
          <w:rFonts w:ascii="Arial" w:cs="Arial" w:eastAsia="Arial" w:hAnsi="Arial"/>
          <w:sz w:val="22"/>
          <w:szCs w:val="22"/>
          <w:color w:val="auto"/>
        </w:rPr>
      </w:pPr>
    </w:p>
    <w:p>
      <w:pPr>
        <w:ind w:left="644" w:firstLine="653"/>
        <w:spacing w:after="0" w:line="315" w:lineRule="auto"/>
        <w:tabs>
          <w:tab w:leader="none" w:pos="1787" w:val="left"/>
        </w:tabs>
        <w:numPr>
          <w:ilvl w:val="2"/>
          <w:numId w:val="202"/>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59" w:lineRule="exact"/>
        <w:rPr>
          <w:rFonts w:ascii="Arial" w:cs="Arial" w:eastAsia="Arial" w:hAnsi="Arial"/>
          <w:sz w:val="22"/>
          <w:szCs w:val="22"/>
          <w:color w:val="auto"/>
        </w:rPr>
      </w:pPr>
    </w:p>
    <w:p>
      <w:pPr>
        <w:ind w:left="1144" w:hanging="495"/>
        <w:spacing w:after="0"/>
        <w:tabs>
          <w:tab w:leader="none" w:pos="114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the Issuer</w:t>
      </w:r>
    </w:p>
    <w:p>
      <w:pPr>
        <w:spacing w:after="0" w:line="92" w:lineRule="exact"/>
        <w:rPr>
          <w:rFonts w:ascii="Arial" w:cs="Arial" w:eastAsia="Arial" w:hAnsi="Arial"/>
          <w:sz w:val="19"/>
          <w:szCs w:val="19"/>
          <w:color w:val="auto"/>
        </w:rPr>
      </w:pPr>
    </w:p>
    <w:p>
      <w:pPr>
        <w:jc w:val="both"/>
        <w:ind w:left="4"/>
        <w:spacing w:after="0" w:line="292" w:lineRule="auto"/>
        <w:rPr>
          <w:rFonts w:ascii="Arial" w:cs="Arial" w:eastAsia="Arial" w:hAnsi="Arial"/>
          <w:sz w:val="19"/>
          <w:szCs w:val="19"/>
          <w:color w:val="auto"/>
        </w:rPr>
      </w:pPr>
      <w:r>
        <w:rPr>
          <w:rFonts w:ascii="Arial" w:cs="Arial" w:eastAsia="Arial" w:hAnsi="Arial"/>
          <w:sz w:val="22"/>
          <w:szCs w:val="22"/>
          <w:color w:val="auto"/>
        </w:rPr>
        <w:t>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84" w:lineRule="exact"/>
        <w:rPr>
          <w:rFonts w:ascii="Arial" w:cs="Arial" w:eastAsia="Arial" w:hAnsi="Arial"/>
          <w:sz w:val="19"/>
          <w:szCs w:val="19"/>
          <w:color w:val="auto"/>
        </w:rPr>
      </w:pPr>
    </w:p>
    <w:p>
      <w:pPr>
        <w:ind w:left="1104" w:hanging="455"/>
        <w:spacing w:after="0"/>
        <w:tabs>
          <w:tab w:leader="none" w:pos="110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9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64"/>
          </w:cols>
          <w:pgMar w:left="896" w:top="861" w:right="239" w:bottom="1440" w:gutter="0" w:footer="0" w:header="0"/>
        </w:sectPr>
      </w:pPr>
    </w:p>
    <w:bookmarkStart w:id="209" w:name="page210"/>
    <w:bookmarkEnd w:id="209"/>
    <w:p>
      <w:pPr>
        <w:ind w:left="660" w:firstLine="645"/>
        <w:spacing w:after="0" w:line="315" w:lineRule="auto"/>
        <w:tabs>
          <w:tab w:leader="none" w:pos="17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59" w:lineRule="exact"/>
        <w:rPr>
          <w:rFonts w:ascii="Arial" w:cs="Arial" w:eastAsia="Arial" w:hAnsi="Arial"/>
          <w:sz w:val="22"/>
          <w:szCs w:val="22"/>
          <w:color w:val="auto"/>
        </w:rPr>
      </w:pPr>
    </w:p>
    <w:p>
      <w:pPr>
        <w:ind w:left="1880" w:hanging="575"/>
        <w:spacing w:after="0"/>
        <w:tabs>
          <w:tab w:leader="none" w:pos="188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w:t>
      </w:r>
    </w:p>
    <w:p>
      <w:pPr>
        <w:spacing w:after="0" w:line="69" w:lineRule="exact"/>
        <w:rPr>
          <w:rFonts w:ascii="Arial" w:cs="Arial" w:eastAsia="Arial" w:hAnsi="Arial"/>
          <w:sz w:val="21"/>
          <w:szCs w:val="21"/>
          <w:color w:val="auto"/>
        </w:rPr>
      </w:pPr>
    </w:p>
    <w:p>
      <w:pPr>
        <w:jc w:val="both"/>
        <w:ind w:left="660"/>
        <w:spacing w:after="0" w:line="303" w:lineRule="auto"/>
        <w:rPr>
          <w:rFonts w:ascii="Arial" w:cs="Arial" w:eastAsia="Arial" w:hAnsi="Arial"/>
          <w:sz w:val="21"/>
          <w:szCs w:val="21"/>
          <w:color w:val="auto"/>
        </w:rPr>
      </w:pPr>
      <w:r>
        <w:rPr>
          <w:rFonts w:ascii="Arial" w:cs="Arial" w:eastAsia="Arial" w:hAnsi="Arial"/>
          <w:sz w:val="21"/>
          <w:szCs w:val="21"/>
          <w:color w:val="auto"/>
        </w:rPr>
        <w:t>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7" w:lineRule="exact"/>
        <w:rPr>
          <w:rFonts w:ascii="Arial" w:cs="Arial" w:eastAsia="Arial" w:hAnsi="Arial"/>
          <w:sz w:val="21"/>
          <w:szCs w:val="21"/>
          <w:color w:val="auto"/>
        </w:rPr>
      </w:pPr>
    </w:p>
    <w:p>
      <w:pPr>
        <w:ind w:left="660" w:firstLine="645"/>
        <w:spacing w:after="0" w:line="315" w:lineRule="auto"/>
        <w:tabs>
          <w:tab w:leader="none" w:pos="187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Neither the Trustee nor any Agent shall have any responsibility or liability for any actions taken or not taken by the Depositary.</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(including the Trustee’s expenses) in replacing a Note.</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7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61" w:right="239" w:bottom="1440" w:gutter="0" w:footer="0" w:header="0"/>
        </w:sectPr>
      </w:pPr>
    </w:p>
    <w:bookmarkStart w:id="210" w:name="page211"/>
    <w:bookmarkEnd w:id="210"/>
    <w:p>
      <w:pPr>
        <w:jc w:val="both"/>
        <w:ind w:firstLine="648"/>
        <w:spacing w:after="0" w:line="302"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 acceptable to the Trustee. Without unreasonable delay, the Issuer shall prepare and the Trustee shall authenticate Definitive Notes in exchange for temporary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Cancelation.</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 provide evidence of the destruction of all canceled Notes to the Issuer. The Issuer may not issue new Notes to replace Notes that it has paid or that have been delivered to the Trustee for cancelation.</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61" w:right="239" w:bottom="1440" w:gutter="0" w:footer="0" w:header="0"/>
        </w:sectPr>
      </w:pPr>
    </w:p>
    <w:bookmarkStart w:id="211" w:name="page212"/>
    <w:bookmarkEnd w:id="211"/>
    <w:p>
      <w:pPr>
        <w:jc w:val="both"/>
        <w:spacing w:after="0" w:line="287" w:lineRule="auto"/>
        <w:rPr>
          <w:sz w:val="20"/>
          <w:szCs w:val="20"/>
          <w:color w:val="auto"/>
        </w:rPr>
      </w:pPr>
      <w:r>
        <w:rPr>
          <w:rFonts w:ascii="Arial" w:cs="Arial" w:eastAsia="Arial" w:hAnsi="Arial"/>
          <w:sz w:val="22"/>
          <w:szCs w:val="22"/>
          <w:color w:val="auto"/>
        </w:rPr>
        <w:t xml:space="preserve">payment. The Issuer shall fix or cause to be fixed each such special record date and payment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Issuance of Additional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any Additional Notes, the Issuer will set forth in a resolution of the Board of Directors of the Issuer and an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a copy of each which shall be delivered to the Trustee, the following information:</w:t>
      </w:r>
    </w:p>
    <w:p>
      <w:pPr>
        <w:spacing w:after="0" w:line="260" w:lineRule="exact"/>
        <w:rPr>
          <w:sz w:val="20"/>
          <w:szCs w:val="20"/>
          <w:color w:val="auto"/>
        </w:rPr>
      </w:pPr>
    </w:p>
    <w:p>
      <w:pPr>
        <w:ind w:left="1120" w:hanging="464"/>
        <w:spacing w:after="0"/>
        <w:tabs>
          <w:tab w:leader="none" w:pos="112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160" w:hanging="504"/>
        <w:spacing w:after="0"/>
        <w:tabs>
          <w:tab w:leader="none" w:pos="116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which such Additional Notes shall be Notes issued in the form of Restricted Global Notes or Restricted Definitive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Notes, as the case may be, or shall be Notes issued in the form of Unrestricted Global Notes or Unrestricted Definitive Notes, as the case may be.</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order for any Additional Notes to have the same CUSIP, Common Code or ISIN, as applicable, as the Notes, such Additional Notes must be fungible with the Notes for United States federal income tax purposes.</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REDEMPTION AND PREPAYMENT</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Notices to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If the Issuer elects to redeem Notes pursuant to the redemption provisions of Sections 3.07, 3.09 or 3.10 hereof, it must furnish to the Trustee, at least 10 days (or, in the case of a redemption pursuant to Section 3.09 hereof, as soon as reasonably practicable) but not more than 60 days before a redemption date, an Officer’s Certificate setting forth:</w:t>
      </w:r>
    </w:p>
    <w:p>
      <w:pPr>
        <w:spacing w:after="0" w:line="169"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61" w:right="239" w:bottom="1440" w:gutter="0" w:footer="0" w:header="0"/>
        </w:sectPr>
      </w:pPr>
    </w:p>
    <w:bookmarkStart w:id="212" w:name="page213"/>
    <w:bookmarkEnd w:id="212"/>
    <w:p>
      <w:pPr>
        <w:ind w:left="1080" w:hanging="424"/>
        <w:spacing w:after="0"/>
        <w:tabs>
          <w:tab w:leader="none" w:pos="10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If less than all of the Notes are to be redeemed (other than pursuant to Section 3.09 hereof) or purchased in an offer to purchase at any time, the Trustee shall select Notes for redemption or purchase as follows:</w:t>
      </w:r>
    </w:p>
    <w:p>
      <w:pPr>
        <w:spacing w:after="0" w:line="174" w:lineRule="exact"/>
        <w:rPr>
          <w:sz w:val="20"/>
          <w:szCs w:val="20"/>
          <w:color w:val="auto"/>
        </w:rPr>
      </w:pPr>
    </w:p>
    <w:p>
      <w:pPr>
        <w:ind w:firstLine="656"/>
        <w:spacing w:after="0" w:line="315" w:lineRule="auto"/>
        <w:tabs>
          <w:tab w:leader="none" w:pos="112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if the Notes are listed on any internationally recognized securities exchange, in compliance with the requirements of the principal internationally recognized securities exchange on which the Notes are listed; or</w:t>
      </w:r>
    </w:p>
    <w:p>
      <w:pPr>
        <w:spacing w:after="0" w:line="159" w:lineRule="exact"/>
        <w:rPr>
          <w:rFonts w:ascii="Arial" w:cs="Arial" w:eastAsia="Arial" w:hAnsi="Arial"/>
          <w:sz w:val="22"/>
          <w:szCs w:val="22"/>
          <w:color w:val="auto"/>
        </w:rPr>
      </w:pPr>
    </w:p>
    <w:p>
      <w:pPr>
        <w:ind w:firstLine="656"/>
        <w:spacing w:after="0" w:line="315" w:lineRule="auto"/>
        <w:tabs>
          <w:tab w:leader="none" w:pos="112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if the Notes are not listed on any internationally recognized securities exchange,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by lot or, in the case of Notes issued in global form, in accordance with the applicable procedures of the Depositary.</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 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61" w:right="239" w:bottom="1440" w:gutter="0" w:footer="0" w:header="0"/>
        </w:sectPr>
      </w:pPr>
    </w:p>
    <w:bookmarkStart w:id="213" w:name="page214"/>
    <w:bookmarkEnd w:id="213"/>
    <w:p>
      <w:pPr>
        <w:ind w:left="660"/>
        <w:spacing w:after="0"/>
        <w:rPr>
          <w:sz w:val="20"/>
          <w:szCs w:val="20"/>
          <w:color w:val="auto"/>
        </w:rPr>
      </w:pPr>
      <w:r>
        <w:rPr>
          <w:rFonts w:ascii="Arial" w:cs="Arial" w:eastAsia="Arial" w:hAnsi="Arial"/>
          <w:sz w:val="22"/>
          <w:szCs w:val="22"/>
          <w:color w:val="auto"/>
        </w:rPr>
        <w:t>The notice shall identify the Notes (including the CUSIP number) to be redeemed and shall state:</w:t>
      </w:r>
    </w:p>
    <w:p>
      <w:pPr>
        <w:spacing w:after="0" w:line="260" w:lineRule="exact"/>
        <w:rPr>
          <w:sz w:val="20"/>
          <w:szCs w:val="20"/>
          <w:color w:val="auto"/>
        </w:rPr>
      </w:pPr>
    </w:p>
    <w:p>
      <w:pPr>
        <w:ind w:left="1080" w:hanging="424"/>
        <w:spacing w:after="0"/>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if any Note is being redeemed in part, the portion of the principal amount of such Note to be redeemed and that, after</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redemption date upon surrender of such Note, a new Note or Notes in principal amount equal to the unredeemed portion shall be issued upon cancelation of the original Note;</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73" w:lineRule="exact"/>
        <w:rPr>
          <w:rFonts w:ascii="Arial" w:cs="Arial" w:eastAsia="Arial" w:hAnsi="Arial"/>
          <w:sz w:val="22"/>
          <w:szCs w:val="22"/>
          <w:color w:val="auto"/>
        </w:rPr>
      </w:pPr>
    </w:p>
    <w:p>
      <w:pPr>
        <w:ind w:firstLine="656"/>
        <w:spacing w:after="0" w:line="315" w:lineRule="auto"/>
        <w:tabs>
          <w:tab w:leader="none" w:pos="108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that, unless the Issuer defaults in making such redemption payment, interest on Notes called for redemption ceases to accrue on and after the redemption date;</w:t>
      </w:r>
    </w:p>
    <w:p>
      <w:pPr>
        <w:spacing w:after="0" w:line="159" w:lineRule="exact"/>
        <w:rPr>
          <w:rFonts w:ascii="Arial" w:cs="Arial" w:eastAsia="Arial" w:hAnsi="Arial"/>
          <w:sz w:val="22"/>
          <w:szCs w:val="22"/>
          <w:color w:val="auto"/>
        </w:rPr>
      </w:pPr>
    </w:p>
    <w:p>
      <w:pPr>
        <w:ind w:firstLine="656"/>
        <w:spacing w:after="0" w:line="315" w:lineRule="auto"/>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59" w:lineRule="exact"/>
        <w:rPr>
          <w:rFonts w:ascii="Arial" w:cs="Arial" w:eastAsia="Arial" w:hAnsi="Arial"/>
          <w:sz w:val="22"/>
          <w:szCs w:val="22"/>
          <w:color w:val="auto"/>
        </w:rPr>
      </w:pPr>
    </w:p>
    <w:p>
      <w:pPr>
        <w:ind w:firstLine="656"/>
        <w:spacing w:after="0" w:line="315" w:lineRule="auto"/>
        <w:tabs>
          <w:tab w:leader="none" w:pos="112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has delivered to the Trustee, at least 45 days prior to the redemption date (unless a shorter notice is agreed</w:t>
      </w:r>
      <w:r>
        <w:rPr>
          <w:rFonts w:ascii="Arial" w:cs="Arial" w:eastAsia="Arial" w:hAnsi="Arial"/>
          <w:sz w:val="22"/>
          <w:szCs w:val="22"/>
          <w:i w:val="1"/>
          <w:iCs w:val="1"/>
          <w:color w:val="auto"/>
        </w:rPr>
        <w:t xml:space="preserve"> </w:t>
      </w:r>
      <w:r>
        <w:rPr>
          <w:rFonts w:ascii="Arial" w:cs="Arial" w:eastAsia="Arial" w:hAnsi="Arial"/>
          <w:sz w:val="22"/>
          <w:szCs w:val="22"/>
          <w:color w:val="auto"/>
        </w:rPr>
        <w:t>to by the Trustee), an Officer’s Certificate requesting that the Trustee give such notice and setting forth the information to be stated in such notice as provided in the preceding paragraph.</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3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One Business Day prior to the redemption or purchase date, the Issuer shall deposit with the Trustee or with the Paying Agent money sufficient to pay the redemption or purchase price of and accrued interest and premium, if any, on all Notes to be redeemed or purchased on that date. The Trustee or the Paying Agent shall promptly return to the Issuer any money deposited with the Trustee or the Paying Agent by the Issuer in excess of the amounts necessary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61" w:right="239" w:bottom="1440" w:gutter="0" w:footer="0" w:header="0"/>
        </w:sectPr>
      </w:pPr>
    </w:p>
    <w:bookmarkStart w:id="214" w:name="page215"/>
    <w:bookmarkEnd w:id="214"/>
    <w:p>
      <w:pPr>
        <w:spacing w:after="0"/>
        <w:rPr>
          <w:sz w:val="20"/>
          <w:szCs w:val="20"/>
          <w:color w:val="auto"/>
        </w:rPr>
      </w:pPr>
      <w:r>
        <w:rPr>
          <w:rFonts w:ascii="Arial" w:cs="Arial" w:eastAsia="Arial" w:hAnsi="Arial"/>
          <w:sz w:val="21"/>
          <w:szCs w:val="21"/>
          <w:color w:val="auto"/>
        </w:rPr>
        <w:t>the redemption or purchase price of, and accrued interest and premium, if any, on all Notes to be redeemed or purchased.</w:t>
      </w:r>
    </w:p>
    <w:p>
      <w:pPr>
        <w:spacing w:after="0" w:line="27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At any time prior to October 1, 2020, the Issuer may, on any one or more occasions, redeem up to 35% of the aggregate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principal amount of the Notes issued under this Indenture at a redemption price of 105.500% of the principal amount, plus accrued and unpaid interest, if any, and Additional Amounts, if any, to (but excluding) the redemption date, with the net cash proceeds of one or more Equity Offerings; provided that:</w:t>
      </w:r>
    </w:p>
    <w:p>
      <w:pPr>
        <w:spacing w:after="0" w:line="184" w:lineRule="exact"/>
        <w:rPr>
          <w:rFonts w:ascii="Arial" w:cs="Arial" w:eastAsia="Arial" w:hAnsi="Arial"/>
          <w:sz w:val="19"/>
          <w:szCs w:val="19"/>
          <w:color w:val="auto"/>
        </w:rPr>
      </w:pPr>
    </w:p>
    <w:p>
      <w:pPr>
        <w:ind w:left="1800" w:hanging="495"/>
        <w:spacing w:after="0"/>
        <w:tabs>
          <w:tab w:leader="none" w:pos="180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at least 65% of the aggregate principal amount of the Notes originally issued under this Indenture (excluding</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the Notes held by the Issuer and its Subsidiaries) remains outstanding immediately after the occurrence of such redemption; and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redemption occurs within 45 days of the date of the closing of such Equity Offering.</w:t>
      </w:r>
    </w:p>
    <w:p>
      <w:pPr>
        <w:spacing w:after="0" w:line="273" w:lineRule="exact"/>
        <w:rPr>
          <w:rFonts w:ascii="Arial" w:cs="Arial" w:eastAsia="Arial" w:hAnsi="Arial"/>
          <w:sz w:val="22"/>
          <w:szCs w:val="22"/>
          <w:color w:val="auto"/>
        </w:rPr>
      </w:pPr>
    </w:p>
    <w:p>
      <w:pPr>
        <w:ind w:firstLine="656"/>
        <w:spacing w:after="0" w:line="315" w:lineRule="auto"/>
        <w:tabs>
          <w:tab w:leader="none" w:pos="113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At any time prior to October 1, 2022, the Issuer may on any one or more occasions redeem all or part of the Notes, upon not less than 10 nor more than 60 days’ notice, at a redemption price equal to the greater of:</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73" w:lineRule="exact"/>
        <w:rPr>
          <w:rFonts w:ascii="Arial" w:cs="Arial" w:eastAsia="Arial" w:hAnsi="Arial"/>
          <w:sz w:val="22"/>
          <w:szCs w:val="22"/>
          <w:color w:val="auto"/>
        </w:rPr>
      </w:pPr>
    </w:p>
    <w:p>
      <w:pPr>
        <w:ind w:left="1760" w:hanging="455"/>
        <w:spacing w:after="0"/>
        <w:tabs>
          <w:tab w:leader="none" w:pos="176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as determined by an Independent Investment Banker, the sum of the present values of the remaining scheduled</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payments of principal and interest on the Notes to be redeemed (not including any portion of such payments of interest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61" w:right="239" w:bottom="1440" w:gutter="0" w:footer="0" w:header="0"/>
        </w:sectPr>
      </w:pPr>
    </w:p>
    <w:bookmarkStart w:id="215" w:name="page216"/>
    <w:bookmarkEnd w:id="215"/>
    <w:p>
      <w:pPr>
        <w:ind w:left="660"/>
        <w:spacing w:after="0" w:line="328" w:lineRule="auto"/>
        <w:rPr>
          <w:sz w:val="20"/>
          <w:szCs w:val="20"/>
          <w:color w:val="auto"/>
        </w:rPr>
      </w:pPr>
      <w:r>
        <w:rPr>
          <w:rFonts w:ascii="Arial" w:cs="Arial" w:eastAsia="Arial" w:hAnsi="Arial"/>
          <w:sz w:val="21"/>
          <w:szCs w:val="21"/>
          <w:color w:val="auto"/>
        </w:rPr>
        <w:t>to (but excluding) the date of redemption) discounted to the redemption date on a semi-annual basis (assuming a 360-day year consisting of twelve 30-day months) at the Adjusted Treasury Rate, plus 50 basis points,</w:t>
      </w:r>
    </w:p>
    <w:p>
      <w:pPr>
        <w:spacing w:after="0" w:line="150"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right="20" w:firstLine="656"/>
        <w:spacing w:after="0" w:line="315" w:lineRule="auto"/>
        <w:tabs>
          <w:tab w:leader="none" w:pos="116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Except pursuant to Sections 3.07(a), 3.07(b), 3.09, 3.10 and 4.10 hereof, the Notes shall not be redeemable at the Issuer’s option prior to October 1, 2022.</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On or after October 1, 2022, the Issuer may on any one or more occasions redeem all or a part of the Notes, upon not</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October 1 of the years indicated below, subject to the rights of Holders on the relevant record date to receive interest on the relevant interest payment date:</w:t>
      </w:r>
    </w:p>
    <w:p>
      <w:pPr>
        <w:spacing w:after="0" w:line="319" w:lineRule="exact"/>
        <w:rPr>
          <w:sz w:val="20"/>
          <w:szCs w:val="20"/>
          <w:color w:val="auto"/>
        </w:rPr>
      </w:pPr>
    </w:p>
    <w:tbl>
      <w:tblPr>
        <w:tblLayout w:type="fixed"/>
        <w:tblInd w:w="1640" w:type="dxa"/>
        <w:tblCellMar>
          <w:top w:w="0" w:type="dxa"/>
          <w:left w:w="0" w:type="dxa"/>
          <w:bottom w:w="0" w:type="dxa"/>
          <w:right w:w="0" w:type="dxa"/>
        </w:tblCellMar>
      </w:tblPr>
      <w:tr>
        <w:trPr>
          <w:trHeight w:val="281"/>
        </w:trPr>
        <w:tc>
          <w:tcPr>
            <w:tcW w:w="4140" w:type="dxa"/>
            <w:vAlign w:val="bottom"/>
          </w:tcPr>
          <w:p>
            <w:pPr>
              <w:spacing w:after="0"/>
              <w:rPr>
                <w:sz w:val="20"/>
                <w:szCs w:val="20"/>
                <w:color w:val="auto"/>
              </w:rPr>
            </w:pPr>
            <w:r>
              <w:rPr>
                <w:rFonts w:ascii="Arial" w:cs="Arial" w:eastAsia="Arial" w:hAnsi="Arial"/>
                <w:sz w:val="22"/>
                <w:szCs w:val="22"/>
                <w:b w:val="1"/>
                <w:bCs w:val="1"/>
                <w:color w:val="auto"/>
              </w:rPr>
              <w:t>Year</w:t>
            </w:r>
          </w:p>
        </w:tc>
        <w:tc>
          <w:tcPr>
            <w:tcW w:w="4000" w:type="dxa"/>
            <w:vAlign w:val="bottom"/>
          </w:tcPr>
          <w:p>
            <w:pPr>
              <w:jc w:val="right"/>
              <w:ind w:right="432"/>
              <w:spacing w:after="0"/>
              <w:rPr>
                <w:sz w:val="20"/>
                <w:szCs w:val="20"/>
                <w:color w:val="auto"/>
              </w:rPr>
            </w:pPr>
            <w:r>
              <w:rPr>
                <w:rFonts w:ascii="Arial" w:cs="Arial" w:eastAsia="Arial" w:hAnsi="Arial"/>
                <w:sz w:val="22"/>
                <w:szCs w:val="22"/>
                <w:b w:val="1"/>
                <w:bCs w:val="1"/>
                <w:color w:val="auto"/>
              </w:rPr>
              <w:t>Percentage</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2022</w:t>
            </w:r>
          </w:p>
        </w:tc>
        <w:tc>
          <w:tcPr>
            <w:tcW w:w="4000" w:type="dxa"/>
            <w:vAlign w:val="bottom"/>
          </w:tcPr>
          <w:p>
            <w:pPr>
              <w:jc w:val="right"/>
              <w:spacing w:after="0"/>
              <w:rPr>
                <w:sz w:val="20"/>
                <w:szCs w:val="20"/>
                <w:color w:val="auto"/>
              </w:rPr>
            </w:pPr>
            <w:r>
              <w:rPr>
                <w:rFonts w:ascii="Arial" w:cs="Arial" w:eastAsia="Arial" w:hAnsi="Arial"/>
                <w:sz w:val="22"/>
                <w:szCs w:val="22"/>
                <w:color w:val="auto"/>
              </w:rPr>
              <w:t>102.750%</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2023</w:t>
            </w:r>
          </w:p>
        </w:tc>
        <w:tc>
          <w:tcPr>
            <w:tcW w:w="4000" w:type="dxa"/>
            <w:vAlign w:val="bottom"/>
          </w:tcPr>
          <w:p>
            <w:pPr>
              <w:jc w:val="right"/>
              <w:spacing w:after="0"/>
              <w:rPr>
                <w:sz w:val="20"/>
                <w:szCs w:val="20"/>
                <w:color w:val="auto"/>
              </w:rPr>
            </w:pPr>
            <w:r>
              <w:rPr>
                <w:rFonts w:ascii="Arial" w:cs="Arial" w:eastAsia="Arial" w:hAnsi="Arial"/>
                <w:sz w:val="22"/>
                <w:szCs w:val="22"/>
                <w:color w:val="auto"/>
              </w:rPr>
              <w:t>101.833%</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2024</w:t>
            </w:r>
          </w:p>
        </w:tc>
        <w:tc>
          <w:tcPr>
            <w:tcW w:w="4000" w:type="dxa"/>
            <w:vAlign w:val="bottom"/>
          </w:tcPr>
          <w:p>
            <w:pPr>
              <w:jc w:val="right"/>
              <w:spacing w:after="0"/>
              <w:rPr>
                <w:sz w:val="20"/>
                <w:szCs w:val="20"/>
                <w:color w:val="auto"/>
              </w:rPr>
            </w:pPr>
            <w:r>
              <w:rPr>
                <w:rFonts w:ascii="Arial" w:cs="Arial" w:eastAsia="Arial" w:hAnsi="Arial"/>
                <w:sz w:val="22"/>
                <w:szCs w:val="22"/>
                <w:color w:val="auto"/>
              </w:rPr>
              <w:t>100.917%</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2025 and thereafter</w:t>
            </w:r>
          </w:p>
        </w:tc>
        <w:tc>
          <w:tcPr>
            <w:tcW w:w="4000" w:type="dxa"/>
            <w:vAlign w:val="bottom"/>
          </w:tcPr>
          <w:p>
            <w:pPr>
              <w:jc w:val="right"/>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shall cease to accrue on the Notes or portions thereof called for redemption on the applicable redemption date.</w:t>
      </w:r>
    </w:p>
    <w:p>
      <w:pPr>
        <w:spacing w:after="0" w:line="174" w:lineRule="exact"/>
        <w:rPr>
          <w:sz w:val="20"/>
          <w:szCs w:val="20"/>
          <w:color w:val="auto"/>
        </w:rPr>
      </w:pPr>
    </w:p>
    <w:p>
      <w:pPr>
        <w:ind w:left="1100" w:hanging="444"/>
        <w:spacing w:after="0"/>
        <w:tabs>
          <w:tab w:leader="none" w:pos="110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Any redemption set forth under Section 3.07(a), (b) or (d) hereof may, at the discretion of the Issuer, be subject to the</w:t>
      </w:r>
    </w:p>
    <w:p>
      <w:pPr>
        <w:spacing w:after="0" w:line="92"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2"/>
          <w:szCs w:val="22"/>
          <w:color w:val="auto"/>
        </w:rPr>
        <w:t>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Mandatory Redemption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is not required to make mandatory redemption or sinking fund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61" w:right="239" w:bottom="1440" w:gutter="0" w:footer="0" w:header="0"/>
        </w:sectPr>
      </w:pPr>
    </w:p>
    <w:bookmarkStart w:id="216" w:name="page217"/>
    <w:bookmarkEnd w:id="216"/>
    <w:p>
      <w:pPr>
        <w:spacing w:after="0"/>
        <w:tabs>
          <w:tab w:leader="none" w:pos="12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 shall have the right, at its option, to:</w:t>
      </w:r>
    </w:p>
    <w:p>
      <w:pPr>
        <w:spacing w:after="0" w:line="189" w:lineRule="exact"/>
        <w:rPr>
          <w:sz w:val="20"/>
          <w:szCs w:val="20"/>
          <w:color w:val="auto"/>
        </w:rPr>
      </w:pPr>
    </w:p>
    <w:p>
      <w:pPr>
        <w:ind w:firstLine="656"/>
        <w:spacing w:after="0" w:line="315" w:lineRule="auto"/>
        <w:tabs>
          <w:tab w:leader="none" w:pos="108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59" w:lineRule="exact"/>
        <w:rPr>
          <w:rFonts w:ascii="Arial" w:cs="Arial" w:eastAsia="Arial" w:hAnsi="Arial"/>
          <w:sz w:val="22"/>
          <w:szCs w:val="22"/>
          <w:color w:val="auto"/>
        </w:rPr>
      </w:pPr>
    </w:p>
    <w:p>
      <w:pPr>
        <w:ind w:left="1880" w:hanging="575"/>
        <w:spacing w:after="0"/>
        <w:tabs>
          <w:tab w:leader="none" w:pos="1880"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the termination of the period described above for the Holder or Beneficial Owner to apply for a license,</w:t>
      </w:r>
    </w:p>
    <w:p>
      <w:pPr>
        <w:spacing w:after="0" w:line="69" w:lineRule="exact"/>
        <w:rPr>
          <w:rFonts w:ascii="Arial" w:cs="Arial" w:eastAsia="Arial" w:hAnsi="Arial"/>
          <w:sz w:val="21"/>
          <w:szCs w:val="21"/>
          <w:color w:val="auto"/>
        </w:rPr>
      </w:pPr>
    </w:p>
    <w:p>
      <w:pPr>
        <w:ind w:left="660"/>
        <w:spacing w:after="0" w:line="302" w:lineRule="auto"/>
        <w:rPr>
          <w:rFonts w:ascii="Arial" w:cs="Arial" w:eastAsia="Arial" w:hAnsi="Arial"/>
          <w:sz w:val="21"/>
          <w:szCs w:val="21"/>
          <w:color w:val="auto"/>
        </w:rPr>
      </w:pPr>
      <w:r>
        <w:rPr>
          <w:rFonts w:ascii="Arial" w:cs="Arial" w:eastAsia="Arial" w:hAnsi="Arial"/>
          <w:sz w:val="22"/>
          <w:szCs w:val="22"/>
          <w:color w:val="auto"/>
        </w:rPr>
        <w:t>qualification or finding of suitability if the Holder fails to apply for a license, qualification or finding of suitability during such period; or</w:t>
      </w:r>
    </w:p>
    <w:p>
      <w:pPr>
        <w:spacing w:after="0" w:line="173" w:lineRule="exact"/>
        <w:rPr>
          <w:rFonts w:ascii="Arial" w:cs="Arial" w:eastAsia="Arial" w:hAnsi="Arial"/>
          <w:sz w:val="21"/>
          <w:szCs w:val="21"/>
          <w:color w:val="auto"/>
        </w:rPr>
      </w:pPr>
    </w:p>
    <w:p>
      <w:pPr>
        <w:ind w:left="660" w:right="20" w:firstLine="645"/>
        <w:spacing w:after="0" w:line="315" w:lineRule="auto"/>
        <w:tabs>
          <w:tab w:leader="none" w:pos="1767"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2"/>
          <w:numId w:val="213"/>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73" w:lineRule="exact"/>
        <w:rPr>
          <w:rFonts w:ascii="Arial" w:cs="Arial" w:eastAsia="Arial" w:hAnsi="Arial"/>
          <w:sz w:val="22"/>
          <w:szCs w:val="22"/>
          <w:color w:val="auto"/>
        </w:rPr>
      </w:pPr>
    </w:p>
    <w:p>
      <w:pPr>
        <w:ind w:left="2420" w:hanging="467"/>
        <w:spacing w:after="0"/>
        <w:tabs>
          <w:tab w:leader="none" w:pos="2420" w:val="left"/>
        </w:tabs>
        <w:numPr>
          <w:ilvl w:val="2"/>
          <w:numId w:val="213"/>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in either case, together with accrued and unpaid interest, if any, on the Notes to (but excluding) the earlier of</w:t>
      </w:r>
    </w:p>
    <w:p>
      <w:pPr>
        <w:spacing w:after="0" w:line="79" w:lineRule="exact"/>
        <w:rPr>
          <w:sz w:val="20"/>
          <w:szCs w:val="20"/>
          <w:color w:val="auto"/>
        </w:rPr>
      </w:pPr>
    </w:p>
    <w:p>
      <w:pPr>
        <w:jc w:val="both"/>
        <w:ind w:left="1300" w:firstLine="5"/>
        <w:spacing w:after="0" w:line="288" w:lineRule="auto"/>
        <w:tabs>
          <w:tab w:leader="none" w:pos="155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date of redemption or such earlier date as is required by the Gaming Authority or (ii) the date of the finding of unsuitability by the Gaming Authority, which may be less than 30 days following the notice of redemption. The Issuer shall notify the Trustee in writing of any redemption pursuant to this Section 3.09 as soon as reasonably practicable.</w:t>
      </w:r>
    </w:p>
    <w:p>
      <w:pPr>
        <w:spacing w:after="0" w:line="190" w:lineRule="exact"/>
        <w:rPr>
          <w:sz w:val="20"/>
          <w:szCs w:val="20"/>
          <w:color w:val="auto"/>
        </w:rPr>
      </w:pPr>
    </w:p>
    <w:p>
      <w:pPr>
        <w:ind w:firstLine="648"/>
        <w:spacing w:after="0" w:line="387"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6"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spacing w:after="0"/>
        <w:rPr>
          <w:rFonts w:ascii="Arial" w:cs="Arial" w:eastAsia="Arial" w:hAnsi="Arial"/>
          <w:sz w:val="22"/>
          <w:szCs w:val="22"/>
          <w:color w:val="auto"/>
        </w:rPr>
      </w:pPr>
      <w:r>
        <w:rPr>
          <w:rFonts w:ascii="Arial" w:cs="Arial" w:eastAsia="Arial" w:hAnsi="Arial"/>
          <w:sz w:val="22"/>
          <w:szCs w:val="22"/>
          <w:color w:val="auto"/>
        </w:rPr>
        <w:t>38</w:t>
      </w:r>
    </w:p>
    <w:p>
      <w:pPr>
        <w:sectPr>
          <w:pgSz w:w="11900" w:h="16838" w:orient="portrait"/>
          <w:cols w:equalWidth="0" w:num="1">
            <w:col w:w="11420"/>
          </w:cols>
          <w:pgMar w:left="240" w:top="861" w:right="239" w:bottom="1440" w:gutter="0" w:footer="0" w:header="0"/>
        </w:sectPr>
      </w:pPr>
    </w:p>
    <w:bookmarkStart w:id="217" w:name="page218"/>
    <w:bookmarkEnd w:id="217"/>
    <w:p>
      <w:pPr>
        <w:ind w:firstLine="656"/>
        <w:spacing w:after="0" w:line="315" w:lineRule="auto"/>
        <w:tabs>
          <w:tab w:leader="none" w:pos="1134" w:val="left"/>
        </w:tabs>
        <w:numPr>
          <w:ilvl w:val="0"/>
          <w:numId w:val="216"/>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 for services rendered or otherwise, except the redemption price of the Notes.</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i w:val="1"/>
          <w:iCs w:val="1"/>
          <w:color w:val="auto"/>
        </w:rPr>
        <w:t>Redemption Upon Changes in Withholding Taxes</w:t>
      </w:r>
    </w:p>
    <w:p>
      <w:pPr>
        <w:spacing w:after="0" w:line="274" w:lineRule="exact"/>
        <w:rPr>
          <w:sz w:val="20"/>
          <w:szCs w:val="20"/>
          <w:color w:val="auto"/>
        </w:rPr>
      </w:pPr>
    </w:p>
    <w:p>
      <w:pPr>
        <w:ind w:left="1100" w:hanging="444"/>
        <w:spacing w:after="0"/>
        <w:tabs>
          <w:tab w:leader="none" w:pos="11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 Notes may be redeemed, at the option of the Issuer, as a whole but not in part, upon giving not less than 10 days’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84" w:lineRule="exact"/>
        <w:rPr>
          <w:rFonts w:ascii="Arial" w:cs="Arial" w:eastAsia="Arial" w:hAnsi="Arial"/>
          <w:sz w:val="19"/>
          <w:szCs w:val="19"/>
          <w:color w:val="auto"/>
        </w:rPr>
      </w:pPr>
    </w:p>
    <w:p>
      <w:pPr>
        <w:ind w:left="660" w:firstLine="645"/>
        <w:spacing w:after="0" w:line="315" w:lineRule="auto"/>
        <w:tabs>
          <w:tab w:leader="none" w:pos="1754" w:val="left"/>
        </w:tabs>
        <w:numPr>
          <w:ilvl w:val="1"/>
          <w:numId w:val="217"/>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any change in, or amendment to, an existing official position, or the stating of an official position, regarding the</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application, administration or interpretation of such laws, regulations or rulings (including a holding, judgment or order by a court of competent jurisdiction),</w:t>
      </w:r>
    </w:p>
    <w:p>
      <w:pPr>
        <w:spacing w:after="0" w:line="174" w:lineRule="exact"/>
        <w:rPr>
          <w:sz w:val="20"/>
          <w:szCs w:val="20"/>
          <w:color w:val="auto"/>
        </w:rPr>
      </w:pPr>
    </w:p>
    <w:p>
      <w:pPr>
        <w:jc w:val="both"/>
        <w:ind w:left="660"/>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56" w:lineRule="exact"/>
        <w:rPr>
          <w:sz w:val="20"/>
          <w:szCs w:val="20"/>
          <w:color w:val="auto"/>
        </w:rPr>
      </w:pPr>
    </w:p>
    <w:p>
      <w:pPr>
        <w:ind w:firstLine="656"/>
        <w:spacing w:after="0" w:line="315" w:lineRule="auto"/>
        <w:tabs>
          <w:tab w:leader="none" w:pos="114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Prior to the mailing of any notice of redemption of the Notes pursuant to the foregoing, the Issuer or the Surviving Person, as the case may be, shall deliver to the Trustee:</w:t>
      </w:r>
    </w:p>
    <w:p>
      <w:pPr>
        <w:spacing w:after="0" w:line="159" w:lineRule="exact"/>
        <w:rPr>
          <w:rFonts w:ascii="Arial" w:cs="Arial" w:eastAsia="Arial" w:hAnsi="Arial"/>
          <w:sz w:val="22"/>
          <w:szCs w:val="22"/>
          <w:color w:val="auto"/>
        </w:rPr>
      </w:pPr>
    </w:p>
    <w:p>
      <w:pPr>
        <w:ind w:left="660" w:firstLine="645"/>
        <w:spacing w:after="0" w:line="315" w:lineRule="auto"/>
        <w:tabs>
          <w:tab w:leader="none" w:pos="1767"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61" w:right="239" w:bottom="1440" w:gutter="0" w:footer="0" w:header="0"/>
        </w:sectPr>
      </w:pPr>
    </w:p>
    <w:bookmarkStart w:id="218" w:name="page219"/>
    <w:bookmarkEnd w:id="218"/>
    <w:p>
      <w:pPr>
        <w:ind w:left="660"/>
        <w:spacing w:after="0" w:line="302" w:lineRule="auto"/>
        <w:rPr>
          <w:sz w:val="20"/>
          <w:szCs w:val="20"/>
          <w:color w:val="auto"/>
        </w:rPr>
      </w:pPr>
      <w:r>
        <w:rPr>
          <w:rFonts w:ascii="Arial" w:cs="Arial" w:eastAsia="Arial" w:hAnsi="Arial"/>
          <w:sz w:val="22"/>
          <w:szCs w:val="22"/>
          <w:color w:val="auto"/>
        </w:rPr>
        <w:t>that such requirement cannot be avoided by the Issuer or the Surviving Person, as the case may be, taking reasonable measures available to it; and</w:t>
      </w:r>
    </w:p>
    <w:p>
      <w:pPr>
        <w:spacing w:after="0" w:line="174" w:lineRule="exact"/>
        <w:rPr>
          <w:sz w:val="20"/>
          <w:szCs w:val="20"/>
          <w:color w:val="auto"/>
        </w:rPr>
      </w:pPr>
    </w:p>
    <w:p>
      <w:pPr>
        <w:ind w:left="660" w:firstLine="645"/>
        <w:spacing w:after="0" w:line="315" w:lineRule="auto"/>
        <w:tabs>
          <w:tab w:leader="none" w:pos="1862"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59" w:lineRule="exact"/>
        <w:rPr>
          <w:rFonts w:ascii="Arial" w:cs="Arial" w:eastAsia="Arial" w:hAnsi="Arial"/>
          <w:sz w:val="22"/>
          <w:szCs w:val="22"/>
          <w:color w:val="auto"/>
        </w:rPr>
      </w:pPr>
    </w:p>
    <w:p>
      <w:pPr>
        <w:ind w:firstLine="656"/>
        <w:spacing w:after="0" w:line="315" w:lineRule="auto"/>
        <w:tabs>
          <w:tab w:leader="none" w:pos="1217"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6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4</w:t>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COVENANTS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7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Maintenance of Office or Agency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such designation or rescission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61" w:right="239" w:bottom="1440" w:gutter="0" w:footer="0" w:header="0"/>
        </w:sectPr>
      </w:pPr>
    </w:p>
    <w:bookmarkStart w:id="219" w:name="page220"/>
    <w:bookmarkEnd w:id="219"/>
    <w:p>
      <w:pPr>
        <w:jc w:val="both"/>
        <w:spacing w:after="0" w:line="292" w:lineRule="auto"/>
        <w:rPr>
          <w:sz w:val="20"/>
          <w:szCs w:val="20"/>
          <w:color w:val="auto"/>
        </w:rPr>
      </w:pPr>
      <w:r>
        <w:rPr>
          <w:rFonts w:ascii="Arial" w:cs="Arial" w:eastAsia="Arial" w:hAnsi="Arial"/>
          <w:sz w:val="22"/>
          <w:szCs w:val="22"/>
          <w:color w:val="auto"/>
        </w:rPr>
        <w:t>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hereby designates the Corporate Trust Office of the Trustee as one such office or agency of the Issuer in accordance with Section 2.03 hereof.</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Reports</w:t>
      </w:r>
      <w:r>
        <w:rPr>
          <w:rFonts w:ascii="Arial" w:cs="Arial" w:eastAsia="Arial" w:hAnsi="Arial"/>
          <w:sz w:val="19"/>
          <w:szCs w:val="19"/>
          <w:color w:val="auto"/>
        </w:rPr>
        <w:t>.</w:t>
      </w:r>
    </w:p>
    <w:p>
      <w:pPr>
        <w:spacing w:after="0" w:line="274" w:lineRule="exact"/>
        <w:rPr>
          <w:sz w:val="20"/>
          <w:szCs w:val="20"/>
          <w:color w:val="auto"/>
        </w:rPr>
      </w:pPr>
    </w:p>
    <w:p>
      <w:pPr>
        <w:ind w:left="1760" w:hanging="455"/>
        <w:spacing w:after="0"/>
        <w:tabs>
          <w:tab w:leader="none" w:pos="176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As long as any Notes are outstanding and the ordinary shares of the Issuer are listed on The Stock Exchange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Hong Kong Limited (the “</w:t>
      </w:r>
      <w:r>
        <w:rPr>
          <w:rFonts w:ascii="Arial" w:cs="Arial" w:eastAsia="Arial" w:hAnsi="Arial"/>
          <w:sz w:val="22"/>
          <w:szCs w:val="22"/>
          <w:i w:val="1"/>
          <w:iCs w:val="1"/>
          <w:color w:val="auto"/>
        </w:rPr>
        <w:t>HKSE</w:t>
      </w:r>
      <w:r>
        <w:rPr>
          <w:rFonts w:ascii="Arial" w:cs="Arial" w:eastAsia="Arial" w:hAnsi="Arial"/>
          <w:sz w:val="22"/>
          <w:szCs w:val="22"/>
          <w:color w:val="auto"/>
        </w:rPr>
        <w:t>”) or another internationally recognized stock exchange, the Issuer will file with the Trustee and furnish to the Holders upon request, within 10 days after they are filed with such exchange, true and correct copies of all financial and other reports in the English language filed with such exchange.</w:t>
      </w:r>
    </w:p>
    <w:p>
      <w:pPr>
        <w:spacing w:after="0" w:line="184" w:lineRule="exact"/>
        <w:rPr>
          <w:rFonts w:ascii="Arial" w:cs="Arial" w:eastAsia="Arial" w:hAnsi="Arial"/>
          <w:sz w:val="19"/>
          <w:szCs w:val="19"/>
          <w:color w:val="auto"/>
        </w:rPr>
      </w:pPr>
    </w:p>
    <w:p>
      <w:pPr>
        <w:ind w:left="660" w:right="20" w:firstLine="645"/>
        <w:spacing w:after="0" w:line="315" w:lineRule="auto"/>
        <w:tabs>
          <w:tab w:leader="none" w:pos="1808" w:val="left"/>
        </w:tabs>
        <w:numPr>
          <w:ilvl w:val="1"/>
          <w:numId w:val="221"/>
        </w:numPr>
        <w:rPr>
          <w:rFonts w:ascii="Arial" w:cs="Arial" w:eastAsia="Arial" w:hAnsi="Arial"/>
          <w:sz w:val="22"/>
          <w:szCs w:val="22"/>
          <w:color w:val="auto"/>
        </w:rPr>
      </w:pPr>
      <w:r>
        <w:rPr>
          <w:rFonts w:ascii="Arial" w:cs="Arial" w:eastAsia="Arial" w:hAnsi="Arial"/>
          <w:sz w:val="22"/>
          <w:szCs w:val="22"/>
          <w:color w:val="auto"/>
        </w:rPr>
        <w:t>If at any time Notes are outstanding and the ordinary shares of the Issuer are not listed on an internationally recognized stock exchange, the Issuer will file with the Trustee:</w:t>
      </w:r>
    </w:p>
    <w:p>
      <w:pPr>
        <w:spacing w:after="0" w:line="159" w:lineRule="exact"/>
        <w:rPr>
          <w:rFonts w:ascii="Arial" w:cs="Arial" w:eastAsia="Arial" w:hAnsi="Arial"/>
          <w:sz w:val="22"/>
          <w:szCs w:val="22"/>
          <w:color w:val="auto"/>
        </w:rPr>
      </w:pPr>
    </w:p>
    <w:p>
      <w:pPr>
        <w:ind w:left="2400" w:hanging="447"/>
        <w:spacing w:after="0"/>
        <w:tabs>
          <w:tab w:leader="none" w:pos="2400" w:val="left"/>
        </w:tabs>
        <w:numPr>
          <w:ilvl w:val="2"/>
          <w:numId w:val="221"/>
        </w:numPr>
        <w:rPr>
          <w:rFonts w:ascii="Arial" w:cs="Arial" w:eastAsia="Arial" w:hAnsi="Arial"/>
          <w:sz w:val="19"/>
          <w:szCs w:val="19"/>
          <w:color w:val="auto"/>
        </w:rPr>
      </w:pPr>
      <w:r>
        <w:rPr>
          <w:rFonts w:ascii="Arial" w:cs="Arial" w:eastAsia="Arial" w:hAnsi="Arial"/>
          <w:sz w:val="19"/>
          <w:szCs w:val="19"/>
          <w:color w:val="auto"/>
        </w:rPr>
        <w:t>within 120 days after the end of each fiscal year, an annual report in a form substantially similar to the</w:t>
      </w:r>
    </w:p>
    <w:p>
      <w:pPr>
        <w:spacing w:after="0" w:line="92" w:lineRule="exact"/>
        <w:rPr>
          <w:rFonts w:ascii="Arial" w:cs="Arial" w:eastAsia="Arial" w:hAnsi="Arial"/>
          <w:sz w:val="19"/>
          <w:szCs w:val="19"/>
          <w:color w:val="auto"/>
        </w:rPr>
      </w:pPr>
    </w:p>
    <w:p>
      <w:pPr>
        <w:jc w:val="both"/>
        <w:ind w:left="660"/>
        <w:spacing w:after="0" w:line="306" w:lineRule="auto"/>
        <w:rPr>
          <w:rFonts w:ascii="Arial" w:cs="Arial" w:eastAsia="Arial" w:hAnsi="Arial"/>
          <w:sz w:val="19"/>
          <w:szCs w:val="19"/>
          <w:color w:val="auto"/>
        </w:rPr>
      </w:pPr>
      <w:r>
        <w:rPr>
          <w:rFonts w:ascii="Arial" w:cs="Arial" w:eastAsia="Arial" w:hAnsi="Arial"/>
          <w:sz w:val="21"/>
          <w:szCs w:val="21"/>
          <w:color w:val="auto"/>
        </w:rPr>
        <w:t>Issuer’s annual report for the year ended December 31, 2016 filed with the HKSE, including (A) a “Management Discussion and Analysis” of financial condition and results of operations and (B) consolidated financial statements (including statements of comprehensive income, financial position, changes in equity and cash flows) prepared in accordance with IFRS and audited by an internationally recognized firm of independent accountants; and</w:t>
      </w:r>
    </w:p>
    <w:p>
      <w:pPr>
        <w:spacing w:after="0" w:line="172" w:lineRule="exact"/>
        <w:rPr>
          <w:rFonts w:ascii="Arial" w:cs="Arial" w:eastAsia="Arial" w:hAnsi="Arial"/>
          <w:sz w:val="19"/>
          <w:szCs w:val="19"/>
          <w:color w:val="auto"/>
        </w:rPr>
      </w:pPr>
    </w:p>
    <w:p>
      <w:pPr>
        <w:jc w:val="both"/>
        <w:ind w:left="660" w:firstLine="1293"/>
        <w:spacing w:after="0" w:line="333" w:lineRule="auto"/>
        <w:tabs>
          <w:tab w:leader="none" w:pos="2456" w:val="left"/>
        </w:tabs>
        <w:numPr>
          <w:ilvl w:val="2"/>
          <w:numId w:val="221"/>
        </w:numPr>
        <w:rPr>
          <w:rFonts w:ascii="Arial" w:cs="Arial" w:eastAsia="Arial" w:hAnsi="Arial"/>
          <w:sz w:val="19"/>
          <w:szCs w:val="19"/>
          <w:color w:val="auto"/>
        </w:rPr>
      </w:pPr>
      <w:r>
        <w:rPr>
          <w:rFonts w:ascii="Arial" w:cs="Arial" w:eastAsia="Arial" w:hAnsi="Arial"/>
          <w:sz w:val="19"/>
          <w:szCs w:val="19"/>
          <w:color w:val="auto"/>
        </w:rPr>
        <w:t>within 90 days after the end of the second quarter of each fiscal year, a semi-annual report in a form substantially similar to the Issuer’s interim report for the six months ended June 30, 2017 filed with the HKSE, including</w:t>
      </w:r>
    </w:p>
    <w:p>
      <w:pPr>
        <w:spacing w:after="0" w:line="1" w:lineRule="exact"/>
        <w:rPr>
          <w:rFonts w:ascii="Arial" w:cs="Arial" w:eastAsia="Arial" w:hAnsi="Arial"/>
          <w:sz w:val="19"/>
          <w:szCs w:val="19"/>
          <w:color w:val="auto"/>
        </w:rPr>
      </w:pPr>
    </w:p>
    <w:p>
      <w:pPr>
        <w:jc w:val="both"/>
        <w:ind w:left="660" w:hanging="4"/>
        <w:spacing w:after="0" w:line="346" w:lineRule="auto"/>
        <w:tabs>
          <w:tab w:leader="none" w:pos="102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144" w:lineRule="exact"/>
        <w:rPr>
          <w:rFonts w:ascii="Arial" w:cs="Arial" w:eastAsia="Arial" w:hAnsi="Arial"/>
          <w:sz w:val="19"/>
          <w:szCs w:val="19"/>
          <w:color w:val="auto"/>
        </w:rPr>
      </w:pPr>
    </w:p>
    <w:p>
      <w:pPr>
        <w:ind w:left="1760" w:hanging="455"/>
        <w:spacing w:after="0"/>
        <w:tabs>
          <w:tab w:leader="none" w:pos="176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If at any time Notes are outstanding and the common stock of Wynn Resorts is not listed on the Nasdaq Global</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61" w:right="239" w:bottom="1440" w:gutter="0" w:footer="0" w:header="0"/>
        </w:sectPr>
      </w:pPr>
    </w:p>
    <w:bookmarkStart w:id="220" w:name="page221"/>
    <w:bookmarkEnd w:id="220"/>
    <w:p>
      <w:pPr>
        <w:ind w:left="1740" w:hanging="435"/>
        <w:spacing w:after="0"/>
        <w:tabs>
          <w:tab w:leader="none" w:pos="17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If the Issuer is required to file any reports under Section 4.03(2) or (3) hereof, the Issuer will also:</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84" w:lineRule="exact"/>
        <w:rPr>
          <w:rFonts w:ascii="Arial" w:cs="Arial" w:eastAsia="Arial" w:hAnsi="Arial"/>
          <w:sz w:val="19"/>
          <w:szCs w:val="19"/>
          <w:color w:val="auto"/>
        </w:rPr>
      </w:pPr>
    </w:p>
    <w:p>
      <w:pPr>
        <w:ind w:left="2460" w:hanging="507"/>
        <w:spacing w:after="0"/>
        <w:tabs>
          <w:tab w:leader="none" w:pos="246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prior to the date of the conference call required to be held in accordance with Section 4.03(4)(b)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90" w:lineRule="exact"/>
        <w:rPr>
          <w:rFonts w:ascii="Arial" w:cs="Arial" w:eastAsia="Arial" w:hAnsi="Arial"/>
          <w:sz w:val="19"/>
          <w:szCs w:val="19"/>
          <w:color w:val="auto"/>
        </w:rPr>
      </w:pPr>
    </w:p>
    <w:p>
      <w:pPr>
        <w:ind w:left="2440" w:hanging="487"/>
        <w:spacing w:after="0"/>
        <w:tabs>
          <w:tab w:leader="none" w:pos="244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maintain a website to which noteholders, prospective investors, broker-dealers and securities analysts</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are given access and to which the reports and press releases required by Sections Section 4.03(2), (3), (4)(a) and (4)(b) hereof are posted within the time periods required.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During any period in which the Issuer is neither subject to Section 13 or 15(d) of the Exchange Act, nor exempt</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from reporting pursuant to Rule 12g3-2(b) thereunder, the Issuer shall provide to (i) any Holder or Beneficial Owner of a Note or (ii) 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90" w:lineRule="exact"/>
        <w:rPr>
          <w:rFonts w:ascii="Arial" w:cs="Arial" w:eastAsia="Arial" w:hAnsi="Arial"/>
          <w:sz w:val="19"/>
          <w:szCs w:val="19"/>
          <w:color w:val="auto"/>
        </w:rPr>
      </w:pPr>
    </w:p>
    <w:p>
      <w:pPr>
        <w:ind w:left="1920" w:hanging="615"/>
        <w:spacing w:after="0"/>
        <w:tabs>
          <w:tab w:leader="none" w:pos="192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Delivery of the reports, information and documents described in this Section 4.03 to the Trustee is for</w:t>
      </w:r>
    </w:p>
    <w:p>
      <w:pPr>
        <w:spacing w:after="0" w:line="69" w:lineRule="exact"/>
        <w:rPr>
          <w:rFonts w:ascii="Arial" w:cs="Arial" w:eastAsia="Arial" w:hAnsi="Arial"/>
          <w:sz w:val="21"/>
          <w:szCs w:val="21"/>
          <w:color w:val="auto"/>
        </w:rPr>
      </w:pPr>
    </w:p>
    <w:p>
      <w:pPr>
        <w:jc w:val="both"/>
        <w:ind w:left="660"/>
        <w:spacing w:after="0" w:line="287" w:lineRule="auto"/>
        <w:rPr>
          <w:rFonts w:ascii="Arial" w:cs="Arial" w:eastAsia="Arial" w:hAnsi="Arial"/>
          <w:sz w:val="21"/>
          <w:szCs w:val="21"/>
          <w:color w:val="auto"/>
        </w:rPr>
      </w:pPr>
      <w:r>
        <w:rPr>
          <w:rFonts w:ascii="Arial" w:cs="Arial" w:eastAsia="Arial" w:hAnsi="Arial"/>
          <w:sz w:val="22"/>
          <w:szCs w:val="22"/>
          <w:color w:val="auto"/>
        </w:rPr>
        <w:t>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 responsibility to determine if reports have been provided to Holders or if the Issuer has complied with the obligations set forth in this Section 4.03.</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274" w:lineRule="exact"/>
        <w:rPr>
          <w:sz w:val="20"/>
          <w:szCs w:val="20"/>
          <w:color w:val="auto"/>
        </w:rPr>
      </w:pPr>
    </w:p>
    <w:p>
      <w:pPr>
        <w:ind w:left="1100" w:hanging="444"/>
        <w:spacing w:after="0"/>
        <w:tabs>
          <w:tab w:leader="none" w:pos="110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Issuer shall deliver to the Trustee, within 90 days after the end of each fiscal year, an Officer’s Certificate stating</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that a review of the activities of the Issuer and its Subsidiaries during the preceding fiscal year has been made under the supervision of the signing Officer with a view to determining whether the Issuer has kept, observed, performed and fulfilled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61" w:right="239" w:bottom="1440" w:gutter="0" w:footer="0" w:header="0"/>
        </w:sectPr>
      </w:pPr>
    </w:p>
    <w:bookmarkStart w:id="221" w:name="page222"/>
    <w:bookmarkEnd w:id="221"/>
    <w:p>
      <w:pPr>
        <w:jc w:val="both"/>
        <w:spacing w:after="0" w:line="284" w:lineRule="auto"/>
        <w:rPr>
          <w:sz w:val="20"/>
          <w:szCs w:val="20"/>
          <w:color w:val="auto"/>
        </w:rPr>
      </w:pPr>
      <w:r>
        <w:rPr>
          <w:rFonts w:ascii="Arial" w:cs="Arial" w:eastAsia="Arial" w:hAnsi="Arial"/>
          <w:sz w:val="22"/>
          <w:szCs w:val="22"/>
          <w:color w:val="auto"/>
        </w:rPr>
        <w:t>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98" w:lineRule="exact"/>
        <w:rPr>
          <w:sz w:val="20"/>
          <w:szCs w:val="20"/>
          <w:color w:val="auto"/>
        </w:rPr>
      </w:pPr>
    </w:p>
    <w:p>
      <w:pPr>
        <w:ind w:left="1280" w:hanging="624"/>
        <w:spacing w:after="0"/>
        <w:tabs>
          <w:tab w:leader="none" w:pos="128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Hong Kong Institute of Certified Public</w:t>
      </w:r>
    </w:p>
    <w:p>
      <w:pPr>
        <w:spacing w:after="0" w:line="69" w:lineRule="exact"/>
        <w:rPr>
          <w:rFonts w:ascii="Arial" w:cs="Arial" w:eastAsia="Arial" w:hAnsi="Arial"/>
          <w:sz w:val="21"/>
          <w:szCs w:val="21"/>
          <w:color w:val="auto"/>
        </w:rPr>
      </w:pPr>
    </w:p>
    <w:p>
      <w:pPr>
        <w:jc w:val="both"/>
        <w:spacing w:after="0" w:line="301" w:lineRule="auto"/>
        <w:rPr>
          <w:rFonts w:ascii="Arial" w:cs="Arial" w:eastAsia="Arial" w:hAnsi="Arial"/>
          <w:sz w:val="21"/>
          <w:szCs w:val="21"/>
          <w:color w:val="auto"/>
        </w:rPr>
      </w:pPr>
      <w:r>
        <w:rPr>
          <w:rFonts w:ascii="Arial" w:cs="Arial" w:eastAsia="Arial" w:hAnsi="Arial"/>
          <w:sz w:val="21"/>
          <w:szCs w:val="21"/>
          <w:color w:val="auto"/>
        </w:rPr>
        <w:t>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1" w:lineRule="exact"/>
        <w:rPr>
          <w:rFonts w:ascii="Arial" w:cs="Arial" w:eastAsia="Arial" w:hAnsi="Arial"/>
          <w:sz w:val="21"/>
          <w:szCs w:val="21"/>
          <w:color w:val="auto"/>
        </w:rPr>
      </w:pPr>
    </w:p>
    <w:p>
      <w:pPr>
        <w:ind w:left="1220" w:hanging="564"/>
        <w:spacing w:after="0"/>
        <w:tabs>
          <w:tab w:leader="none" w:pos="122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So long as any of the Notes are outstanding, the Issuer shall deliver to the Trustee, forthwith upon any Officer</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becoming aware of any Default or Event of Default, an Officer’s Certificate specifying such Default or Event of Default and what action the Issuer is taking or proposes to take with respect thereto.</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7"/>
          <w:szCs w:val="17"/>
          <w:i w:val="1"/>
          <w:iCs w:val="1"/>
          <w:color w:val="auto"/>
        </w:rPr>
        <w:t>Taxes</w:t>
      </w:r>
      <w:r>
        <w:rPr>
          <w:rFonts w:ascii="Arial" w:cs="Arial" w:eastAsia="Arial" w:hAnsi="Arial"/>
          <w:sz w:val="17"/>
          <w:szCs w:val="17"/>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61" w:right="239" w:bottom="1440" w:gutter="0" w:footer="0" w:header="0"/>
        </w:sectPr>
      </w:pPr>
    </w:p>
    <w:bookmarkStart w:id="222" w:name="page223"/>
    <w:bookmarkEnd w:id="222"/>
    <w:p>
      <w:pPr>
        <w:spacing w:after="0"/>
        <w:tabs>
          <w:tab w:leader="none" w:pos="12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Corporate and Organizational Existence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Article 5 hereof, the Issuer shall do or cause to be done all things necessary to preserve and keep in full force and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60" w:lineRule="exact"/>
        <w:rPr>
          <w:sz w:val="20"/>
          <w:szCs w:val="20"/>
          <w:color w:val="auto"/>
        </w:rPr>
      </w:pPr>
    </w:p>
    <w:p>
      <w:pPr>
        <w:ind w:left="1160" w:hanging="504"/>
        <w:spacing w:after="0"/>
        <w:tabs>
          <w:tab w:leader="none" w:pos="11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Significant Subsidiaries, in accordance with their respective organizational documents (as the same may be amended from time to time); and</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the rights (charter and statutory), licenses and franchises of the Issuer and its Subsidiaries;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Offer to Purchase Upon Change of Control Triggering Event</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Upon the occurrence of a Change of Control Triggering Event, the Issuer shall make an offer (a “</w:t>
      </w:r>
      <w:r>
        <w:rPr>
          <w:rFonts w:ascii="Arial" w:cs="Arial" w:eastAsia="Arial" w:hAnsi="Arial"/>
          <w:sz w:val="19"/>
          <w:szCs w:val="19"/>
          <w:i w:val="1"/>
          <w:iCs w:val="1"/>
          <w:color w:val="auto"/>
        </w:rPr>
        <w:t>Change of Control</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i w:val="1"/>
          <w:iCs w:val="1"/>
          <w:color w:val="auto"/>
        </w:rPr>
        <w:t>Offer</w:t>
      </w:r>
      <w:r>
        <w:rPr>
          <w:rFonts w:ascii="Arial" w:cs="Arial" w:eastAsia="Arial" w:hAnsi="Arial"/>
          <w:sz w:val="19"/>
          <w:szCs w:val="19"/>
          <w:color w:val="auto"/>
        </w:rPr>
        <w:t>”) to each Holder to repurchase all or any part (equal to US$200,000 or an integral multiple of US$1,000 in excess of</w:t>
      </w:r>
      <w:r>
        <w:rPr>
          <w:rFonts w:ascii="Arial" w:cs="Arial" w:eastAsia="Arial" w:hAnsi="Arial"/>
          <w:sz w:val="19"/>
          <w:szCs w:val="19"/>
          <w:i w:val="1"/>
          <w:iCs w:val="1"/>
          <w:color w:val="auto"/>
        </w:rPr>
        <w:t xml:space="preserve"> </w:t>
      </w:r>
      <w:r>
        <w:rPr>
          <w:rFonts w:ascii="Arial" w:cs="Arial" w:eastAsia="Arial" w:hAnsi="Arial"/>
          <w:sz w:val="19"/>
          <w:szCs w:val="19"/>
          <w:color w:val="auto"/>
        </w:rPr>
        <w:t>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Within ten days following any Change of Control Triggering Event, the Issuer shall mail a notice to each Holder (with a copy to the Trustee) describing the transaction or transactions that constitute the Change of Control Triggering Event and stating:</w:t>
      </w:r>
    </w:p>
    <w:p>
      <w:pPr>
        <w:spacing w:after="0" w:line="154" w:lineRule="exact"/>
        <w:rPr>
          <w:rFonts w:ascii="Arial" w:cs="Arial" w:eastAsia="Arial" w:hAnsi="Arial"/>
          <w:sz w:val="19"/>
          <w:szCs w:val="19"/>
          <w:color w:val="auto"/>
        </w:rPr>
      </w:pPr>
    </w:p>
    <w:p>
      <w:pPr>
        <w:ind w:left="660" w:right="20" w:firstLine="645"/>
        <w:spacing w:after="0" w:line="315" w:lineRule="auto"/>
        <w:tabs>
          <w:tab w:leader="none" w:pos="1781"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tendered shall be accepted for payment;</w:t>
      </w:r>
    </w:p>
    <w:p>
      <w:pPr>
        <w:spacing w:after="0" w:line="159" w:lineRule="exact"/>
        <w:rPr>
          <w:rFonts w:ascii="Arial" w:cs="Arial" w:eastAsia="Arial" w:hAnsi="Arial"/>
          <w:sz w:val="22"/>
          <w:szCs w:val="22"/>
          <w:color w:val="auto"/>
        </w:rPr>
      </w:pPr>
    </w:p>
    <w:p>
      <w:pPr>
        <w:ind w:left="660" w:right="20" w:firstLine="645"/>
        <w:spacing w:after="0" w:line="315" w:lineRule="auto"/>
        <w:tabs>
          <w:tab w:leader="none" w:pos="1754"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10 days and no later than 60 days from the date such notice is mailed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73" w:lineRule="exact"/>
        <w:rPr>
          <w:rFonts w:ascii="Arial" w:cs="Arial" w:eastAsia="Arial" w:hAnsi="Arial"/>
          <w:sz w:val="22"/>
          <w:szCs w:val="22"/>
          <w:color w:val="auto"/>
        </w:rPr>
      </w:pPr>
    </w:p>
    <w:p>
      <w:pPr>
        <w:ind w:left="660" w:firstLine="645"/>
        <w:spacing w:after="0" w:line="402" w:lineRule="auto"/>
        <w:tabs>
          <w:tab w:leader="none" w:pos="1875"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91" w:lineRule="exact"/>
        <w:rPr>
          <w:rFonts w:ascii="Arial" w:cs="Arial" w:eastAsia="Arial" w:hAnsi="Arial"/>
          <w:sz w:val="19"/>
          <w:szCs w:val="19"/>
          <w:color w:val="auto"/>
        </w:rPr>
      </w:pPr>
    </w:p>
    <w:p>
      <w:pPr>
        <w:ind w:left="660" w:firstLine="645"/>
        <w:spacing w:after="0" w:line="315" w:lineRule="auto"/>
        <w:tabs>
          <w:tab w:leader="none" w:pos="1781"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61" w:right="239" w:bottom="1440" w:gutter="0" w:footer="0" w:header="0"/>
        </w:sectPr>
      </w:pPr>
    </w:p>
    <w:bookmarkStart w:id="223" w:name="page224"/>
    <w:bookmarkEnd w:id="223"/>
    <w:p>
      <w:pPr>
        <w:jc w:val="both"/>
        <w:ind w:left="660"/>
        <w:spacing w:after="0" w:line="292" w:lineRule="auto"/>
        <w:rPr>
          <w:sz w:val="20"/>
          <w:szCs w:val="20"/>
          <w:color w:val="auto"/>
        </w:rPr>
      </w:pPr>
      <w:r>
        <w:rPr>
          <w:rFonts w:ascii="Arial" w:cs="Arial" w:eastAsia="Arial" w:hAnsi="Arial"/>
          <w:sz w:val="22"/>
          <w:szCs w:val="22"/>
          <w:color w:val="auto"/>
        </w:rPr>
        <w:t>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4" w:lineRule="exact"/>
        <w:rPr>
          <w:sz w:val="20"/>
          <w:szCs w:val="20"/>
          <w:color w:val="auto"/>
        </w:rPr>
      </w:pPr>
    </w:p>
    <w:p>
      <w:pPr>
        <w:ind w:left="1760" w:hanging="455"/>
        <w:spacing w:after="0"/>
        <w:tabs>
          <w:tab w:leader="none" w:pos="17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that Holders shall be entitled to withdraw their election if the Paying Agent receives, not later than the close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84" w:lineRule="exact"/>
        <w:rPr>
          <w:rFonts w:ascii="Arial" w:cs="Arial" w:eastAsia="Arial" w:hAnsi="Arial"/>
          <w:sz w:val="19"/>
          <w:szCs w:val="19"/>
          <w:color w:val="auto"/>
        </w:rPr>
      </w:pPr>
    </w:p>
    <w:p>
      <w:pPr>
        <w:ind w:left="1740" w:hanging="435"/>
        <w:spacing w:after="0"/>
        <w:tabs>
          <w:tab w:leader="none" w:pos="174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shall be issued new Notes equal in principal amount</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to the unpurchased portion of the Notes surrendered, which unpurchased portion must be equal to US$200,000 or in integral multiples of US$1,000 in excess of US$200,000.</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To the extent that the provisions of any applicable securities laws or regulations conflict with the provisions of this Section 4.08 and Section 4.10, the Issuer shall comply with the applicable securities laws and regulations and shall not be deemed to have breached its obligations under this Section 4.08 by virtue of such compliance.</w:t>
      </w:r>
    </w:p>
    <w:p>
      <w:pPr>
        <w:spacing w:after="0" w:line="184" w:lineRule="exact"/>
        <w:rPr>
          <w:sz w:val="20"/>
          <w:szCs w:val="20"/>
          <w:color w:val="auto"/>
        </w:rPr>
      </w:pPr>
    </w:p>
    <w:p>
      <w:pPr>
        <w:ind w:left="1080" w:hanging="424"/>
        <w:spacing w:after="0"/>
        <w:tabs>
          <w:tab w:leader="none" w:pos="108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On the Change of Control Payment Date, the Issuer shall, to the extent lawful:</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308" w:lineRule="exact"/>
        <w:rPr>
          <w:rFonts w:ascii="Arial" w:cs="Arial" w:eastAsia="Arial" w:hAnsi="Arial"/>
          <w:sz w:val="19"/>
          <w:szCs w:val="19"/>
          <w:color w:val="auto"/>
        </w:rPr>
      </w:pPr>
    </w:p>
    <w:p>
      <w:pPr>
        <w:ind w:left="660" w:firstLine="645"/>
        <w:spacing w:after="0" w:line="315" w:lineRule="auto"/>
        <w:tabs>
          <w:tab w:leader="none" w:pos="1794" w:val="left"/>
        </w:tabs>
        <w:numPr>
          <w:ilvl w:val="1"/>
          <w:numId w:val="22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59" w:lineRule="exact"/>
        <w:rPr>
          <w:rFonts w:ascii="Arial" w:cs="Arial" w:eastAsia="Arial" w:hAnsi="Arial"/>
          <w:sz w:val="22"/>
          <w:szCs w:val="22"/>
          <w:color w:val="auto"/>
        </w:rPr>
      </w:pPr>
    </w:p>
    <w:p>
      <w:pPr>
        <w:ind w:left="660" w:firstLine="645"/>
        <w:spacing w:after="0" w:line="341" w:lineRule="auto"/>
        <w:tabs>
          <w:tab w:leader="none" w:pos="1740" w:val="left"/>
        </w:tabs>
        <w:numPr>
          <w:ilvl w:val="1"/>
          <w:numId w:val="229"/>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38"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49" w:lineRule="exact"/>
        <w:rPr>
          <w:sz w:val="20"/>
          <w:szCs w:val="20"/>
          <w:color w:val="auto"/>
        </w:rPr>
      </w:pPr>
    </w:p>
    <w:p>
      <w:pPr>
        <w:ind w:left="1140" w:hanging="484"/>
        <w:spacing w:after="0"/>
        <w:tabs>
          <w:tab w:leader="none" w:pos="114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4.08, the Issuer shall not be required to make a Change of</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Control Offer upon a Change of Control Triggering Event if (1) a third party makes the Change of Control Offer in the manner, at the times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61" w:right="239" w:bottom="1440" w:gutter="0" w:footer="0" w:header="0"/>
        </w:sectPr>
      </w:pPr>
    </w:p>
    <w:bookmarkStart w:id="224" w:name="page225"/>
    <w:bookmarkEnd w:id="224"/>
    <w:p>
      <w:pPr>
        <w:jc w:val="both"/>
        <w:spacing w:after="0" w:line="292" w:lineRule="auto"/>
        <w:rPr>
          <w:sz w:val="20"/>
          <w:szCs w:val="20"/>
          <w:color w:val="auto"/>
        </w:rPr>
      </w:pPr>
      <w:r>
        <w:rPr>
          <w:rFonts w:ascii="Arial" w:cs="Arial" w:eastAsia="Arial" w:hAnsi="Arial"/>
          <w:sz w:val="22"/>
          <w:szCs w:val="22"/>
          <w:color w:val="auto"/>
        </w:rPr>
        <w:t>in compliance with the requirements set forth in this Section 4.08 and purchases all Notes validly tendered and not withdrawn under the Change of Control Offer or (2) a notice of redemption has been given pursuant to Section 3.07, 3.09 or 3.10 hereof, unless and until there is a default in payment of the applicable redemption price.</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Additional Amounts</w:t>
      </w:r>
      <w:r>
        <w:rPr>
          <w:rFonts w:ascii="Arial" w:cs="Arial" w:eastAsia="Arial" w:hAnsi="Arial"/>
          <w:sz w:val="19"/>
          <w:szCs w:val="19"/>
          <w:color w:val="auto"/>
        </w:rPr>
        <w:t>.</w:t>
      </w:r>
    </w:p>
    <w:p>
      <w:pPr>
        <w:spacing w:after="0" w:line="274" w:lineRule="exact"/>
        <w:rPr>
          <w:sz w:val="20"/>
          <w:szCs w:val="20"/>
          <w:color w:val="auto"/>
        </w:rPr>
      </w:pPr>
    </w:p>
    <w:p>
      <w:pPr>
        <w:ind w:left="1100" w:hanging="444"/>
        <w:spacing w:after="0"/>
        <w:tabs>
          <w:tab w:leader="none" w:pos="11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All payments by or on behalf of the Issuer or the surviving entity described under Section 5.01 hereof (the “</w:t>
      </w:r>
      <w:r>
        <w:rPr>
          <w:rFonts w:ascii="Arial" w:cs="Arial" w:eastAsia="Arial" w:hAnsi="Arial"/>
          <w:sz w:val="19"/>
          <w:szCs w:val="19"/>
          <w:i w:val="1"/>
          <w:iCs w:val="1"/>
          <w:color w:val="auto"/>
        </w:rPr>
        <w:t>Surviving</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i w:val="1"/>
          <w:iCs w:val="1"/>
          <w:color w:val="auto"/>
        </w:rPr>
        <w:t>Person</w:t>
      </w:r>
      <w:r>
        <w:rPr>
          <w:rFonts w:ascii="Arial" w:cs="Arial" w:eastAsia="Arial" w:hAnsi="Arial"/>
          <w:sz w:val="19"/>
          <w:szCs w:val="19"/>
          <w:color w:val="auto"/>
        </w:rPr>
        <w:t>”) under or with respect to (including any principal of, and premium (if any) and interest on) the Notes shall be made</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withholding or deduction for, or on account of, any present or future taxes, duties, assessments or governmental charges (including, without limitation, penalties, interest and other similar liabilities related thereto) of whatever nature (“</w:t>
      </w:r>
      <w:r>
        <w:rPr>
          <w:rFonts w:ascii="Arial" w:cs="Arial" w:eastAsia="Arial" w:hAnsi="Arial"/>
          <w:sz w:val="19"/>
          <w:szCs w:val="19"/>
          <w:i w:val="1"/>
          <w:iCs w:val="1"/>
          <w:color w:val="auto"/>
        </w:rPr>
        <w:t>Taxes</w:t>
      </w:r>
      <w:r>
        <w:rPr>
          <w:rFonts w:ascii="Arial" w:cs="Arial" w:eastAsia="Arial" w:hAnsi="Arial"/>
          <w:sz w:val="19"/>
          <w:szCs w:val="19"/>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Arial" w:cs="Arial" w:eastAsia="Arial" w:hAnsi="Arial"/>
          <w:sz w:val="19"/>
          <w:szCs w:val="19"/>
          <w:i w:val="1"/>
          <w:iCs w:val="1"/>
          <w:color w:val="auto"/>
        </w:rPr>
        <w:t>Relevant Jurisdiction</w:t>
      </w:r>
      <w:r>
        <w:rPr>
          <w:rFonts w:ascii="Arial" w:cs="Arial" w:eastAsia="Arial" w:hAnsi="Arial"/>
          <w:sz w:val="19"/>
          <w:szCs w:val="19"/>
          <w:color w:val="auto"/>
        </w:rPr>
        <w:t>”), unless such withholding or deduction is required by law or by regulation or governmental policy having the force of law.</w:t>
      </w:r>
    </w:p>
    <w:p>
      <w:pPr>
        <w:spacing w:after="0" w:line="154" w:lineRule="exact"/>
        <w:rPr>
          <w:rFonts w:ascii="Arial" w:cs="Arial" w:eastAsia="Arial" w:hAnsi="Arial"/>
          <w:sz w:val="19"/>
          <w:szCs w:val="19"/>
          <w:color w:val="auto"/>
        </w:rPr>
      </w:pPr>
    </w:p>
    <w:p>
      <w:pPr>
        <w:ind w:left="1100" w:hanging="444"/>
        <w:spacing w:after="0"/>
        <w:tabs>
          <w:tab w:leader="none" w:pos="11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In the event that any such withholding or deduction is so required, the Issuer or the Surviving Person, as the case may</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be, shall make such withholding or deduction, make payment of the amount so withheld or deducted to the appropriate governmental authority as required by applicable law and pay such additional amounts (“</w:t>
      </w:r>
      <w:r>
        <w:rPr>
          <w:rFonts w:ascii="Arial" w:cs="Arial" w:eastAsia="Arial" w:hAnsi="Arial"/>
          <w:sz w:val="22"/>
          <w:szCs w:val="22"/>
          <w:i w:val="1"/>
          <w:iCs w:val="1"/>
          <w:color w:val="auto"/>
        </w:rPr>
        <w:t>Additional Amounts</w:t>
      </w:r>
      <w:r>
        <w:rPr>
          <w:rFonts w:ascii="Arial" w:cs="Arial" w:eastAsia="Arial" w:hAnsi="Arial"/>
          <w:sz w:val="22"/>
          <w:szCs w:val="22"/>
          <w:color w:val="auto"/>
        </w:rPr>
        <w:t>”) as shall result in receipt of such amounts that would have been received had no such withholding or deduction been required, provided that no Additional Amounts shall be payable with respect to any Note:</w:t>
      </w:r>
    </w:p>
    <w:p>
      <w:pPr>
        <w:spacing w:after="0" w:line="190" w:lineRule="exact"/>
        <w:rPr>
          <w:rFonts w:ascii="Arial" w:cs="Arial" w:eastAsia="Arial" w:hAnsi="Arial"/>
          <w:sz w:val="19"/>
          <w:szCs w:val="19"/>
          <w:color w:val="auto"/>
        </w:rPr>
      </w:pPr>
    </w:p>
    <w:p>
      <w:pPr>
        <w:ind w:left="1740" w:hanging="435"/>
        <w:spacing w:after="0"/>
        <w:tabs>
          <w:tab w:leader="none" w:pos="174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for or on account of:</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2"/>
          <w:numId w:val="231"/>
        </w:numPr>
        <w:rPr>
          <w:rFonts w:ascii="Arial" w:cs="Arial" w:eastAsia="Arial" w:hAnsi="Arial"/>
          <w:sz w:val="22"/>
          <w:szCs w:val="22"/>
          <w:color w:val="auto"/>
        </w:rPr>
      </w:pPr>
      <w:r>
        <w:rPr>
          <w:rFonts w:ascii="Arial" w:cs="Arial" w:eastAsia="Arial" w:hAnsi="Arial"/>
          <w:sz w:val="22"/>
          <w:szCs w:val="22"/>
          <w:color w:val="auto"/>
        </w:rPr>
        <w:t>any Taxes that would not have been imposed but for:</w:t>
      </w:r>
    </w:p>
    <w:p>
      <w:pPr>
        <w:spacing w:after="0" w:line="273" w:lineRule="exact"/>
        <w:rPr>
          <w:rFonts w:ascii="Arial" w:cs="Arial" w:eastAsia="Arial" w:hAnsi="Arial"/>
          <w:sz w:val="22"/>
          <w:szCs w:val="22"/>
          <w:color w:val="auto"/>
        </w:rPr>
      </w:pPr>
    </w:p>
    <w:p>
      <w:pPr>
        <w:ind w:left="3040" w:hanging="439"/>
        <w:spacing w:after="0"/>
        <w:tabs>
          <w:tab w:leader="none" w:pos="3040" w:val="left"/>
        </w:tabs>
        <w:numPr>
          <w:ilvl w:val="3"/>
          <w:numId w:val="231"/>
        </w:numPr>
        <w:rPr>
          <w:rFonts w:ascii="Arial" w:cs="Arial" w:eastAsia="Arial" w:hAnsi="Arial"/>
          <w:sz w:val="19"/>
          <w:szCs w:val="19"/>
          <w:color w:val="auto"/>
        </w:rPr>
      </w:pPr>
      <w:r>
        <w:rPr>
          <w:rFonts w:ascii="Arial" w:cs="Arial" w:eastAsia="Arial" w:hAnsi="Arial"/>
          <w:sz w:val="19"/>
          <w:szCs w:val="19"/>
          <w:color w:val="auto"/>
        </w:rPr>
        <w:t>the existence of any present or former connection between the Holder or Beneficial Owner (or</w:t>
      </w:r>
    </w:p>
    <w:p>
      <w:pPr>
        <w:spacing w:after="0" w:line="92" w:lineRule="exact"/>
        <w:rPr>
          <w:rFonts w:ascii="Arial" w:cs="Arial" w:eastAsia="Arial" w:hAnsi="Arial"/>
          <w:sz w:val="19"/>
          <w:szCs w:val="19"/>
          <w:color w:val="auto"/>
        </w:rPr>
      </w:pPr>
    </w:p>
    <w:p>
      <w:pPr>
        <w:jc w:val="both"/>
        <w:ind w:left="1960"/>
        <w:spacing w:after="0" w:line="335" w:lineRule="auto"/>
        <w:rPr>
          <w:rFonts w:ascii="Arial" w:cs="Arial" w:eastAsia="Arial" w:hAnsi="Arial"/>
          <w:sz w:val="19"/>
          <w:szCs w:val="19"/>
          <w:color w:val="auto"/>
        </w:rPr>
      </w:pPr>
      <w:r>
        <w:rPr>
          <w:rFonts w:ascii="Arial" w:cs="Arial" w:eastAsia="Arial" w:hAnsi="Arial"/>
          <w:sz w:val="19"/>
          <w:szCs w:val="19"/>
          <w:color w:val="auto"/>
        </w:rPr>
        <w:t>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 receipt, ownership, holding or disposition of the Notes or the receipt of payments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61" w:right="239" w:bottom="1440" w:gutter="0" w:footer="0" w:header="0"/>
        </w:sectPr>
      </w:pPr>
    </w:p>
    <w:bookmarkStart w:id="225" w:name="page226"/>
    <w:bookmarkEnd w:id="225"/>
    <w:p>
      <w:pPr>
        <w:ind w:left="1300"/>
        <w:spacing w:after="0"/>
        <w:rPr>
          <w:sz w:val="20"/>
          <w:szCs w:val="20"/>
          <w:color w:val="auto"/>
        </w:rPr>
      </w:pPr>
      <w:r>
        <w:rPr>
          <w:rFonts w:ascii="Arial" w:cs="Arial" w:eastAsia="Arial" w:hAnsi="Arial"/>
          <w:sz w:val="22"/>
          <w:szCs w:val="22"/>
          <w:color w:val="auto"/>
        </w:rPr>
        <w:t>or merely by reason of the exercise or enforcement of rights under any Notes;</w:t>
      </w:r>
    </w:p>
    <w:p>
      <w:pPr>
        <w:spacing w:after="0" w:line="260" w:lineRule="exact"/>
        <w:rPr>
          <w:sz w:val="20"/>
          <w:szCs w:val="20"/>
          <w:color w:val="auto"/>
        </w:rPr>
      </w:pPr>
    </w:p>
    <w:p>
      <w:pPr>
        <w:ind w:left="2420" w:hanging="479"/>
        <w:spacing w:after="0"/>
        <w:tabs>
          <w:tab w:leader="none" w:pos="2420" w:val="left"/>
        </w:tabs>
        <w:numPr>
          <w:ilvl w:val="2"/>
          <w:numId w:val="232"/>
        </w:numPr>
        <w:rPr>
          <w:rFonts w:ascii="Arial" w:cs="Arial" w:eastAsia="Arial" w:hAnsi="Arial"/>
          <w:sz w:val="19"/>
          <w:szCs w:val="19"/>
          <w:color w:val="auto"/>
        </w:rPr>
      </w:pPr>
      <w:r>
        <w:rPr>
          <w:rFonts w:ascii="Arial" w:cs="Arial" w:eastAsia="Arial" w:hAnsi="Arial"/>
          <w:sz w:val="19"/>
          <w:szCs w:val="19"/>
          <w:color w:val="auto"/>
        </w:rPr>
        <w:t>the presentation of such Note (where presentation is required) more than 30 days after the later</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90" w:lineRule="exact"/>
        <w:rPr>
          <w:rFonts w:ascii="Arial" w:cs="Arial" w:eastAsia="Arial" w:hAnsi="Arial"/>
          <w:sz w:val="19"/>
          <w:szCs w:val="19"/>
          <w:color w:val="auto"/>
        </w:rPr>
      </w:pPr>
    </w:p>
    <w:p>
      <w:pPr>
        <w:ind w:left="2480" w:hanging="539"/>
        <w:spacing w:after="0"/>
        <w:tabs>
          <w:tab w:leader="none" w:pos="2480" w:val="left"/>
        </w:tabs>
        <w:numPr>
          <w:ilvl w:val="2"/>
          <w:numId w:val="232"/>
        </w:numPr>
        <w:rPr>
          <w:rFonts w:ascii="Arial" w:cs="Arial" w:eastAsia="Arial" w:hAnsi="Arial"/>
          <w:sz w:val="19"/>
          <w:szCs w:val="19"/>
          <w:color w:val="auto"/>
        </w:rPr>
      </w:pPr>
      <w:r>
        <w:rPr>
          <w:rFonts w:ascii="Arial" w:cs="Arial" w:eastAsia="Arial" w:hAnsi="Arial"/>
          <w:sz w:val="19"/>
          <w:szCs w:val="19"/>
          <w:color w:val="auto"/>
        </w:rPr>
        <w:t>the failure of the Holder or Beneficial Owner of such Note to comply with a timely request of</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84" w:lineRule="exact"/>
        <w:rPr>
          <w:rFonts w:ascii="Arial" w:cs="Arial" w:eastAsia="Arial" w:hAnsi="Arial"/>
          <w:sz w:val="19"/>
          <w:szCs w:val="19"/>
          <w:color w:val="auto"/>
        </w:rPr>
      </w:pPr>
    </w:p>
    <w:p>
      <w:pPr>
        <w:ind w:left="1300" w:right="20" w:firstLine="641"/>
        <w:spacing w:after="0" w:line="402" w:lineRule="auto"/>
        <w:tabs>
          <w:tab w:leader="none" w:pos="2454" w:val="left"/>
        </w:tabs>
        <w:numPr>
          <w:ilvl w:val="2"/>
          <w:numId w:val="232"/>
        </w:numPr>
        <w:rPr>
          <w:rFonts w:ascii="Arial" w:cs="Arial" w:eastAsia="Arial" w:hAnsi="Arial"/>
          <w:sz w:val="19"/>
          <w:szCs w:val="19"/>
          <w:color w:val="auto"/>
        </w:rPr>
      </w:pPr>
      <w:r>
        <w:rPr>
          <w:rFonts w:ascii="Arial" w:cs="Arial" w:eastAsia="Arial" w:hAnsi="Arial"/>
          <w:sz w:val="19"/>
          <w:szCs w:val="19"/>
          <w:color w:val="auto"/>
        </w:rPr>
        <w:t>the presentation of any Note for payment by or on behalf of a Holder of Notes who would have been able to avoid such withholding or deduction by presenting the relevant Note to another Paying Agent;</w:t>
      </w:r>
    </w:p>
    <w:p>
      <w:pPr>
        <w:spacing w:after="0" w:line="91" w:lineRule="exact"/>
        <w:rPr>
          <w:rFonts w:ascii="Arial" w:cs="Arial" w:eastAsia="Arial" w:hAnsi="Arial"/>
          <w:sz w:val="19"/>
          <w:szCs w:val="19"/>
          <w:color w:val="auto"/>
        </w:rPr>
      </w:pPr>
    </w:p>
    <w:p>
      <w:pPr>
        <w:ind w:left="640" w:firstLine="653"/>
        <w:spacing w:after="0" w:line="315" w:lineRule="auto"/>
        <w:tabs>
          <w:tab w:leader="none" w:pos="177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any estate, inheritance, gift, sales, transfer, capital gains, personal property or similar Tax or any excise Tax imposed on the transfer of Notes;</w:t>
      </w:r>
    </w:p>
    <w:p>
      <w:pPr>
        <w:spacing w:after="0" w:line="159" w:lineRule="exact"/>
        <w:rPr>
          <w:rFonts w:ascii="Arial" w:cs="Arial" w:eastAsia="Arial" w:hAnsi="Arial"/>
          <w:sz w:val="22"/>
          <w:szCs w:val="22"/>
          <w:color w:val="auto"/>
        </w:rPr>
      </w:pPr>
    </w:p>
    <w:p>
      <w:pPr>
        <w:ind w:left="640" w:firstLine="653"/>
        <w:spacing w:after="0" w:line="315" w:lineRule="auto"/>
        <w:tabs>
          <w:tab w:leader="none" w:pos="1824"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any Taxes that are payable other than by withholding or deduction from payments of principal of, or premium (if any) or interest on the Note;</w:t>
      </w:r>
    </w:p>
    <w:p>
      <w:pPr>
        <w:spacing w:after="0" w:line="159" w:lineRule="exact"/>
        <w:rPr>
          <w:rFonts w:ascii="Arial" w:cs="Arial" w:eastAsia="Arial" w:hAnsi="Arial"/>
          <w:sz w:val="22"/>
          <w:szCs w:val="22"/>
          <w:color w:val="auto"/>
        </w:rPr>
      </w:pPr>
    </w:p>
    <w:p>
      <w:pPr>
        <w:ind w:left="1820" w:hanging="527"/>
        <w:spacing w:after="0"/>
        <w:tabs>
          <w:tab w:leader="none" w:pos="182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any tax, duty, assessment or other governmental charge which is required to be deducted or withheld</w:t>
      </w:r>
    </w:p>
    <w:p>
      <w:pPr>
        <w:spacing w:after="0" w:line="92" w:lineRule="exact"/>
        <w:rPr>
          <w:rFonts w:ascii="Arial" w:cs="Arial" w:eastAsia="Arial" w:hAnsi="Arial"/>
          <w:sz w:val="19"/>
          <w:szCs w:val="19"/>
          <w:color w:val="auto"/>
        </w:rPr>
      </w:pPr>
    </w:p>
    <w:p>
      <w:pPr>
        <w:jc w:val="both"/>
        <w:ind w:left="640"/>
        <w:spacing w:after="0" w:line="287" w:lineRule="auto"/>
        <w:rPr>
          <w:rFonts w:ascii="Arial" w:cs="Arial" w:eastAsia="Arial" w:hAnsi="Arial"/>
          <w:sz w:val="19"/>
          <w:szCs w:val="19"/>
          <w:color w:val="auto"/>
        </w:rPr>
      </w:pPr>
      <w:r>
        <w:rPr>
          <w:rFonts w:ascii="Arial" w:cs="Arial" w:eastAsia="Arial" w:hAnsi="Arial"/>
          <w:sz w:val="22"/>
          <w:szCs w:val="22"/>
          <w:color w:val="auto"/>
        </w:rPr>
        <w:t>under Sections 1471 through 1474 of the U.S. Internal Revenue Code of 1986, as amended, or any amended or successor versions of such Sections (“</w:t>
      </w:r>
      <w:r>
        <w:rPr>
          <w:rFonts w:ascii="Arial" w:cs="Arial" w:eastAsia="Arial" w:hAnsi="Arial"/>
          <w:sz w:val="22"/>
          <w:szCs w:val="22"/>
          <w:i w:val="1"/>
          <w:iCs w:val="1"/>
          <w:color w:val="auto"/>
        </w:rPr>
        <w:t>FATCA</w:t>
      </w:r>
      <w:r>
        <w:rPr>
          <w:rFonts w:ascii="Arial" w:cs="Arial" w:eastAsia="Arial" w:hAnsi="Arial"/>
          <w:sz w:val="22"/>
          <w:szCs w:val="22"/>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89" w:lineRule="exact"/>
        <w:rPr>
          <w:rFonts w:ascii="Arial" w:cs="Arial" w:eastAsia="Arial" w:hAnsi="Arial"/>
          <w:sz w:val="19"/>
          <w:szCs w:val="19"/>
          <w:color w:val="auto"/>
        </w:rPr>
      </w:pPr>
    </w:p>
    <w:p>
      <w:pPr>
        <w:ind w:left="1740" w:hanging="447"/>
        <w:spacing w:after="0"/>
        <w:tabs>
          <w:tab w:leader="none" w:pos="174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any combination of Taxes referred to in the preceding clauses (A), (B), (C) and (D); or</w:t>
      </w:r>
    </w:p>
    <w:p>
      <w:pPr>
        <w:spacing w:after="0" w:line="273" w:lineRule="exact"/>
        <w:rPr>
          <w:rFonts w:ascii="Arial" w:cs="Arial" w:eastAsia="Arial" w:hAnsi="Arial"/>
          <w:sz w:val="22"/>
          <w:szCs w:val="22"/>
          <w:color w:val="auto"/>
        </w:rPr>
      </w:pPr>
    </w:p>
    <w:p>
      <w:pPr>
        <w:ind w:left="1160" w:hanging="515"/>
        <w:spacing w:after="0"/>
        <w:tabs>
          <w:tab w:leader="none" w:pos="116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with respect to any payment of the principal of, or premium (if any) or interest on, such Note to or for the</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account of a fiduciary, partnership, limited liability company or other fiscally transparent entity or any other person (other than the sole Beneficial Owner of such payment) to the extent that a beneficiary or settlor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0"/>
          </w:cols>
          <w:pgMar w:left="900" w:top="861" w:right="239" w:bottom="1440" w:gutter="0" w:footer="0" w:header="0"/>
        </w:sectPr>
      </w:pPr>
    </w:p>
    <w:bookmarkStart w:id="226" w:name="page227"/>
    <w:bookmarkEnd w:id="226"/>
    <w:p>
      <w:pPr>
        <w:jc w:val="both"/>
        <w:ind w:left="660"/>
        <w:spacing w:after="0" w:line="306" w:lineRule="auto"/>
        <w:rPr>
          <w:sz w:val="20"/>
          <w:szCs w:val="20"/>
          <w:color w:val="auto"/>
        </w:rPr>
      </w:pPr>
      <w:r>
        <w:rPr>
          <w:rFonts w:ascii="Arial" w:cs="Arial" w:eastAsia="Arial" w:hAnsi="Arial"/>
          <w:sz w:val="21"/>
          <w:szCs w:val="21"/>
          <w:color w:val="auto"/>
        </w:rPr>
        <w:t>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173" w:lineRule="exact"/>
        <w:rPr>
          <w:sz w:val="20"/>
          <w:szCs w:val="20"/>
          <w:color w:val="auto"/>
        </w:rPr>
      </w:pPr>
    </w:p>
    <w:p>
      <w:pPr>
        <w:ind w:left="1080" w:hanging="424"/>
        <w:spacing w:after="0"/>
        <w:tabs>
          <w:tab w:leader="none" w:pos="108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In addition to the foregoing, the Issuer and the Surviving Person shall pay and indemnify the Holder for any present or</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 Jurisdiction that are not excluded under Sections 4.09(b)(1)</w:t>
      </w:r>
    </w:p>
    <w:p>
      <w:pPr>
        <w:spacing w:after="0" w:line="1" w:lineRule="exact"/>
        <w:rPr>
          <w:rFonts w:ascii="Arial" w:cs="Arial" w:eastAsia="Arial" w:hAnsi="Arial"/>
          <w:sz w:val="19"/>
          <w:szCs w:val="19"/>
          <w:color w:val="auto"/>
        </w:rPr>
      </w:pPr>
    </w:p>
    <w:p>
      <w:pPr>
        <w:ind w:right="20" w:firstLine="8"/>
        <w:spacing w:after="0" w:line="302" w:lineRule="auto"/>
        <w:tabs>
          <w:tab w:leader="none" w:pos="36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thorough (C) hereof (or any combination thereof) or Section 4.09(b)(2) hereof and excluding, for the avoidance of doubt, any net income taxes imposed on the receipt of any payments with respect thereto).</w:t>
      </w:r>
    </w:p>
    <w:p>
      <w:pPr>
        <w:spacing w:after="0" w:line="173" w:lineRule="exact"/>
        <w:rPr>
          <w:rFonts w:ascii="Arial" w:cs="Arial" w:eastAsia="Arial" w:hAnsi="Arial"/>
          <w:sz w:val="22"/>
          <w:szCs w:val="22"/>
          <w:color w:val="auto"/>
        </w:rPr>
      </w:pPr>
    </w:p>
    <w:p>
      <w:pPr>
        <w:ind w:left="1140" w:hanging="484"/>
        <w:spacing w:after="0"/>
        <w:tabs>
          <w:tab w:leader="none" w:pos="11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If the Issuer or the Surviving Person, as the case may be, becomes aware that it shall be obligated to pay Additional</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the Issuer or the Surviving Person shall provide the Trustee with documentation reasonably satisfactory to the Trustee evidencing the payment of Additional Amounts.</w:t>
      </w:r>
    </w:p>
    <w:p>
      <w:pPr>
        <w:spacing w:after="0" w:line="188" w:lineRule="exact"/>
        <w:rPr>
          <w:rFonts w:ascii="Arial" w:cs="Arial" w:eastAsia="Arial" w:hAnsi="Arial"/>
          <w:sz w:val="19"/>
          <w:szCs w:val="19"/>
          <w:color w:val="auto"/>
        </w:rPr>
      </w:pPr>
    </w:p>
    <w:p>
      <w:pPr>
        <w:ind w:left="1080" w:hanging="424"/>
        <w:spacing w:after="0"/>
        <w:tabs>
          <w:tab w:leader="none" w:pos="108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Issuer or the Surviving Person shall make all withholdings and deductions required by law and shall remit the full</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request, the Trustee shall make available to Holders copies of those receipts or other documentation, as the case may be. The Trustee shall not be responsible for ensuring that the withholding and deduction of any amount has been properly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61" w:right="239" w:bottom="1440" w:gutter="0" w:footer="0" w:header="0"/>
        </w:sectPr>
      </w:pPr>
    </w:p>
    <w:bookmarkStart w:id="227" w:name="page228"/>
    <w:bookmarkEnd w:id="227"/>
    <w:p>
      <w:pPr>
        <w:ind w:left="1100" w:hanging="444"/>
        <w:spacing w:after="0"/>
        <w:tabs>
          <w:tab w:leader="none" w:pos="110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Whenever there is mentioned in any context the payment of principal of, and any premium or interest on, any Note,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such mention shall be deemed to include payment of Additional Amounts provided for in this Indenture to the extent that, in such context, Additional Amounts are, were or would be payable in respect thereof.</w:t>
      </w:r>
    </w:p>
    <w:p>
      <w:pPr>
        <w:spacing w:after="0" w:line="173" w:lineRule="exact"/>
        <w:rPr>
          <w:rFonts w:ascii="Arial" w:cs="Arial" w:eastAsia="Arial" w:hAnsi="Arial"/>
          <w:sz w:val="19"/>
          <w:szCs w:val="19"/>
          <w:color w:val="auto"/>
        </w:rPr>
      </w:pPr>
    </w:p>
    <w:p>
      <w:pPr>
        <w:ind w:left="1120" w:hanging="464"/>
        <w:spacing w:after="0"/>
        <w:tabs>
          <w:tab w:leader="none" w:pos="112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obligations set forth in this Section 4.09 shall survive any termination, defeasance or discharge of this Indenture,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18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Special Put Option</w:t>
      </w:r>
      <w:r>
        <w:rPr>
          <w:rFonts w:ascii="Arial" w:cs="Arial" w:eastAsia="Arial" w:hAnsi="Arial"/>
          <w:sz w:val="19"/>
          <w:szCs w:val="19"/>
          <w:color w:val="auto"/>
        </w:rPr>
        <w:t>. 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mail a notice (a “</w:t>
      </w:r>
      <w:r>
        <w:rPr>
          <w:rFonts w:ascii="Arial" w:cs="Arial" w:eastAsia="Arial" w:hAnsi="Arial"/>
          <w:sz w:val="19"/>
          <w:szCs w:val="19"/>
          <w:i w:val="1"/>
          <w:iCs w:val="1"/>
          <w:color w:val="auto"/>
        </w:rPr>
        <w:t>Special Put Option Offer</w:t>
      </w:r>
      <w:r>
        <w:rPr>
          <w:rFonts w:ascii="Arial" w:cs="Arial" w:eastAsia="Arial" w:hAnsi="Arial"/>
          <w:sz w:val="19"/>
          <w:szCs w:val="19"/>
          <w:color w:val="auto"/>
        </w:rPr>
        <w:t>”) to each Holder with a copy to the Trustee and the Paying Agent stating:</w:t>
      </w:r>
    </w:p>
    <w:p>
      <w:pPr>
        <w:spacing w:after="0" w:line="160" w:lineRule="exact"/>
        <w:rPr>
          <w:sz w:val="20"/>
          <w:szCs w:val="20"/>
          <w:color w:val="auto"/>
        </w:rPr>
      </w:pPr>
    </w:p>
    <w:p>
      <w:pPr>
        <w:ind w:left="1760" w:hanging="455"/>
        <w:spacing w:after="0"/>
        <w:tabs>
          <w:tab w:leader="none" w:pos="176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that a Special Put Option Triggering Event has occurred and that such Holder has the right to require the Issuer</w:t>
      </w:r>
    </w:p>
    <w:p>
      <w:pPr>
        <w:spacing w:after="0" w:line="92" w:lineRule="exact"/>
        <w:rPr>
          <w:rFonts w:ascii="Arial" w:cs="Arial" w:eastAsia="Arial" w:hAnsi="Arial"/>
          <w:sz w:val="19"/>
          <w:szCs w:val="19"/>
          <w:color w:val="auto"/>
        </w:rPr>
      </w:pPr>
    </w:p>
    <w:p>
      <w:pPr>
        <w:jc w:val="both"/>
        <w:ind w:left="660"/>
        <w:spacing w:after="0" w:line="311" w:lineRule="auto"/>
        <w:rPr>
          <w:rFonts w:ascii="Arial" w:cs="Arial" w:eastAsia="Arial" w:hAnsi="Arial"/>
          <w:sz w:val="19"/>
          <w:szCs w:val="19"/>
          <w:color w:val="auto"/>
        </w:rPr>
      </w:pPr>
      <w:r>
        <w:rPr>
          <w:rFonts w:ascii="Arial" w:cs="Arial" w:eastAsia="Arial" w:hAnsi="Arial"/>
          <w:sz w:val="21"/>
          <w:szCs w:val="21"/>
          <w:color w:val="auto"/>
        </w:rPr>
        <w:t>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68" w:lineRule="exact"/>
        <w:rPr>
          <w:rFonts w:ascii="Arial" w:cs="Arial" w:eastAsia="Arial" w:hAnsi="Arial"/>
          <w:sz w:val="19"/>
          <w:szCs w:val="19"/>
          <w:color w:val="auto"/>
        </w:rPr>
      </w:pPr>
    </w:p>
    <w:p>
      <w:pPr>
        <w:ind w:left="1780" w:hanging="475"/>
        <w:spacing w:after="0"/>
        <w:tabs>
          <w:tab w:leader="none" w:pos="178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repurchase date (which shall be no earlier than 10 days nor later than 60 days from the date such notice is</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mailed); and</w:t>
      </w:r>
    </w:p>
    <w:p>
      <w:pPr>
        <w:spacing w:after="0" w:line="260" w:lineRule="exact"/>
        <w:rPr>
          <w:rFonts w:ascii="Arial" w:cs="Arial" w:eastAsia="Arial" w:hAnsi="Arial"/>
          <w:sz w:val="19"/>
          <w:szCs w:val="19"/>
          <w:color w:val="auto"/>
        </w:rPr>
      </w:pPr>
    </w:p>
    <w:p>
      <w:pPr>
        <w:ind w:left="660" w:firstLine="645"/>
        <w:spacing w:after="0" w:line="315" w:lineRule="auto"/>
        <w:tabs>
          <w:tab w:leader="none" w:pos="1794"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instructions determined by the Issuer, consistent with this covenant, that a Holder must follow in order to have its Notes repurchased.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On the date of repurchase pursuant to a Special Put Option Offer, the Issuer shall, to the extent lawful:</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Special Put Option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61" w:right="239" w:bottom="1440" w:gutter="0" w:footer="0" w:header="0"/>
        </w:sectPr>
      </w:pPr>
    </w:p>
    <w:bookmarkStart w:id="228" w:name="page229"/>
    <w:bookmarkEnd w:id="228"/>
    <w:p>
      <w:pPr>
        <w:ind w:left="1740" w:hanging="435"/>
        <w:spacing w:after="0"/>
        <w:tabs>
          <w:tab w:leader="none" w:pos="174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deposit with the Paying Agent an amount equal to the repurchase price, plus accrued and unpaid interest, if any,</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and Additional Amounts, if any, to but excluding the date of repurchase (the “</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 in respect of all Notes or portions of Notes properly tendered; and</w:t>
      </w:r>
    </w:p>
    <w:p>
      <w:pPr>
        <w:spacing w:after="0" w:line="173" w:lineRule="exact"/>
        <w:rPr>
          <w:rFonts w:ascii="Arial" w:cs="Arial" w:eastAsia="Arial" w:hAnsi="Arial"/>
          <w:sz w:val="19"/>
          <w:szCs w:val="19"/>
          <w:color w:val="auto"/>
        </w:rPr>
      </w:pPr>
    </w:p>
    <w:p>
      <w:pPr>
        <w:ind w:left="660" w:firstLine="645"/>
        <w:spacing w:after="0" w:line="341" w:lineRule="auto"/>
        <w:tabs>
          <w:tab w:leader="none" w:pos="191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3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The Paying Agent shall promptly mail to each Holder of Notes properly tendered the Special Put Option Payment for such Notes, and upon receipt of an Authentication Order, the Trustee shall promptly authenticate and mail (or cause to be transferred by book entry) to each Holder a new Note equal in principal amount to any unpurchased portion of the Notes surrendered, if any.</w:t>
      </w:r>
    </w:p>
    <w:p>
      <w:pPr>
        <w:spacing w:after="0" w:line="190" w:lineRule="exact"/>
        <w:rPr>
          <w:sz w:val="20"/>
          <w:szCs w:val="20"/>
          <w:color w:val="auto"/>
        </w:rPr>
      </w:pPr>
    </w:p>
    <w:p>
      <w:pPr>
        <w:ind w:left="1140" w:hanging="484"/>
        <w:spacing w:after="0"/>
        <w:tabs>
          <w:tab w:leader="none" w:pos="114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4.10, the Issuer will not be required to make a Special Put</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 Section 3.09 hereof pursuant to which the Issuer has exercised its right to redeem the Notes in full, unless and until there is a default in payment of the applicable redemption price.</w:t>
      </w:r>
    </w:p>
    <w:p>
      <w:pPr>
        <w:spacing w:after="0" w:line="196" w:lineRule="exact"/>
        <w:rPr>
          <w:rFonts w:ascii="Arial" w:cs="Arial" w:eastAsia="Arial" w:hAnsi="Arial"/>
          <w:sz w:val="19"/>
          <w:szCs w:val="19"/>
          <w:color w:val="auto"/>
        </w:rPr>
      </w:pPr>
    </w:p>
    <w:p>
      <w:pPr>
        <w:ind w:left="1160" w:hanging="504"/>
        <w:spacing w:after="0"/>
        <w:tabs>
          <w:tab w:leader="none" w:pos="116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Notes repurchased by the Issuer pursuant to a Special Put Option Offer will have the status of Notes issued but not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outstanding or will be retired and canceled at the option of the Issuer. Subject to Section 2.09 hereof, Notes purchased by a third party pursuant to the preceding paragraph will have the status of Notes issued and outstanding.</w:t>
      </w:r>
    </w:p>
    <w:p>
      <w:pPr>
        <w:spacing w:after="0" w:line="173" w:lineRule="exact"/>
        <w:rPr>
          <w:rFonts w:ascii="Arial" w:cs="Arial" w:eastAsia="Arial" w:hAnsi="Arial"/>
          <w:sz w:val="19"/>
          <w:szCs w:val="19"/>
          <w:color w:val="auto"/>
        </w:rPr>
      </w:pPr>
    </w:p>
    <w:p>
      <w:pPr>
        <w:ind w:firstLine="656"/>
        <w:spacing w:after="0" w:line="341" w:lineRule="auto"/>
        <w:tabs>
          <w:tab w:leader="none" w:pos="114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37" w:lineRule="exact"/>
        <w:rPr>
          <w:rFonts w:ascii="Arial" w:cs="Arial" w:eastAsia="Arial" w:hAnsi="Arial"/>
          <w:sz w:val="21"/>
          <w:szCs w:val="21"/>
          <w:color w:val="auto"/>
        </w:rPr>
      </w:pPr>
    </w:p>
    <w:p>
      <w:pPr>
        <w:ind w:left="1100" w:hanging="444"/>
        <w:spacing w:after="0"/>
        <w:tabs>
          <w:tab w:leader="none" w:pos="11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For the avoidance of doubt, following the repurchase date applicable to a Special Put Option Offer, holders of Notes</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who did not properly tender their Notes in the Special Put Option Offer will not have the further right to require Wynn Macau to repurchase such holders’ Notes with respect to that Special Put Option Triggering Event.</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5</w:t>
      </w:r>
    </w:p>
    <w:p>
      <w:pPr>
        <w:spacing w:after="0" w:line="5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61" w:right="239" w:bottom="1440" w:gutter="0" w:footer="0" w:header="0"/>
        </w:sectPr>
      </w:pPr>
    </w:p>
    <w:bookmarkStart w:id="229" w:name="page230"/>
    <w:bookmarkEnd w:id="229"/>
    <w:p>
      <w:pPr>
        <w:spacing w:after="0"/>
        <w:tabs>
          <w:tab w:leader="none" w:pos="12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7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32" w:lineRule="exact"/>
        <w:rPr>
          <w:sz w:val="20"/>
          <w:szCs w:val="20"/>
          <w:color w:val="auto"/>
        </w:rPr>
      </w:pPr>
    </w:p>
    <w:p>
      <w:pPr>
        <w:ind w:left="1780" w:hanging="475"/>
        <w:spacing w:after="0"/>
        <w:tabs>
          <w:tab w:leader="none" w:pos="178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either (a) the Issuer is the surviving entity or (b) the Person formed by or surviving any such consolidation or</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90" w:lineRule="exact"/>
        <w:rPr>
          <w:rFonts w:ascii="Arial" w:cs="Arial" w:eastAsia="Arial" w:hAnsi="Arial"/>
          <w:sz w:val="19"/>
          <w:szCs w:val="19"/>
          <w:color w:val="auto"/>
        </w:rPr>
      </w:pPr>
    </w:p>
    <w:p>
      <w:pPr>
        <w:ind w:left="1780" w:hanging="475"/>
        <w:spacing w:after="0"/>
        <w:tabs>
          <w:tab w:leader="none" w:pos="178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the Issuer) or the Person to</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which such sale, assignment, transfer, conveyance or other disposition shall have been made assumes all the obligations of the Issuer under the Notes and this Indenture pursuant to a supplemental indenture; and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immediately after such transaction, no Default or Event of Default shall have occurred and is continuing.</w:t>
      </w:r>
    </w:p>
    <w:p>
      <w:pPr>
        <w:spacing w:after="0" w:line="2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predecessor Issuer shall not be relieved from the obligation to pay the principal of and interest and premium, if any, on the Notes, except in the case of a sale of all of the Issuer’s assets in a transaction that is subject to, and that complies with the provisions of Section 5.01 hereof.</w:t>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6</w:t>
      </w:r>
    </w:p>
    <w:p>
      <w:pPr>
        <w:spacing w:after="0" w:line="5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DEFAULTS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61" w:right="239" w:bottom="1440" w:gutter="0" w:footer="0" w:header="0"/>
        </w:sectPr>
      </w:pPr>
    </w:p>
    <w:bookmarkStart w:id="230" w:name="page231"/>
    <w:bookmarkEnd w:id="230"/>
    <w:p>
      <w:pPr>
        <w:spacing w:after="0"/>
        <w:tabs>
          <w:tab w:leader="none" w:pos="12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60" w:lineRule="exact"/>
        <w:rPr>
          <w:sz w:val="20"/>
          <w:szCs w:val="20"/>
          <w:color w:val="auto"/>
        </w:rPr>
      </w:pPr>
    </w:p>
    <w:p>
      <w:pPr>
        <w:ind w:left="1080" w:hanging="424"/>
        <w:spacing w:after="0"/>
        <w:tabs>
          <w:tab w:leader="none" w:pos="108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73" w:lineRule="exact"/>
        <w:rPr>
          <w:rFonts w:ascii="Arial" w:cs="Arial" w:eastAsia="Arial" w:hAnsi="Arial"/>
          <w:sz w:val="22"/>
          <w:szCs w:val="22"/>
          <w:color w:val="auto"/>
        </w:rPr>
      </w:pPr>
    </w:p>
    <w:p>
      <w:pPr>
        <w:ind w:firstLine="656"/>
        <w:spacing w:after="0" w:line="315" w:lineRule="auto"/>
        <w:tabs>
          <w:tab w:leader="none" w:pos="121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failure by the Issuer:</w:t>
      </w:r>
    </w:p>
    <w:p>
      <w:pPr>
        <w:spacing w:after="0" w:line="273" w:lineRule="exact"/>
        <w:rPr>
          <w:rFonts w:ascii="Arial" w:cs="Arial" w:eastAsia="Arial" w:hAnsi="Arial"/>
          <w:sz w:val="22"/>
          <w:szCs w:val="22"/>
          <w:color w:val="auto"/>
        </w:rPr>
      </w:pPr>
    </w:p>
    <w:p>
      <w:pPr>
        <w:ind w:left="660" w:firstLine="645"/>
        <w:spacing w:after="0" w:line="315" w:lineRule="auto"/>
        <w:tabs>
          <w:tab w:leader="none" w:pos="1781"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4.08 and Section 4.10 hereof; or</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73" w:lineRule="exact"/>
        <w:rPr>
          <w:rFonts w:ascii="Arial" w:cs="Arial" w:eastAsia="Arial" w:hAnsi="Arial"/>
          <w:sz w:val="22"/>
          <w:szCs w:val="22"/>
          <w:color w:val="auto"/>
        </w:rPr>
      </w:pPr>
    </w:p>
    <w:p>
      <w:pPr>
        <w:ind w:left="1180" w:hanging="524"/>
        <w:spacing w:after="0"/>
        <w:tabs>
          <w:tab w:leader="none" w:pos="118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failure by the Issuer for 60 days after receipt of written notice from the Trustee or the Holders of at least 25% in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aggregate principal amount of the Notes then outstanding voting as a single class to comply with any of the other agreements in this Indenture not identified in Sections 6.01(a), (b) or (c) hereof;</w:t>
      </w:r>
    </w:p>
    <w:p>
      <w:pPr>
        <w:spacing w:after="0" w:line="173" w:lineRule="exact"/>
        <w:rPr>
          <w:rFonts w:ascii="Arial" w:cs="Arial" w:eastAsia="Arial" w:hAnsi="Arial"/>
          <w:sz w:val="19"/>
          <w:szCs w:val="19"/>
          <w:color w:val="auto"/>
        </w:rPr>
      </w:pPr>
    </w:p>
    <w:p>
      <w:pPr>
        <w:ind w:left="1200" w:hanging="544"/>
        <w:spacing w:after="0"/>
        <w:tabs>
          <w:tab w:leader="none" w:pos="120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 may be</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secured or evidenced any Indebtedness for money borrowed by the Issuer or any of its Subsidiaries (or the payment of which is guaranteed by the Issuer or any of its 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152" w:lineRule="exact"/>
        <w:rPr>
          <w:rFonts w:ascii="Arial" w:cs="Arial" w:eastAsia="Arial" w:hAnsi="Arial"/>
          <w:sz w:val="19"/>
          <w:szCs w:val="19"/>
          <w:color w:val="auto"/>
        </w:rPr>
      </w:pPr>
    </w:p>
    <w:p>
      <w:pPr>
        <w:ind w:left="1060" w:hanging="404"/>
        <w:spacing w:after="0"/>
        <w:tabs>
          <w:tab w:leader="none" w:pos="106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failure by the Issuer or any of its Significant Subsidiaries to pay final non-appealable judgments (not paid or covered by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184" w:lineRule="exact"/>
        <w:rPr>
          <w:rFonts w:ascii="Arial" w:cs="Arial" w:eastAsia="Arial" w:hAnsi="Arial"/>
          <w:sz w:val="19"/>
          <w:szCs w:val="19"/>
          <w:color w:val="auto"/>
        </w:rPr>
      </w:pPr>
    </w:p>
    <w:p>
      <w:pPr>
        <w:ind w:firstLine="656"/>
        <w:spacing w:after="0" w:line="341" w:lineRule="auto"/>
        <w:tabs>
          <w:tab w:leader="none" w:pos="108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37" w:lineRule="exact"/>
        <w:rPr>
          <w:rFonts w:ascii="Arial" w:cs="Arial" w:eastAsia="Arial" w:hAnsi="Arial"/>
          <w:sz w:val="21"/>
          <w:szCs w:val="21"/>
          <w:color w:val="auto"/>
        </w:rPr>
      </w:pPr>
    </w:p>
    <w:p>
      <w:pPr>
        <w:ind w:left="1740" w:hanging="435"/>
        <w:spacing w:after="0"/>
        <w:tabs>
          <w:tab w:leader="none" w:pos="174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61" w:right="239" w:bottom="1440" w:gutter="0" w:footer="0" w:header="0"/>
        </w:sectPr>
      </w:pPr>
    </w:p>
    <w:bookmarkStart w:id="231" w:name="page232"/>
    <w:bookmarkEnd w:id="231"/>
    <w:p>
      <w:pPr>
        <w:ind w:left="1740" w:hanging="435"/>
        <w:spacing w:after="0"/>
        <w:tabs>
          <w:tab w:leader="none" w:pos="174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73" w:lineRule="exact"/>
        <w:rPr>
          <w:rFonts w:ascii="Arial" w:cs="Arial" w:eastAsia="Arial" w:hAnsi="Arial"/>
          <w:sz w:val="22"/>
          <w:szCs w:val="22"/>
          <w:color w:val="auto"/>
        </w:rPr>
      </w:pPr>
    </w:p>
    <w:p>
      <w:pPr>
        <w:ind w:left="660" w:firstLine="645"/>
        <w:spacing w:after="0" w:line="341" w:lineRule="auto"/>
        <w:tabs>
          <w:tab w:leader="none" w:pos="1889" w:val="left"/>
        </w:tabs>
        <w:numPr>
          <w:ilvl w:val="1"/>
          <w:numId w:val="245"/>
        </w:numPr>
        <w:rPr>
          <w:rFonts w:ascii="Arial" w:cs="Arial" w:eastAsia="Arial" w:hAnsi="Arial"/>
          <w:sz w:val="21"/>
          <w:szCs w:val="21"/>
          <w:color w:val="auto"/>
        </w:rPr>
      </w:pPr>
      <w:r>
        <w:rPr>
          <w:rFonts w:ascii="Arial" w:cs="Arial" w:eastAsia="Arial" w:hAnsi="Arial"/>
          <w:sz w:val="21"/>
          <w:szCs w:val="21"/>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37" w:lineRule="exact"/>
        <w:rPr>
          <w:rFonts w:ascii="Arial" w:cs="Arial" w:eastAsia="Arial" w:hAnsi="Arial"/>
          <w:sz w:val="21"/>
          <w:szCs w:val="21"/>
          <w:color w:val="auto"/>
        </w:rPr>
      </w:pPr>
    </w:p>
    <w:p>
      <w:pPr>
        <w:ind w:left="1820" w:hanging="515"/>
        <w:spacing w:after="0"/>
        <w:tabs>
          <w:tab w:leader="none" w:pos="182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appoints a custodian of the Issuer or any of its Subsidiaries that is a Significant Subsidiary or any group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84" w:lineRule="exact"/>
        <w:rPr>
          <w:rFonts w:ascii="Arial" w:cs="Arial" w:eastAsia="Arial" w:hAnsi="Arial"/>
          <w:sz w:val="19"/>
          <w:szCs w:val="19"/>
          <w:color w:val="auto"/>
        </w:rPr>
      </w:pPr>
    </w:p>
    <w:p>
      <w:pPr>
        <w:ind w:left="660" w:firstLine="645"/>
        <w:spacing w:after="0" w:line="315" w:lineRule="auto"/>
        <w:tabs>
          <w:tab w:leader="none" w:pos="1808" w:val="left"/>
        </w:tabs>
        <w:numPr>
          <w:ilvl w:val="1"/>
          <w:numId w:val="245"/>
        </w:numPr>
        <w:rPr>
          <w:rFonts w:ascii="Arial" w:cs="Arial" w:eastAsia="Arial" w:hAnsi="Arial"/>
          <w:sz w:val="22"/>
          <w:szCs w:val="22"/>
          <w:color w:val="auto"/>
        </w:rPr>
      </w:pPr>
      <w:r>
        <w:rPr>
          <w:rFonts w:ascii="Arial" w:cs="Arial" w:eastAsia="Arial" w:hAnsi="Arial"/>
          <w:sz w:val="22"/>
          <w:szCs w:val="22"/>
          <w:color w:val="auto"/>
        </w:rPr>
        <w:t>orders the liquidation of the Issuer or any of its Subsidiaries that is a Significant Subsidiary or any group of Subsidiaries of the Issuer that, taken together, would constitute a Significant Subsidiary;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any such declaration, the Notes shall become due and payable immediately.</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61" w:right="239" w:bottom="1440" w:gutter="0" w:footer="0" w:header="0"/>
        </w:sectPr>
      </w:pPr>
    </w:p>
    <w:bookmarkStart w:id="232" w:name="page233"/>
    <w:bookmarkEnd w:id="232"/>
    <w:p>
      <w:pPr>
        <w:jc w:val="both"/>
        <w:spacing w:after="0" w:line="302" w:lineRule="auto"/>
        <w:rPr>
          <w:sz w:val="20"/>
          <w:szCs w:val="20"/>
          <w:color w:val="auto"/>
        </w:rPr>
      </w:pPr>
      <w:r>
        <w:rPr>
          <w:rFonts w:ascii="Arial" w:cs="Arial" w:eastAsia="Arial" w:hAnsi="Arial"/>
          <w:sz w:val="22"/>
          <w:szCs w:val="22"/>
          <w:color w:val="auto"/>
        </w:rPr>
        <w:t>Trustee and to reimburse the Trustee for any and all fees, expenses and disbursements advanced by the Trustee, its agents and its counsel incurred in connection with such Default.</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Other Remedies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Waiver of Defaults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Control by Majority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61" w:right="239" w:bottom="1440" w:gutter="0" w:footer="0" w:header="0"/>
        </w:sectPr>
      </w:pPr>
    </w:p>
    <w:bookmarkStart w:id="233" w:name="page234"/>
    <w:bookmarkEnd w:id="233"/>
    <w:p>
      <w:pPr>
        <w:spacing w:after="0"/>
        <w:tabs>
          <w:tab w:leader="none" w:pos="12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Limitation on Suits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174" w:lineRule="exact"/>
        <w:rPr>
          <w:sz w:val="20"/>
          <w:szCs w:val="20"/>
          <w:color w:val="auto"/>
        </w:rPr>
      </w:pPr>
    </w:p>
    <w:p>
      <w:pPr>
        <w:ind w:left="1080" w:hanging="424"/>
        <w:spacing w:after="0"/>
        <w:tabs>
          <w:tab w:leader="none" w:pos="10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73" w:lineRule="exact"/>
        <w:rPr>
          <w:rFonts w:ascii="Arial" w:cs="Arial" w:eastAsia="Arial" w:hAnsi="Arial"/>
          <w:sz w:val="22"/>
          <w:szCs w:val="22"/>
          <w:color w:val="auto"/>
        </w:rPr>
      </w:pPr>
    </w:p>
    <w:p>
      <w:pPr>
        <w:ind w:firstLine="656"/>
        <w:spacing w:after="0" w:line="315" w:lineRule="auto"/>
        <w:tabs>
          <w:tab w:leader="none" w:pos="110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59" w:lineRule="exact"/>
        <w:rPr>
          <w:rFonts w:ascii="Arial" w:cs="Arial" w:eastAsia="Arial" w:hAnsi="Arial"/>
          <w:sz w:val="22"/>
          <w:szCs w:val="22"/>
          <w:color w:val="auto"/>
        </w:rPr>
      </w:pPr>
    </w:p>
    <w:p>
      <w:pPr>
        <w:ind w:firstLine="656"/>
        <w:spacing w:after="0" w:line="315" w:lineRule="auto"/>
        <w:tabs>
          <w:tab w:leader="none" w:pos="1095" w:val="left"/>
        </w:tabs>
        <w:numPr>
          <w:ilvl w:val="0"/>
          <w:numId w:val="246"/>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reasonably satisfactory to the Trustee against any loss, liability, claim or expense;</w:t>
      </w:r>
    </w:p>
    <w:p>
      <w:pPr>
        <w:spacing w:after="0" w:line="159" w:lineRule="exact"/>
        <w:rPr>
          <w:rFonts w:ascii="Arial" w:cs="Arial" w:eastAsia="Arial" w:hAnsi="Arial"/>
          <w:sz w:val="22"/>
          <w:szCs w:val="22"/>
          <w:color w:val="auto"/>
        </w:rPr>
      </w:pPr>
    </w:p>
    <w:p>
      <w:pPr>
        <w:ind w:firstLine="656"/>
        <w:spacing w:after="0" w:line="315" w:lineRule="auto"/>
        <w:tabs>
          <w:tab w:leader="none" w:pos="114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59" w:lineRule="exact"/>
        <w:rPr>
          <w:rFonts w:ascii="Arial" w:cs="Arial" w:eastAsia="Arial" w:hAnsi="Arial"/>
          <w:sz w:val="22"/>
          <w:szCs w:val="22"/>
          <w:color w:val="auto"/>
        </w:rPr>
      </w:pPr>
    </w:p>
    <w:p>
      <w:pPr>
        <w:ind w:right="20" w:firstLine="656"/>
        <w:spacing w:after="0" w:line="315" w:lineRule="auto"/>
        <w:tabs>
          <w:tab w:leader="none" w:pos="110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Collection Suit by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61" w:right="239" w:bottom="1440" w:gutter="0" w:footer="0" w:header="0"/>
        </w:sectPr>
      </w:pPr>
    </w:p>
    <w:bookmarkStart w:id="234" w:name="page235"/>
    <w:bookmarkEnd w:id="234"/>
    <w:p>
      <w:pPr>
        <w:spacing w:after="0"/>
        <w:tabs>
          <w:tab w:leader="none" w:pos="12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Trustee May File Proofs of Claim</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6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1"/>
          <w:szCs w:val="21"/>
          <w:i w:val="1"/>
          <w:iCs w:val="1"/>
          <w:color w:val="auto"/>
        </w:rPr>
        <w:t>Priorities</w:t>
      </w:r>
      <w:r>
        <w:rPr>
          <w:rFonts w:ascii="Arial" w:cs="Arial" w:eastAsia="Arial" w:hAnsi="Arial"/>
          <w:sz w:val="21"/>
          <w:szCs w:val="2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60" w:lineRule="exact"/>
        <w:rPr>
          <w:sz w:val="20"/>
          <w:szCs w:val="20"/>
          <w:color w:val="auto"/>
        </w:rPr>
      </w:pPr>
    </w:p>
    <w:p>
      <w:pPr>
        <w:jc w:val="both"/>
        <w:ind w:left="660" w:firstLine="648"/>
        <w:spacing w:after="0" w:line="328"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Trustee, for amounts due under this Indenture, including payment of all compensation, expenses and</w:t>
      </w:r>
      <w:r>
        <w:rPr>
          <w:rFonts w:ascii="Arial" w:cs="Arial" w:eastAsia="Arial" w:hAnsi="Arial"/>
          <w:sz w:val="21"/>
          <w:szCs w:val="21"/>
          <w:i w:val="1"/>
          <w:iCs w:val="1"/>
          <w:color w:val="auto"/>
        </w:rPr>
        <w:t xml:space="preserve"> </w:t>
      </w:r>
      <w:r>
        <w:rPr>
          <w:rFonts w:ascii="Arial" w:cs="Arial" w:eastAsia="Arial" w:hAnsi="Arial"/>
          <w:sz w:val="21"/>
          <w:szCs w:val="21"/>
          <w:color w:val="auto"/>
        </w:rPr>
        <w:t>liabilities incurred, and all advances made, by the Trustee and the costs and expenses of collection;</w:t>
      </w:r>
    </w:p>
    <w:p>
      <w:pPr>
        <w:spacing w:after="0" w:line="150"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Issuer or to such party as a court of competent jurisdiction shall direct.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61" w:right="239" w:bottom="1440" w:gutter="0" w:footer="0" w:header="0"/>
        </w:sectPr>
      </w:pPr>
    </w:p>
    <w:bookmarkStart w:id="235" w:name="page236"/>
    <w:bookmarkEnd w:id="235"/>
    <w:p>
      <w:pPr>
        <w:spacing w:after="0"/>
        <w:tabs>
          <w:tab w:leader="none" w:pos="12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Undertaking for Costs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82" w:lineRule="exact"/>
        <w:rPr>
          <w:sz w:val="20"/>
          <w:szCs w:val="20"/>
          <w:color w:val="auto"/>
        </w:rPr>
      </w:pPr>
    </w:p>
    <w:p>
      <w:pPr>
        <w:jc w:val="right"/>
        <w:ind w:right="5280"/>
        <w:spacing w:after="0"/>
        <w:rPr>
          <w:sz w:val="20"/>
          <w:szCs w:val="20"/>
          <w:color w:val="auto"/>
        </w:rPr>
      </w:pPr>
      <w:r>
        <w:rPr>
          <w:rFonts w:ascii="Arial" w:cs="Arial" w:eastAsia="Arial" w:hAnsi="Arial"/>
          <w:sz w:val="22"/>
          <w:szCs w:val="22"/>
          <w:color w:val="auto"/>
        </w:rPr>
        <w:t>ARTICLE 7</w:t>
      </w:r>
    </w:p>
    <w:p>
      <w:pPr>
        <w:spacing w:after="0" w:line="58" w:lineRule="exact"/>
        <w:rPr>
          <w:sz w:val="20"/>
          <w:szCs w:val="20"/>
          <w:color w:val="auto"/>
        </w:rPr>
      </w:pPr>
    </w:p>
    <w:p>
      <w:pPr>
        <w:jc w:val="right"/>
        <w:ind w:right="5240"/>
        <w:spacing w:after="0"/>
        <w:rPr>
          <w:sz w:val="20"/>
          <w:szCs w:val="20"/>
          <w:color w:val="auto"/>
        </w:rPr>
      </w:pPr>
      <w:r>
        <w:rPr>
          <w:rFonts w:ascii="Arial" w:cs="Arial" w:eastAsia="Arial" w:hAnsi="Arial"/>
          <w:sz w:val="22"/>
          <w:szCs w:val="22"/>
          <w:color w:val="auto"/>
        </w:rPr>
        <w:t>TRUSTEE</w:t>
      </w:r>
    </w:p>
    <w:p>
      <w:pPr>
        <w:spacing w:after="0" w:line="2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r>
        <w:rPr>
          <w:rFonts w:ascii="Arial" w:cs="Arial" w:eastAsia="Arial" w:hAnsi="Arial"/>
          <w:sz w:val="19"/>
          <w:szCs w:val="19"/>
          <w:color w:val="auto"/>
        </w:rPr>
        <w:t>.</w:t>
      </w:r>
    </w:p>
    <w:p>
      <w:pPr>
        <w:spacing w:after="0" w:line="274" w:lineRule="exact"/>
        <w:rPr>
          <w:sz w:val="20"/>
          <w:szCs w:val="20"/>
          <w:color w:val="auto"/>
        </w:rPr>
      </w:pPr>
    </w:p>
    <w:p>
      <w:pPr>
        <w:ind w:left="1080" w:hanging="424"/>
        <w:spacing w:after="0"/>
        <w:tabs>
          <w:tab w:leader="none" w:pos="108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such of the rights and powers vested in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it by this Indenture, and use the same degree of care and skill in its exercise, as a prudent person would exercise or use under the circumstances in the conduct of such person’s own affairs.</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73" w:lineRule="exact"/>
        <w:rPr>
          <w:rFonts w:ascii="Arial" w:cs="Arial" w:eastAsia="Arial" w:hAnsi="Arial"/>
          <w:sz w:val="22"/>
          <w:szCs w:val="22"/>
          <w:color w:val="auto"/>
        </w:rPr>
      </w:pPr>
    </w:p>
    <w:p>
      <w:pPr>
        <w:ind w:left="1760" w:hanging="455"/>
        <w:spacing w:after="0"/>
        <w:tabs>
          <w:tab w:leader="none" w:pos="176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duties of the Trustee shall be determined solely by the express provisions of this Indenture and the Trustee</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need perform only those duties that are specifically set forth in this Indenture and no others, and no implied covenants or obligations shall be read into this Indenture against the Trustee; and</w:t>
      </w:r>
    </w:p>
    <w:p>
      <w:pPr>
        <w:spacing w:after="0" w:line="173" w:lineRule="exact"/>
        <w:rPr>
          <w:rFonts w:ascii="Arial" w:cs="Arial" w:eastAsia="Arial" w:hAnsi="Arial"/>
          <w:sz w:val="19"/>
          <w:szCs w:val="19"/>
          <w:color w:val="auto"/>
        </w:rPr>
      </w:pPr>
    </w:p>
    <w:p>
      <w:pPr>
        <w:ind w:left="1780" w:hanging="475"/>
        <w:spacing w:after="0"/>
        <w:tabs>
          <w:tab w:leader="none" w:pos="178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the accuracy of mathematical calculations set forth therein).</w:t>
      </w:r>
    </w:p>
    <w:p>
      <w:pPr>
        <w:spacing w:after="0" w:line="190" w:lineRule="exact"/>
        <w:rPr>
          <w:rFonts w:ascii="Arial" w:cs="Arial" w:eastAsia="Arial" w:hAnsi="Arial"/>
          <w:sz w:val="19"/>
          <w:szCs w:val="19"/>
          <w:color w:val="auto"/>
        </w:rPr>
      </w:pPr>
    </w:p>
    <w:p>
      <w:pPr>
        <w:ind w:firstLine="656"/>
        <w:spacing w:after="0" w:line="315" w:lineRule="auto"/>
        <w:tabs>
          <w:tab w:leader="none" w:pos="1068" w:val="left"/>
        </w:tabs>
        <w:numPr>
          <w:ilvl w:val="0"/>
          <w:numId w:val="247"/>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73" w:lineRule="exact"/>
        <w:rPr>
          <w:rFonts w:ascii="Arial" w:cs="Arial" w:eastAsia="Arial" w:hAnsi="Arial"/>
          <w:sz w:val="22"/>
          <w:szCs w:val="22"/>
          <w:color w:val="auto"/>
        </w:rPr>
      </w:pPr>
    </w:p>
    <w:p>
      <w:pPr>
        <w:ind w:left="660" w:firstLine="645"/>
        <w:spacing w:after="0" w:line="315" w:lineRule="auto"/>
        <w:tabs>
          <w:tab w:leader="none" w:pos="1767"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61" w:right="239" w:bottom="1440" w:gutter="0" w:footer="0" w:header="0"/>
        </w:sectPr>
      </w:pPr>
    </w:p>
    <w:bookmarkStart w:id="236" w:name="page237"/>
    <w:bookmarkEnd w:id="236"/>
    <w:p>
      <w:pPr>
        <w:ind w:left="660" w:firstLine="645"/>
        <w:spacing w:after="0" w:line="315" w:lineRule="auto"/>
        <w:tabs>
          <w:tab w:leader="none" w:pos="1794" w:val="left"/>
        </w:tabs>
        <w:numPr>
          <w:ilvl w:val="1"/>
          <w:numId w:val="248"/>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59" w:lineRule="exact"/>
        <w:rPr>
          <w:rFonts w:ascii="Arial" w:cs="Arial" w:eastAsia="Arial" w:hAnsi="Arial"/>
          <w:sz w:val="22"/>
          <w:szCs w:val="22"/>
          <w:color w:val="auto"/>
        </w:rPr>
      </w:pPr>
    </w:p>
    <w:p>
      <w:pPr>
        <w:ind w:firstLine="656"/>
        <w:spacing w:after="0" w:line="315" w:lineRule="auto"/>
        <w:tabs>
          <w:tab w:leader="none" w:pos="108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59" w:lineRule="exact"/>
        <w:rPr>
          <w:rFonts w:ascii="Arial" w:cs="Arial" w:eastAsia="Arial" w:hAnsi="Arial"/>
          <w:sz w:val="22"/>
          <w:szCs w:val="22"/>
          <w:color w:val="auto"/>
        </w:rPr>
      </w:pPr>
    </w:p>
    <w:p>
      <w:pPr>
        <w:ind w:left="1180" w:hanging="524"/>
        <w:spacing w:after="0"/>
        <w:tabs>
          <w:tab w:leader="none" w:pos="118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incur any liability. The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Trustee shall be under no obligation to exercise any of its rights and powers under this Indenture at the request of any Holders, unless such Holder shall have offered to the Trustee security and indemnity reasonably satisfactory to it against any loss, liability, claim or expense.</w:t>
      </w:r>
    </w:p>
    <w:p>
      <w:pPr>
        <w:spacing w:after="0" w:line="184" w:lineRule="exact"/>
        <w:rPr>
          <w:rFonts w:ascii="Arial" w:cs="Arial" w:eastAsia="Arial" w:hAnsi="Arial"/>
          <w:sz w:val="19"/>
          <w:szCs w:val="19"/>
          <w:color w:val="auto"/>
        </w:rPr>
      </w:pPr>
    </w:p>
    <w:p>
      <w:pPr>
        <w:ind w:firstLine="656"/>
        <w:spacing w:after="0" w:line="402" w:lineRule="auto"/>
        <w:tabs>
          <w:tab w:leader="none" w:pos="1058"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r>
        <w:rPr>
          <w:rFonts w:ascii="Arial" w:cs="Arial" w:eastAsia="Arial" w:hAnsi="Arial"/>
          <w:sz w:val="19"/>
          <w:szCs w:val="19"/>
          <w:color w:val="auto"/>
        </w:rPr>
        <w:t>.</w:t>
      </w:r>
    </w:p>
    <w:p>
      <w:pPr>
        <w:spacing w:after="0" w:line="274" w:lineRule="exact"/>
        <w:rPr>
          <w:sz w:val="20"/>
          <w:szCs w:val="20"/>
          <w:color w:val="auto"/>
        </w:rPr>
      </w:pPr>
    </w:p>
    <w:p>
      <w:pPr>
        <w:ind w:right="20" w:firstLine="656"/>
        <w:spacing w:after="0" w:line="341" w:lineRule="auto"/>
        <w:tabs>
          <w:tab w:leader="none" w:pos="1203"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37" w:lineRule="exact"/>
        <w:rPr>
          <w:rFonts w:ascii="Arial" w:cs="Arial" w:eastAsia="Arial" w:hAnsi="Arial"/>
          <w:sz w:val="21"/>
          <w:szCs w:val="21"/>
          <w:color w:val="auto"/>
        </w:rPr>
      </w:pPr>
    </w:p>
    <w:p>
      <w:pPr>
        <w:ind w:left="1160" w:hanging="504"/>
        <w:spacing w:after="0"/>
        <w:tabs>
          <w:tab w:leader="none" w:pos="11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or an Opinion of Counsel or</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90" w:lineRule="exact"/>
        <w:rPr>
          <w:rFonts w:ascii="Arial" w:cs="Arial" w:eastAsia="Arial" w:hAnsi="Arial"/>
          <w:sz w:val="19"/>
          <w:szCs w:val="19"/>
          <w:color w:val="auto"/>
        </w:rPr>
      </w:pPr>
    </w:p>
    <w:p>
      <w:pPr>
        <w:ind w:firstLine="656"/>
        <w:spacing w:after="0" w:line="315" w:lineRule="auto"/>
        <w:tabs>
          <w:tab w:leader="none" w:pos="1095"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59" w:lineRule="exact"/>
        <w:rPr>
          <w:rFonts w:ascii="Arial" w:cs="Arial" w:eastAsia="Arial" w:hAnsi="Arial"/>
          <w:sz w:val="22"/>
          <w:szCs w:val="22"/>
          <w:color w:val="auto"/>
        </w:rPr>
      </w:pPr>
    </w:p>
    <w:p>
      <w:pPr>
        <w:ind w:firstLine="656"/>
        <w:spacing w:after="0" w:line="315" w:lineRule="auto"/>
        <w:tabs>
          <w:tab w:leader="none" w:pos="110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59" w:lineRule="exact"/>
        <w:rPr>
          <w:rFonts w:ascii="Arial" w:cs="Arial" w:eastAsia="Arial" w:hAnsi="Arial"/>
          <w:sz w:val="22"/>
          <w:szCs w:val="22"/>
          <w:color w:val="auto"/>
        </w:rPr>
      </w:pPr>
    </w:p>
    <w:p>
      <w:pPr>
        <w:ind w:firstLine="656"/>
        <w:spacing w:after="0" w:line="315" w:lineRule="auto"/>
        <w:tabs>
          <w:tab w:leader="none" w:pos="108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 shall be sufficient if signed by an Officer of the Issuer.</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request or direction of any of the Holders unless such Holders have offered to the Trustee security or indemnity reasonably satisfactory to the Trustee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61"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the costs, expenses and liabilities that might be incurred by it in compliance with such request or direction.</w:t>
      </w:r>
    </w:p>
    <w:p>
      <w:pPr>
        <w:spacing w:after="0" w:line="260" w:lineRule="exact"/>
        <w:rPr>
          <w:sz w:val="20"/>
          <w:szCs w:val="20"/>
          <w:color w:val="auto"/>
        </w:rPr>
      </w:pPr>
    </w:p>
    <w:p>
      <w:pPr>
        <w:ind w:firstLine="656"/>
        <w:spacing w:after="0" w:line="315" w:lineRule="auto"/>
        <w:tabs>
          <w:tab w:leader="none" w:pos="1094" w:val="left"/>
        </w:tabs>
        <w:numPr>
          <w:ilvl w:val="0"/>
          <w:numId w:val="251"/>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 with respect to the covenants contained in Articles 4 and 5 hereof.</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Trustee shall not be deemed to have knowledge of an Event of Default except (i) any Default or Event of Default</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occurring pursuant to Sections 6.01(a) and (b) hereof or (ii) any Default or Event of Default of which the Trustee shall have received written notification thereof in accordance with Section 11.01.</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Trustee may request that the Issuer deliver Officer’s Certificates setting forth the names of individuals and their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84" w:lineRule="exact"/>
        <w:rPr>
          <w:rFonts w:ascii="Arial" w:cs="Arial" w:eastAsia="Arial" w:hAnsi="Arial"/>
          <w:sz w:val="19"/>
          <w:szCs w:val="19"/>
          <w:color w:val="auto"/>
        </w:rPr>
      </w:pPr>
    </w:p>
    <w:p>
      <w:pPr>
        <w:ind w:left="1040" w:hanging="384"/>
        <w:spacing w:after="0"/>
        <w:tabs>
          <w:tab w:leader="none" w:pos="104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73" w:lineRule="exact"/>
        <w:rPr>
          <w:rFonts w:ascii="Arial" w:cs="Arial" w:eastAsia="Arial" w:hAnsi="Arial"/>
          <w:sz w:val="22"/>
          <w:szCs w:val="22"/>
          <w:color w:val="auto"/>
        </w:rPr>
      </w:pPr>
    </w:p>
    <w:p>
      <w:pPr>
        <w:ind w:left="1160" w:hanging="504"/>
        <w:spacing w:after="0"/>
        <w:tabs>
          <w:tab w:leader="none" w:pos="11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60" w:lineRule="exact"/>
        <w:rPr>
          <w:rFonts w:ascii="Arial" w:cs="Arial" w:eastAsia="Arial" w:hAnsi="Arial"/>
          <w:sz w:val="19"/>
          <w:szCs w:val="19"/>
          <w:color w:val="auto"/>
        </w:rPr>
      </w:pPr>
    </w:p>
    <w:p>
      <w:pPr>
        <w:ind w:left="1140" w:hanging="484"/>
        <w:spacing w:after="0"/>
        <w:tabs>
          <w:tab w:leader="none" w:pos="114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7" w:lineRule="exact"/>
        <w:rPr>
          <w:rFonts w:ascii="Arial" w:cs="Arial" w:eastAsia="Arial" w:hAnsi="Arial"/>
          <w:sz w:val="19"/>
          <w:szCs w:val="19"/>
          <w:color w:val="auto"/>
        </w:rPr>
      </w:pPr>
    </w:p>
    <w:p>
      <w:pPr>
        <w:ind w:left="1160" w:hanging="504"/>
        <w:spacing w:after="0"/>
        <w:tabs>
          <w:tab w:leader="none" w:pos="11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special, punitive, indirect or consequential losses or damages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of any kind whatsoever (including, but not limited to, loss of profit) irrespective of whether the Trustee has been advised of the likelihood of such loss or damage and regardless of the form of action.</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The rights, privileges, protections, immunities and benefits given to the Trustee hereunder, including, without</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limitation, its right to be indemnified, are extended to, and shall be enforceable by, the Trustee in each of its capacities hereunder and each agent, custodian and other Person employed to act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61" w:right="239" w:bottom="1440" w:gutter="0" w:footer="0" w:header="0"/>
        </w:sectPr>
      </w:pPr>
    </w:p>
    <w:bookmarkStart w:id="238" w:name="page239"/>
    <w:bookmarkEnd w:id="238"/>
    <w:p>
      <w:pPr>
        <w:spacing w:after="0"/>
        <w:tabs>
          <w:tab w:leader="none" w:pos="12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If a Default or Event of Default occurs and is continuing and if it is actually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Compensation and Indemnity</w:t>
      </w:r>
      <w:r>
        <w:rPr>
          <w:rFonts w:ascii="Arial" w:cs="Arial" w:eastAsia="Arial" w:hAnsi="Arial"/>
          <w:sz w:val="19"/>
          <w:szCs w:val="19"/>
          <w:color w:val="auto"/>
        </w:rPr>
        <w:t>.</w:t>
      </w:r>
    </w:p>
    <w:p>
      <w:pPr>
        <w:spacing w:after="0" w:line="274" w:lineRule="exact"/>
        <w:rPr>
          <w:sz w:val="20"/>
          <w:szCs w:val="20"/>
          <w:color w:val="auto"/>
        </w:rPr>
      </w:pPr>
    </w:p>
    <w:p>
      <w:pPr>
        <w:ind w:left="1140" w:hanging="484"/>
        <w:spacing w:after="0"/>
        <w:tabs>
          <w:tab w:leader="none" w:pos="11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Issuer shall pay to the Trustee compensation as agreed upon in writing for its acceptance of this Indenture and</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services hereunder. The Trustee’s compensation shall not be limited by any law on compensation of a trustee of an express trust. The Issuer shall reimburse the Trustee promptly upon request for all reasonable and properly incurred disbursements, advances and expenses incurred or made by it in addition to the compensation for its services. Such expenses shall include the reasonable and properly incurred compensation, disbursements and expenses of the Trustee’s agents and counsel.</w:t>
      </w:r>
    </w:p>
    <w:p>
      <w:pPr>
        <w:spacing w:after="0" w:line="144" w:lineRule="exact"/>
        <w:rPr>
          <w:rFonts w:ascii="Arial" w:cs="Arial" w:eastAsia="Arial" w:hAnsi="Arial"/>
          <w:sz w:val="19"/>
          <w:szCs w:val="19"/>
          <w:color w:val="auto"/>
        </w:rPr>
      </w:pPr>
    </w:p>
    <w:p>
      <w:pPr>
        <w:ind w:right="20" w:firstLine="656"/>
        <w:spacing w:after="0" w:line="315" w:lineRule="auto"/>
        <w:tabs>
          <w:tab w:leader="none" w:pos="1094"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Issuer shall indemnify the Trustee against any and all losses, liabilities or expenses incurred by it arising out of or in connection with the acceptance or administration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61" w:right="239" w:bottom="1440" w:gutter="0" w:footer="0" w:header="0"/>
        </w:sectPr>
      </w:pPr>
    </w:p>
    <w:bookmarkStart w:id="239" w:name="page240"/>
    <w:bookmarkEnd w:id="239"/>
    <w:p>
      <w:pPr>
        <w:jc w:val="both"/>
        <w:spacing w:after="0" w:line="299" w:lineRule="auto"/>
        <w:rPr>
          <w:sz w:val="20"/>
          <w:szCs w:val="20"/>
          <w:color w:val="auto"/>
        </w:rPr>
      </w:pPr>
      <w:r>
        <w:rPr>
          <w:rFonts w:ascii="Arial" w:cs="Arial" w:eastAsia="Arial" w:hAnsi="Arial"/>
          <w:sz w:val="21"/>
          <w:szCs w:val="21"/>
          <w:color w:val="auto"/>
        </w:rPr>
        <w:t>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86" w:lineRule="exact"/>
        <w:rPr>
          <w:sz w:val="20"/>
          <w:szCs w:val="20"/>
          <w:color w:val="auto"/>
        </w:rPr>
      </w:pPr>
    </w:p>
    <w:p>
      <w:pPr>
        <w:ind w:firstLine="656"/>
        <w:spacing w:after="0" w:line="315" w:lineRule="auto"/>
        <w:tabs>
          <w:tab w:leader="none" w:pos="1109"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obligations of the Issuer under this Section 7.06 shall survive the satisfaction and discharge of this Indenture and the resignation or removal of the Trustee.</w:t>
      </w:r>
    </w:p>
    <w:p>
      <w:pPr>
        <w:spacing w:after="0" w:line="159" w:lineRule="exact"/>
        <w:rPr>
          <w:rFonts w:ascii="Arial" w:cs="Arial" w:eastAsia="Arial" w:hAnsi="Arial"/>
          <w:sz w:val="22"/>
          <w:szCs w:val="22"/>
          <w:color w:val="auto"/>
        </w:rPr>
      </w:pPr>
    </w:p>
    <w:p>
      <w:pPr>
        <w:ind w:left="1120" w:hanging="464"/>
        <w:spacing w:after="0"/>
        <w:tabs>
          <w:tab w:leader="none" w:pos="112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To secure the Issuer’s payment obligations in this Section 7.06, the Trustee shall have a Lien prior to the Notes on all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money or property held or collected by the Trustee, except money or property held in trust to pay principal and interest on particular Notes. Such Lien shall survive the satisfaction and discharge of this Indenture.</w:t>
      </w:r>
    </w:p>
    <w:p>
      <w:pPr>
        <w:spacing w:after="0" w:line="173" w:lineRule="exact"/>
        <w:rPr>
          <w:rFonts w:ascii="Arial" w:cs="Arial" w:eastAsia="Arial" w:hAnsi="Arial"/>
          <w:sz w:val="19"/>
          <w:szCs w:val="19"/>
          <w:color w:val="auto"/>
        </w:rPr>
      </w:pPr>
    </w:p>
    <w:p>
      <w:pPr>
        <w:ind w:left="1180" w:hanging="524"/>
        <w:spacing w:after="0"/>
        <w:tabs>
          <w:tab w:leader="none" w:pos="118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When the Trustee incurs expenses or renders services after an Event of Default specified in Section 6.01(g) or (h)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hereof occurs, the expenses and the compensation for the services (including the fees and expenses of its agents and counsel) are intended to constitute expenses of administration under any Bankruptcy Law.</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Replacement of Trustee</w:t>
      </w:r>
      <w:r>
        <w:rPr>
          <w:rFonts w:ascii="Arial" w:cs="Arial" w:eastAsia="Arial" w:hAnsi="Arial"/>
          <w:sz w:val="19"/>
          <w:szCs w:val="19"/>
          <w:color w:val="auto"/>
        </w:rPr>
        <w:t>.</w:t>
      </w:r>
    </w:p>
    <w:p>
      <w:pPr>
        <w:spacing w:after="0" w:line="274" w:lineRule="exact"/>
        <w:rPr>
          <w:sz w:val="20"/>
          <w:szCs w:val="20"/>
          <w:color w:val="auto"/>
        </w:rPr>
      </w:pPr>
    </w:p>
    <w:p>
      <w:pPr>
        <w:ind w:firstLine="656"/>
        <w:spacing w:after="0" w:line="315" w:lineRule="auto"/>
        <w:tabs>
          <w:tab w:leader="none" w:pos="1109"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159" w:lineRule="exact"/>
        <w:rPr>
          <w:rFonts w:ascii="Arial" w:cs="Arial" w:eastAsia="Arial" w:hAnsi="Arial"/>
          <w:sz w:val="22"/>
          <w:szCs w:val="22"/>
          <w:color w:val="auto"/>
        </w:rPr>
      </w:pPr>
    </w:p>
    <w:p>
      <w:pPr>
        <w:ind w:left="1160" w:hanging="504"/>
        <w:spacing w:after="0"/>
        <w:tabs>
          <w:tab w:leader="none" w:pos="11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Trustee may resign in writing at any time and be discharged from the trust hereby created by so notifying the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Issuer in writing. The Holders of a majority in principal amount of the then outstanding Notes may remove the Trustee by so notifying the Trustee and the Issuer in writing. The Issuer may remove the Trustee if:</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73" w:lineRule="exact"/>
        <w:rPr>
          <w:rFonts w:ascii="Arial" w:cs="Arial" w:eastAsia="Arial" w:hAnsi="Arial"/>
          <w:sz w:val="22"/>
          <w:szCs w:val="22"/>
          <w:color w:val="auto"/>
        </w:rPr>
      </w:pPr>
    </w:p>
    <w:p>
      <w:pPr>
        <w:ind w:left="660" w:firstLine="645"/>
        <w:spacing w:after="0" w:line="315" w:lineRule="auto"/>
        <w:tabs>
          <w:tab w:leader="none" w:pos="1794" w:val="left"/>
        </w:tabs>
        <w:numPr>
          <w:ilvl w:val="1"/>
          <w:numId w:val="254"/>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59" w:lineRule="exact"/>
        <w:rPr>
          <w:rFonts w:ascii="Arial" w:cs="Arial" w:eastAsia="Arial" w:hAnsi="Arial"/>
          <w:sz w:val="22"/>
          <w:szCs w:val="22"/>
          <w:color w:val="auto"/>
        </w:rPr>
      </w:pPr>
    </w:p>
    <w:p>
      <w:pPr>
        <w:ind w:left="1740" w:hanging="435"/>
        <w:spacing w:after="0"/>
        <w:tabs>
          <w:tab w:leader="none" w:pos="174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861" w:right="239" w:bottom="1440" w:gutter="0" w:footer="0" w:header="0"/>
        </w:sectPr>
      </w:pPr>
    </w:p>
    <w:bookmarkStart w:id="240" w:name="page241"/>
    <w:bookmarkEnd w:id="240"/>
    <w:p>
      <w:pPr>
        <w:ind w:left="1180" w:hanging="524"/>
        <w:spacing w:after="0"/>
        <w:tabs>
          <w:tab w:leader="none" w:pos="118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Trustee resigns or is removed or if a vacancy exists in the office of Trustee for any reason, the Issuer shall</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4" w:lineRule="exact"/>
        <w:rPr>
          <w:rFonts w:ascii="Arial" w:cs="Arial" w:eastAsia="Arial" w:hAnsi="Arial"/>
          <w:sz w:val="19"/>
          <w:szCs w:val="19"/>
          <w:color w:val="auto"/>
        </w:rPr>
      </w:pPr>
    </w:p>
    <w:p>
      <w:pPr>
        <w:ind w:left="1120" w:hanging="464"/>
        <w:spacing w:after="0"/>
        <w:tabs>
          <w:tab w:leader="none" w:pos="112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a successor Trustee does not take office within 60 days after the retiring Trustee resigns or is removed, the retiring</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Trustee, the Issuer or the Holders of at least 10% in principal amount of the then outstanding Notes may petition any court of competent jurisdiction, at the expense of the Issuer, for the appointment of a successor Trustee.</w:t>
      </w:r>
    </w:p>
    <w:p>
      <w:pPr>
        <w:spacing w:after="0" w:line="173" w:lineRule="exact"/>
        <w:rPr>
          <w:rFonts w:ascii="Arial" w:cs="Arial" w:eastAsia="Arial" w:hAnsi="Arial"/>
          <w:sz w:val="19"/>
          <w:szCs w:val="19"/>
          <w:color w:val="auto"/>
        </w:rPr>
      </w:pPr>
    </w:p>
    <w:p>
      <w:pPr>
        <w:ind w:left="1100" w:hanging="444"/>
        <w:spacing w:after="0"/>
        <w:tabs>
          <w:tab w:leader="none" w:pos="110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Trustee, after written request by any Holder who has been a Holder for at least six months, fails to comply with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Section 7.09 hereof, such Holder may petition any court of competent jurisdiction, at the expense of the Issuer, for the removal of the Trustee and the appointment of a successor Trustee.</w:t>
      </w:r>
    </w:p>
    <w:p>
      <w:pPr>
        <w:spacing w:after="0" w:line="173" w:lineRule="exact"/>
        <w:rPr>
          <w:rFonts w:ascii="Arial" w:cs="Arial" w:eastAsia="Arial" w:hAnsi="Arial"/>
          <w:sz w:val="19"/>
          <w:szCs w:val="19"/>
          <w:color w:val="auto"/>
        </w:rPr>
      </w:pPr>
    </w:p>
    <w:p>
      <w:pPr>
        <w:ind w:left="1160" w:hanging="504"/>
        <w:spacing w:after="0"/>
        <w:tabs>
          <w:tab w:leader="none" w:pos="11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 successor Trustee shall deliver a written acceptance of its appointment to the retiring Trustee and to the Issuer.</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i w:val="1"/>
          <w:iCs w:val="1"/>
          <w:color w:val="auto"/>
        </w:rPr>
        <w:t>Successor Trustee by Merger, etc.</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 with the same effect as if the successor Trustee had been named as the Trustee in this Indenture.</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21"/>
          <w:szCs w:val="21"/>
          <w:i w:val="1"/>
          <w:iCs w:val="1"/>
          <w:color w:val="auto"/>
        </w:rPr>
        <w:t>Eligibility; Disqualification</w:t>
      </w:r>
      <w:r>
        <w:rPr>
          <w:rFonts w:ascii="Arial" w:cs="Arial" w:eastAsia="Arial" w:hAnsi="Arial"/>
          <w:sz w:val="21"/>
          <w:szCs w:val="21"/>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US$50 million as set forth in its most recent published annual report of condition.</w:t>
      </w:r>
    </w:p>
    <w:p>
      <w:pPr>
        <w:spacing w:after="0" w:line="19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LEGAL DEFEASANCE AND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861" w:right="239" w:bottom="1440" w:gutter="0" w:footer="0" w:header="0"/>
        </w:sectPr>
      </w:pPr>
    </w:p>
    <w:bookmarkStart w:id="241" w:name="page242"/>
    <w:bookmarkEnd w:id="241"/>
    <w:p>
      <w:pPr>
        <w:spacing w:after="0"/>
        <w:tabs>
          <w:tab w:leader="none" w:pos="12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Legal Defeasance and Discharge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Arial" w:cs="Arial" w:eastAsia="Arial" w:hAnsi="Arial"/>
          <w:sz w:val="21"/>
          <w:szCs w:val="21"/>
          <w:i w:val="1"/>
          <w:iCs w:val="1"/>
          <w:color w:val="auto"/>
        </w:rPr>
        <w:t>Legal Defeasance</w:t>
      </w:r>
      <w:r>
        <w:rPr>
          <w:rFonts w:ascii="Arial" w:cs="Arial" w:eastAsia="Arial" w:hAnsi="Arial"/>
          <w:sz w:val="21"/>
          <w:szCs w:val="21"/>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183" w:lineRule="exact"/>
        <w:rPr>
          <w:sz w:val="20"/>
          <w:szCs w:val="20"/>
          <w:color w:val="auto"/>
        </w:rPr>
      </w:pPr>
    </w:p>
    <w:p>
      <w:pPr>
        <w:ind w:left="660" w:firstLine="1293"/>
        <w:spacing w:after="0" w:line="402" w:lineRule="auto"/>
        <w:tabs>
          <w:tab w:leader="none" w:pos="240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payments in respect of the principal of, or interest or premium, if any, on such Notes when such payments are due from the trust referred to in Section 8.04 hereof;</w:t>
      </w:r>
    </w:p>
    <w:p>
      <w:pPr>
        <w:spacing w:after="0" w:line="91" w:lineRule="exact"/>
        <w:rPr>
          <w:rFonts w:ascii="Arial" w:cs="Arial" w:eastAsia="Arial" w:hAnsi="Arial"/>
          <w:sz w:val="19"/>
          <w:szCs w:val="19"/>
          <w:color w:val="auto"/>
        </w:rPr>
      </w:pPr>
    </w:p>
    <w:p>
      <w:pPr>
        <w:ind w:left="2380" w:hanging="427"/>
        <w:spacing w:after="0"/>
        <w:tabs>
          <w:tab w:leader="none" w:pos="238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73" w:lineRule="exact"/>
        <w:rPr>
          <w:rFonts w:ascii="Arial" w:cs="Arial" w:eastAsia="Arial" w:hAnsi="Arial"/>
          <w:sz w:val="22"/>
          <w:szCs w:val="22"/>
          <w:color w:val="auto"/>
        </w:rPr>
      </w:pPr>
    </w:p>
    <w:p>
      <w:pPr>
        <w:ind w:left="660" w:right="20" w:firstLine="1293"/>
        <w:spacing w:after="0" w:line="315" w:lineRule="auto"/>
        <w:tabs>
          <w:tab w:leader="none" w:pos="239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obligations in connection therewith; and</w:t>
      </w:r>
    </w:p>
    <w:p>
      <w:pPr>
        <w:spacing w:after="0" w:line="159" w:lineRule="exact"/>
        <w:rPr>
          <w:rFonts w:ascii="Arial" w:cs="Arial" w:eastAsia="Arial" w:hAnsi="Arial"/>
          <w:sz w:val="22"/>
          <w:szCs w:val="22"/>
          <w:color w:val="auto"/>
        </w:rPr>
      </w:pPr>
    </w:p>
    <w:p>
      <w:pPr>
        <w:ind w:left="2380" w:hanging="427"/>
        <w:spacing w:after="0"/>
        <w:tabs>
          <w:tab w:leader="none" w:pos="238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7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Subject to compliance with this Article 8, the Issuer may exercise its option under this Section 8.02 notwithstanding the prior exercise of its option under Section 8.03 hereof.</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Covenant Defeasance</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 and 4.08 hereof with respect to the outstanding Notes on and after the date the conditions set forth in Section 8.04 hereof are satisfied (hereinafter, “</w:t>
      </w:r>
      <w:r>
        <w:rPr>
          <w:rFonts w:ascii="Arial" w:cs="Arial" w:eastAsia="Arial" w:hAnsi="Arial"/>
          <w:sz w:val="22"/>
          <w:szCs w:val="22"/>
          <w:i w:val="1"/>
          <w:iCs w:val="1"/>
          <w:color w:val="auto"/>
        </w:rPr>
        <w:t>Covenant Defeasance</w:t>
      </w:r>
      <w:r>
        <w:rPr>
          <w:rFonts w:ascii="Arial" w:cs="Arial" w:eastAsia="Arial" w:hAnsi="Arial"/>
          <w:sz w:val="22"/>
          <w:szCs w:val="22"/>
          <w:color w:val="auto"/>
        </w:rPr>
        <w:t>”), and the Notes shall thereafter be deemed not “outstanding” for the purposes of any direction, waiver, consent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61" w:right="239" w:bottom="1440" w:gutter="0" w:footer="0" w:header="0"/>
        </w:sectPr>
      </w:pPr>
    </w:p>
    <w:bookmarkStart w:id="242" w:name="page243"/>
    <w:bookmarkEnd w:id="242"/>
    <w:p>
      <w:pPr>
        <w:jc w:val="both"/>
        <w:spacing w:after="0" w:line="298" w:lineRule="auto"/>
        <w:rPr>
          <w:sz w:val="20"/>
          <w:szCs w:val="20"/>
          <w:color w:val="auto"/>
        </w:rPr>
      </w:pPr>
      <w:r>
        <w:rPr>
          <w:rFonts w:ascii="Arial" w:cs="Arial" w:eastAsia="Arial" w:hAnsi="Arial"/>
          <w:sz w:val="21"/>
          <w:szCs w:val="21"/>
          <w:color w:val="auto"/>
        </w:rPr>
        <w:t>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72" w:lineRule="exact"/>
        <w:rPr>
          <w:sz w:val="20"/>
          <w:szCs w:val="20"/>
          <w:color w:val="auto"/>
        </w:rPr>
      </w:pPr>
    </w:p>
    <w:p>
      <w:pPr>
        <w:ind w:left="1160" w:hanging="504"/>
        <w:spacing w:after="0"/>
        <w:tabs>
          <w:tab w:leader="none" w:pos="116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Issuer must irrevocably deposit with the Trustee or its designee, in trust, for the benefit of the Holders, cash in</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77" w:lineRule="exact"/>
        <w:rPr>
          <w:rFonts w:ascii="Arial" w:cs="Arial" w:eastAsia="Arial" w:hAnsi="Arial"/>
          <w:sz w:val="19"/>
          <w:szCs w:val="19"/>
          <w:color w:val="auto"/>
        </w:rPr>
      </w:pPr>
    </w:p>
    <w:p>
      <w:pPr>
        <w:ind w:left="1180" w:hanging="524"/>
        <w:spacing w:after="0"/>
        <w:tabs>
          <w:tab w:leader="none" w:pos="118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 must deliver to the Trustee an Opinion of Counsel</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52" w:lineRule="exact"/>
        <w:rPr>
          <w:rFonts w:ascii="Arial" w:cs="Arial" w:eastAsia="Arial" w:hAnsi="Arial"/>
          <w:sz w:val="19"/>
          <w:szCs w:val="19"/>
          <w:color w:val="auto"/>
        </w:rPr>
      </w:pPr>
    </w:p>
    <w:p>
      <w:pPr>
        <w:ind w:left="1160" w:hanging="504"/>
        <w:spacing w:after="0"/>
        <w:tabs>
          <w:tab w:leader="none" w:pos="116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 has delivered to the Trustee an Opinion of Counsel</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reasonably acceptable to the Trustee confirming that the Holders of the outstanding Notes shall not recognize income, gain or loss for United States federal income tax purposes as a result of such Covenant Defeasance and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61" w:right="239" w:bottom="1440" w:gutter="0" w:footer="0" w:header="0"/>
        </w:sectPr>
      </w:pPr>
    </w:p>
    <w:bookmarkStart w:id="243" w:name="page244"/>
    <w:bookmarkEnd w:id="243"/>
    <w:p>
      <w:pPr>
        <w:spacing w:after="0" w:line="302" w:lineRule="auto"/>
        <w:rPr>
          <w:sz w:val="20"/>
          <w:szCs w:val="20"/>
          <w:color w:val="auto"/>
        </w:rPr>
      </w:pPr>
      <w:r>
        <w:rPr>
          <w:rFonts w:ascii="Arial" w:cs="Arial" w:eastAsia="Arial" w:hAnsi="Arial"/>
          <w:sz w:val="22"/>
          <w:szCs w:val="22"/>
          <w:color w:val="auto"/>
        </w:rPr>
        <w:t>United States federal income tax on the same amounts, in the same manner and at the same times as would have been the case if such Covenant Defeasance had not occurred;</w:t>
      </w:r>
    </w:p>
    <w:p>
      <w:pPr>
        <w:spacing w:after="0" w:line="174" w:lineRule="exact"/>
        <w:rPr>
          <w:sz w:val="20"/>
          <w:szCs w:val="20"/>
          <w:color w:val="auto"/>
        </w:rPr>
      </w:pPr>
    </w:p>
    <w:p>
      <w:pPr>
        <w:ind w:left="1160" w:hanging="504"/>
        <w:spacing w:after="0"/>
        <w:tabs>
          <w:tab w:leader="none" w:pos="11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such deposit (other than a Default or</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05" w:lineRule="exact"/>
        <w:rPr>
          <w:rFonts w:ascii="Arial" w:cs="Arial" w:eastAsia="Arial" w:hAnsi="Arial"/>
          <w:sz w:val="19"/>
          <w:szCs w:val="19"/>
          <w:color w:val="auto"/>
        </w:rPr>
      </w:pPr>
    </w:p>
    <w:p>
      <w:pPr>
        <w:ind w:left="1180" w:hanging="524"/>
        <w:spacing w:after="0"/>
        <w:tabs>
          <w:tab w:leader="none" w:pos="118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such Legal Defeasance or Covenant Defeasance shall not result in a breach or violation of, or constitute a default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under, any material agreement or instrument (other than this Indenture) to which the Issuer is a party or by which any such Person is bound;</w:t>
      </w:r>
    </w:p>
    <w:p>
      <w:pPr>
        <w:spacing w:after="0" w:line="173" w:lineRule="exact"/>
        <w:rPr>
          <w:rFonts w:ascii="Arial" w:cs="Arial" w:eastAsia="Arial" w:hAnsi="Arial"/>
          <w:sz w:val="19"/>
          <w:szCs w:val="19"/>
          <w:color w:val="auto"/>
        </w:rPr>
      </w:pPr>
    </w:p>
    <w:p>
      <w:pPr>
        <w:ind w:left="1060" w:hanging="404"/>
        <w:spacing w:after="0"/>
        <w:tabs>
          <w:tab w:leader="none" w:pos="10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 must deliver to the Trustee an Opinion of Counsel to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190" w:lineRule="exact"/>
        <w:rPr>
          <w:rFonts w:ascii="Arial" w:cs="Arial" w:eastAsia="Arial" w:hAnsi="Arial"/>
          <w:sz w:val="19"/>
          <w:szCs w:val="19"/>
          <w:color w:val="auto"/>
        </w:rPr>
      </w:pPr>
    </w:p>
    <w:p>
      <w:pPr>
        <w:ind w:left="1120" w:hanging="464"/>
        <w:spacing w:after="0"/>
        <w:tabs>
          <w:tab w:leader="none" w:pos="112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Issuer must deliver to the Trustee an Officer’s Certificate stating that the deposit was not made by the Issuer with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intent of preferring the Holders of Notes over the other creditors of the Issuer with the intent of defeating, hindering, delaying or defrauding any creditors of the Issuer or others; and</w:t>
      </w:r>
    </w:p>
    <w:p>
      <w:pPr>
        <w:spacing w:after="0" w:line="173" w:lineRule="exact"/>
        <w:rPr>
          <w:rFonts w:ascii="Arial" w:cs="Arial" w:eastAsia="Arial" w:hAnsi="Arial"/>
          <w:sz w:val="19"/>
          <w:szCs w:val="19"/>
          <w:color w:val="auto"/>
        </w:rPr>
      </w:pPr>
    </w:p>
    <w:p>
      <w:pPr>
        <w:ind w:firstLine="656"/>
        <w:spacing w:after="0" w:line="315" w:lineRule="auto"/>
        <w:tabs>
          <w:tab w:leader="none" w:pos="124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7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9"/>
          <w:szCs w:val="19"/>
          <w:i w:val="1"/>
          <w:iCs w:val="1"/>
          <w:color w:val="auto"/>
        </w:rPr>
        <w:t>Trustee</w:t>
      </w:r>
      <w:r>
        <w:rPr>
          <w:rFonts w:ascii="Arial" w:cs="Arial" w:eastAsia="Arial" w:hAnsi="Arial"/>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shall pay and indemnify the Trustee against any tax, fee or other charge imposed on or assessed against the cash or Government Securities deposited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861" w:right="239" w:bottom="1440" w:gutter="0" w:footer="0" w:header="0"/>
        </w:sectPr>
      </w:pPr>
    </w:p>
    <w:bookmarkStart w:id="244" w:name="page245"/>
    <w:bookmarkEnd w:id="244"/>
    <w:p>
      <w:pPr>
        <w:jc w:val="both"/>
        <w:ind w:right="20"/>
        <w:spacing w:after="0" w:line="302" w:lineRule="auto"/>
        <w:rPr>
          <w:sz w:val="20"/>
          <w:szCs w:val="20"/>
          <w:color w:val="auto"/>
        </w:rPr>
      </w:pPr>
      <w:r>
        <w:rPr>
          <w:rFonts w:ascii="Arial" w:cs="Arial" w:eastAsia="Arial" w:hAnsi="Arial"/>
          <w:sz w:val="22"/>
          <w:szCs w:val="22"/>
          <w:color w:val="auto"/>
        </w:rPr>
        <w:t>8.04 hereof or the principal and interest received in respect thereof other than any such tax, fee or other charge which by law is for the account of the Holders of the outstanding Notes.</w:t>
      </w:r>
    </w:p>
    <w:p>
      <w:pPr>
        <w:spacing w:after="0" w:line="1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i w:val="1"/>
          <w:iCs w:val="1"/>
          <w:color w:val="auto"/>
        </w:rPr>
        <w:t>Repayment to Issuer</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5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i w:val="1"/>
          <w:iCs w:val="1"/>
          <w:color w:val="auto"/>
        </w:rPr>
        <w:t>Reinstatement</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9</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AMENDMENT, SUPPLEMENT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61" w:right="239" w:bottom="1440" w:gutter="0" w:footer="0" w:header="0"/>
        </w:sectPr>
      </w:pPr>
    </w:p>
    <w:bookmarkStart w:id="245" w:name="page246"/>
    <w:bookmarkEnd w:id="245"/>
    <w:p>
      <w:pPr>
        <w:spacing w:after="0"/>
        <w:tabs>
          <w:tab w:leader="none" w:pos="12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Notwithstanding Section 9.02 hereof, without the consent of any Holder, the Issuer and the Trustee may amend or supplement this Indenture or the Notes to:</w:t>
      </w:r>
    </w:p>
    <w:p>
      <w:pPr>
        <w:spacing w:after="0" w:line="174" w:lineRule="exact"/>
        <w:rPr>
          <w:sz w:val="20"/>
          <w:szCs w:val="20"/>
          <w:color w:val="auto"/>
        </w:rPr>
      </w:pPr>
    </w:p>
    <w:p>
      <w:pPr>
        <w:ind w:left="1080" w:hanging="424"/>
        <w:spacing w:after="0"/>
        <w:tabs>
          <w:tab w:leader="none" w:pos="108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73" w:lineRule="exact"/>
        <w:rPr>
          <w:rFonts w:ascii="Arial" w:cs="Arial" w:eastAsia="Arial" w:hAnsi="Arial"/>
          <w:sz w:val="22"/>
          <w:szCs w:val="22"/>
          <w:color w:val="auto"/>
        </w:rPr>
      </w:pPr>
    </w:p>
    <w:p>
      <w:pPr>
        <w:ind w:right="20" w:firstLine="656"/>
        <w:spacing w:after="0" w:line="402" w:lineRule="auto"/>
        <w:tabs>
          <w:tab w:leader="none" w:pos="112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91" w:lineRule="exact"/>
        <w:rPr>
          <w:rFonts w:ascii="Arial" w:cs="Arial" w:eastAsia="Arial" w:hAnsi="Arial"/>
          <w:sz w:val="19"/>
          <w:szCs w:val="19"/>
          <w:color w:val="auto"/>
        </w:rPr>
      </w:pPr>
    </w:p>
    <w:p>
      <w:pPr>
        <w:ind w:firstLine="656"/>
        <w:spacing w:after="0" w:line="341" w:lineRule="auto"/>
        <w:tabs>
          <w:tab w:leader="none" w:pos="1122" w:val="left"/>
        </w:tabs>
        <w:numPr>
          <w:ilvl w:val="0"/>
          <w:numId w:val="259"/>
        </w:numPr>
        <w:rPr>
          <w:rFonts w:ascii="Arial" w:cs="Arial" w:eastAsia="Arial" w:hAnsi="Arial"/>
          <w:sz w:val="21"/>
          <w:szCs w:val="21"/>
          <w:color w:val="auto"/>
        </w:rPr>
      </w:pPr>
      <w:r>
        <w:rPr>
          <w:rFonts w:ascii="Arial" w:cs="Arial" w:eastAsia="Arial" w:hAnsi="Arial"/>
          <w:sz w:val="21"/>
          <w:szCs w:val="21"/>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37" w:lineRule="exact"/>
        <w:rPr>
          <w:rFonts w:ascii="Arial" w:cs="Arial" w:eastAsia="Arial" w:hAnsi="Arial"/>
          <w:sz w:val="21"/>
          <w:szCs w:val="21"/>
          <w:color w:val="auto"/>
        </w:rPr>
      </w:pPr>
    </w:p>
    <w:p>
      <w:pPr>
        <w:ind w:firstLine="656"/>
        <w:spacing w:after="0" w:line="315" w:lineRule="auto"/>
        <w:tabs>
          <w:tab w:leader="none" w:pos="1161" w:val="left"/>
        </w:tabs>
        <w:numPr>
          <w:ilvl w:val="0"/>
          <w:numId w:val="259"/>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59" w:lineRule="exact"/>
        <w:rPr>
          <w:rFonts w:ascii="Arial" w:cs="Arial" w:eastAsia="Arial" w:hAnsi="Arial"/>
          <w:sz w:val="22"/>
          <w:szCs w:val="22"/>
          <w:color w:val="auto"/>
        </w:rPr>
      </w:pPr>
    </w:p>
    <w:p>
      <w:pPr>
        <w:ind w:left="1180" w:hanging="524"/>
        <w:spacing w:after="0"/>
        <w:tabs>
          <w:tab w:leader="none" w:pos="118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conform the text of this Indenture or the Notes to any provision of the “Description of the Notes” in the Issuer’s</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Offering Memorandum dated as of September 13, 2017, relating to the offering of the Initial Notes, to the extent that such provision in the “Description of the Notes” was intended to be a verbatim recitation of a provision of this Indenture or the Notes, which intent may be evidenced by an Officer’s Certificate to that effect;</w:t>
      </w:r>
    </w:p>
    <w:p>
      <w:pPr>
        <w:spacing w:after="0" w:line="184" w:lineRule="exact"/>
        <w:rPr>
          <w:rFonts w:ascii="Arial" w:cs="Arial" w:eastAsia="Arial" w:hAnsi="Arial"/>
          <w:sz w:val="21"/>
          <w:szCs w:val="21"/>
          <w:color w:val="auto"/>
        </w:rPr>
      </w:pPr>
    </w:p>
    <w:p>
      <w:pPr>
        <w:ind w:right="20" w:firstLine="656"/>
        <w:spacing w:after="0" w:line="315" w:lineRule="auto"/>
        <w:tabs>
          <w:tab w:leader="none" w:pos="1058" w:val="left"/>
        </w:tabs>
        <w:numPr>
          <w:ilvl w:val="0"/>
          <w:numId w:val="259"/>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comply with the procedures of DTC, Euroclear or Clearstream;</w:t>
      </w:r>
    </w:p>
    <w:p>
      <w:pPr>
        <w:spacing w:after="0" w:line="273" w:lineRule="exact"/>
        <w:rPr>
          <w:rFonts w:ascii="Arial" w:cs="Arial" w:eastAsia="Arial" w:hAnsi="Arial"/>
          <w:sz w:val="22"/>
          <w:szCs w:val="22"/>
          <w:color w:val="auto"/>
        </w:rPr>
      </w:pPr>
    </w:p>
    <w:p>
      <w:pPr>
        <w:ind w:left="1100" w:hanging="444"/>
        <w:spacing w:after="0"/>
        <w:tabs>
          <w:tab w:leader="none" w:pos="110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allow a Person to Guarantee the Issuer’s obligations under this Indenture and the Notes by executing a supplemental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indenture with respect to the Notes (or to release any such Person from such a Guarantee as provided or permitted by the terms of this Indenture and such Guarantee); or</w:t>
      </w:r>
    </w:p>
    <w:p>
      <w:pPr>
        <w:spacing w:after="0" w:line="173" w:lineRule="exact"/>
        <w:rPr>
          <w:rFonts w:ascii="Arial" w:cs="Arial" w:eastAsia="Arial" w:hAnsi="Arial"/>
          <w:sz w:val="19"/>
          <w:szCs w:val="19"/>
          <w:color w:val="auto"/>
        </w:rPr>
      </w:pPr>
    </w:p>
    <w:p>
      <w:pPr>
        <w:ind w:firstLine="656"/>
        <w:spacing w:after="0" w:line="315" w:lineRule="auto"/>
        <w:tabs>
          <w:tab w:leader="none" w:pos="1073" w:val="left"/>
        </w:tabs>
        <w:numPr>
          <w:ilvl w:val="0"/>
          <w:numId w:val="259"/>
        </w:numPr>
        <w:rPr>
          <w:rFonts w:ascii="Arial" w:cs="Arial" w:eastAsia="Arial" w:hAnsi="Arial"/>
          <w:sz w:val="22"/>
          <w:szCs w:val="22"/>
          <w:color w:val="auto"/>
        </w:rPr>
      </w:pPr>
      <w:r>
        <w:rPr>
          <w:rFonts w:ascii="Arial" w:cs="Arial" w:eastAsia="Arial" w:hAnsi="Arial"/>
          <w:sz w:val="22"/>
          <w:szCs w:val="22"/>
          <w:color w:val="auto"/>
        </w:rPr>
        <w:t>provide for the Notes to become secured (or to release such security as permitted by this Indenture and the applicable security documents).</w:t>
      </w:r>
    </w:p>
    <w:p>
      <w:pPr>
        <w:spacing w:after="0" w:line="1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shall join with the Issuer in the execution of any amended or supplemental indenture authorized or permitted by the terms of this Indenture and to make any further appropriate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861" w:right="239" w:bottom="1440" w:gutter="0" w:footer="0" w:header="0"/>
        </w:sectPr>
      </w:pPr>
    </w:p>
    <w:bookmarkStart w:id="246" w:name="page247"/>
    <w:bookmarkEnd w:id="246"/>
    <w:p>
      <w:pPr>
        <w:jc w:val="both"/>
        <w:spacing w:after="0" w:line="302" w:lineRule="auto"/>
        <w:rPr>
          <w:sz w:val="20"/>
          <w:szCs w:val="20"/>
          <w:color w:val="auto"/>
        </w:rPr>
      </w:pPr>
      <w:r>
        <w:rPr>
          <w:rFonts w:ascii="Arial" w:cs="Arial" w:eastAsia="Arial" w:hAnsi="Arial"/>
          <w:sz w:val="22"/>
          <w:szCs w:val="22"/>
          <w:color w:val="auto"/>
        </w:rPr>
        <w:t>stipulations that may be therein contained, but the Trustee shall not be obligated to enter into such amended or supplemental indenture that affects its own rights, duties or immunities under this Indenture or otherwise.</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861" w:right="239" w:bottom="1440" w:gutter="0" w:footer="0" w:header="0"/>
        </w:sectPr>
      </w:pPr>
    </w:p>
    <w:bookmarkStart w:id="247" w:name="page248"/>
    <w:bookmarkEnd w:id="247"/>
    <w:p>
      <w:pPr>
        <w:jc w:val="both"/>
        <w:ind w:firstLine="648"/>
        <w:spacing w:after="0" w:line="336" w:lineRule="auto"/>
        <w:rPr>
          <w:sz w:val="20"/>
          <w:szCs w:val="20"/>
          <w:color w:val="auto"/>
        </w:rPr>
      </w:pPr>
      <w:r>
        <w:rPr>
          <w:rFonts w:ascii="Arial" w:cs="Arial" w:eastAsia="Arial" w:hAnsi="Arial"/>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55" w:lineRule="exact"/>
        <w:rPr>
          <w:sz w:val="20"/>
          <w:szCs w:val="20"/>
          <w:color w:val="auto"/>
        </w:rPr>
      </w:pPr>
    </w:p>
    <w:p>
      <w:pPr>
        <w:ind w:left="1080" w:hanging="424"/>
        <w:spacing w:after="0"/>
        <w:tabs>
          <w:tab w:leader="none" w:pos="108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85" w:lineRule="exact"/>
        <w:rPr>
          <w:rFonts w:ascii="Arial" w:cs="Arial" w:eastAsia="Arial" w:hAnsi="Arial"/>
          <w:sz w:val="21"/>
          <w:szCs w:val="21"/>
          <w:color w:val="auto"/>
        </w:rPr>
      </w:pPr>
    </w:p>
    <w:p>
      <w:pPr>
        <w:ind w:firstLine="656"/>
        <w:spacing w:after="0" w:line="315" w:lineRule="auto"/>
        <w:tabs>
          <w:tab w:leader="none" w:pos="109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4.08 hereof;</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principal of, or interest or premium, if any, on the Notes (except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 rescission of acceleration of the Notes by the Holders of at least a majority in aggregate principal amount of the then outstanding Notes and a waiver of the payment default that resulted from such acceleration);</w:t>
      </w:r>
    </w:p>
    <w:p>
      <w:pPr>
        <w:spacing w:after="0" w:line="173" w:lineRule="exact"/>
        <w:rPr>
          <w:rFonts w:ascii="Arial" w:cs="Arial" w:eastAsia="Arial" w:hAnsi="Arial"/>
          <w:sz w:val="19"/>
          <w:szCs w:val="19"/>
          <w:color w:val="auto"/>
        </w:rPr>
      </w:pPr>
    </w:p>
    <w:p>
      <w:pPr>
        <w:ind w:left="1080" w:hanging="424"/>
        <w:spacing w:after="0"/>
        <w:tabs>
          <w:tab w:leader="none" w:pos="10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73" w:lineRule="exact"/>
        <w:rPr>
          <w:rFonts w:ascii="Arial" w:cs="Arial" w:eastAsia="Arial" w:hAnsi="Arial"/>
          <w:sz w:val="22"/>
          <w:szCs w:val="22"/>
          <w:color w:val="auto"/>
        </w:rPr>
      </w:pPr>
    </w:p>
    <w:p>
      <w:pPr>
        <w:ind w:firstLine="656"/>
        <w:spacing w:after="0" w:line="315" w:lineRule="auto"/>
        <w:tabs>
          <w:tab w:leader="none" w:pos="1125" w:val="left"/>
        </w:tabs>
        <w:numPr>
          <w:ilvl w:val="0"/>
          <w:numId w:val="260"/>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waive a redemption payment with respect to any Note (other than a payment required by Section 4.08 hereof); or</w:t>
      </w:r>
    </w:p>
    <w:p>
      <w:pPr>
        <w:spacing w:after="0" w:line="308" w:lineRule="exact"/>
        <w:rPr>
          <w:rFonts w:ascii="Arial" w:cs="Arial" w:eastAsia="Arial" w:hAnsi="Arial"/>
          <w:sz w:val="19"/>
          <w:szCs w:val="19"/>
          <w:color w:val="auto"/>
        </w:rPr>
      </w:pPr>
    </w:p>
    <w:p>
      <w:pPr>
        <w:ind w:left="1080" w:hanging="424"/>
        <w:spacing w:after="0"/>
        <w:tabs>
          <w:tab w:leader="none" w:pos="10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Revocation and Effect of Consents.</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861" w:right="239" w:bottom="1440" w:gutter="0" w:footer="0" w:header="0"/>
        </w:sectPr>
      </w:pPr>
    </w:p>
    <w:bookmarkStart w:id="248" w:name="page249"/>
    <w:bookmarkEnd w:id="248"/>
    <w:p>
      <w:pPr>
        <w:spacing w:after="0"/>
        <w:rPr>
          <w:sz w:val="20"/>
          <w:szCs w:val="20"/>
          <w:color w:val="auto"/>
        </w:rPr>
      </w:pPr>
      <w:r>
        <w:rPr>
          <w:rFonts w:ascii="Arial" w:cs="Arial" w:eastAsia="Arial" w:hAnsi="Arial"/>
          <w:sz w:val="21"/>
          <w:szCs w:val="21"/>
          <w:color w:val="auto"/>
        </w:rPr>
        <w:t>An amendment, supplement or waiver becomes effective in accordance with its terms and thereafter binds every Holder.</w:t>
      </w:r>
    </w:p>
    <w:p>
      <w:pPr>
        <w:spacing w:after="0" w:line="27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Notation on or Exchange of Notes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Trustee to Sign Amendments, etc.</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 may not sign an amendment or supplemental indenture 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15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10</w:t>
      </w:r>
    </w:p>
    <w:p>
      <w:pPr>
        <w:spacing w:after="0" w:line="5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SATISFACTION AND DISCHARGE</w:t>
      </w:r>
    </w:p>
    <w:p>
      <w:pPr>
        <w:spacing w:after="0" w:line="26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Satisfaction and Discharge.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72" w:lineRule="exact"/>
        <w:rPr>
          <w:sz w:val="20"/>
          <w:szCs w:val="20"/>
          <w:color w:val="auto"/>
        </w:rPr>
      </w:pPr>
    </w:p>
    <w:p>
      <w:pPr>
        <w:ind w:left="1080" w:hanging="424"/>
        <w:spacing w:after="0"/>
        <w:tabs>
          <w:tab w:leader="none" w:pos="108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either:</w:t>
      </w:r>
    </w:p>
    <w:p>
      <w:pPr>
        <w:spacing w:after="0" w:line="273" w:lineRule="exact"/>
        <w:rPr>
          <w:rFonts w:ascii="Arial" w:cs="Arial" w:eastAsia="Arial" w:hAnsi="Arial"/>
          <w:sz w:val="22"/>
          <w:szCs w:val="22"/>
          <w:color w:val="auto"/>
        </w:rPr>
      </w:pPr>
    </w:p>
    <w:p>
      <w:pPr>
        <w:ind w:left="1800" w:hanging="495"/>
        <w:spacing w:after="0"/>
        <w:tabs>
          <w:tab w:leader="none" w:pos="1800"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all Notes that have been authenticated, except lost, stolen or destroyed Notes that have been replaced or paid</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and Notes for whose payment money has theretofore been deposited in trust and thereafter repaid to the Issuer, have been delivered to the Trustee for cancelation; or</w:t>
      </w:r>
    </w:p>
    <w:p>
      <w:pPr>
        <w:spacing w:after="0" w:line="173" w:lineRule="exact"/>
        <w:rPr>
          <w:rFonts w:ascii="Arial" w:cs="Arial" w:eastAsia="Arial" w:hAnsi="Arial"/>
          <w:sz w:val="19"/>
          <w:szCs w:val="19"/>
          <w:color w:val="auto"/>
        </w:rPr>
      </w:pPr>
    </w:p>
    <w:p>
      <w:pPr>
        <w:ind w:left="1760" w:hanging="455"/>
        <w:spacing w:after="0"/>
        <w:tabs>
          <w:tab w:leader="none" w:pos="1760"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all Notes that have not been delivered to the Trustee for cancelation will become due and payable by reason of</w:t>
      </w:r>
    </w:p>
    <w:p>
      <w:pPr>
        <w:spacing w:after="0" w:line="92" w:lineRule="exact"/>
        <w:rPr>
          <w:rFonts w:ascii="Arial" w:cs="Arial" w:eastAsia="Arial" w:hAnsi="Arial"/>
          <w:sz w:val="19"/>
          <w:szCs w:val="19"/>
          <w:color w:val="auto"/>
        </w:rPr>
      </w:pPr>
    </w:p>
    <w:p>
      <w:pPr>
        <w:jc w:val="both"/>
        <w:ind w:left="660"/>
        <w:spacing w:after="0" w:line="292" w:lineRule="auto"/>
        <w:rPr>
          <w:rFonts w:ascii="Arial" w:cs="Arial" w:eastAsia="Arial" w:hAnsi="Arial"/>
          <w:sz w:val="19"/>
          <w:szCs w:val="19"/>
          <w:color w:val="auto"/>
        </w:rPr>
      </w:pPr>
      <w:r>
        <w:rPr>
          <w:rFonts w:ascii="Arial" w:cs="Arial" w:eastAsia="Arial" w:hAnsi="Arial"/>
          <w:sz w:val="22"/>
          <w:szCs w:val="22"/>
          <w:color w:val="auto"/>
        </w:rPr>
        <w:t>the mailing of a notice of redemption or otherwise or will become due and payable within one year and the Issuer has irrevocably deposited or caused to be deposited with the Trustee or its designee as trust funds in trust solely for the benefit of the Holders, cash in U.S. dollars, non-callable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861" w:right="239" w:bottom="1440" w:gutter="0" w:footer="0" w:header="0"/>
        </w:sectPr>
      </w:pPr>
    </w:p>
    <w:bookmarkStart w:id="249" w:name="page250"/>
    <w:bookmarkEnd w:id="249"/>
    <w:p>
      <w:pPr>
        <w:jc w:val="both"/>
        <w:ind w:left="660"/>
        <w:spacing w:after="0" w:line="357" w:lineRule="auto"/>
        <w:rPr>
          <w:sz w:val="20"/>
          <w:szCs w:val="20"/>
          <w:color w:val="auto"/>
        </w:rPr>
      </w:pPr>
      <w:r>
        <w:rPr>
          <w:rFonts w:ascii="Arial" w:cs="Arial" w:eastAsia="Arial" w:hAnsi="Arial"/>
          <w:sz w:val="19"/>
          <w:szCs w:val="19"/>
          <w:color w:val="auto"/>
        </w:rPr>
        <w:t>or a combination of cash in U.S. dollars and non-callable Government Securities, in amounts as shall be sufficient,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32" w:lineRule="exact"/>
        <w:rPr>
          <w:sz w:val="20"/>
          <w:szCs w:val="20"/>
          <w:color w:val="auto"/>
        </w:rPr>
      </w:pPr>
    </w:p>
    <w:p>
      <w:pPr>
        <w:ind w:left="1080" w:hanging="424"/>
        <w:spacing w:after="0"/>
        <w:tabs>
          <w:tab w:leader="none" w:pos="108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the deposit or shall occur as a result of the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84" w:lineRule="exact"/>
        <w:rPr>
          <w:rFonts w:ascii="Arial" w:cs="Arial" w:eastAsia="Arial" w:hAnsi="Arial"/>
          <w:sz w:val="19"/>
          <w:szCs w:val="19"/>
          <w:color w:val="auto"/>
        </w:rPr>
      </w:pPr>
    </w:p>
    <w:p>
      <w:pPr>
        <w:ind w:left="1080" w:hanging="424"/>
        <w:spacing w:after="0"/>
        <w:tabs>
          <w:tab w:leader="none" w:pos="108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73" w:lineRule="exact"/>
        <w:rPr>
          <w:rFonts w:ascii="Arial" w:cs="Arial" w:eastAsia="Arial" w:hAnsi="Arial"/>
          <w:sz w:val="22"/>
          <w:szCs w:val="22"/>
          <w:color w:val="auto"/>
        </w:rPr>
      </w:pPr>
    </w:p>
    <w:p>
      <w:pPr>
        <w:ind w:firstLine="656"/>
        <w:spacing w:after="0" w:line="315" w:lineRule="auto"/>
        <w:tabs>
          <w:tab w:leader="none" w:pos="1188" w:val="left"/>
        </w:tabs>
        <w:numPr>
          <w:ilvl w:val="0"/>
          <w:numId w:val="262"/>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under this Indenture to apply the deposited money toward the payment of the Notes at maturity or on the redemption date, as the case may be.</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addition, the Issuer must deliver an Officer’s Certificate and an Opinion of Counsel to the Trustee stating that all conditions precedent to satisfaction and discharge have been satisfied.</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 Section 10.01 shall be deemed to discharge those provisions of Section 7.06 hereof, that, by their terms, survive the satisfaction and discharge of this Indenture.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Application of Trust Money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861" w:right="239" w:bottom="1440" w:gutter="0" w:footer="0" w:header="0"/>
        </w:sectPr>
      </w:pPr>
    </w:p>
    <w:bookmarkStart w:id="250" w:name="page251"/>
    <w:bookmarkEnd w:id="250"/>
    <w:p>
      <w:pPr>
        <w:jc w:val="both"/>
        <w:spacing w:after="0" w:line="292"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if the Issuer has made any payment of principal of, premium, if any, or interest on any Notes because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reinstatement of its obligations, the Issuer shall be subrogated to the rights of the Holders of such Notes to receive such payment from the money or Government Securities held by the Trustee or Paying Agent.</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11</w:t>
      </w:r>
    </w:p>
    <w:p>
      <w:pPr>
        <w:spacing w:after="0" w:line="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MISCELLANEOUS</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Notices.</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+853-8986-5500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42/F, Edinburgh Tower, The Landmark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 Queen’s Road Central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Hong Kong</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+852-3910-4771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Edward Lam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Wall Street, 16th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NYC60-1630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AT3335</w:t>
      </w:r>
    </w:p>
    <w:p>
      <w:pPr>
        <w:sectPr>
          <w:pgSz w:w="11900" w:h="16838" w:orient="portrait"/>
          <w:cols w:equalWidth="0" w:num="1">
            <w:col w:w="11420"/>
          </w:cols>
          <w:pgMar w:left="240" w:top="8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420"/>
          </w:cols>
          <w:pgMar w:left="240" w:top="861" w:right="239" w:bottom="1440" w:gutter="0" w:footer="0" w:header="0"/>
          <w:type w:val="continuous"/>
        </w:sectPr>
      </w:pPr>
    </w:p>
    <w:bookmarkStart w:id="251" w:name="page252"/>
    <w:bookmarkEnd w:id="251"/>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National Trust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Deutsche Bank Trust Company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Plaza One – 8th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JCY03-0699</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Jersey City, NJ 07311-0801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AT3335</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or the Trustee, by notice to the other, may designate additional or different addresses for subsequent notices or communications.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facsimiled; and the next Business Day after timely delivery to the courier, if sent by overnight air courier guaranteeing next day delivery.</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 mails a notice or communication to Holders, it shall mail a copy to the Trustee and each Agent at the same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Certificate and Opinion as to Conditions Precedent</w:t>
      </w:r>
      <w:r>
        <w:rPr>
          <w:rFonts w:ascii="Arial" w:cs="Arial" w:eastAsia="Arial" w:hAnsi="Arial"/>
          <w:sz w:val="19"/>
          <w:szCs w:val="19"/>
          <w:color w:val="auto"/>
        </w:rPr>
        <w:t>.</w:t>
      </w:r>
    </w:p>
    <w:p>
      <w:pPr>
        <w:spacing w:after="0" w:line="274"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21"/>
          <w:szCs w:val="21"/>
          <w:color w:val="auto"/>
        </w:rPr>
        <w:t>Upon any request or application by the Issuer to the Trustee to take any action under this Indenture (except that no Opinion of Counsel shall be required upon the initial issuance of the Notes), the Issuer shall furnish to the Trustee:</w:t>
      </w:r>
    </w:p>
    <w:p>
      <w:pPr>
        <w:spacing w:after="0" w:line="150" w:lineRule="exact"/>
        <w:rPr>
          <w:sz w:val="20"/>
          <w:szCs w:val="20"/>
          <w:color w:val="auto"/>
        </w:rPr>
      </w:pPr>
    </w:p>
    <w:p>
      <w:pPr>
        <w:ind w:left="1080" w:hanging="424"/>
        <w:spacing w:after="0"/>
        <w:tabs>
          <w:tab w:leader="none" w:pos="108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(which must include the statements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set forth in Section 11.03 hereof) stating that, in the opinion of the signers, all conditions precedent and covenants, if any, provided for in this Indenture relating to the proposed action have been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861" w:right="239" w:bottom="1440" w:gutter="0" w:footer="0" w:header="0"/>
        </w:sectPr>
      </w:pPr>
    </w:p>
    <w:bookmarkStart w:id="252" w:name="page253"/>
    <w:bookmarkEnd w:id="252"/>
    <w:p>
      <w:pPr>
        <w:ind w:left="1080" w:hanging="424"/>
        <w:spacing w:after="0"/>
        <w:tabs>
          <w:tab w:leader="none" w:pos="108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an Opinion of Counsel in form and substance reasonably satisfactory to the Trustee (which must include the statements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set forth in Section 11.03 hereof) stating that, in the opinion of such counsel, all such conditions precedent and covenants have been satisfied.</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Statements Required in Certificate or Opinion</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4" w:lineRule="exact"/>
        <w:rPr>
          <w:sz w:val="20"/>
          <w:szCs w:val="20"/>
          <w:color w:val="auto"/>
        </w:rPr>
      </w:pPr>
    </w:p>
    <w:p>
      <w:pPr>
        <w:ind w:left="1080" w:hanging="424"/>
        <w:spacing w:after="0"/>
        <w:tabs>
          <w:tab w:leader="none" w:pos="108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73" w:lineRule="exact"/>
        <w:rPr>
          <w:rFonts w:ascii="Arial" w:cs="Arial" w:eastAsia="Arial" w:hAnsi="Arial"/>
          <w:sz w:val="22"/>
          <w:szCs w:val="22"/>
          <w:color w:val="auto"/>
        </w:rPr>
      </w:pPr>
    </w:p>
    <w:p>
      <w:pPr>
        <w:ind w:firstLine="656"/>
        <w:spacing w:after="0" w:line="315" w:lineRule="auto"/>
        <w:tabs>
          <w:tab w:leader="none" w:pos="1094"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59" w:lineRule="exact"/>
        <w:rPr>
          <w:rFonts w:ascii="Arial" w:cs="Arial" w:eastAsia="Arial" w:hAnsi="Arial"/>
          <w:sz w:val="22"/>
          <w:szCs w:val="22"/>
          <w:color w:val="auto"/>
        </w:rPr>
      </w:pPr>
    </w:p>
    <w:p>
      <w:pPr>
        <w:ind w:firstLine="656"/>
        <w:spacing w:after="0" w:line="402" w:lineRule="auto"/>
        <w:tabs>
          <w:tab w:leader="none" w:pos="1068" w:val="left"/>
        </w:tabs>
        <w:numPr>
          <w:ilvl w:val="0"/>
          <w:numId w:val="265"/>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91" w:lineRule="exact"/>
        <w:rPr>
          <w:rFonts w:ascii="Arial" w:cs="Arial" w:eastAsia="Arial" w:hAnsi="Arial"/>
          <w:sz w:val="19"/>
          <w:szCs w:val="19"/>
          <w:color w:val="auto"/>
        </w:rPr>
      </w:pPr>
    </w:p>
    <w:p>
      <w:pPr>
        <w:ind w:left="1080" w:hanging="424"/>
        <w:spacing w:after="0"/>
        <w:tabs>
          <w:tab w:leader="none" w:pos="108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8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Rules by Trustee and Agents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No Personal Liability of Directors, Officers, Employees and Equity Holders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i w:val="1"/>
          <w:iCs w:val="1"/>
          <w:color w:val="auto"/>
        </w:rPr>
        <w:t>Governing Law; Waiver of Jury Trial</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THIS INDENTURE AND THE NOTES SHALL BE GOVERNED BY AND CONSTRUED IN ACCORDANCE WITH THE LAWS OF THE STATE OF NEW YORK, INCLUDING, WITHOUT LIMITATION, SECTION 5-1401 OF THE NEW YORK OBLIGATIONS LAW. TO THE FULLEST EXTENT PERMITTED BY APPLICABLE LAW, EACH OF THE ISSUER AND THE TRUSTEE HEREBY IRREVOCABLY WAIVES ANY AND ALL RIGHT TO TRIAL BY JURY IN ANY LEGAL PROCEEDING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861"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OR RELATING TO THIS INDENTURE, THE NOTES OR THE TRANSACTIONS CONTEMPLATED HEREBY.</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11.07</w:t>
      </w:r>
      <w:r>
        <w:rPr>
          <w:sz w:val="20"/>
          <w:szCs w:val="20"/>
          <w:color w:val="auto"/>
        </w:rPr>
        <w:tab/>
      </w:r>
      <w:r>
        <w:rPr>
          <w:rFonts w:ascii="Arial" w:cs="Arial" w:eastAsia="Arial" w:hAnsi="Arial"/>
          <w:sz w:val="19"/>
          <w:szCs w:val="19"/>
          <w:i w:val="1"/>
          <w:iCs w:val="1"/>
          <w:color w:val="auto"/>
        </w:rPr>
        <w:t>Submission to Jurisdiction; Waiver of Immunities; Agent for Service</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irrevocably:</w:t>
      </w:r>
    </w:p>
    <w:p>
      <w:pPr>
        <w:spacing w:after="0" w:line="260" w:lineRule="exact"/>
        <w:rPr>
          <w:sz w:val="20"/>
          <w:szCs w:val="20"/>
          <w:color w:val="auto"/>
        </w:rPr>
      </w:pPr>
    </w:p>
    <w:p>
      <w:pPr>
        <w:ind w:left="1100" w:hanging="444"/>
        <w:spacing w:after="0"/>
        <w:tabs>
          <w:tab w:leader="none" w:pos="110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submits to the non-exclusive jurisdiction of any United States federal or New York State court located in the Borough</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of Manhattan, the City of New York in connection with any suit, action or proceeding arising out of, or relating to this Indenture or the Notes or arising under any United States federal or state securities laws;</w:t>
      </w:r>
    </w:p>
    <w:p>
      <w:pPr>
        <w:spacing w:after="0" w:line="173" w:lineRule="exact"/>
        <w:rPr>
          <w:rFonts w:ascii="Arial" w:cs="Arial" w:eastAsia="Arial" w:hAnsi="Arial"/>
          <w:sz w:val="19"/>
          <w:szCs w:val="19"/>
          <w:color w:val="auto"/>
        </w:rPr>
      </w:pPr>
    </w:p>
    <w:p>
      <w:pPr>
        <w:ind w:firstLine="656"/>
        <w:spacing w:after="0" w:line="315" w:lineRule="auto"/>
        <w:tabs>
          <w:tab w:leader="none" w:pos="1107"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to the fullest extent permitted by law, waives any objection which it may now or hereafter have to the laying of venue of any such suit, action or proceeding; and</w:t>
      </w:r>
    </w:p>
    <w:p>
      <w:pPr>
        <w:spacing w:after="0" w:line="159" w:lineRule="exact"/>
        <w:rPr>
          <w:rFonts w:ascii="Arial" w:cs="Arial" w:eastAsia="Arial" w:hAnsi="Arial"/>
          <w:sz w:val="22"/>
          <w:szCs w:val="22"/>
          <w:color w:val="auto"/>
        </w:rPr>
      </w:pPr>
    </w:p>
    <w:p>
      <w:pPr>
        <w:ind w:left="1080" w:hanging="424"/>
        <w:spacing w:after="0"/>
        <w:tabs>
          <w:tab w:leader="none" w:pos="108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waives any immunity to jurisdiction to which it or any of its properties, assets or revenues may otherwise be entitled or</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addition, the Issuer designates and appoints CT Corporation System, whose offices are currently located at 111 Eighth Avenue, New York, New York, as its authorized agent for receipt of service of process in any such suit, action or proceeding, and service of process upon the authorized agent and written notice of such service to the Issuer shall be deemed, in every respect, effective service of process upon the Issuer.</w:t>
      </w:r>
    </w:p>
    <w:p>
      <w:pPr>
        <w:spacing w:after="0" w:line="19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11.08</w:t>
      </w:r>
      <w:r>
        <w:rPr>
          <w:sz w:val="20"/>
          <w:szCs w:val="20"/>
          <w:color w:val="auto"/>
        </w:rPr>
        <w:tab/>
      </w:r>
      <w:r>
        <w:rPr>
          <w:rFonts w:ascii="Arial" w:cs="Arial" w:eastAsia="Arial" w:hAnsi="Arial"/>
          <w:sz w:val="19"/>
          <w:szCs w:val="19"/>
          <w:i w:val="1"/>
          <w:iCs w:val="1"/>
          <w:color w:val="auto"/>
        </w:rPr>
        <w:t>Indemnification for Judgment Currency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obligations of the Issuer to any Holder of the Notes or the Trustee under this Indenture or the Notes shall, notwithstanding any judgment in a currency (the “</w:t>
      </w:r>
      <w:r>
        <w:rPr>
          <w:rFonts w:ascii="Arial" w:cs="Arial" w:eastAsia="Arial" w:hAnsi="Arial"/>
          <w:sz w:val="22"/>
          <w:szCs w:val="22"/>
          <w:i w:val="1"/>
          <w:iCs w:val="1"/>
          <w:color w:val="auto"/>
        </w:rPr>
        <w:t>Judgment Currency</w:t>
      </w:r>
      <w:r>
        <w:rPr>
          <w:rFonts w:ascii="Arial" w:cs="Arial" w:eastAsia="Arial" w:hAnsi="Arial"/>
          <w:sz w:val="22"/>
          <w:szCs w:val="22"/>
          <w:color w:val="auto"/>
        </w:rPr>
        <w:t>”) other than U.S. dollars, be discharged only to the extent that on the day following receipt by such party of any amount in the Judgment Currency, such party may in accordance with normal banking procedures purchase U.S. dollars with the Judgment Currency.</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861" w:right="239" w:bottom="1440" w:gutter="0" w:footer="0" w:header="0"/>
        </w:sectPr>
      </w:pPr>
    </w:p>
    <w:bookmarkStart w:id="254" w:name="page255"/>
    <w:bookmarkEnd w:id="254"/>
    <w:p>
      <w:pPr>
        <w:spacing w:after="0"/>
        <w:tabs>
          <w:tab w:leader="none" w:pos="1340" w:val="left"/>
        </w:tabs>
        <w:rPr>
          <w:sz w:val="20"/>
          <w:szCs w:val="20"/>
          <w:color w:val="auto"/>
        </w:rPr>
      </w:pPr>
      <w:r>
        <w:rPr>
          <w:rFonts w:ascii="Arial" w:cs="Arial" w:eastAsia="Arial" w:hAnsi="Arial"/>
          <w:sz w:val="22"/>
          <w:szCs w:val="22"/>
          <w:color w:val="auto"/>
        </w:rPr>
        <w:t>Section 11.09</w:t>
      </w:r>
      <w:r>
        <w:rPr>
          <w:sz w:val="20"/>
          <w:szCs w:val="20"/>
          <w:color w:val="auto"/>
        </w:rPr>
        <w:tab/>
      </w:r>
      <w:r>
        <w:rPr>
          <w:rFonts w:ascii="Arial" w:cs="Arial" w:eastAsia="Arial" w:hAnsi="Arial"/>
          <w:sz w:val="19"/>
          <w:szCs w:val="19"/>
          <w:i w:val="1"/>
          <w:iCs w:val="1"/>
          <w:color w:val="auto"/>
        </w:rPr>
        <w:t>No Adverse Interpretation of Other Agreements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0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18"/>
          <w:szCs w:val="18"/>
          <w:i w:val="1"/>
          <w:iCs w:val="1"/>
          <w:color w:val="auto"/>
        </w:rPr>
        <w:t>Successors</w:t>
      </w:r>
      <w:r>
        <w:rPr>
          <w:rFonts w:ascii="Arial" w:cs="Arial" w:eastAsia="Arial" w:hAnsi="Arial"/>
          <w:sz w:val="18"/>
          <w:szCs w:val="18"/>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All agreements of the Issuer in this Indenture and the Notes shall bind its successors. All agreements of the Trustee in this Indenture shall bind its successors.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i w:val="1"/>
          <w:iCs w:val="1"/>
          <w:color w:val="auto"/>
        </w:rPr>
        <w:t>Severability</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i w:val="1"/>
          <w:iCs w:val="1"/>
          <w:color w:val="auto"/>
        </w:rPr>
        <w:t>Counterpart Originals</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w:t>
      </w:r>
    </w:p>
    <w:p>
      <w:pPr>
        <w:spacing w:after="0" w:line="14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i w:val="1"/>
          <w:iCs w:val="1"/>
          <w:color w:val="auto"/>
        </w:rPr>
        <w:t>Table of Contents, Headings, etc.</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19"/>
          <w:szCs w:val="19"/>
          <w:i w:val="1"/>
          <w:iCs w:val="1"/>
          <w:color w:val="auto"/>
        </w:rPr>
        <w:t>Compliance with Applicable Anti-Terrorism and Money Laundering Regulations.</w:t>
      </w:r>
    </w:p>
    <w:p>
      <w:pPr>
        <w:spacing w:after="0" w:line="2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2"/>
          <w:szCs w:val="22"/>
          <w:i w:val="1"/>
          <w:iCs w:val="1"/>
          <w:color w:val="auto"/>
        </w:rPr>
        <w:t>Applicable AML Law</w:t>
      </w:r>
      <w:r>
        <w:rPr>
          <w:rFonts w:ascii="Arial" w:cs="Arial" w:eastAsia="Arial" w:hAnsi="Arial"/>
          <w:sz w:val="22"/>
          <w:szCs w:val="22"/>
          <w:color w:val="auto"/>
        </w:rPr>
        <w:t>”),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AML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861" w:right="239" w:bottom="1440" w:gutter="0" w:footer="0" w:header="0"/>
        </w:sectPr>
      </w:pPr>
    </w:p>
    <w:bookmarkStart w:id="255" w:name="page256"/>
    <w:bookmarkEnd w:id="255"/>
    <w:p>
      <w:pPr>
        <w:ind w:left="4580"/>
        <w:spacing w:after="0"/>
        <w:rPr>
          <w:sz w:val="20"/>
          <w:szCs w:val="20"/>
          <w:color w:val="auto"/>
        </w:rPr>
      </w:pPr>
      <w:r>
        <w:rPr>
          <w:rFonts w:ascii="Arial" w:cs="Arial" w:eastAsia="Arial" w:hAnsi="Arial"/>
          <w:sz w:val="19"/>
          <w:szCs w:val="19"/>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color w:val="auto"/>
        </w:rPr>
        <w:t>Dated as of September 20, 2017</w:t>
      </w:r>
      <w:r>
        <w:rPr>
          <w:sz w:val="20"/>
          <w:szCs w:val="20"/>
          <w:color w:val="auto"/>
        </w:rPr>
        <w:tab/>
      </w:r>
      <w:r>
        <w:rPr>
          <w:rFonts w:ascii="Arial" w:cs="Arial" w:eastAsia="Arial" w:hAnsi="Arial"/>
          <w:sz w:val="19"/>
          <w:szCs w:val="19"/>
          <w:color w:val="auto"/>
        </w:rPr>
        <w:t>ISSUER: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112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Jason M. Schall</w:t>
      </w:r>
    </w:p>
    <w:p>
      <w:pPr>
        <w:spacing w:after="0" w:line="58"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219"/>
          </w:cols>
          <w:pgMar w:left="240" w:top="861" w:right="1440" w:bottom="1440" w:gutter="0" w:footer="0" w:header="0"/>
        </w:sectPr>
      </w:pPr>
    </w:p>
    <w:bookmarkStart w:id="256" w:name="page257"/>
    <w:bookmarkEnd w:id="256"/>
    <w:p>
      <w:pPr>
        <w:ind w:left="2700" w:right="1459"/>
        <w:spacing w:after="0" w:line="402" w:lineRule="auto"/>
        <w:rPr>
          <w:sz w:val="20"/>
          <w:szCs w:val="20"/>
          <w:color w:val="auto"/>
        </w:rPr>
      </w:pPr>
      <w:r>
        <w:rPr>
          <w:rFonts w:ascii="Arial" w:cs="Arial" w:eastAsia="Arial" w:hAnsi="Arial"/>
          <w:sz w:val="19"/>
          <w:szCs w:val="19"/>
          <w:color w:val="auto"/>
        </w:rPr>
        <w:t>DEUTSCHE BANK TRUST COMPANY AMERICAS, not in its individual capacity but solely as Trustee</w:t>
      </w:r>
    </w:p>
    <w:p>
      <w:pPr>
        <w:spacing w:after="0" w:line="92"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Deutsche Bank National Trust Company</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524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Jacqueline Bartnick</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593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Robert S. Peschler</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861"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CUSIP/CINS</w:t>
      </w:r>
      <w:r>
        <w:rPr>
          <w:rFonts w:ascii="Arial" w:cs="Arial" w:eastAsia="Arial" w:hAnsi="Arial"/>
          <w:sz w:val="22"/>
          <w:szCs w:val="22"/>
          <w:color w:val="auto"/>
        </w:rPr>
        <w:t>: 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w:t>
      </w:r>
      <w:r>
        <w:rPr>
          <w:rFonts w:ascii="Arial" w:cs="Arial" w:eastAsia="Arial" w:hAnsi="Arial"/>
          <w:sz w:val="22"/>
          <w:szCs w:val="22"/>
          <w:color w:val="auto"/>
        </w:rPr>
        <w:t>: _________________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5.500% Senior Notes due 2027</w:t>
      </w:r>
    </w:p>
    <w:p>
      <w:pPr>
        <w:spacing w:after="0" w:line="26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No. ___</w:t>
      </w:r>
      <w:r>
        <w:rPr>
          <w:sz w:val="20"/>
          <w:szCs w:val="20"/>
          <w:color w:val="auto"/>
        </w:rPr>
        <w:tab/>
      </w:r>
      <w:r>
        <w:rPr>
          <w:rFonts w:ascii="Arial" w:cs="Arial" w:eastAsia="Arial" w:hAnsi="Arial"/>
          <w:sz w:val="19"/>
          <w:szCs w:val="19"/>
          <w:color w:val="auto"/>
        </w:rPr>
        <w:t>US$__________</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promise to pay to _____________________ or registered assigns,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principal sum of</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DOLLARS on October 1, 2027.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April 1 and October 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Record Dates: March 15 and September 15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referred to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 the within-mentioned Indenture: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Trustee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Deutsche Bank National Trust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420"/>
          </w:cols>
          <w:pgMar w:left="240" w:top="8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55" w:right="23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861" w:right="1440" w:bottom="1440" w:gutter="0" w:footer="0" w:header="0"/>
        </w:sectPr>
      </w:pPr>
    </w:p>
    <w:bookmarkStart w:id="259" w:name="page260"/>
    <w:bookmarkEnd w:id="259"/>
    <w:p>
      <w:pPr>
        <w:jc w:val="center"/>
        <w:ind w:right="40"/>
        <w:spacing w:after="0"/>
        <w:rPr>
          <w:sz w:val="20"/>
          <w:szCs w:val="20"/>
          <w:color w:val="auto"/>
        </w:rPr>
      </w:pPr>
      <w:r>
        <w:rPr>
          <w:rFonts w:ascii="Arial" w:cs="Arial" w:eastAsia="Arial" w:hAnsi="Arial"/>
          <w:sz w:val="22"/>
          <w:szCs w:val="22"/>
          <w:color w:val="auto"/>
        </w:rPr>
        <w:t>[Back of Note]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5.500% Senior Notes due 2027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Private Placement Legend, if applicable, pursuant to Section 2.06(f)(1) of the Indenture]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Global Notes Legend, if applicable, pursuant to Section 2.06(f)(2) of the Indenture]</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4" w:lineRule="exact"/>
        <w:rPr>
          <w:sz w:val="20"/>
          <w:szCs w:val="20"/>
          <w:color w:val="auto"/>
        </w:rPr>
      </w:pPr>
    </w:p>
    <w:p>
      <w:pPr>
        <w:jc w:val="both"/>
        <w:ind w:left="660" w:firstLine="645"/>
        <w:spacing w:after="0" w:line="326" w:lineRule="auto"/>
        <w:tabs>
          <w:tab w:leader="none" w:pos="1938" w:val="left"/>
        </w:tabs>
        <w:numPr>
          <w:ilvl w:val="0"/>
          <w:numId w:val="267"/>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Macau, Limited, a company incorporated with limited liability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Cayman Islands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interest on the principal amount of this Note at 5.500% per annum from</w:t>
      </w:r>
    </w:p>
    <w:p>
      <w:pPr>
        <w:jc w:val="both"/>
        <w:ind w:left="660"/>
        <w:spacing w:after="0" w:line="333" w:lineRule="auto"/>
        <w:rPr>
          <w:rFonts w:ascii="Arial" w:cs="Arial" w:eastAsia="Arial" w:hAnsi="Arial"/>
          <w:sz w:val="19"/>
          <w:szCs w:val="19"/>
          <w:color w:val="auto"/>
        </w:rPr>
      </w:pPr>
      <w:r>
        <w:rPr>
          <w:rFonts w:ascii="Arial" w:cs="Arial" w:eastAsia="Arial" w:hAnsi="Arial"/>
          <w:sz w:val="19"/>
          <w:szCs w:val="19"/>
          <w:color w:val="auto"/>
        </w:rPr>
        <w:t>______________ until maturity. The Issuer shall pay interest semi-annually in arrears on April 1 and October 1 of each year, or if any such day is not a Business Day, on the next succeeding Business Day (each, an “</w:t>
      </w:r>
      <w:r>
        <w:rPr>
          <w:rFonts w:ascii="Arial" w:cs="Arial" w:eastAsia="Arial" w:hAnsi="Arial"/>
          <w:sz w:val="19"/>
          <w:szCs w:val="19"/>
          <w:i w:val="1"/>
          <w:iCs w:val="1"/>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_______________. The Issuer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shall be computed on the basis of a 360-day year of twelve 30-day months.</w:t>
      </w:r>
    </w:p>
    <w:p>
      <w:pPr>
        <w:spacing w:after="0" w:line="260" w:lineRule="exact"/>
        <w:rPr>
          <w:sz w:val="20"/>
          <w:szCs w:val="20"/>
          <w:color w:val="auto"/>
        </w:rPr>
      </w:pPr>
    </w:p>
    <w:p>
      <w:pPr>
        <w:jc w:val="both"/>
        <w:ind w:left="660" w:firstLine="645"/>
        <w:spacing w:after="0" w:line="298" w:lineRule="auto"/>
        <w:tabs>
          <w:tab w:leader="none" w:pos="1803" w:val="left"/>
        </w:tabs>
        <w:numPr>
          <w:ilvl w:val="0"/>
          <w:numId w:val="268"/>
        </w:numPr>
        <w:rPr>
          <w:rFonts w:ascii="Arial" w:cs="Arial" w:eastAsia="Arial" w:hAnsi="Arial"/>
          <w:sz w:val="21"/>
          <w:szCs w:val="21"/>
          <w:color w:val="auto"/>
        </w:rPr>
      </w:pPr>
      <w:r>
        <w:rPr>
          <w:rFonts w:ascii="Arial" w:cs="Arial" w:eastAsia="Arial" w:hAnsi="Arial"/>
          <w:sz w:val="21"/>
          <w:szCs w:val="21"/>
          <w:i w:val="1"/>
          <w:iCs w:val="1"/>
          <w:color w:val="auto"/>
        </w:rPr>
        <w:t>METHOD OF PAYMENT</w:t>
      </w:r>
      <w:r>
        <w:rPr>
          <w:rFonts w:ascii="Arial" w:cs="Arial" w:eastAsia="Arial" w:hAnsi="Arial"/>
          <w:sz w:val="21"/>
          <w:szCs w:val="21"/>
          <w:color w:val="auto"/>
        </w:rPr>
        <w:t>. The Issuer shall pay interest on the Notes (except defaulted interest) to the Persons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who are registered Holders of Notes at the close of business on the March 15 or September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 maintained for such purpose within or without the City and State of New York, or, at the option of the Issuer, payment of interest, if any, may be made by check mailed to the Holders at their addresses set forth in the register of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 or the Paying Agent. Such payment shall be in such coin or currency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United States of America as at the time of payment is legal tender for payment of public and private debts.</w:t>
      </w:r>
    </w:p>
    <w:p>
      <w:pPr>
        <w:spacing w:after="0" w:line="260" w:lineRule="exact"/>
        <w:rPr>
          <w:sz w:val="20"/>
          <w:szCs w:val="20"/>
          <w:color w:val="auto"/>
        </w:rPr>
      </w:pPr>
    </w:p>
    <w:p>
      <w:pPr>
        <w:jc w:val="both"/>
        <w:ind w:firstLine="645"/>
        <w:spacing w:after="0" w:line="292" w:lineRule="auto"/>
        <w:tabs>
          <w:tab w:leader="none" w:pos="1143" w:val="left"/>
        </w:tabs>
        <w:numPr>
          <w:ilvl w:val="0"/>
          <w:numId w:val="269"/>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Deutsche Bank Trust Company Americas, the Trustee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shall act as Paying Agent and Registrar. The Issuer may change any Paying Agent or Registrar without notice to any Holder. The Issuer may act in any such capacity.</w:t>
      </w:r>
    </w:p>
    <w:p>
      <w:pPr>
        <w:spacing w:after="0" w:line="184" w:lineRule="exact"/>
        <w:rPr>
          <w:rFonts w:ascii="Arial" w:cs="Arial" w:eastAsia="Arial" w:hAnsi="Arial"/>
          <w:sz w:val="22"/>
          <w:szCs w:val="22"/>
          <w:color w:val="auto"/>
        </w:rPr>
      </w:pPr>
    </w:p>
    <w:p>
      <w:pPr>
        <w:jc w:val="both"/>
        <w:ind w:firstLine="645"/>
        <w:spacing w:after="0" w:line="284" w:lineRule="auto"/>
        <w:tabs>
          <w:tab w:leader="none" w:pos="1346" w:val="left"/>
        </w:tabs>
        <w:numPr>
          <w:ilvl w:val="0"/>
          <w:numId w:val="269"/>
        </w:numPr>
        <w:rPr>
          <w:rFonts w:ascii="Arial" w:cs="Arial" w:eastAsia="Arial" w:hAnsi="Arial"/>
          <w:sz w:val="22"/>
          <w:szCs w:val="22"/>
          <w:color w:val="auto"/>
        </w:rPr>
      </w:pPr>
      <w:r>
        <w:rPr>
          <w:rFonts w:ascii="Arial" w:cs="Arial" w:eastAsia="Arial" w:hAnsi="Arial"/>
          <w:sz w:val="22"/>
          <w:szCs w:val="22"/>
          <w:i w:val="1"/>
          <w:iCs w:val="1"/>
          <w:color w:val="auto"/>
        </w:rPr>
        <w:t>INDENTURE</w:t>
      </w:r>
      <w:r>
        <w:rPr>
          <w:rFonts w:ascii="Arial" w:cs="Arial" w:eastAsia="Arial" w:hAnsi="Arial"/>
          <w:sz w:val="22"/>
          <w:szCs w:val="22"/>
          <w:color w:val="auto"/>
        </w:rPr>
        <w:t>. The Issuer issued the Notes under an Indenture dated as of September 20, 2017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between the Issuer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22"/>
          <w:szCs w:val="22"/>
          <w:i w:val="1"/>
          <w:iCs w:val="1"/>
          <w:color w:val="auto"/>
        </w:rPr>
        <w:t>Additional Notes</w:t>
      </w:r>
      <w:r>
        <w:rPr>
          <w:rFonts w:ascii="Arial" w:cs="Arial" w:eastAsia="Arial" w:hAnsi="Arial"/>
          <w:sz w:val="22"/>
          <w:szCs w:val="22"/>
          <w:color w:val="auto"/>
        </w:rPr>
        <w:t>.” The term “</w:t>
      </w:r>
      <w:r>
        <w:rPr>
          <w:rFonts w:ascii="Arial" w:cs="Arial" w:eastAsia="Arial" w:hAnsi="Arial"/>
          <w:sz w:val="22"/>
          <w:szCs w:val="22"/>
          <w:i w:val="1"/>
          <w:iCs w:val="1"/>
          <w:color w:val="auto"/>
        </w:rPr>
        <w:t>Notes</w:t>
      </w:r>
      <w:r>
        <w:rPr>
          <w:rFonts w:ascii="Arial" w:cs="Arial" w:eastAsia="Arial" w:hAnsi="Arial"/>
          <w:sz w:val="22"/>
          <w:szCs w:val="22"/>
          <w:color w:val="auto"/>
        </w:rPr>
        <w:t>” includes any Additional Notes hereafter issued.</w:t>
      </w:r>
    </w:p>
    <w:p>
      <w:pPr>
        <w:spacing w:after="0" w:line="198" w:lineRule="exact"/>
        <w:rPr>
          <w:rFonts w:ascii="Arial" w:cs="Arial" w:eastAsia="Arial" w:hAnsi="Arial"/>
          <w:sz w:val="22"/>
          <w:szCs w:val="22"/>
          <w:color w:val="auto"/>
        </w:rPr>
      </w:pPr>
    </w:p>
    <w:p>
      <w:pPr>
        <w:ind w:left="1120" w:hanging="475"/>
        <w:spacing w:after="0"/>
        <w:tabs>
          <w:tab w:leader="none" w:pos="1120" w:val="left"/>
        </w:tabs>
        <w:numPr>
          <w:ilvl w:val="0"/>
          <w:numId w:val="269"/>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293"/>
        <w:spacing w:after="0" w:line="306" w:lineRule="auto"/>
        <w:tabs>
          <w:tab w:leader="none" w:pos="1761" w:val="left"/>
        </w:tabs>
        <w:numPr>
          <w:ilvl w:val="1"/>
          <w:numId w:val="269"/>
        </w:numPr>
        <w:rPr>
          <w:rFonts w:ascii="Arial" w:cs="Arial" w:eastAsia="Arial" w:hAnsi="Arial"/>
          <w:sz w:val="21"/>
          <w:szCs w:val="21"/>
          <w:color w:val="auto"/>
        </w:rPr>
      </w:pPr>
      <w:r>
        <w:rPr>
          <w:rFonts w:ascii="Arial" w:cs="Arial" w:eastAsia="Arial" w:hAnsi="Arial"/>
          <w:sz w:val="21"/>
          <w:szCs w:val="21"/>
          <w:color w:val="auto"/>
        </w:rPr>
        <w:t>At any time prior to October 1, 2020, the Issuer may, on any one or more occasions, redeem up to 35% of the aggregate principal amount of the Notes issued under this Indenture at a redemption price of 105.500% of the principal amount, plus accrued and unpaid interest, if any, and Additional Amounts, if any, to (but excluding) the redemption date, with the net cash proceeds of one or more Equity Offerings; provided that:</w:t>
      </w:r>
    </w:p>
    <w:p>
      <w:pPr>
        <w:spacing w:after="0" w:line="172" w:lineRule="exact"/>
        <w:rPr>
          <w:rFonts w:ascii="Arial" w:cs="Arial" w:eastAsia="Arial" w:hAnsi="Arial"/>
          <w:sz w:val="21"/>
          <w:szCs w:val="21"/>
          <w:color w:val="auto"/>
        </w:rPr>
      </w:pPr>
    </w:p>
    <w:p>
      <w:pPr>
        <w:jc w:val="both"/>
        <w:ind w:left="1300" w:firstLine="641"/>
        <w:spacing w:after="0" w:line="292" w:lineRule="auto"/>
        <w:tabs>
          <w:tab w:leader="none" w:pos="2557" w:val="left"/>
        </w:tabs>
        <w:numPr>
          <w:ilvl w:val="2"/>
          <w:numId w:val="269"/>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84" w:lineRule="exact"/>
        <w:rPr>
          <w:rFonts w:ascii="Arial" w:cs="Arial" w:eastAsia="Arial" w:hAnsi="Arial"/>
          <w:sz w:val="22"/>
          <w:szCs w:val="22"/>
          <w:color w:val="auto"/>
        </w:rPr>
      </w:pPr>
    </w:p>
    <w:p>
      <w:pPr>
        <w:ind w:left="2420" w:hanging="479"/>
        <w:spacing w:after="0"/>
        <w:tabs>
          <w:tab w:leader="none" w:pos="2420" w:val="left"/>
        </w:tabs>
        <w:numPr>
          <w:ilvl w:val="2"/>
          <w:numId w:val="269"/>
        </w:numPr>
        <w:rPr>
          <w:rFonts w:ascii="Arial" w:cs="Arial" w:eastAsia="Arial" w:hAnsi="Arial"/>
          <w:sz w:val="21"/>
          <w:szCs w:val="21"/>
          <w:color w:val="auto"/>
        </w:rPr>
      </w:pPr>
      <w:r>
        <w:rPr>
          <w:rFonts w:ascii="Arial" w:cs="Arial" w:eastAsia="Arial" w:hAnsi="Arial"/>
          <w:sz w:val="21"/>
          <w:szCs w:val="21"/>
          <w:color w:val="auto"/>
        </w:rPr>
        <w:t>the redemption occurs within 45 days of the date of the closing of such Equity Offering.</w:t>
      </w:r>
    </w:p>
    <w:p>
      <w:pPr>
        <w:spacing w:after="0" w:line="271" w:lineRule="exact"/>
        <w:rPr>
          <w:rFonts w:ascii="Arial" w:cs="Arial" w:eastAsia="Arial" w:hAnsi="Arial"/>
          <w:sz w:val="21"/>
          <w:szCs w:val="21"/>
          <w:color w:val="auto"/>
        </w:rPr>
      </w:pPr>
    </w:p>
    <w:p>
      <w:pPr>
        <w:ind w:firstLine="1293"/>
        <w:spacing w:after="0" w:line="387" w:lineRule="auto"/>
        <w:tabs>
          <w:tab w:leader="none" w:pos="1757" w:val="left"/>
        </w:tabs>
        <w:numPr>
          <w:ilvl w:val="1"/>
          <w:numId w:val="269"/>
        </w:numPr>
        <w:rPr>
          <w:rFonts w:ascii="Arial" w:cs="Arial" w:eastAsia="Arial" w:hAnsi="Arial"/>
          <w:sz w:val="19"/>
          <w:szCs w:val="19"/>
          <w:color w:val="auto"/>
        </w:rPr>
      </w:pPr>
      <w:r>
        <w:rPr>
          <w:rFonts w:ascii="Arial" w:cs="Arial" w:eastAsia="Arial" w:hAnsi="Arial"/>
          <w:sz w:val="19"/>
          <w:szCs w:val="19"/>
          <w:color w:val="auto"/>
        </w:rPr>
        <w:t>At any time prior to October 1, 2022, the Issuer may on any one or more occasions redeem all or part of the Notes, upon not less than 10 nor more than 60 days’ notice, at a redemption price equal to the greater of:</w:t>
      </w:r>
    </w:p>
    <w:p>
      <w:pPr>
        <w:spacing w:after="0" w:line="105" w:lineRule="exact"/>
        <w:rPr>
          <w:rFonts w:ascii="Arial" w:cs="Arial" w:eastAsia="Arial" w:hAnsi="Arial"/>
          <w:sz w:val="19"/>
          <w:szCs w:val="19"/>
          <w:color w:val="auto"/>
        </w:rPr>
      </w:pPr>
    </w:p>
    <w:p>
      <w:pPr>
        <w:ind w:left="2360" w:hanging="419"/>
        <w:spacing w:after="0"/>
        <w:tabs>
          <w:tab w:leader="none" w:pos="2360" w:val="left"/>
        </w:tabs>
        <w:numPr>
          <w:ilvl w:val="2"/>
          <w:numId w:val="269"/>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900" w:top="861" w:right="239" w:bottom="1440" w:gutter="0" w:footer="0" w:header="0"/>
        </w:sectPr>
      </w:pPr>
    </w:p>
    <w:bookmarkStart w:id="261" w:name="page262"/>
    <w:bookmarkEnd w:id="261"/>
    <w:p>
      <w:pPr>
        <w:jc w:val="both"/>
        <w:ind w:left="1300" w:firstLine="641"/>
        <w:spacing w:after="0" w:line="287" w:lineRule="auto"/>
        <w:tabs>
          <w:tab w:leader="none" w:pos="2566"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189" w:lineRule="exact"/>
        <w:rPr>
          <w:sz w:val="20"/>
          <w:szCs w:val="20"/>
          <w:color w:val="auto"/>
        </w:rPr>
      </w:pPr>
    </w:p>
    <w:p>
      <w:pPr>
        <w:ind w:left="130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right="20" w:firstLine="1293"/>
        <w:spacing w:after="0" w:line="302" w:lineRule="auto"/>
        <w:tabs>
          <w:tab w:leader="none" w:pos="191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Except as described in paragraphs 5(a), (b), (e), (7) and (8) of this Note, the Notes shall not be redeemable at the Issuer’s option prior to October 1, 2022.</w:t>
      </w:r>
    </w:p>
    <w:p>
      <w:pPr>
        <w:spacing w:after="0" w:line="173" w:lineRule="exact"/>
        <w:rPr>
          <w:rFonts w:ascii="Arial" w:cs="Arial" w:eastAsia="Arial" w:hAnsi="Arial"/>
          <w:sz w:val="22"/>
          <w:szCs w:val="22"/>
          <w:color w:val="auto"/>
        </w:rPr>
      </w:pPr>
    </w:p>
    <w:p>
      <w:pPr>
        <w:jc w:val="both"/>
        <w:ind w:firstLine="1293"/>
        <w:spacing w:after="0" w:line="341" w:lineRule="auto"/>
        <w:tabs>
          <w:tab w:leader="none" w:pos="1814" w:val="left"/>
        </w:tabs>
        <w:numPr>
          <w:ilvl w:val="0"/>
          <w:numId w:val="271"/>
        </w:numPr>
        <w:rPr>
          <w:rFonts w:ascii="Arial" w:cs="Arial" w:eastAsia="Arial" w:hAnsi="Arial"/>
          <w:sz w:val="19"/>
          <w:szCs w:val="19"/>
          <w:color w:val="auto"/>
        </w:rPr>
      </w:pPr>
      <w:r>
        <w:rPr>
          <w:rFonts w:ascii="Arial" w:cs="Arial" w:eastAsia="Arial" w:hAnsi="Arial"/>
          <w:sz w:val="19"/>
          <w:szCs w:val="19"/>
          <w:color w:val="auto"/>
        </w:rPr>
        <w:t>On or after October 1, 2022,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October 1, of the years indicated below, subject to the rights of Holders on the relevant record date to receive interest on the relevant interest payment date:</w:t>
      </w:r>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6500" w:type="dxa"/>
            <w:vAlign w:val="bottom"/>
            <w:gridSpan w:val="2"/>
          </w:tcPr>
          <w:p>
            <w:pPr>
              <w:spacing w:after="0"/>
              <w:rPr>
                <w:sz w:val="20"/>
                <w:szCs w:val="20"/>
                <w:color w:val="auto"/>
              </w:rPr>
            </w:pPr>
            <w:r>
              <w:rPr>
                <w:rFonts w:ascii="Arial" w:cs="Arial" w:eastAsia="Arial" w:hAnsi="Arial"/>
                <w:sz w:val="22"/>
                <w:szCs w:val="22"/>
                <w:color w:val="auto"/>
              </w:rPr>
              <w:t>Year</w:t>
            </w:r>
          </w:p>
        </w:tc>
        <w:tc>
          <w:tcPr>
            <w:tcW w:w="1640" w:type="dxa"/>
            <w:vAlign w:val="bottom"/>
            <w:gridSpan w:val="2"/>
          </w:tcPr>
          <w:p>
            <w:pPr>
              <w:jc w:val="right"/>
              <w:ind w:right="700"/>
              <w:spacing w:after="0"/>
              <w:rPr>
                <w:sz w:val="20"/>
                <w:szCs w:val="20"/>
                <w:color w:val="auto"/>
              </w:rPr>
            </w:pPr>
            <w:r>
              <w:rPr>
                <w:rFonts w:ascii="Arial" w:cs="Arial" w:eastAsia="Arial" w:hAnsi="Arial"/>
                <w:sz w:val="22"/>
                <w:szCs w:val="22"/>
                <w:color w:val="auto"/>
                <w:w w:val="81"/>
              </w:rPr>
              <w:t>Percentage</w:t>
            </w:r>
          </w:p>
        </w:tc>
      </w:tr>
      <w:tr>
        <w:trPr>
          <w:trHeight w:val="20"/>
        </w:trPr>
        <w:tc>
          <w:tcPr>
            <w:tcW w:w="4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28"/>
        </w:trPr>
        <w:tc>
          <w:tcPr>
            <w:tcW w:w="6500" w:type="dxa"/>
            <w:vAlign w:val="bottom"/>
            <w:gridSpan w:val="2"/>
          </w:tcPr>
          <w:p>
            <w:pPr>
              <w:spacing w:after="0"/>
              <w:rPr>
                <w:sz w:val="20"/>
                <w:szCs w:val="20"/>
                <w:color w:val="auto"/>
              </w:rPr>
            </w:pPr>
            <w:r>
              <w:rPr>
                <w:rFonts w:ascii="Arial" w:cs="Arial" w:eastAsia="Arial" w:hAnsi="Arial"/>
                <w:sz w:val="22"/>
                <w:szCs w:val="22"/>
                <w:color w:val="auto"/>
              </w:rPr>
              <w:t>2022</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102.750%</w:t>
            </w:r>
          </w:p>
        </w:tc>
      </w:tr>
      <w:tr>
        <w:trPr>
          <w:trHeight w:val="297"/>
        </w:trPr>
        <w:tc>
          <w:tcPr>
            <w:tcW w:w="6500" w:type="dxa"/>
            <w:vAlign w:val="bottom"/>
            <w:gridSpan w:val="2"/>
          </w:tcPr>
          <w:p>
            <w:pPr>
              <w:spacing w:after="0"/>
              <w:rPr>
                <w:sz w:val="20"/>
                <w:szCs w:val="20"/>
                <w:color w:val="auto"/>
              </w:rPr>
            </w:pPr>
            <w:r>
              <w:rPr>
                <w:rFonts w:ascii="Arial" w:cs="Arial" w:eastAsia="Arial" w:hAnsi="Arial"/>
                <w:sz w:val="22"/>
                <w:szCs w:val="22"/>
                <w:color w:val="auto"/>
              </w:rPr>
              <w:t>2023</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101.833%</w:t>
            </w:r>
          </w:p>
        </w:tc>
      </w:tr>
      <w:tr>
        <w:trPr>
          <w:trHeight w:val="297"/>
        </w:trPr>
        <w:tc>
          <w:tcPr>
            <w:tcW w:w="6500" w:type="dxa"/>
            <w:vAlign w:val="bottom"/>
            <w:gridSpan w:val="2"/>
          </w:tcPr>
          <w:p>
            <w:pPr>
              <w:spacing w:after="0"/>
              <w:rPr>
                <w:sz w:val="20"/>
                <w:szCs w:val="20"/>
                <w:color w:val="auto"/>
              </w:rPr>
            </w:pPr>
            <w:r>
              <w:rPr>
                <w:rFonts w:ascii="Arial" w:cs="Arial" w:eastAsia="Arial" w:hAnsi="Arial"/>
                <w:sz w:val="22"/>
                <w:szCs w:val="22"/>
                <w:color w:val="auto"/>
              </w:rPr>
              <w:t>2024</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100.917%</w:t>
            </w:r>
          </w:p>
        </w:tc>
      </w:tr>
      <w:tr>
        <w:trPr>
          <w:trHeight w:val="297"/>
        </w:trPr>
        <w:tc>
          <w:tcPr>
            <w:tcW w:w="6500" w:type="dxa"/>
            <w:vAlign w:val="bottom"/>
            <w:gridSpan w:val="2"/>
          </w:tcPr>
          <w:p>
            <w:pPr>
              <w:spacing w:after="0"/>
              <w:rPr>
                <w:sz w:val="20"/>
                <w:szCs w:val="20"/>
                <w:color w:val="auto"/>
              </w:rPr>
            </w:pPr>
            <w:r>
              <w:rPr>
                <w:rFonts w:ascii="Arial" w:cs="Arial" w:eastAsia="Arial" w:hAnsi="Arial"/>
                <w:sz w:val="22"/>
                <w:szCs w:val="22"/>
                <w:color w:val="auto"/>
              </w:rPr>
              <w:t>2025 and thereafter</w:t>
            </w: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174" w:lineRule="exact"/>
        <w:rPr>
          <w:sz w:val="20"/>
          <w:szCs w:val="20"/>
          <w:color w:val="auto"/>
        </w:rPr>
      </w:pPr>
    </w:p>
    <w:p>
      <w:pPr>
        <w:jc w:val="both"/>
        <w:ind w:firstLine="1293"/>
        <w:spacing w:after="0" w:line="335" w:lineRule="auto"/>
        <w:tabs>
          <w:tab w:leader="none" w:pos="1765"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Any redemption set forth under Section 3.07(a), (b) or (d) of the Indenture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861" w:right="239" w:bottom="1440" w:gutter="0" w:footer="0" w:header="0"/>
        </w:sectPr>
      </w:pPr>
    </w:p>
    <w:bookmarkStart w:id="262" w:name="page263"/>
    <w:bookmarkEnd w:id="262"/>
    <w:p>
      <w:pPr>
        <w:ind w:left="4"/>
        <w:spacing w:after="0"/>
        <w:rPr>
          <w:sz w:val="20"/>
          <w:szCs w:val="20"/>
          <w:color w:val="auto"/>
        </w:rPr>
      </w:pPr>
      <w:r>
        <w:rPr>
          <w:rFonts w:ascii="Arial" w:cs="Arial" w:eastAsia="Arial" w:hAnsi="Arial"/>
          <w:sz w:val="22"/>
          <w:szCs w:val="22"/>
          <w:color w:val="auto"/>
        </w:rPr>
        <w:t>performance of the Issuer’s obligations with respect to such redemption may be performed by another Person.</w:t>
      </w:r>
    </w:p>
    <w:p>
      <w:pPr>
        <w:spacing w:after="0" w:line="260" w:lineRule="exact"/>
        <w:rPr>
          <w:sz w:val="20"/>
          <w:szCs w:val="20"/>
          <w:color w:val="auto"/>
        </w:rPr>
      </w:pPr>
    </w:p>
    <w:p>
      <w:pPr>
        <w:ind w:left="4" w:firstLine="645"/>
        <w:spacing w:after="0" w:line="302" w:lineRule="auto"/>
        <w:tabs>
          <w:tab w:leader="none" w:pos="1242" w:val="left"/>
        </w:tabs>
        <w:numPr>
          <w:ilvl w:val="0"/>
          <w:numId w:val="273"/>
        </w:numPr>
        <w:rPr>
          <w:rFonts w:ascii="Arial" w:cs="Arial" w:eastAsia="Arial" w:hAnsi="Arial"/>
          <w:sz w:val="22"/>
          <w:szCs w:val="22"/>
          <w:color w:val="auto"/>
        </w:rPr>
      </w:pPr>
      <w:r>
        <w:rPr>
          <w:rFonts w:ascii="Arial" w:cs="Arial" w:eastAsia="Arial" w:hAnsi="Arial"/>
          <w:sz w:val="22"/>
          <w:szCs w:val="22"/>
          <w:i w:val="1"/>
          <w:iCs w:val="1"/>
          <w:color w:val="auto"/>
        </w:rPr>
        <w:t xml:space="preserve">MANDATORY REDEMPTION. </w:t>
      </w:r>
      <w:r>
        <w:rPr>
          <w:rFonts w:ascii="Arial" w:cs="Arial" w:eastAsia="Arial" w:hAnsi="Arial"/>
          <w:sz w:val="22"/>
          <w:szCs w:val="22"/>
          <w:color w:val="auto"/>
        </w:rPr>
        <w:t>The Issuer is not required to make mandatory redemption or sinking fund</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with respect to the Notes.</w:t>
      </w:r>
    </w:p>
    <w:p>
      <w:pPr>
        <w:spacing w:after="0" w:line="173" w:lineRule="exact"/>
        <w:rPr>
          <w:rFonts w:ascii="Arial" w:cs="Arial" w:eastAsia="Arial" w:hAnsi="Arial"/>
          <w:sz w:val="22"/>
          <w:szCs w:val="22"/>
          <w:color w:val="auto"/>
        </w:rPr>
      </w:pPr>
    </w:p>
    <w:p>
      <w:pPr>
        <w:jc w:val="both"/>
        <w:ind w:left="4" w:firstLine="645"/>
        <w:spacing w:after="0" w:line="330" w:lineRule="auto"/>
        <w:tabs>
          <w:tab w:leader="none" w:pos="1242" w:val="left"/>
        </w:tabs>
        <w:numPr>
          <w:ilvl w:val="0"/>
          <w:numId w:val="273"/>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w:t>
      </w:r>
      <w:r>
        <w:rPr>
          <w:rFonts w:ascii="Arial" w:cs="Arial" w:eastAsia="Arial" w:hAnsi="Arial"/>
          <w:sz w:val="19"/>
          <w:szCs w:val="19"/>
          <w:i w:val="1"/>
          <w:iCs w:val="1"/>
          <w:color w:val="auto"/>
        </w:rPr>
        <w:t xml:space="preserve"> </w:t>
      </w:r>
      <w:r>
        <w:rPr>
          <w:rFonts w:ascii="Arial" w:cs="Arial" w:eastAsia="Arial" w:hAnsi="Arial"/>
          <w:sz w:val="19"/>
          <w:szCs w:val="19"/>
          <w:color w:val="auto"/>
        </w:rPr>
        <w:t>other provision of 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 shall have the right, at its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excluding) the earlier of (A) the date of redemption or such earlier date as is required by the Gaming Authority or (B) the date of the finding of unsuitability by the Gaming Authority, which may be less than 30 days following the notice of redemption. The Issuer shall notify the Trustee in writing of any redemption pursuant to this paragraph 7 as soon as reasonably practicable.</w:t>
      </w:r>
    </w:p>
    <w:p>
      <w:pPr>
        <w:spacing w:after="0" w:line="200" w:lineRule="exact"/>
        <w:rPr>
          <w:sz w:val="20"/>
          <w:szCs w:val="20"/>
          <w:color w:val="auto"/>
        </w:rPr>
      </w:pPr>
    </w:p>
    <w:p>
      <w:pPr>
        <w:spacing w:after="0" w:line="260" w:lineRule="exact"/>
        <w:rPr>
          <w:sz w:val="20"/>
          <w:szCs w:val="20"/>
          <w:color w:val="auto"/>
        </w:rPr>
      </w:pPr>
    </w:p>
    <w:p>
      <w:pPr>
        <w:jc w:val="both"/>
        <w:ind w:left="4"/>
        <w:spacing w:after="0" w:line="326"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 w:lineRule="exact"/>
        <w:rPr>
          <w:sz w:val="20"/>
          <w:szCs w:val="20"/>
          <w:color w:val="auto"/>
        </w:rPr>
      </w:pPr>
    </w:p>
    <w:p>
      <w:pPr>
        <w:jc w:val="both"/>
        <w:ind w:left="4" w:hanging="4"/>
        <w:spacing w:after="0" w:line="292" w:lineRule="auto"/>
        <w:tabs>
          <w:tab w:leader="none" w:pos="313" w:val="left"/>
        </w:tabs>
        <w:numPr>
          <w:ilvl w:val="0"/>
          <w:numId w:val="274"/>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 (b) receive any interest or any other distribution or payment with respect to the Notes, or any remuneration in any form from the Issuer for services rendered or otherwise, except the redemption price of the Notes.</w:t>
      </w:r>
    </w:p>
    <w:p>
      <w:pPr>
        <w:spacing w:after="0" w:line="184" w:lineRule="exact"/>
        <w:rPr>
          <w:sz w:val="20"/>
          <w:szCs w:val="20"/>
          <w:color w:val="auto"/>
        </w:rPr>
      </w:pPr>
    </w:p>
    <w:p>
      <w:pPr>
        <w:jc w:val="both"/>
        <w:ind w:left="4"/>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861" w:right="239" w:bottom="1440" w:gutter="0" w:footer="0" w:header="0"/>
        </w:sectPr>
      </w:pPr>
    </w:p>
    <w:bookmarkStart w:id="263" w:name="page264"/>
    <w:bookmarkEnd w:id="263"/>
    <w:p>
      <w:pPr>
        <w:jc w:val="both"/>
        <w:ind w:left="4" w:hanging="4"/>
        <w:spacing w:after="0" w:line="346" w:lineRule="auto"/>
        <w:tabs>
          <w:tab w:leader="none" w:pos="512" w:val="left"/>
        </w:tabs>
        <w:numPr>
          <w:ilvl w:val="0"/>
          <w:numId w:val="275"/>
        </w:numPr>
        <w:rPr>
          <w:rFonts w:ascii="Arial" w:cs="Arial" w:eastAsia="Arial" w:hAnsi="Arial"/>
          <w:sz w:val="19"/>
          <w:szCs w:val="19"/>
          <w:color w:val="auto"/>
        </w:rPr>
      </w:pPr>
      <w:r>
        <w:rPr>
          <w:rFonts w:ascii="Arial" w:cs="Arial" w:eastAsia="Arial" w:hAnsi="Arial"/>
          <w:sz w:val="19"/>
          <w:szCs w:val="19"/>
          <w:i w:val="1"/>
          <w:iCs w:val="1"/>
          <w:color w:val="auto"/>
        </w:rPr>
        <w:t>REDEMPTION FOR TAX REASONS</w:t>
      </w:r>
      <w:r>
        <w:rPr>
          <w:rFonts w:ascii="Arial" w:cs="Arial" w:eastAsia="Arial" w:hAnsi="Arial"/>
          <w:sz w:val="19"/>
          <w:szCs w:val="19"/>
          <w:color w:val="auto"/>
        </w:rPr>
        <w:t>. The Notes may be redeemed, at the option of the Issuer, as a whole but not in</w:t>
      </w:r>
      <w:r>
        <w:rPr>
          <w:rFonts w:ascii="Arial" w:cs="Arial" w:eastAsia="Arial" w:hAnsi="Arial"/>
          <w:sz w:val="19"/>
          <w:szCs w:val="19"/>
          <w:i w:val="1"/>
          <w:iCs w:val="1"/>
          <w:color w:val="auto"/>
        </w:rPr>
        <w:t xml:space="preserve"> </w:t>
      </w:r>
      <w:r>
        <w:rPr>
          <w:rFonts w:ascii="Arial" w:cs="Arial" w:eastAsia="Arial" w:hAnsi="Arial"/>
          <w:sz w:val="19"/>
          <w:szCs w:val="19"/>
          <w:color w:val="auto"/>
        </w:rPr>
        <w:t>part, 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44" w:lineRule="exact"/>
        <w:rPr>
          <w:rFonts w:ascii="Arial" w:cs="Arial" w:eastAsia="Arial" w:hAnsi="Arial"/>
          <w:sz w:val="19"/>
          <w:szCs w:val="19"/>
          <w:color w:val="auto"/>
        </w:rPr>
      </w:pPr>
    </w:p>
    <w:p>
      <w:pPr>
        <w:ind w:left="4" w:firstLine="1293"/>
        <w:spacing w:after="0" w:line="302" w:lineRule="auto"/>
        <w:tabs>
          <w:tab w:leader="none" w:pos="18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3" w:lineRule="exact"/>
        <w:rPr>
          <w:rFonts w:ascii="Arial" w:cs="Arial" w:eastAsia="Arial" w:hAnsi="Arial"/>
          <w:sz w:val="22"/>
          <w:szCs w:val="22"/>
          <w:color w:val="auto"/>
        </w:rPr>
      </w:pPr>
    </w:p>
    <w:p>
      <w:pPr>
        <w:jc w:val="both"/>
        <w:ind w:left="4" w:firstLine="1293"/>
        <w:spacing w:after="0" w:line="292" w:lineRule="auto"/>
        <w:tabs>
          <w:tab w:leader="none" w:pos="1876" w:val="left"/>
        </w:tabs>
        <w:numPr>
          <w:ilvl w:val="1"/>
          <w:numId w:val="275"/>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4" w:lineRule="exact"/>
        <w:rPr>
          <w:sz w:val="20"/>
          <w:szCs w:val="20"/>
          <w:color w:val="auto"/>
        </w:rPr>
      </w:pPr>
    </w:p>
    <w:p>
      <w:pPr>
        <w:jc w:val="both"/>
        <w:ind w:left="4"/>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the Indenture or (ii) with respect to any Surviving Person, the date such Surviving Person becomes a Surviving Person with respect to any payment due or to become due under the Notes or the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56" w:lineRule="exact"/>
        <w:rPr>
          <w:sz w:val="20"/>
          <w:szCs w:val="20"/>
          <w:color w:val="auto"/>
        </w:rPr>
      </w:pPr>
    </w:p>
    <w:p>
      <w:pPr>
        <w:jc w:val="both"/>
        <w:ind w:left="4"/>
        <w:spacing w:after="0" w:line="302" w:lineRule="auto"/>
        <w:rPr>
          <w:sz w:val="20"/>
          <w:szCs w:val="20"/>
          <w:color w:val="auto"/>
        </w:rPr>
      </w:pPr>
      <w:r>
        <w:rPr>
          <w:rFonts w:ascii="Arial" w:cs="Arial" w:eastAsia="Arial" w:hAnsi="Arial"/>
          <w:sz w:val="22"/>
          <w:szCs w:val="22"/>
          <w:color w:val="auto"/>
        </w:rPr>
        <w:t>Prior to the mailing of any notice of redemption of the Notes pursuant to the foregoing, the Issuer or the Surviving Person, as the case may be, shall deliver to the Trustee:</w:t>
      </w:r>
    </w:p>
    <w:p>
      <w:pPr>
        <w:spacing w:after="0" w:line="174" w:lineRule="exact"/>
        <w:rPr>
          <w:sz w:val="20"/>
          <w:szCs w:val="20"/>
          <w:color w:val="auto"/>
        </w:rPr>
      </w:pPr>
    </w:p>
    <w:p>
      <w:pPr>
        <w:jc w:val="both"/>
        <w:ind w:left="4" w:firstLine="645"/>
        <w:spacing w:after="0" w:line="292" w:lineRule="auto"/>
        <w:tabs>
          <w:tab w:leader="none" w:pos="1135"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4" w:lineRule="exact"/>
        <w:rPr>
          <w:rFonts w:ascii="Arial" w:cs="Arial" w:eastAsia="Arial" w:hAnsi="Arial"/>
          <w:sz w:val="22"/>
          <w:szCs w:val="22"/>
          <w:color w:val="auto"/>
        </w:rPr>
      </w:pPr>
    </w:p>
    <w:p>
      <w:pPr>
        <w:ind w:left="4" w:firstLine="645"/>
        <w:spacing w:after="0" w:line="302" w:lineRule="auto"/>
        <w:tabs>
          <w:tab w:leader="none" w:pos="1239"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861" w:right="239" w:bottom="1440" w:gutter="0" w:footer="0" w:header="0"/>
        </w:sectPr>
      </w:pPr>
    </w:p>
    <w:bookmarkStart w:id="264" w:name="page265"/>
    <w:bookmarkEnd w:id="264"/>
    <w:p>
      <w:pPr>
        <w:ind w:left="4"/>
        <w:spacing w:after="0" w:line="302" w:lineRule="auto"/>
        <w:rPr>
          <w:sz w:val="20"/>
          <w:szCs w:val="20"/>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4" w:lineRule="exact"/>
        <w:rPr>
          <w:sz w:val="20"/>
          <w:szCs w:val="20"/>
          <w:color w:val="auto"/>
        </w:rPr>
      </w:pPr>
    </w:p>
    <w:p>
      <w:pPr>
        <w:ind w:left="4" w:right="20" w:firstLine="645"/>
        <w:spacing w:after="0" w:line="302" w:lineRule="auto"/>
        <w:tabs>
          <w:tab w:leader="none" w:pos="1147" w:val="left"/>
        </w:tabs>
        <w:numPr>
          <w:ilvl w:val="1"/>
          <w:numId w:val="277"/>
        </w:numPr>
        <w:rPr>
          <w:rFonts w:ascii="Arial" w:cs="Arial" w:eastAsia="Arial" w:hAnsi="Arial"/>
          <w:sz w:val="22"/>
          <w:szCs w:val="22"/>
          <w:color w:val="auto"/>
        </w:rPr>
      </w:pPr>
      <w:r>
        <w:rPr>
          <w:rFonts w:ascii="Arial" w:cs="Arial" w:eastAsia="Arial" w:hAnsi="Arial"/>
          <w:sz w:val="22"/>
          <w:szCs w:val="22"/>
          <w:i w:val="1"/>
          <w:iCs w:val="1"/>
          <w:color w:val="auto"/>
        </w:rPr>
        <w:t>REPURCHASE AT THE OPTION OF HOLDER</w:t>
      </w:r>
      <w:r>
        <w:rPr>
          <w:rFonts w:ascii="Arial" w:cs="Arial" w:eastAsia="Arial" w:hAnsi="Arial"/>
          <w:sz w:val="22"/>
          <w:szCs w:val="22"/>
          <w:color w:val="auto"/>
        </w:rPr>
        <w:t>. The Notes may be subject to a Change of Control Offer or a</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Put Option Offer, as further described in Section 4.08 and 4.10 of the Indenture.</w:t>
      </w:r>
    </w:p>
    <w:p>
      <w:pPr>
        <w:spacing w:after="0" w:line="173" w:lineRule="exact"/>
        <w:rPr>
          <w:rFonts w:ascii="Arial" w:cs="Arial" w:eastAsia="Arial" w:hAnsi="Arial"/>
          <w:sz w:val="22"/>
          <w:szCs w:val="22"/>
          <w:color w:val="auto"/>
        </w:rPr>
      </w:pPr>
    </w:p>
    <w:p>
      <w:pPr>
        <w:jc w:val="both"/>
        <w:ind w:left="4" w:firstLine="645"/>
        <w:spacing w:after="0" w:line="326" w:lineRule="auto"/>
        <w:tabs>
          <w:tab w:leader="none" w:pos="1323" w:val="left"/>
        </w:tabs>
        <w:numPr>
          <w:ilvl w:val="1"/>
          <w:numId w:val="277"/>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10 days but not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60 days before the redemption date to each Holder whose Notes are to be redeemed at its registered address, except that</w:t>
      </w:r>
    </w:p>
    <w:p>
      <w:pPr>
        <w:jc w:val="both"/>
        <w:ind w:left="4" w:hanging="4"/>
        <w:spacing w:after="0" w:line="341" w:lineRule="auto"/>
        <w:tabs>
          <w:tab w:leader="none" w:pos="27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redemption notices may be delivered more than 60 days prior to a redemption date if the notice is issued in connection with a defeasance of the Notes or a satisfaction and discharge of the Indenture and (ii) no minimum notice period is required for redemption under Section 3.09 of the Indenture. Notes in denominations larger than US$200,000 may be redeemed in part but only in whole multiples of US$1,000 in excess of US$200,000 unless all of the Notes held by a Holder are to be redeemed. On and after the redemption date interest ceases to accrue on Notes or portions thereof called for redemption.</w:t>
      </w:r>
    </w:p>
    <w:p>
      <w:pPr>
        <w:spacing w:after="0" w:line="149" w:lineRule="exact"/>
        <w:rPr>
          <w:rFonts w:ascii="Arial" w:cs="Arial" w:eastAsia="Arial" w:hAnsi="Arial"/>
          <w:sz w:val="19"/>
          <w:szCs w:val="19"/>
          <w:color w:val="auto"/>
        </w:rPr>
      </w:pPr>
    </w:p>
    <w:p>
      <w:pPr>
        <w:jc w:val="both"/>
        <w:ind w:left="4" w:firstLine="645"/>
        <w:spacing w:after="0" w:line="335" w:lineRule="auto"/>
        <w:tabs>
          <w:tab w:leader="none" w:pos="1436" w:val="left"/>
        </w:tabs>
        <w:numPr>
          <w:ilvl w:val="1"/>
          <w:numId w:val="278"/>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w:t>
      </w:r>
      <w:r>
        <w:rPr>
          <w:rFonts w:ascii="Arial" w:cs="Arial" w:eastAsia="Arial" w:hAnsi="Arial"/>
          <w:sz w:val="19"/>
          <w:szCs w:val="19"/>
          <w:i w:val="1"/>
          <w:iCs w:val="1"/>
          <w:color w:val="auto"/>
        </w:rPr>
        <w:t xml:space="preserve"> </w:t>
      </w:r>
      <w:r>
        <w:rPr>
          <w:rFonts w:ascii="Arial" w:cs="Arial" w:eastAsia="Arial" w:hAnsi="Arial"/>
          <w:sz w:val="19"/>
          <w:szCs w:val="19"/>
          <w:color w:val="auto"/>
        </w:rPr>
        <w:t>denominations of US$200,000 and integral multiples of US$1,000 in excess of US$200,000.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corresponding Interest Payment Date.</w:t>
      </w:r>
    </w:p>
    <w:p>
      <w:pPr>
        <w:spacing w:after="0" w:line="153" w:lineRule="exact"/>
        <w:rPr>
          <w:rFonts w:ascii="Arial" w:cs="Arial" w:eastAsia="Arial" w:hAnsi="Arial"/>
          <w:sz w:val="19"/>
          <w:szCs w:val="19"/>
          <w:color w:val="auto"/>
        </w:rPr>
      </w:pPr>
    </w:p>
    <w:p>
      <w:pPr>
        <w:ind w:left="1224" w:hanging="575"/>
        <w:spacing w:after="0"/>
        <w:tabs>
          <w:tab w:leader="none" w:pos="1224" w:val="left"/>
        </w:tabs>
        <w:numPr>
          <w:ilvl w:val="1"/>
          <w:numId w:val="278"/>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94" w:lineRule="exact"/>
        <w:rPr>
          <w:rFonts w:ascii="Arial" w:cs="Arial" w:eastAsia="Arial" w:hAnsi="Arial"/>
          <w:sz w:val="19"/>
          <w:szCs w:val="19"/>
          <w:color w:val="auto"/>
        </w:rPr>
      </w:pPr>
    </w:p>
    <w:p>
      <w:pPr>
        <w:ind w:left="1224" w:hanging="575"/>
        <w:spacing w:after="0"/>
        <w:tabs>
          <w:tab w:leader="none" w:pos="1224" w:val="left"/>
        </w:tabs>
        <w:numPr>
          <w:ilvl w:val="1"/>
          <w:numId w:val="278"/>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4" w:firstLine="1293"/>
        <w:spacing w:after="0" w:line="287" w:lineRule="auto"/>
        <w:tabs>
          <w:tab w:leader="none" w:pos="1772" w:val="left"/>
        </w:tabs>
        <w:numPr>
          <w:ilvl w:val="2"/>
          <w:numId w:val="278"/>
        </w:numPr>
        <w:rPr>
          <w:rFonts w:ascii="Arial" w:cs="Arial" w:eastAsia="Arial" w:hAnsi="Arial"/>
          <w:sz w:val="22"/>
          <w:szCs w:val="22"/>
          <w:color w:val="auto"/>
        </w:rPr>
      </w:pPr>
      <w:r>
        <w:rPr>
          <w:rFonts w:ascii="Arial" w:cs="Arial" w:eastAsia="Arial" w:hAnsi="Arial"/>
          <w:sz w:val="22"/>
          <w:szCs w:val="22"/>
          <w:color w:val="auto"/>
        </w:rPr>
        <w:t>Subject to certain exceptions set forth in the Indenture, the Indenture and the Notes may be amended or supplemented with the consent of the Holders of at least a majority in principal amount of the then outstanding Notes, voting as a single class, and any existing Default or Event of Default or compliance with any provision of the Indenture and the Notes may be waived with the consent of the Holders of a majority in principal amount of the then outstanding Notes, 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861" w:right="239" w:bottom="1440" w:gutter="0" w:footer="0" w:header="0"/>
        </w:sectPr>
      </w:pPr>
    </w:p>
    <w:bookmarkStart w:id="265" w:name="page266"/>
    <w:bookmarkEnd w:id="265"/>
    <w:p>
      <w:pPr>
        <w:jc w:val="both"/>
        <w:ind w:left="4" w:firstLine="1293"/>
        <w:spacing w:after="0" w:line="326" w:lineRule="auto"/>
        <w:tabs>
          <w:tab w:leader="none" w:pos="1819" w:val="left"/>
        </w:tabs>
        <w:numPr>
          <w:ilvl w:val="1"/>
          <w:numId w:val="279"/>
        </w:numPr>
        <w:rPr>
          <w:rFonts w:ascii="Arial" w:cs="Arial" w:eastAsia="Arial" w:hAnsi="Arial"/>
          <w:sz w:val="19"/>
          <w:szCs w:val="19"/>
          <w:color w:val="auto"/>
        </w:rPr>
      </w:pPr>
      <w:r>
        <w:rPr>
          <w:rFonts w:ascii="Arial" w:cs="Arial" w:eastAsia="Arial" w:hAnsi="Arial"/>
          <w:sz w:val="19"/>
          <w:szCs w:val="19"/>
          <w:color w:val="auto"/>
        </w:rPr>
        <w:t>Without the consent of Holders of at least 90% in aggregate principal amount of the then outstanding Notes, an amendment, supplement or waiver may not (i) reduce the principal amount of Notes whose Holders must consent to an amendment, supplement or waiver, (ii) reduce the principal of or change the fixed maturity of any Note or alter or waive any of the provisions with respect to the redemption of the Notes (other than Section 4.08 of the Indenture),</w:t>
      </w:r>
    </w:p>
    <w:p>
      <w:pPr>
        <w:spacing w:after="0" w:line="1" w:lineRule="exact"/>
        <w:rPr>
          <w:rFonts w:ascii="Arial" w:cs="Arial" w:eastAsia="Arial" w:hAnsi="Arial"/>
          <w:sz w:val="19"/>
          <w:szCs w:val="19"/>
          <w:color w:val="auto"/>
        </w:rPr>
      </w:pPr>
    </w:p>
    <w:p>
      <w:pPr>
        <w:jc w:val="both"/>
        <w:ind w:left="4" w:hanging="4"/>
        <w:spacing w:after="0" w:line="299" w:lineRule="auto"/>
        <w:tabs>
          <w:tab w:leader="none" w:pos="412" w:val="left"/>
        </w:tabs>
        <w:numPr>
          <w:ilvl w:val="0"/>
          <w:numId w:val="280"/>
        </w:numPr>
        <w:rPr>
          <w:rFonts w:ascii="Arial" w:cs="Arial" w:eastAsia="Arial" w:hAnsi="Arial"/>
          <w:sz w:val="21"/>
          <w:szCs w:val="21"/>
          <w:color w:val="auto"/>
        </w:rPr>
      </w:pPr>
      <w:r>
        <w:rPr>
          <w:rFonts w:ascii="Arial" w:cs="Arial" w:eastAsia="Arial" w:hAnsi="Arial"/>
          <w:sz w:val="21"/>
          <w:szCs w:val="21"/>
          <w:color w:val="auto"/>
        </w:rPr>
        <w:t>reduce the rate of or change the time for payment of interest, including default interest, on any Note, (iv)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or premium, if any, on the Notes, (vii) waive a redemption payment with respect to any Note (other than a payment required by Section 4.08 of the Indenture) or (viii) make any change in the preceding amendment and waiver provisions.</w:t>
      </w:r>
    </w:p>
    <w:p>
      <w:pPr>
        <w:spacing w:after="0" w:line="186" w:lineRule="exact"/>
        <w:rPr>
          <w:rFonts w:ascii="Arial" w:cs="Arial" w:eastAsia="Arial" w:hAnsi="Arial"/>
          <w:sz w:val="21"/>
          <w:szCs w:val="21"/>
          <w:color w:val="auto"/>
        </w:rPr>
      </w:pPr>
    </w:p>
    <w:p>
      <w:pPr>
        <w:jc w:val="both"/>
        <w:ind w:left="4" w:firstLine="1293"/>
        <w:spacing w:after="0" w:line="330" w:lineRule="auto"/>
        <w:tabs>
          <w:tab w:leader="none" w:pos="1787" w:val="left"/>
        </w:tabs>
        <w:numPr>
          <w:ilvl w:val="1"/>
          <w:numId w:val="280"/>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 and the Trustee may amend or supplement the Indenture or the Notes to (i) cure any ambiguity, defect or inconsistency, (ii) provide for uncertificated Notes in addition to or in place of Definitive Notes (provided that the uncertificated Notes are issued in registered form for purposes of Section 163(f) of the U.S. Internal Revenue Code of 1986, as amended), (iii) provide for the assumption of the Issuer’s obligations to the Holders of the Notes by a successor to the Issuer in the case of a merger or consolidation or sale of all or substantially all of the Issuer’s assets pursuant to Article 5 of the Indenture, (iv) make any change that would provide any additional rights or benefits to the Holders of the Notes or that does not adversely affect the legal rights of any such Holder under the Indenture, (v) conform the text of the Indenture or the Notes to any provision of the “Description of the Notes” in the Issuer’s Offering Memorandum, dated as of September 13, 2017, relating to the offering of the Initial Notes, to the extent that such provision in the “Description of the Notes” was intended to be a verbatim recitation of a provision of the Indenture or the Notes, which intent may be evidenced by an Officer’s Certificate to that effect, (vi) provide for the issuance of Additional Notes in accordance with the limitations set forth in the Indenture as of the date of the Indenture, (vii) evidence and provide for the acceptance of appointment by a successor Trustee, (viii) comply with the procedures of DTC, Euroclear or Clearstream, (ix) allow a Person to Guarantee the Issuer’s obligations under the Indenture and the Notes by executing a supplemental indenture with respect to the Notes (or to release any such Person from such a Guarantee as provided or permitted by the terms of the Indenture and such Guarantee) or (x) provide for the Notes to be secured (or to release such security as permitted by the Indenture and the applicable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861" w:right="239" w:bottom="1440" w:gutter="0" w:footer="0" w:header="0"/>
        </w:sectPr>
      </w:pPr>
    </w:p>
    <w:bookmarkStart w:id="266" w:name="page267"/>
    <w:bookmarkEnd w:id="266"/>
    <w:p>
      <w:pPr>
        <w:jc w:val="both"/>
        <w:ind w:left="-540" w:firstLine="645"/>
        <w:spacing w:after="0" w:line="328" w:lineRule="auto"/>
        <w:tabs>
          <w:tab w:leader="none" w:pos="711" w:val="left"/>
        </w:tabs>
        <w:numPr>
          <w:ilvl w:val="0"/>
          <w:numId w:val="281"/>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 (iii) failure by the Issuer to comply with Sections 4.08, Section 4.10 or 5.01 of the Indenture; (iv) failure by the Issuer for 60 days after written notice from the Trustee or Holders of at least 25% in aggregate principal amount of the Notes then outstanding voting as a single class to comply with any of the other agreements in the Indenture or the Notes, not set forth in clauses (i), (ii) or (iii) above; (v) default under any mortgage, indenture or instrument under which there may be issued or by which there may be secured or evidenced any Indebtedness for money borrowed by the Issuer or any of its Subsidiaries (or the payment of which is guaranteed by the Issuer) whether such Indebtedness or guarantee existed on the date of the Indenture,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the Indenture; (vi) failure by the Issuer or any of its Significant Subsidiaries to pay final non-appealable judgments (not paid or covered by insurance as to which the relevant insurance company has not denied responsibility) rendered against Wynn Macau or any Significant Subsidiary aggregating in excess of US$50.0 million (or the Dollar Equivalent thereof), which judgments are not paid, bonded, discharged or stayed for a period of 60 days; and (vii) certain events of bankruptcy or insolvency specified in the Indenture with respect to the Issuer or any of its Subsidiaries that is a Significant Subsidiary or any group of Subsidiaries that, taken together, would constitute a Significant Subsidiary. In the case of an Event of Default arising from certain events of bankruptcy or insolvency with respect to the Issuer specified in the Indenture, any Subsidiary of the Issuer that is a Significant Subsidiary or any group of Subsidiaries of the Issuer that, taken together, would constitute a Significant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specified in the Indenture,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20"/>
          </w:cols>
          <w:pgMar w:left="1440" w:top="861" w:right="239" w:bottom="1440" w:gutter="0" w:footer="0" w:header="0"/>
        </w:sectPr>
      </w:pPr>
    </w:p>
    <w:bookmarkStart w:id="267" w:name="page268"/>
    <w:bookmarkEnd w:id="267"/>
    <w:p>
      <w:pPr>
        <w:jc w:val="both"/>
        <w:spacing w:after="0" w:line="346" w:lineRule="auto"/>
        <w:rPr>
          <w:sz w:val="20"/>
          <w:szCs w:val="20"/>
          <w:color w:val="auto"/>
        </w:rPr>
      </w:pPr>
      <w:r>
        <w:rPr>
          <w:rFonts w:ascii="Arial" w:cs="Arial" w:eastAsia="Arial" w:hAnsi="Arial"/>
          <w:sz w:val="19"/>
          <w:szCs w:val="19"/>
          <w:color w:val="auto"/>
        </w:rPr>
        <w:t>any existing Default or Event of Default and its consequences under the Indenture, except a continuing Default or Event of Default in the payment of interest or premium, if any, on, or the principal of, the Notes. The Issuer is required to deliver to the Trustee annually a statement regarding compliance with the Indenture. Upon becoming aware of any Default or Event of Default, the Issuer is required to deliver to the Trustee a statement specifying such Default or Event of Default.</w:t>
      </w:r>
    </w:p>
    <w:p>
      <w:pPr>
        <w:spacing w:after="0" w:line="145" w:lineRule="exact"/>
        <w:rPr>
          <w:sz w:val="20"/>
          <w:szCs w:val="20"/>
          <w:color w:val="auto"/>
        </w:rPr>
      </w:pPr>
    </w:p>
    <w:p>
      <w:pPr>
        <w:jc w:val="both"/>
        <w:ind w:firstLine="645"/>
        <w:spacing w:after="0" w:line="287" w:lineRule="auto"/>
        <w:tabs>
          <w:tab w:leader="none" w:pos="1265" w:val="left"/>
        </w:tabs>
        <w:numPr>
          <w:ilvl w:val="0"/>
          <w:numId w:val="282"/>
        </w:numPr>
        <w:rPr>
          <w:rFonts w:ascii="Arial" w:cs="Arial" w:eastAsia="Arial" w:hAnsi="Arial"/>
          <w:sz w:val="22"/>
          <w:szCs w:val="22"/>
          <w:color w:val="auto"/>
        </w:rPr>
      </w:pPr>
      <w:r>
        <w:rPr>
          <w:rFonts w:ascii="Arial" w:cs="Arial" w:eastAsia="Arial" w:hAnsi="Arial"/>
          <w:sz w:val="22"/>
          <w:szCs w:val="22"/>
          <w:i w:val="1"/>
          <w:iCs w:val="1"/>
          <w:color w:val="auto"/>
        </w:rPr>
        <w:t>TRUSTEE DEALINGS WITH ISSUER</w:t>
      </w:r>
      <w:r>
        <w:rPr>
          <w:rFonts w:ascii="Arial" w:cs="Arial" w:eastAsia="Arial" w:hAnsi="Arial"/>
          <w:sz w:val="22"/>
          <w:szCs w:val="22"/>
          <w:color w:val="auto"/>
        </w:rPr>
        <w:t>. The Trustee, in its individual or any other capacity, may become the</w:t>
      </w:r>
      <w:r>
        <w:rPr>
          <w:rFonts w:ascii="Arial" w:cs="Arial" w:eastAsia="Arial" w:hAnsi="Arial"/>
          <w:sz w:val="22"/>
          <w:szCs w:val="22"/>
          <w:i w:val="1"/>
          <w:iCs w:val="1"/>
          <w:color w:val="auto"/>
        </w:rPr>
        <w:t xml:space="preserve"> </w:t>
      </w:r>
      <w:r>
        <w:rPr>
          <w:rFonts w:ascii="Arial" w:cs="Arial" w:eastAsia="Arial" w:hAnsi="Arial"/>
          <w:sz w:val="22"/>
          <w:szCs w:val="22"/>
          <w:color w:val="auto"/>
        </w:rPr>
        <w:t>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89" w:lineRule="exact"/>
        <w:rPr>
          <w:rFonts w:ascii="Arial" w:cs="Arial" w:eastAsia="Arial" w:hAnsi="Arial"/>
          <w:sz w:val="22"/>
          <w:szCs w:val="22"/>
          <w:color w:val="auto"/>
        </w:rPr>
      </w:pPr>
    </w:p>
    <w:p>
      <w:pPr>
        <w:jc w:val="both"/>
        <w:ind w:firstLine="645"/>
        <w:spacing w:after="0" w:line="341" w:lineRule="auto"/>
        <w:tabs>
          <w:tab w:leader="none" w:pos="1332" w:val="left"/>
        </w:tabs>
        <w:numPr>
          <w:ilvl w:val="0"/>
          <w:numId w:val="282"/>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organizer, equity holder or member of the Issuer, as such, shall have any liability for any obligations of the Issuer under the Notes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49" w:lineRule="exact"/>
        <w:rPr>
          <w:rFonts w:ascii="Arial" w:cs="Arial" w:eastAsia="Arial" w:hAnsi="Arial"/>
          <w:sz w:val="19"/>
          <w:szCs w:val="19"/>
          <w:color w:val="auto"/>
        </w:rPr>
      </w:pPr>
    </w:p>
    <w:p>
      <w:pPr>
        <w:ind w:firstLine="645"/>
        <w:spacing w:after="0" w:line="302" w:lineRule="auto"/>
        <w:tabs>
          <w:tab w:leader="none" w:pos="1265" w:val="left"/>
        </w:tabs>
        <w:numPr>
          <w:ilvl w:val="0"/>
          <w:numId w:val="282"/>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w:t>
      </w:r>
      <w:r>
        <w:rPr>
          <w:rFonts w:ascii="Arial" w:cs="Arial" w:eastAsia="Arial" w:hAnsi="Arial"/>
          <w:sz w:val="22"/>
          <w:szCs w:val="22"/>
          <w:i w:val="1"/>
          <w:iCs w:val="1"/>
          <w:color w:val="auto"/>
        </w:rPr>
        <w:t xml:space="preserve"> </w:t>
      </w:r>
      <w:r>
        <w:rPr>
          <w:rFonts w:ascii="Arial" w:cs="Arial" w:eastAsia="Arial" w:hAnsi="Arial"/>
          <w:sz w:val="22"/>
          <w:szCs w:val="22"/>
          <w:color w:val="auto"/>
        </w:rPr>
        <w:t>or an authenticating agent.</w:t>
      </w:r>
    </w:p>
    <w:p>
      <w:pPr>
        <w:spacing w:after="0" w:line="173" w:lineRule="exact"/>
        <w:rPr>
          <w:rFonts w:ascii="Arial" w:cs="Arial" w:eastAsia="Arial" w:hAnsi="Arial"/>
          <w:sz w:val="22"/>
          <w:szCs w:val="22"/>
          <w:color w:val="auto"/>
        </w:rPr>
      </w:pPr>
    </w:p>
    <w:p>
      <w:pPr>
        <w:jc w:val="both"/>
        <w:ind w:firstLine="645"/>
        <w:spacing w:after="0" w:line="311" w:lineRule="auto"/>
        <w:tabs>
          <w:tab w:leader="none" w:pos="1292" w:val="left"/>
        </w:tabs>
        <w:numPr>
          <w:ilvl w:val="0"/>
          <w:numId w:val="282"/>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w:t>
      </w:r>
      <w:r>
        <w:rPr>
          <w:rFonts w:ascii="Arial" w:cs="Arial" w:eastAsia="Arial" w:hAnsi="Arial"/>
          <w:sz w:val="21"/>
          <w:szCs w:val="21"/>
          <w:i w:val="1"/>
          <w:iCs w:val="1"/>
          <w:color w:val="auto"/>
        </w:rPr>
        <w:t xml:space="preserve"> </w:t>
      </w:r>
      <w:r>
        <w:rPr>
          <w:rFonts w:ascii="Arial" w:cs="Arial" w:eastAsia="Arial" w:hAnsi="Arial"/>
          <w:sz w:val="21"/>
          <w:szCs w:val="21"/>
          <w:color w:val="auto"/>
        </w:rPr>
        <w:t>TEN COM (= tenants in common), TEN ENT (= tenants by the entireties), JT TEN (= joint tenants with right of survivorship and not as tenants in common), CUST (= Custodian), and U/G/M/A (= Uniform Gifts to Minors Act).</w:t>
      </w:r>
    </w:p>
    <w:p>
      <w:pPr>
        <w:spacing w:after="0" w:line="168" w:lineRule="exact"/>
        <w:rPr>
          <w:rFonts w:ascii="Arial" w:cs="Arial" w:eastAsia="Arial" w:hAnsi="Arial"/>
          <w:sz w:val="21"/>
          <w:szCs w:val="21"/>
          <w:color w:val="auto"/>
        </w:rPr>
      </w:pPr>
    </w:p>
    <w:p>
      <w:pPr>
        <w:jc w:val="both"/>
        <w:ind w:right="20" w:firstLine="645"/>
        <w:spacing w:after="0" w:line="292" w:lineRule="auto"/>
        <w:tabs>
          <w:tab w:leader="none" w:pos="1522" w:val="left"/>
        </w:tabs>
        <w:numPr>
          <w:ilvl w:val="0"/>
          <w:numId w:val="282"/>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AND THIS NOTE SHALL BE GOVERNED BY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IN ACCORDANCE WITH THE LAWS OF THE STATE OF NEW YORK, INCLUDING, WITHOUT LIMITATION, SECTION 5-1401 OF THE NEW YORK OBLIGATIONS LAW.</w:t>
      </w:r>
    </w:p>
    <w:p>
      <w:pPr>
        <w:spacing w:after="0" w:line="184" w:lineRule="exact"/>
        <w:rPr>
          <w:rFonts w:ascii="Arial" w:cs="Arial" w:eastAsia="Arial" w:hAnsi="Arial"/>
          <w:sz w:val="22"/>
          <w:szCs w:val="22"/>
          <w:color w:val="auto"/>
        </w:rPr>
      </w:pPr>
    </w:p>
    <w:p>
      <w:pPr>
        <w:jc w:val="both"/>
        <w:ind w:firstLine="645"/>
        <w:spacing w:after="0" w:line="287" w:lineRule="auto"/>
        <w:tabs>
          <w:tab w:leader="none" w:pos="1116" w:val="left"/>
        </w:tabs>
        <w:numPr>
          <w:ilvl w:val="0"/>
          <w:numId w:val="282"/>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0"/>
          </w:cols>
          <w:pgMar w:left="900" w:top="861" w:right="239" w:bottom="1440" w:gutter="0" w:footer="0" w:header="0"/>
        </w:sectPr>
      </w:pPr>
    </w:p>
    <w:bookmarkStart w:id="268" w:name="page269"/>
    <w:bookmarkEnd w:id="268"/>
    <w:p>
      <w:pPr>
        <w:ind w:firstLine="648"/>
        <w:spacing w:after="0" w:line="302" w:lineRule="auto"/>
        <w:rPr>
          <w:sz w:val="20"/>
          <w:szCs w:val="20"/>
          <w:color w:val="auto"/>
        </w:rPr>
      </w:pPr>
      <w:r>
        <w:rPr>
          <w:rFonts w:ascii="Arial" w:cs="Arial" w:eastAsia="Arial" w:hAnsi="Arial"/>
          <w:sz w:val="22"/>
          <w:szCs w:val="22"/>
          <w:color w:val="auto"/>
        </w:rPr>
        <w:t>The Issuer shall furnish a copy of the Indenture to any Holder upon written request and without charge. Requests may be made 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74" w:right="2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22"/>
          <w:szCs w:val="22"/>
          <w:color w:val="auto"/>
        </w:rPr>
        <w:t>ASSIGNMENT FORM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w:t>
      </w:r>
    </w:p>
    <w:p>
      <w:pPr>
        <w:spacing w:after="0" w:line="44"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(Insert assignee’s legal name)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to transfer this Note on the books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the Issuer. The agent may substitute another to act for him.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 ___________________________</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ind w:left="340" w:hanging="332"/>
        <w:spacing w:after="0"/>
        <w:tabs>
          <w:tab w:leader="none" w:pos="34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13</w:t>
      </w:r>
    </w:p>
    <w:p>
      <w:pPr>
        <w:sectPr>
          <w:pgSz w:w="11900" w:h="16838" w:orient="portrait"/>
          <w:cols w:equalWidth="0" w:num="1">
            <w:col w:w="11420"/>
          </w:cols>
          <w:pgMar w:left="240" w:top="861" w:right="2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If you want to elect to have this Note purchased by the Issuer pursuant to Section 4.08 or Section 4.10 of the Indenture, check the appropriate box below:</w:t>
      </w:r>
    </w:p>
    <w:p>
      <w:pPr>
        <w:spacing w:after="0" w:line="282" w:lineRule="exact"/>
        <w:rPr>
          <w:sz w:val="20"/>
          <w:szCs w:val="20"/>
          <w:color w:val="auto"/>
        </w:rPr>
      </w:pPr>
    </w:p>
    <w:p>
      <w:pPr>
        <w:ind w:left="1960"/>
        <w:spacing w:after="0"/>
        <w:tabs>
          <w:tab w:leader="none" w:pos="3880" w:val="left"/>
        </w:tabs>
        <w:rPr>
          <w:sz w:val="20"/>
          <w:szCs w:val="20"/>
          <w:color w:val="auto"/>
        </w:rPr>
      </w:pPr>
      <w:r>
        <w:rPr>
          <w:rFonts w:ascii="Arial" w:cs="Arial" w:eastAsia="Arial" w:hAnsi="Arial"/>
          <w:sz w:val="22"/>
          <w:szCs w:val="22"/>
          <w:color w:val="auto"/>
        </w:rPr>
        <w:t>£ Section 4.08</w:t>
      </w:r>
      <w:r>
        <w:rPr>
          <w:sz w:val="20"/>
          <w:szCs w:val="20"/>
          <w:color w:val="auto"/>
        </w:rPr>
        <w:tab/>
      </w:r>
      <w:r>
        <w:rPr>
          <w:rFonts w:ascii="Arial" w:cs="Arial" w:eastAsia="Arial" w:hAnsi="Arial"/>
          <w:sz w:val="19"/>
          <w:szCs w:val="19"/>
          <w:color w:val="auto"/>
        </w:rPr>
        <w:t>£ Section 4.10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4.08 or Section 4.10 of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6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US$________________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Signature:___________________________</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(Sign exactly as your name appears on the face of this Note)</w:t>
      </w:r>
    </w:p>
    <w:p>
      <w:pPr>
        <w:spacing w:after="0" w:line="29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Tax Identification No.:______________________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ind w:left="340" w:hanging="332"/>
        <w:spacing w:after="0"/>
        <w:tabs>
          <w:tab w:leader="none" w:pos="34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14</w:t>
      </w:r>
    </w:p>
    <w:p>
      <w:pPr>
        <w:sectPr>
          <w:pgSz w:w="11900" w:h="16838" w:orient="portrait"/>
          <w:cols w:equalWidth="0" w:num="1">
            <w:col w:w="11420"/>
          </w:cols>
          <w:pgMar w:left="240" w:top="861" w:right="239"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60" w:lineRule="exact"/>
        <w:rPr>
          <w:sz w:val="20"/>
          <w:szCs w:val="20"/>
          <w:color w:val="auto"/>
        </w:rPr>
      </w:pPr>
    </w:p>
    <w:p>
      <w:pPr>
        <w:ind w:firstLine="648"/>
        <w:spacing w:after="0" w:line="328"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41"/>
              <w:spacing w:after="0"/>
              <w:rPr>
                <w:sz w:val="20"/>
                <w:szCs w:val="20"/>
                <w:color w:val="auto"/>
              </w:rPr>
            </w:pPr>
            <w:r>
              <w:rPr>
                <w:rFonts w:ascii="Arial" w:cs="Arial" w:eastAsia="Arial" w:hAnsi="Arial"/>
                <w:sz w:val="20"/>
                <w:szCs w:val="20"/>
                <w:color w:val="auto"/>
                <w:w w:val="94"/>
              </w:rPr>
              <w:t>Amount of</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3"/>
              </w:rPr>
              <w:t>Principal Amount</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21"/>
              <w:spacing w:after="0"/>
              <w:rPr>
                <w:sz w:val="20"/>
                <w:szCs w:val="20"/>
                <w:color w:val="auto"/>
              </w:rPr>
            </w:pPr>
            <w:r>
              <w:rPr>
                <w:rFonts w:ascii="Arial" w:cs="Arial" w:eastAsia="Arial" w:hAnsi="Arial"/>
                <w:sz w:val="20"/>
                <w:szCs w:val="20"/>
                <w:color w:val="auto"/>
                <w:w w:val="85"/>
              </w:rPr>
              <w:t>decrease in</w:t>
            </w:r>
          </w:p>
        </w:tc>
        <w:tc>
          <w:tcPr>
            <w:tcW w:w="2360" w:type="dxa"/>
            <w:vAlign w:val="bottom"/>
            <w:gridSpan w:val="3"/>
          </w:tcPr>
          <w:p>
            <w:pPr>
              <w:jc w:val="center"/>
              <w:ind w:right="20"/>
              <w:spacing w:after="0"/>
              <w:rPr>
                <w:sz w:val="20"/>
                <w:szCs w:val="20"/>
                <w:color w:val="auto"/>
              </w:rPr>
            </w:pPr>
            <w:r>
              <w:rPr>
                <w:rFonts w:ascii="Arial" w:cs="Arial" w:eastAsia="Arial" w:hAnsi="Arial"/>
                <w:sz w:val="20"/>
                <w:szCs w:val="20"/>
                <w:color w:val="auto"/>
                <w:w w:val="94"/>
              </w:rPr>
              <w:t>Amount of</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4"/>
              </w:rPr>
              <w:t>of this Global</w:t>
            </w:r>
          </w:p>
        </w:tc>
        <w:tc>
          <w:tcPr>
            <w:tcW w:w="2000" w:type="dxa"/>
            <w:vAlign w:val="bottom"/>
            <w:gridSpan w:val="3"/>
          </w:tcPr>
          <w:p>
            <w:pPr>
              <w:jc w:val="center"/>
              <w:ind w:left="281"/>
              <w:spacing w:after="0"/>
              <w:rPr>
                <w:sz w:val="20"/>
                <w:szCs w:val="20"/>
                <w:color w:val="auto"/>
              </w:rPr>
            </w:pPr>
            <w:r>
              <w:rPr>
                <w:rFonts w:ascii="Arial" w:cs="Arial" w:eastAsia="Arial" w:hAnsi="Arial"/>
                <w:sz w:val="20"/>
                <w:szCs w:val="20"/>
                <w:color w:val="auto"/>
                <w:w w:val="90"/>
              </w:rPr>
              <w:t>Signature of</w:t>
            </w: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301"/>
              <w:spacing w:after="0"/>
              <w:rPr>
                <w:sz w:val="20"/>
                <w:szCs w:val="20"/>
                <w:color w:val="auto"/>
              </w:rPr>
            </w:pPr>
            <w:r>
              <w:rPr>
                <w:rFonts w:ascii="Arial" w:cs="Arial" w:eastAsia="Arial" w:hAnsi="Arial"/>
                <w:sz w:val="20"/>
                <w:szCs w:val="20"/>
                <w:color w:val="auto"/>
                <w:w w:val="93"/>
              </w:rPr>
              <w:t>Principal Amount</w:t>
            </w:r>
          </w:p>
        </w:tc>
        <w:tc>
          <w:tcPr>
            <w:tcW w:w="2360" w:type="dxa"/>
            <w:vAlign w:val="bottom"/>
            <w:gridSpan w:val="3"/>
          </w:tcPr>
          <w:p>
            <w:pPr>
              <w:jc w:val="center"/>
              <w:ind w:right="20"/>
              <w:spacing w:after="0"/>
              <w:rPr>
                <w:sz w:val="20"/>
                <w:szCs w:val="20"/>
                <w:color w:val="auto"/>
              </w:rPr>
            </w:pPr>
            <w:r>
              <w:rPr>
                <w:rFonts w:ascii="Arial" w:cs="Arial" w:eastAsia="Arial" w:hAnsi="Arial"/>
                <w:sz w:val="20"/>
                <w:szCs w:val="20"/>
                <w:color w:val="auto"/>
                <w:w w:val="88"/>
              </w:rPr>
              <w:t>increase in</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7"/>
              </w:rPr>
              <w:t>Note following</w:t>
            </w:r>
          </w:p>
        </w:tc>
        <w:tc>
          <w:tcPr>
            <w:tcW w:w="2000" w:type="dxa"/>
            <w:vAlign w:val="bottom"/>
            <w:gridSpan w:val="3"/>
          </w:tcPr>
          <w:p>
            <w:pPr>
              <w:jc w:val="center"/>
              <w:ind w:left="281"/>
              <w:spacing w:after="0"/>
              <w:rPr>
                <w:sz w:val="20"/>
                <w:szCs w:val="20"/>
                <w:color w:val="auto"/>
              </w:rPr>
            </w:pPr>
            <w:r>
              <w:rPr>
                <w:rFonts w:ascii="Arial" w:cs="Arial" w:eastAsia="Arial" w:hAnsi="Arial"/>
                <w:sz w:val="20"/>
                <w:szCs w:val="20"/>
                <w:color w:val="auto"/>
                <w:w w:val="89"/>
              </w:rPr>
              <w:t>authorized signatory</w:t>
            </w:r>
          </w:p>
        </w:tc>
      </w:tr>
      <w:tr>
        <w:trPr>
          <w:trHeight w:val="230"/>
        </w:trPr>
        <w:tc>
          <w:tcPr>
            <w:tcW w:w="1420" w:type="dxa"/>
            <w:vAlign w:val="bottom"/>
          </w:tcPr>
          <w:p>
            <w:pPr>
              <w:spacing w:after="0"/>
              <w:rPr>
                <w:sz w:val="19"/>
                <w:szCs w:val="19"/>
                <w:color w:val="auto"/>
              </w:rPr>
            </w:pPr>
          </w:p>
        </w:tc>
        <w:tc>
          <w:tcPr>
            <w:tcW w:w="2660" w:type="dxa"/>
            <w:vAlign w:val="bottom"/>
            <w:gridSpan w:val="3"/>
          </w:tcPr>
          <w:p>
            <w:pPr>
              <w:jc w:val="center"/>
              <w:ind w:left="281"/>
              <w:spacing w:after="0"/>
              <w:rPr>
                <w:sz w:val="20"/>
                <w:szCs w:val="20"/>
                <w:color w:val="auto"/>
              </w:rPr>
            </w:pPr>
            <w:r>
              <w:rPr>
                <w:rFonts w:ascii="Arial" w:cs="Arial" w:eastAsia="Arial" w:hAnsi="Arial"/>
                <w:sz w:val="20"/>
                <w:szCs w:val="20"/>
                <w:color w:val="auto"/>
                <w:w w:val="92"/>
              </w:rPr>
              <w:t>of this Global</w:t>
            </w:r>
          </w:p>
        </w:tc>
        <w:tc>
          <w:tcPr>
            <w:tcW w:w="2360" w:type="dxa"/>
            <w:vAlign w:val="bottom"/>
            <w:gridSpan w:val="3"/>
          </w:tcPr>
          <w:p>
            <w:pPr>
              <w:jc w:val="center"/>
              <w:ind w:right="60"/>
              <w:spacing w:after="0"/>
              <w:rPr>
                <w:sz w:val="20"/>
                <w:szCs w:val="20"/>
                <w:color w:val="auto"/>
              </w:rPr>
            </w:pPr>
            <w:r>
              <w:rPr>
                <w:rFonts w:ascii="Arial" w:cs="Arial" w:eastAsia="Arial" w:hAnsi="Arial"/>
                <w:sz w:val="20"/>
                <w:szCs w:val="20"/>
                <w:color w:val="auto"/>
                <w:w w:val="93"/>
              </w:rPr>
              <w:t>Principal Amount</w:t>
            </w:r>
          </w:p>
        </w:tc>
        <w:tc>
          <w:tcPr>
            <w:tcW w:w="2180" w:type="dxa"/>
            <w:vAlign w:val="bottom"/>
            <w:gridSpan w:val="3"/>
          </w:tcPr>
          <w:p>
            <w:pPr>
              <w:jc w:val="center"/>
              <w:ind w:right="40"/>
              <w:spacing w:after="0"/>
              <w:rPr>
                <w:sz w:val="20"/>
                <w:szCs w:val="20"/>
                <w:color w:val="auto"/>
              </w:rPr>
            </w:pPr>
            <w:r>
              <w:rPr>
                <w:rFonts w:ascii="Arial" w:cs="Arial" w:eastAsia="Arial" w:hAnsi="Arial"/>
                <w:sz w:val="20"/>
                <w:szCs w:val="20"/>
                <w:color w:val="auto"/>
                <w:w w:val="84"/>
              </w:rPr>
              <w:t>such decrease</w:t>
            </w:r>
          </w:p>
        </w:tc>
        <w:tc>
          <w:tcPr>
            <w:tcW w:w="2000" w:type="dxa"/>
            <w:vAlign w:val="bottom"/>
            <w:gridSpan w:val="3"/>
          </w:tcPr>
          <w:p>
            <w:pPr>
              <w:jc w:val="center"/>
              <w:ind w:left="241"/>
              <w:spacing w:after="0"/>
              <w:rPr>
                <w:sz w:val="20"/>
                <w:szCs w:val="20"/>
                <w:color w:val="auto"/>
              </w:rPr>
            </w:pPr>
            <w:r>
              <w:rPr>
                <w:rFonts w:ascii="Arial" w:cs="Arial" w:eastAsia="Arial" w:hAnsi="Arial"/>
                <w:sz w:val="20"/>
                <w:szCs w:val="20"/>
                <w:color w:val="auto"/>
                <w:w w:val="89"/>
              </w:rPr>
              <w:t>of Trustee or</w:t>
            </w:r>
          </w:p>
        </w:tc>
      </w:tr>
      <w:tr>
        <w:trPr>
          <w:trHeight w:val="206"/>
        </w:trPr>
        <w:tc>
          <w:tcPr>
            <w:tcW w:w="1420" w:type="dxa"/>
            <w:vAlign w:val="bottom"/>
          </w:tcPr>
          <w:p>
            <w:pPr>
              <w:spacing w:after="0" w:line="206" w:lineRule="exact"/>
              <w:rPr>
                <w:sz w:val="20"/>
                <w:szCs w:val="20"/>
                <w:color w:val="auto"/>
              </w:rPr>
            </w:pPr>
            <w:r>
              <w:rPr>
                <w:rFonts w:ascii="Arial" w:cs="Arial" w:eastAsia="Arial" w:hAnsi="Arial"/>
                <w:sz w:val="20"/>
                <w:szCs w:val="20"/>
                <w:color w:val="auto"/>
                <w:w w:val="88"/>
              </w:rPr>
              <w:t>Date of Exchange</w:t>
            </w:r>
          </w:p>
        </w:tc>
        <w:tc>
          <w:tcPr>
            <w:tcW w:w="1380" w:type="dxa"/>
            <w:vAlign w:val="bottom"/>
          </w:tcPr>
          <w:p>
            <w:pPr>
              <w:spacing w:after="0"/>
              <w:rPr>
                <w:sz w:val="17"/>
                <w:szCs w:val="17"/>
                <w:color w:val="auto"/>
              </w:rPr>
            </w:pPr>
          </w:p>
        </w:tc>
        <w:tc>
          <w:tcPr>
            <w:tcW w:w="1280" w:type="dxa"/>
            <w:vAlign w:val="bottom"/>
            <w:gridSpan w:val="2"/>
          </w:tcPr>
          <w:p>
            <w:pPr>
              <w:jc w:val="center"/>
              <w:ind w:right="900"/>
              <w:spacing w:after="0" w:line="206" w:lineRule="exact"/>
              <w:rPr>
                <w:sz w:val="20"/>
                <w:szCs w:val="20"/>
                <w:color w:val="auto"/>
              </w:rPr>
            </w:pPr>
            <w:r>
              <w:rPr>
                <w:rFonts w:ascii="Arial" w:cs="Arial" w:eastAsia="Arial" w:hAnsi="Arial"/>
                <w:sz w:val="20"/>
                <w:szCs w:val="20"/>
                <w:color w:val="auto"/>
                <w:w w:val="89"/>
              </w:rPr>
              <w:t>Note</w:t>
            </w:r>
          </w:p>
        </w:tc>
        <w:tc>
          <w:tcPr>
            <w:tcW w:w="236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92"/>
              </w:rPr>
              <w:t>of this Global Note</w:t>
            </w:r>
          </w:p>
        </w:tc>
        <w:tc>
          <w:tcPr>
            <w:tcW w:w="218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89"/>
              </w:rPr>
              <w:t>(or increase)</w:t>
            </w:r>
          </w:p>
        </w:tc>
        <w:tc>
          <w:tcPr>
            <w:tcW w:w="2000" w:type="dxa"/>
            <w:vAlign w:val="bottom"/>
            <w:gridSpan w:val="3"/>
          </w:tcPr>
          <w:p>
            <w:pPr>
              <w:jc w:val="center"/>
              <w:ind w:left="341"/>
              <w:spacing w:after="0" w:line="206" w:lineRule="exact"/>
              <w:rPr>
                <w:sz w:val="20"/>
                <w:szCs w:val="20"/>
                <w:color w:val="auto"/>
              </w:rPr>
            </w:pPr>
            <w:r>
              <w:rPr>
                <w:rFonts w:ascii="Arial" w:cs="Arial" w:eastAsia="Arial" w:hAnsi="Arial"/>
                <w:sz w:val="20"/>
                <w:szCs w:val="20"/>
                <w:color w:val="auto"/>
                <w:w w:val="88"/>
              </w:rPr>
              <w:t>Custodian</w:t>
            </w:r>
          </w:p>
        </w:tc>
      </w:tr>
      <w:tr>
        <w:trPr>
          <w:trHeight w:val="20"/>
        </w:trPr>
        <w:tc>
          <w:tcPr>
            <w:tcW w:w="14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285"/>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61"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AT3335</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5.500% Senior Notes due 2027</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September 20, 2017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US$________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(the “</w:t>
      </w:r>
      <w:r>
        <w:rPr>
          <w:rFonts w:ascii="Arial" w:cs="Arial" w:eastAsia="Arial" w:hAnsi="Arial"/>
          <w:sz w:val="19"/>
          <w:szCs w:val="19"/>
          <w:i w:val="1"/>
          <w:iCs w:val="1"/>
          <w:color w:val="auto"/>
        </w:rPr>
        <w:t>Transferee</w:t>
      </w:r>
      <w:r>
        <w:rPr>
          <w:rFonts w:ascii="Arial" w:cs="Arial" w:eastAsia="Arial" w:hAnsi="Arial"/>
          <w:sz w:val="19"/>
          <w:szCs w:val="19"/>
          <w:color w:val="auto"/>
        </w:rPr>
        <w:t>”), as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further specified in Annex A hereto. In connection with the Transfer, the Transferor hereby certifies that: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54" w:lineRule="exact"/>
        <w:rPr>
          <w:sz w:val="20"/>
          <w:szCs w:val="20"/>
          <w:color w:val="auto"/>
        </w:rPr>
      </w:pPr>
    </w:p>
    <w:p>
      <w:pPr>
        <w:jc w:val="both"/>
        <w:ind w:firstLine="656"/>
        <w:spacing w:after="0" w:line="299" w:lineRule="auto"/>
        <w:tabs>
          <w:tab w:leader="none" w:pos="1026" w:val="left"/>
        </w:tabs>
        <w:numPr>
          <w:ilvl w:val="0"/>
          <w:numId w:val="286"/>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if Transferee will take delivery of a beneficial interest in the 144A Global Note or a Restricted Definitive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Note pursuant to Rule 144A</w:t>
      </w:r>
      <w:r>
        <w:rPr>
          <w:rFonts w:ascii="Arial" w:cs="Arial" w:eastAsia="Arial" w:hAnsi="Arial"/>
          <w:sz w:val="21"/>
          <w:szCs w:val="21"/>
          <w:color w:val="auto"/>
        </w:rPr>
        <w:t>. The Transfer is being effected pursuant to and in accordance with Rule 144A under the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Securities Act of 1933, as amended (the “</w:t>
      </w:r>
      <w:r>
        <w:rPr>
          <w:rFonts w:ascii="Arial" w:cs="Arial" w:eastAsia="Arial" w:hAnsi="Arial"/>
          <w:sz w:val="21"/>
          <w:szCs w:val="21"/>
          <w:i w:val="1"/>
          <w:iCs w:val="1"/>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273" w:name="page274"/>
    <w:bookmarkEnd w:id="273"/>
    <w:p>
      <w:pPr>
        <w:jc w:val="both"/>
        <w:ind w:firstLine="656"/>
        <w:spacing w:after="0" w:line="327" w:lineRule="auto"/>
        <w:tabs>
          <w:tab w:leader="none" w:pos="1067" w:val="left"/>
        </w:tabs>
        <w:numPr>
          <w:ilvl w:val="1"/>
          <w:numId w:val="287"/>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u w:val="single" w:color="auto"/>
          <w:color w:val="auto"/>
        </w:rPr>
        <w:t>Check if Transferee will take delivery of a beneficial interest in the Regulation S Global Note or a Restricted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Definitive Note pursuant to Regulation S</w:t>
      </w:r>
      <w:r>
        <w:rPr>
          <w:rFonts w:ascii="Arial" w:cs="Arial" w:eastAsia="Arial" w:hAnsi="Arial"/>
          <w:sz w:val="19"/>
          <w:szCs w:val="19"/>
          <w:color w:val="auto"/>
        </w:rPr>
        <w:t>. The Transfer is being effected pursuant to and in accordance with Rule 903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w:t>
      </w:r>
    </w:p>
    <w:p>
      <w:pPr>
        <w:spacing w:after="0" w:line="3" w:lineRule="exact"/>
        <w:rPr>
          <w:rFonts w:ascii="Arial" w:cs="Arial" w:eastAsia="Arial" w:hAnsi="Arial"/>
          <w:sz w:val="19"/>
          <w:szCs w:val="19"/>
          <w:color w:val="auto"/>
        </w:rPr>
      </w:pPr>
    </w:p>
    <w:p>
      <w:pPr>
        <w:jc w:val="both"/>
        <w:ind w:firstLine="8"/>
        <w:spacing w:after="0" w:line="334" w:lineRule="auto"/>
        <w:tabs>
          <w:tab w:leader="none" w:pos="352"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by the Issuer to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7" w:lineRule="exact"/>
        <w:rPr>
          <w:rFonts w:ascii="Arial" w:cs="Arial" w:eastAsia="Arial" w:hAnsi="Arial"/>
          <w:sz w:val="19"/>
          <w:szCs w:val="19"/>
          <w:color w:val="auto"/>
        </w:rPr>
      </w:pPr>
    </w:p>
    <w:p>
      <w:pPr>
        <w:jc w:val="both"/>
        <w:ind w:firstLine="656"/>
        <w:spacing w:after="0" w:line="304" w:lineRule="auto"/>
        <w:tabs>
          <w:tab w:leader="none" w:pos="1067" w:val="left"/>
        </w:tabs>
        <w:numPr>
          <w:ilvl w:val="1"/>
          <w:numId w:val="288"/>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and complete if Transferee will take delivery of a beneficial interest in the a Restricted Definitive Note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pursuant to any provision of the Securities Act other than Rule 144A or Regulation S</w:t>
      </w:r>
      <w:r>
        <w:rPr>
          <w:rFonts w:ascii="Arial" w:cs="Arial" w:eastAsia="Arial" w:hAnsi="Arial"/>
          <w:sz w:val="21"/>
          <w:szCs w:val="21"/>
          <w:color w:val="auto"/>
        </w:rPr>
        <w:t>. The Transfer is being effected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8" w:lineRule="exact"/>
        <w:rPr>
          <w:rFonts w:ascii="Arial" w:cs="Arial" w:eastAsia="Arial" w:hAnsi="Arial"/>
          <w:sz w:val="21"/>
          <w:szCs w:val="21"/>
          <w:color w:val="auto"/>
        </w:rPr>
      </w:pPr>
    </w:p>
    <w:p>
      <w:pPr>
        <w:ind w:left="1760" w:hanging="455"/>
        <w:spacing w:after="0"/>
        <w:tabs>
          <w:tab w:leader="none" w:pos="1760" w:val="left"/>
        </w:tabs>
        <w:numPr>
          <w:ilvl w:val="2"/>
          <w:numId w:val="288"/>
        </w:numPr>
        <w:rPr>
          <w:rFonts w:ascii="Arial" w:cs="Arial" w:eastAsia="Arial" w:hAnsi="Arial"/>
          <w:sz w:val="21"/>
          <w:szCs w:val="21"/>
          <w:color w:val="auto"/>
        </w:rPr>
      </w:pPr>
      <w:r>
        <w:rPr>
          <w:rFonts w:ascii="Arial" w:cs="Arial" w:eastAsia="Arial" w:hAnsi="Arial"/>
          <w:sz w:val="21"/>
          <w:szCs w:val="21"/>
          <w:color w:val="auto"/>
        </w:rPr>
        <w:t>c such Transfer is being effected pursuant to and in accordance with Rule 144 under the Securities Act;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5620" w:right="3680" w:hanging="4315"/>
        <w:spacing w:after="0" w:line="486" w:lineRule="auto"/>
        <w:tabs>
          <w:tab w:leader="none" w:pos="1769" w:val="left"/>
        </w:tabs>
        <w:numPr>
          <w:ilvl w:val="0"/>
          <w:numId w:val="289"/>
        </w:numPr>
        <w:rPr>
          <w:rFonts w:ascii="Arial" w:cs="Arial" w:eastAsia="Arial" w:hAnsi="Arial"/>
          <w:sz w:val="22"/>
          <w:szCs w:val="22"/>
          <w:color w:val="auto"/>
        </w:rPr>
      </w:pPr>
      <w:r>
        <w:rPr>
          <w:rFonts w:ascii="Arial" w:cs="Arial" w:eastAsia="Arial" w:hAnsi="Arial"/>
          <w:sz w:val="22"/>
          <w:szCs w:val="22"/>
          <w:color w:val="auto"/>
        </w:rPr>
        <w:t>c such Transfer is being effected to the Issuer or a subsidiary thereof; or</w:t>
      </w:r>
    </w:p>
    <w:p>
      <w:pPr>
        <w:spacing w:after="0" w:line="1" w:lineRule="exact"/>
        <w:rPr>
          <w:rFonts w:ascii="Arial" w:cs="Arial" w:eastAsia="Arial" w:hAnsi="Arial"/>
          <w:sz w:val="22"/>
          <w:szCs w:val="22"/>
          <w:color w:val="auto"/>
        </w:rPr>
      </w:pPr>
    </w:p>
    <w:p>
      <w:pPr>
        <w:ind w:left="660" w:firstLine="645"/>
        <w:spacing w:after="0" w:line="302" w:lineRule="auto"/>
        <w:tabs>
          <w:tab w:leader="none" w:pos="1778" w:val="left"/>
        </w:tabs>
        <w:numPr>
          <w:ilvl w:val="0"/>
          <w:numId w:val="289"/>
        </w:numPr>
        <w:rPr>
          <w:rFonts w:ascii="Arial" w:cs="Arial" w:eastAsia="Arial" w:hAnsi="Arial"/>
          <w:sz w:val="22"/>
          <w:szCs w:val="22"/>
          <w:color w:val="auto"/>
        </w:rPr>
      </w:pPr>
      <w:r>
        <w:rPr>
          <w:rFonts w:ascii="Arial" w:cs="Arial" w:eastAsia="Arial" w:hAnsi="Arial"/>
          <w:sz w:val="22"/>
          <w:szCs w:val="22"/>
          <w:color w:val="auto"/>
        </w:rPr>
        <w:t>c such Transfer is being effected pursuant to an effective registration statement under the Securities Act and in compliance with the prospectus delivery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5" w:right="239" w:bottom="1440" w:gutter="0" w:footer="0" w:header="0"/>
        </w:sectPr>
      </w:pPr>
    </w:p>
    <w:bookmarkStart w:id="274" w:name="page275"/>
    <w:bookmarkEnd w:id="274"/>
    <w:p>
      <w:pPr>
        <w:ind w:firstLine="656"/>
        <w:spacing w:after="0" w:line="308" w:lineRule="auto"/>
        <w:tabs>
          <w:tab w:leader="none" w:pos="1243"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jc w:val="both"/>
        <w:ind w:left="660" w:firstLine="645"/>
        <w:spacing w:after="0" w:line="337" w:lineRule="auto"/>
        <w:tabs>
          <w:tab w:leader="none" w:pos="1778" w:val="left"/>
        </w:tabs>
        <w:numPr>
          <w:ilvl w:val="1"/>
          <w:numId w:val="290"/>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Rule 144</w:t>
      </w:r>
      <w:r>
        <w:rPr>
          <w:rFonts w:ascii="Arial" w:cs="Arial" w:eastAsia="Arial" w:hAnsi="Arial"/>
          <w:sz w:val="19"/>
          <w:szCs w:val="19"/>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60" w:firstLine="645"/>
        <w:spacing w:after="0" w:line="337" w:lineRule="auto"/>
        <w:tabs>
          <w:tab w:leader="none" w:pos="1898" w:val="left"/>
        </w:tabs>
        <w:numPr>
          <w:ilvl w:val="1"/>
          <w:numId w:val="290"/>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60" w:firstLine="645"/>
        <w:spacing w:after="0" w:line="300" w:lineRule="auto"/>
        <w:tabs>
          <w:tab w:leader="none" w:pos="1818" w:val="left"/>
        </w:tabs>
        <w:numPr>
          <w:ilvl w:val="1"/>
          <w:numId w:val="290"/>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Transfer is Pursuant to Other Exemption</w:t>
      </w:r>
      <w:r>
        <w:rPr>
          <w:rFonts w:ascii="Arial" w:cs="Arial" w:eastAsia="Arial" w:hAnsi="Arial"/>
          <w:sz w:val="21"/>
          <w:szCs w:val="21"/>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55" w:right="239" w:bottom="1440" w:gutter="0" w:footer="0" w:header="0"/>
        </w:sectPr>
      </w:pPr>
    </w:p>
    <w:bookmarkStart w:id="275" w:name="page276"/>
    <w:bookmarkEnd w:id="275"/>
    <w:p>
      <w:pPr>
        <w:ind w:left="3880"/>
        <w:spacing w:after="0"/>
        <w:rPr>
          <w:sz w:val="20"/>
          <w:szCs w:val="20"/>
          <w:color w:val="auto"/>
        </w:rPr>
      </w:pPr>
      <w:r>
        <w:rPr>
          <w:rFonts w:ascii="Arial" w:cs="Arial" w:eastAsia="Arial" w:hAnsi="Arial"/>
          <w:sz w:val="19"/>
          <w:szCs w:val="19"/>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861" w:right="1440" w:bottom="1440" w:gutter="0" w:footer="0" w:header="0"/>
        </w:sectPr>
      </w:pPr>
    </w:p>
    <w:bookmarkStart w:id="276" w:name="page277"/>
    <w:bookmarkEnd w:id="276"/>
    <w:p>
      <w:pPr>
        <w:jc w:val="right"/>
        <w:ind w:right="2419"/>
        <w:spacing w:after="0"/>
        <w:rPr>
          <w:sz w:val="20"/>
          <w:szCs w:val="20"/>
          <w:color w:val="auto"/>
        </w:rPr>
      </w:pPr>
      <w:r>
        <w:rPr>
          <w:rFonts w:ascii="Arial" w:cs="Arial" w:eastAsia="Arial" w:hAnsi="Arial"/>
          <w:sz w:val="22"/>
          <w:szCs w:val="22"/>
          <w:color w:val="auto"/>
        </w:rPr>
        <w:t>ANNEX A TO CERTIFICATE OF TRANSFER</w:t>
      </w:r>
    </w:p>
    <w:p>
      <w:pPr>
        <w:spacing w:after="0" w:line="260"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The Transferor owns and proposes to transfer the following:</w:t>
      </w:r>
    </w:p>
    <w:p>
      <w:pPr>
        <w:spacing w:after="0" w:line="26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260" w:lineRule="exact"/>
        <w:rPr>
          <w:sz w:val="20"/>
          <w:szCs w:val="20"/>
          <w:color w:val="auto"/>
        </w:rPr>
      </w:pPr>
    </w:p>
    <w:p>
      <w:pPr>
        <w:ind w:left="1300" w:hanging="644"/>
        <w:spacing w:after="0"/>
        <w:tabs>
          <w:tab w:leader="none" w:pos="130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292"/>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292"/>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 a Restricted Definitive Note.</w:t>
      </w:r>
    </w:p>
    <w:p>
      <w:pPr>
        <w:spacing w:after="0" w:line="260" w:lineRule="exact"/>
        <w:rPr>
          <w:rFonts w:ascii="Arial" w:cs="Arial" w:eastAsia="Arial" w:hAnsi="Arial"/>
          <w:sz w:val="22"/>
          <w:szCs w:val="22"/>
          <w:color w:val="auto"/>
        </w:rPr>
      </w:pPr>
    </w:p>
    <w:p>
      <w:pPr>
        <w:ind w:left="660" w:hanging="652"/>
        <w:spacing w:after="0"/>
        <w:tabs>
          <w:tab w:leader="none" w:pos="66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6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260"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294"/>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294"/>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294"/>
        </w:numPr>
        <w:rPr>
          <w:rFonts w:ascii="Arial" w:cs="Arial" w:eastAsia="Arial" w:hAnsi="Arial"/>
          <w:sz w:val="22"/>
          <w:szCs w:val="22"/>
          <w:color w:val="auto"/>
        </w:rPr>
      </w:pPr>
      <w:r>
        <w:rPr>
          <w:rFonts w:ascii="Arial" w:cs="Arial" w:eastAsia="Arial" w:hAnsi="Arial"/>
          <w:sz w:val="22"/>
          <w:szCs w:val="22"/>
          <w:color w:val="auto"/>
        </w:rPr>
        <w:t>c Unrestricted Global Note (CUSIP __________);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c a Restricted Definitive Note; or</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c an Unrestricted Definitive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861"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22"/>
          <w:szCs w:val="22"/>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NAPE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M. Schall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AT3335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5.500% Senior Notes due 2027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September 20, 2017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Note[s] or interest in such Note[s]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US$_________ in such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In connection with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254" w:lineRule="exact"/>
        <w:rPr>
          <w:sz w:val="20"/>
          <w:szCs w:val="20"/>
          <w:color w:val="auto"/>
        </w:rPr>
      </w:pPr>
    </w:p>
    <w:p>
      <w:pPr>
        <w:ind w:right="20" w:firstLine="656"/>
        <w:spacing w:after="0" w:line="308" w:lineRule="auto"/>
        <w:tabs>
          <w:tab w:leader="none" w:pos="1134" w:val="left"/>
        </w:tabs>
        <w:numPr>
          <w:ilvl w:val="0"/>
          <w:numId w:val="295"/>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1" w:lineRule="exact"/>
        <w:rPr>
          <w:sz w:val="20"/>
          <w:szCs w:val="20"/>
          <w:color w:val="auto"/>
        </w:rPr>
      </w:pPr>
    </w:p>
    <w:p>
      <w:pPr>
        <w:jc w:val="both"/>
        <w:ind w:firstLine="656"/>
        <w:spacing w:after="0" w:line="336" w:lineRule="auto"/>
        <w:tabs>
          <w:tab w:leader="none" w:pos="1239"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beneficial interest in a Restricted Global Note to beneficial interest in an</w:t>
      </w:r>
      <w:r>
        <w:rPr>
          <w:rFonts w:ascii="Arial" w:cs="Arial" w:eastAsia="Arial" w:hAnsi="Arial"/>
          <w:sz w:val="19"/>
          <w:szCs w:val="19"/>
          <w:color w:val="auto"/>
        </w:rPr>
        <w:t xml:space="preserve"> </w:t>
      </w:r>
      <w:r>
        <w:rPr>
          <w:rFonts w:ascii="Arial" w:cs="Arial" w:eastAsia="Arial" w:hAnsi="Arial"/>
          <w:sz w:val="19"/>
          <w:szCs w:val="19"/>
          <w:b w:val="1"/>
          <w:bCs w:val="1"/>
          <w:color w:val="auto"/>
        </w:rPr>
        <w:t>Unrestricted Global Note</w:t>
      </w:r>
      <w:r>
        <w:rPr>
          <w:rFonts w:ascii="Arial" w:cs="Arial" w:eastAsia="Arial" w:hAnsi="Arial"/>
          <w:sz w:val="19"/>
          <w:szCs w:val="19"/>
          <w:color w:val="auto"/>
        </w:rPr>
        <w:t>. 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61" w:right="239" w:bottom="1440" w:gutter="0" w:footer="0" w:header="0"/>
        </w:sectPr>
      </w:pPr>
    </w:p>
    <w:bookmarkStart w:id="278" w:name="page279"/>
    <w:bookmarkEnd w:id="278"/>
    <w:p>
      <w:pPr>
        <w:jc w:val="both"/>
        <w:ind w:firstLine="656"/>
        <w:spacing w:after="0" w:line="337" w:lineRule="auto"/>
        <w:tabs>
          <w:tab w:leader="none" w:pos="113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beneficial interest in a Restricted Global Note to Unrestricted Definitive Note</w:t>
      </w:r>
      <w:r>
        <w:rPr>
          <w:rFonts w:ascii="Arial" w:cs="Arial" w:eastAsia="Arial" w:hAnsi="Arial"/>
          <w:sz w:val="19"/>
          <w:szCs w:val="19"/>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37" w:lineRule="auto"/>
        <w:tabs>
          <w:tab w:leader="none" w:pos="110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an Unrestricted Global Note</w:t>
      </w:r>
      <w:r>
        <w:rPr>
          <w:rFonts w:ascii="Arial" w:cs="Arial" w:eastAsia="Arial" w:hAnsi="Arial"/>
          <w:sz w:val="19"/>
          <w:szCs w:val="19"/>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01" w:lineRule="auto"/>
        <w:tabs>
          <w:tab w:leader="none" w:pos="1143" w:val="left"/>
        </w:tabs>
        <w:numPr>
          <w:ilvl w:val="0"/>
          <w:numId w:val="297"/>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6" w:lineRule="exact"/>
        <w:rPr>
          <w:sz w:val="20"/>
          <w:szCs w:val="20"/>
          <w:color w:val="auto"/>
        </w:rPr>
      </w:pPr>
    </w:p>
    <w:p>
      <w:pPr>
        <w:ind w:firstLine="656"/>
        <w:spacing w:after="0" w:line="308" w:lineRule="auto"/>
        <w:tabs>
          <w:tab w:leader="none" w:pos="1216" w:val="left"/>
        </w:tabs>
        <w:numPr>
          <w:ilvl w:val="0"/>
          <w:numId w:val="298"/>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1" w:lineRule="exact"/>
        <w:rPr>
          <w:sz w:val="20"/>
          <w:szCs w:val="20"/>
          <w:color w:val="auto"/>
        </w:rPr>
      </w:pPr>
    </w:p>
    <w:p>
      <w:pPr>
        <w:jc w:val="both"/>
        <w:ind w:firstLine="656"/>
        <w:spacing w:after="0" w:line="288" w:lineRule="auto"/>
        <w:tabs>
          <w:tab w:leader="none" w:pos="1158" w:val="left"/>
        </w:tabs>
        <w:numPr>
          <w:ilvl w:val="0"/>
          <w:numId w:val="299"/>
        </w:numPr>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Check if Exchange is from beneficial interest in a Restricted Global Note to Restricted Definitive Note</w:t>
      </w:r>
      <w:r>
        <w:rPr>
          <w:rFonts w:ascii="Arial" w:cs="Arial" w:eastAsia="Arial" w:hAnsi="Arial"/>
          <w:sz w:val="22"/>
          <w:szCs w:val="22"/>
          <w:color w:val="auto"/>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5" w:right="239" w:bottom="1440" w:gutter="0" w:footer="0" w:header="0"/>
        </w:sectPr>
      </w:pPr>
    </w:p>
    <w:bookmarkStart w:id="279" w:name="page280"/>
    <w:bookmarkEnd w:id="279"/>
    <w:p>
      <w:pPr>
        <w:ind w:right="20"/>
        <w:spacing w:after="0" w:line="302" w:lineRule="auto"/>
        <w:rPr>
          <w:sz w:val="20"/>
          <w:szCs w:val="20"/>
          <w:color w:val="auto"/>
        </w:rPr>
      </w:pPr>
      <w:r>
        <w:rPr>
          <w:rFonts w:ascii="Arial" w:cs="Arial" w:eastAsia="Arial" w:hAnsi="Arial"/>
          <w:sz w:val="22"/>
          <w:szCs w:val="22"/>
          <w:color w:val="auto"/>
        </w:rPr>
        <w:t>to be subject to the restrictions on transfer enumerated in the Private Placement Legend printed on the Restricted Definitive Note and in the Indenture and the Securities Act.</w:t>
      </w:r>
    </w:p>
    <w:p>
      <w:pPr>
        <w:spacing w:after="0" w:line="168" w:lineRule="exact"/>
        <w:rPr>
          <w:sz w:val="20"/>
          <w:szCs w:val="20"/>
          <w:color w:val="auto"/>
        </w:rPr>
      </w:pPr>
    </w:p>
    <w:p>
      <w:pPr>
        <w:jc w:val="both"/>
        <w:ind w:firstLine="656"/>
        <w:spacing w:after="0" w:line="336" w:lineRule="auto"/>
        <w:tabs>
          <w:tab w:leader="none" w:pos="117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 Restricted Global Note.</w:t>
      </w:r>
      <w:r>
        <w:rPr>
          <w:rFonts w:ascii="Arial" w:cs="Arial" w:eastAsia="Arial" w:hAnsi="Arial"/>
          <w:sz w:val="19"/>
          <w:szCs w:val="19"/>
          <w:color w:val="auto"/>
        </w:rPr>
        <w:t xml:space="preserve"> In connection with the Exchange of the Owner’s Restricted Definitive Note for a beneficial interest in the [CHECK ONE] c 144A Global Note, c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2017 as filed with the Securities and Exchange Commission on the date hereof (the “Report”), Stephen A. Wynn,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8, 2017</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8, 2017</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DE8AF6"/>
    <w:multiLevelType w:val="hybridMultilevel"/>
    <w:lvl w:ilvl="0">
      <w:lvlJc w:val="left"/>
      <w:lvlText w:val="x"/>
      <w:numFmt w:val="bullet"/>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
      <w:numFmt w:val="bullet"/>
      <w:start w:val="1"/>
    </w:lvl>
  </w:abstractNum>
  <w:abstractNum w:abstractNumId="3">
    <w:nsid w:val="14D53685"/>
    <w:multiLevelType w:val="hybridMultilevel"/>
    <w:lvl w:ilvl="0">
      <w:lvlJc w:val="left"/>
      <w:lvlText w:val="(%1)"/>
      <w:numFmt w:val="decimal"/>
      <w:start w:val="1"/>
    </w:lvl>
  </w:abstractNum>
  <w:abstractNum w:abstractNumId="4">
    <w:nsid w:val="230F856C"/>
    <w:multiLevelType w:val="hybridMultilevel"/>
    <w:lvl w:ilvl="0">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abstractNum>
  <w:abstractNum w:abstractNumId="7">
    <w:nsid w:val="3B594807"/>
    <w:multiLevelType w:val="hybridMultilevel"/>
    <w:lvl w:ilvl="0">
      <w:lvlJc w:val="left"/>
      <w:lvlText w:val="•"/>
      <w:numFmt w:val="bullet"/>
      <w:start w:val="1"/>
    </w:lvl>
  </w:abstractNum>
  <w:abstractNum w:abstractNumId="8">
    <w:nsid w:val="6CAA2304"/>
    <w:multiLevelType w:val="hybridMultilevel"/>
    <w:lvl w:ilvl="0">
      <w:lvlJc w:val="left"/>
      <w:lvlText w:val="•"/>
      <w:numFmt w:val="bullet"/>
      <w:start w:val="1"/>
    </w:lvl>
  </w:abstractNum>
  <w:abstractNum w:abstractNumId="9">
    <w:nsid w:val="3F7C2FF4"/>
    <w:multiLevelType w:val="hybridMultilevel"/>
    <w:lvl w:ilvl="0">
      <w:lvlJc w:val="left"/>
      <w:lvlText w:val="(%1)"/>
      <w:numFmt w:val="decimal"/>
      <w:start w:val="1"/>
    </w:lvl>
  </w:abstractNum>
  <w:abstractNum w:abstractNumId="10">
    <w:nsid w:val="25413BEC"/>
    <w:multiLevelType w:val="hybridMultilevel"/>
    <w:lvl w:ilvl="0">
      <w:lvlJc w:val="left"/>
      <w:lvlText w:val="•"/>
      <w:numFmt w:val="bullet"/>
      <w:start w:val="1"/>
    </w:lvl>
  </w:abstractNum>
  <w:abstractNum w:abstractNumId="11">
    <w:nsid w:val="17180B0B"/>
    <w:multiLevelType w:val="hybridMultilevel"/>
    <w:lvl w:ilvl="0">
      <w:lvlJc w:val="left"/>
      <w:lvlText w:val="(%1)"/>
      <w:numFmt w:val="lowerLetter"/>
      <w:start w:val="1"/>
    </w:lvl>
  </w:abstractNum>
  <w:abstractNum w:abstractNumId="12">
    <w:nsid w:val="579328B9"/>
    <w:multiLevelType w:val="hybridMultilevel"/>
    <w:lvl w:ilvl="0">
      <w:lvlJc w:val="left"/>
      <w:lvlText w:val="(%1)"/>
      <w:numFmt w:val="lowerLetter"/>
      <w:start w:val="1"/>
    </w:lvl>
  </w:abstractNum>
  <w:abstractNum w:abstractNumId="13">
    <w:nsid w:val="5D205E20"/>
    <w:multiLevelType w:val="hybridMultilevel"/>
    <w:lvl w:ilvl="0">
      <w:lvlJc w:val="left"/>
      <w:lvlText w:val="(%1)"/>
      <w:numFmt w:val="lowerRoman"/>
      <w:start w:val="5"/>
    </w:lvl>
  </w:abstractNum>
  <w:abstractNum w:abstractNumId="14">
    <w:nsid w:val="11CCA8BA"/>
    <w:multiLevelType w:val="hybridMultilevel"/>
    <w:lvl w:ilvl="0">
      <w:lvlJc w:val="left"/>
      <w:lvlText w:val="*"/>
      <w:numFmt w:val="bullet"/>
      <w:start w:val="1"/>
    </w:lvl>
  </w:abstractNum>
  <w:abstractNum w:abstractNumId="15">
    <w:nsid w:val="4D32AB86"/>
    <w:multiLevelType w:val="hybridMultilevel"/>
    <w:lvl w:ilvl="0">
      <w:lvlJc w:val="left"/>
      <w:lvlText w:val="%1."/>
      <w:numFmt w:val="decimal"/>
      <w:start w:val="1"/>
    </w:lvl>
    <w:lvl w:ilvl="1">
      <w:lvlJc w:val="left"/>
      <w:lvlText w:val="(%2)"/>
      <w:numFmt w:val="lowerLetter"/>
      <w:start w:val="1"/>
    </w:lvl>
  </w:abstractNum>
  <w:abstractNum w:abstractNumId="16">
    <w:nsid w:val="3F07ACC3"/>
    <w:multiLevelType w:val="hybridMultilevel"/>
    <w:lvl w:ilvl="0">
      <w:lvlJc w:val="left"/>
      <w:lvlText w:val="%1."/>
      <w:numFmt w:val="decimal"/>
      <w:start w:val="5"/>
    </w:lvl>
  </w:abstractNum>
  <w:abstractNum w:abstractNumId="17">
    <w:nsid w:val="6B47F63E"/>
    <w:multiLevelType w:val="hybridMultilevel"/>
    <w:lvl w:ilvl="0">
      <w:lvlJc w:val="left"/>
      <w:lvlText w:val="(%1)"/>
      <w:numFmt w:val="lowerRoman"/>
      <w:start w:val="1"/>
    </w:lvl>
  </w:abstractNum>
  <w:abstractNum w:abstractNumId="18">
    <w:nsid w:val="5CB44A05"/>
    <w:multiLevelType w:val="hybridMultilevel"/>
    <w:lvl w:ilvl="0">
      <w:lvlJc w:val="left"/>
      <w:lvlText w:val="(%1)"/>
      <w:numFmt w:val="decimal"/>
      <w:start w:val="1"/>
    </w:lvl>
  </w:abstractNum>
  <w:abstractNum w:abstractNumId="19">
    <w:nsid w:val="16CF80F1"/>
    <w:multiLevelType w:val="hybridMultilevel"/>
    <w:lvl w:ilvl="0">
      <w:lvlJc w:val="left"/>
      <w:lvlText w:val="(%1)"/>
      <w:numFmt w:val="decimal"/>
      <w:start w:val="1"/>
    </w:lvl>
  </w:abstractNum>
  <w:abstractNum w:abstractNumId="20">
    <w:nsid w:val="1C695DEC"/>
    <w:multiLevelType w:val="hybridMultilevel"/>
    <w:lvl w:ilvl="0">
      <w:lvlJc w:val="left"/>
      <w:lvlText w:val="(%1)"/>
      <w:numFmt w:val="decimal"/>
      <w:start w:val="1"/>
    </w:lvl>
  </w:abstractNum>
  <w:abstractNum w:abstractNumId="21">
    <w:nsid w:val="3FCFAED9"/>
    <w:multiLevelType w:val="hybridMultilevel"/>
    <w:lvl w:ilvl="0">
      <w:lvlJc w:val="left"/>
      <w:lvlText w:val="(%1)"/>
      <w:numFmt w:val="decimal"/>
      <w:start w:val="1"/>
    </w:lvl>
  </w:abstractNum>
  <w:abstractNum w:abstractNumId="22">
    <w:nsid w:val="F856867"/>
    <w:multiLevelType w:val="hybridMultilevel"/>
    <w:lvl w:ilvl="0">
      <w:lvlJc w:val="left"/>
      <w:lvlText w:val="(%1)"/>
      <w:numFmt w:val="decimal"/>
      <w:start w:val="1"/>
    </w:lvl>
  </w:abstractNum>
  <w:abstractNum w:abstractNumId="23">
    <w:nsid w:val="11B1CC33"/>
    <w:multiLevelType w:val="hybridMultilevel"/>
    <w:lvl w:ilvl="0">
      <w:lvlJc w:val="left"/>
      <w:lvlText w:val="(%1)"/>
      <w:numFmt w:val="decimal"/>
      <w:start w:val="2"/>
    </w:lvl>
  </w:abstractNum>
  <w:abstractNum w:abstractNumId="24">
    <w:nsid w:val="2E22FBB7"/>
    <w:multiLevelType w:val="hybridMultilevel"/>
    <w:lvl w:ilvl="0">
      <w:lvlJc w:val="left"/>
      <w:lvlText w:val="(%1)"/>
      <w:numFmt w:val="decimal"/>
      <w:start w:val="1"/>
    </w:lvl>
  </w:abstractNum>
  <w:abstractNum w:abstractNumId="25">
    <w:nsid w:val="29934699"/>
    <w:multiLevelType w:val="hybridMultilevel"/>
    <w:lvl w:ilvl="0">
      <w:lvlJc w:val="left"/>
      <w:lvlText w:val="(%1)"/>
      <w:numFmt w:val="decimal"/>
      <w:start w:val="1"/>
    </w:lvl>
  </w:abstractNum>
  <w:abstractNum w:abstractNumId="26">
    <w:nsid w:val="77485850"/>
    <w:multiLevelType w:val="hybridMultilevel"/>
    <w:lvl w:ilvl="0">
      <w:lvlJc w:val="left"/>
      <w:lvlText w:val="(%1)"/>
      <w:numFmt w:val="decimal"/>
      <w:start w:val="1"/>
    </w:lvl>
  </w:abstractNum>
  <w:abstractNum w:abstractNumId="27">
    <w:nsid w:val="744939A3"/>
    <w:multiLevelType w:val="hybridMultilevel"/>
    <w:lvl w:ilvl="0">
      <w:lvlJc w:val="left"/>
      <w:lvlText w:val="(%1)"/>
      <w:numFmt w:val="lowerLetter"/>
      <w:start w:val="1"/>
    </w:lvl>
  </w:abstractNum>
  <w:abstractNum w:abstractNumId="28">
    <w:nsid w:val="4FA0D2E3"/>
    <w:multiLevelType w:val="hybridMultilevel"/>
    <w:lvl w:ilvl="0">
      <w:lvlJc w:val="left"/>
      <w:lvlText w:val="(%1)"/>
      <w:numFmt w:val="decimal"/>
      <w:start w:val="1"/>
    </w:lvl>
  </w:abstractNum>
  <w:abstractNum w:abstractNumId="29">
    <w:nsid w:val="6B1D2C14"/>
    <w:multiLevelType w:val="hybridMultilevel"/>
    <w:lvl w:ilvl="0">
      <w:lvlJc w:val="left"/>
      <w:lvlText w:val="(%1)"/>
      <w:numFmt w:val="decimal"/>
      <w:start w:val="1"/>
    </w:lvl>
  </w:abstractNum>
  <w:abstractNum w:abstractNumId="30">
    <w:nsid w:val="68B867D3"/>
    <w:multiLevelType w:val="hybridMultilevel"/>
    <w:lvl w:ilvl="0">
      <w:lvlJc w:val="left"/>
      <w:lvlText w:val="(%1)"/>
      <w:numFmt w:val="decimal"/>
      <w:start w:val="2"/>
    </w:lvl>
  </w:abstractNum>
  <w:abstractNum w:abstractNumId="31">
    <w:nsid w:val="3F7F5DD9"/>
    <w:multiLevelType w:val="hybridMultilevel"/>
    <w:lvl w:ilvl="0">
      <w:lvlJc w:val="left"/>
      <w:lvlText w:val="(%1)"/>
      <w:numFmt w:val="decimal"/>
      <w:start w:val="1"/>
    </w:lvl>
  </w:abstractNum>
  <w:abstractNum w:abstractNumId="32">
    <w:nsid w:val="2AE05A34"/>
    <w:multiLevelType w:val="hybridMultilevel"/>
    <w:lvl w:ilvl="0">
      <w:lvlJc w:val="left"/>
      <w:lvlText w:val="(%1)"/>
      <w:numFmt w:val="decimal"/>
      <w:start w:val="2"/>
    </w:lvl>
  </w:abstractNum>
  <w:abstractNum w:abstractNumId="33">
    <w:nsid w:val="32794FF7"/>
    <w:multiLevelType w:val="hybridMultilevel"/>
    <w:lvl w:ilvl="0">
      <w:lvlJc w:val="left"/>
      <w:lvlText w:val="(%1)"/>
      <w:numFmt w:val="decimal"/>
      <w:start w:val="1"/>
    </w:lvl>
  </w:abstractNum>
  <w:abstractNum w:abstractNumId="34">
    <w:nsid w:val="5454945E"/>
    <w:multiLevelType w:val="hybridMultilevel"/>
    <w:lvl w:ilvl="0">
      <w:lvlJc w:val="left"/>
      <w:lvlText w:val="(%1)"/>
      <w:numFmt w:val="decimal"/>
      <w:start w:val="1"/>
    </w:lvl>
  </w:abstractNum>
  <w:abstractNum w:abstractNumId="35">
    <w:nsid w:val="4DEFDFA0"/>
    <w:multiLevelType w:val="hybridMultilevel"/>
    <w:lvl w:ilvl="0">
      <w:lvlJc w:val="left"/>
      <w:lvlText w:val="(%1)"/>
      <w:numFmt w:val="decimal"/>
      <w:start w:val="7"/>
    </w:lvl>
  </w:abstractNum>
  <w:abstractNum w:abstractNumId="36">
    <w:nsid w:val="2123D5F2"/>
    <w:multiLevelType w:val="hybridMultilevel"/>
    <w:lvl w:ilvl="0">
      <w:lvlJc w:val="left"/>
      <w:lvlText w:val="(%1)"/>
      <w:numFmt w:val="lowerLetter"/>
      <w:start w:val="1"/>
    </w:lvl>
  </w:abstractNum>
  <w:abstractNum w:abstractNumId="37">
    <w:nsid w:val="135B8110"/>
    <w:multiLevelType w:val="hybridMultilevel"/>
    <w:lvl w:ilvl="0">
      <w:lvlJc w:val="left"/>
      <w:lvlText w:val="(%1)"/>
      <w:numFmt w:val="lowerLetter"/>
      <w:start w:val="2"/>
    </w:lvl>
  </w:abstractNum>
  <w:abstractNum w:abstractNumId="38">
    <w:nsid w:val="94927A8"/>
    <w:multiLevelType w:val="hybridMultilevel"/>
    <w:lvl w:ilvl="0">
      <w:lvlJc w:val="left"/>
      <w:lvlText w:val="(%1)"/>
      <w:numFmt w:val="lowerLetter"/>
      <w:start w:val="3"/>
    </w:lvl>
  </w:abstractNum>
  <w:abstractNum w:abstractNumId="39">
    <w:nsid w:val="DCDF8F6"/>
    <w:multiLevelType w:val="hybridMultilevel"/>
    <w:lvl w:ilvl="0">
      <w:lvlJc w:val="left"/>
      <w:lvlText w:val="(%1)"/>
      <w:numFmt w:val="lowerLetter"/>
      <w:start w:val="1"/>
    </w:lvl>
    <w:lvl w:ilvl="1">
      <w:lvlJc w:val="left"/>
      <w:lvlText w:val="(%2)"/>
      <w:numFmt w:val="decimal"/>
      <w:start w:val="1"/>
    </w:lvl>
  </w:abstractNum>
  <w:abstractNum w:abstractNumId="40">
    <w:nsid w:val="52D7B10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41">
    <w:nsid w:val="2E8A6394"/>
    <w:multiLevelType w:val="hybridMultilevel"/>
    <w:lvl w:ilvl="0">
      <w:lvlJc w:val="left"/>
      <w:lvlText w:val="(%1)"/>
      <w:numFmt w:val="lowerRoman"/>
      <w:start w:val="2"/>
    </w:lvl>
  </w:abstractNum>
  <w:abstractNum w:abstractNumId="42">
    <w:nsid w:val="24E60401"/>
    <w:multiLevelType w:val="hybridMultilevel"/>
    <w:lvl w:ilvl="0">
      <w:lvlJc w:val="left"/>
      <w:lvlText w:val="(%1)"/>
      <w:numFmt w:val="decimal"/>
      <w:start w:val="3"/>
    </w:lvl>
    <w:lvl w:ilvl="1">
      <w:lvlJc w:val="left"/>
      <w:lvlText w:val="(%2)"/>
      <w:numFmt w:val="upperLetter"/>
      <w:start w:val="1"/>
    </w:lvl>
  </w:abstractNum>
  <w:abstractNum w:abstractNumId="43">
    <w:nsid w:val="2A6AD9BE"/>
    <w:multiLevelType w:val="hybridMultilevel"/>
    <w:lvl w:ilvl="0">
      <w:lvlJc w:val="left"/>
      <w:lvlText w:val="(%1)"/>
      <w:numFmt w:val="decimal"/>
      <w:start w:val="2"/>
    </w:lvl>
    <w:lvl w:ilvl="1">
      <w:lvlJc w:val="left"/>
      <w:lvlText w:val="%2"/>
      <w:numFmt w:val="upperLetter"/>
      <w:start w:val="1"/>
    </w:lvl>
  </w:abstractNum>
  <w:abstractNum w:abstractNumId="44">
    <w:nsid w:val="BAAC1B4"/>
    <w:multiLevelType w:val="hybridMultilevel"/>
    <w:lvl w:ilvl="0">
      <w:lvlJc w:val="left"/>
      <w:lvlText w:val="(%1)"/>
      <w:numFmt w:val="decimal"/>
      <w:start w:val="4"/>
    </w:lvl>
    <w:lvl w:ilvl="1">
      <w:lvlJc w:val="left"/>
      <w:lvlText w:val="(%2)"/>
      <w:numFmt w:val="upperLetter"/>
      <w:start w:val="1"/>
    </w:lvl>
  </w:abstractNum>
  <w:abstractNum w:abstractNumId="45">
    <w:nsid w:val="36B2ACB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46">
    <w:nsid w:val="779D8544"/>
    <w:multiLevelType w:val="hybridMultilevel"/>
    <w:lvl w:ilvl="0">
      <w:lvlJc w:val="left"/>
      <w:lvlText w:val="(%1)"/>
      <w:numFmt w:val="upperLetter"/>
      <w:start w:val="5"/>
    </w:lvl>
  </w:abstractNum>
  <w:abstractNum w:abstractNumId="47">
    <w:nsid w:val="4AB26E78"/>
    <w:multiLevelType w:val="hybridMultilevel"/>
    <w:lvl w:ilvl="0">
      <w:lvlJc w:val="left"/>
      <w:lvlText w:val="(%1)"/>
      <w:numFmt w:val="decimal"/>
      <w:start w:val="2"/>
    </w:lvl>
    <w:lvl w:ilvl="1">
      <w:lvlJc w:val="left"/>
      <w:lvlText w:val="(%2)"/>
      <w:numFmt w:val="upperLetter"/>
      <w:start w:val="1"/>
    </w:lvl>
  </w:abstractNum>
  <w:abstractNum w:abstractNumId="48">
    <w:nsid w:val="21FAA2F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9">
    <w:nsid w:val="5451CF4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0">
    <w:nsid w:val="6181EF69"/>
    <w:multiLevelType w:val="hybridMultilevel"/>
    <w:lvl w:ilvl="0">
      <w:lvlJc w:val="left"/>
      <w:lvlText w:val="(%1)"/>
      <w:numFmt w:val="upperLetter"/>
      <w:start w:val="4"/>
    </w:lvl>
  </w:abstractNum>
  <w:abstractNum w:abstractNumId="51">
    <w:nsid w:val="3E6400E6"/>
    <w:multiLevelType w:val="hybridMultilevel"/>
    <w:lvl w:ilvl="0">
      <w:lvlJc w:val="left"/>
      <w:lvlText w:val="(%1)"/>
      <w:numFmt w:val="decimal"/>
      <w:start w:val="2"/>
    </w:lvl>
    <w:lvl w:ilvl="1">
      <w:lvlJc w:val="left"/>
      <w:lvlText w:val="(%2)"/>
      <w:numFmt w:val="upperLetter"/>
      <w:start w:val="1"/>
    </w:lvl>
  </w:abstractNum>
  <w:abstractNum w:abstractNumId="52">
    <w:nsid w:val="14217E23"/>
    <w:multiLevelType w:val="hybridMultilevel"/>
    <w:lvl w:ilvl="0">
      <w:lvlJc w:val="left"/>
      <w:lvlText w:val="(%1)"/>
      <w:numFmt w:val="decimal"/>
      <w:start w:val="3"/>
    </w:lvl>
  </w:abstractNum>
  <w:abstractNum w:abstractNumId="53">
    <w:nsid w:val="710757D0"/>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54">
    <w:nsid w:val="5015CD1A"/>
    <w:multiLevelType w:val="hybridMultilevel"/>
    <w:lvl w:ilvl="0">
      <w:lvlJc w:val="left"/>
      <w:lvlText w:val="(%1)"/>
      <w:numFmt w:val="decimal"/>
      <w:start w:val="2"/>
    </w:lvl>
    <w:lvl w:ilvl="1">
      <w:lvlJc w:val="left"/>
      <w:lvlText w:val="(%2)"/>
      <w:numFmt w:val="upperLetter"/>
      <w:start w:val="1"/>
    </w:lvl>
  </w:abstractNum>
  <w:abstractNum w:abstractNumId="55">
    <w:nsid w:val="424479D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56">
    <w:nsid w:val="1A9A9E69"/>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7">
    <w:nsid w:val="475E256A"/>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2"/>
    </w:lvl>
  </w:abstractNum>
  <w:abstractNum w:abstractNumId="58">
    <w:nsid w:val="368DB37E"/>
    <w:multiLevelType w:val="hybridMultilevel"/>
    <w:lvl w:ilvl="0">
      <w:lvlJc w:val="left"/>
      <w:lvlText w:val="(%1)"/>
      <w:numFmt w:val="decimal"/>
      <w:start w:val="4"/>
    </w:lvl>
  </w:abstractNum>
  <w:abstractNum w:abstractNumId="59">
    <w:nsid w:val="6A3B714C"/>
    <w:multiLevelType w:val="hybridMultilevel"/>
    <w:lvl w:ilvl="0">
      <w:lvlJc w:val="left"/>
      <w:lvlText w:val="(%1)"/>
      <w:numFmt w:val="lowerLetter"/>
      <w:start w:val="7"/>
    </w:lvl>
  </w:abstractNum>
  <w:abstractNum w:abstractNumId="60">
    <w:nsid w:val="327B517E"/>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61">
    <w:nsid w:val="1F461B51"/>
    <w:multiLevelType w:val="hybridMultilevel"/>
    <w:lvl w:ilvl="0">
      <w:lvlJc w:val="left"/>
      <w:lvlText w:val="(%1)"/>
      <w:numFmt w:val="decimal"/>
      <w:start w:val="8"/>
    </w:lvl>
  </w:abstractNum>
  <w:abstractNum w:abstractNumId="62">
    <w:nsid w:val="29BACF25"/>
    <w:multiLevelType w:val="hybridMultilevel"/>
    <w:lvl w:ilvl="0">
      <w:lvlJc w:val="left"/>
      <w:lvlText w:val="(%1)"/>
      <w:numFmt w:val="lowerLetter"/>
      <w:start w:val="1"/>
    </w:lvl>
  </w:abstractNum>
  <w:abstractNum w:abstractNumId="63">
    <w:nsid w:val="5D5BABB3"/>
    <w:multiLevelType w:val="hybridMultilevel"/>
    <w:lvl w:ilvl="0">
      <w:lvlJc w:val="left"/>
      <w:lvlText w:val="(%1)"/>
      <w:numFmt w:val="lowerLetter"/>
      <w:start w:val="2"/>
    </w:lvl>
  </w:abstractNum>
  <w:abstractNum w:abstractNumId="64">
    <w:nsid w:val="51BF6B48"/>
    <w:multiLevelType w:val="hybridMultilevel"/>
    <w:lvl w:ilvl="0">
      <w:lvlJc w:val="left"/>
      <w:lvlText w:val="(%1)"/>
      <w:numFmt w:val="lowerLetter"/>
      <w:start w:val="1"/>
    </w:lvl>
  </w:abstractNum>
  <w:abstractNum w:abstractNumId="65">
    <w:nsid w:val="7E0F6384"/>
    <w:multiLevelType w:val="hybridMultilevel"/>
    <w:lvl w:ilvl="0">
      <w:lvlJc w:val="left"/>
      <w:lvlText w:val="(%1)"/>
      <w:numFmt w:val="lowerLetter"/>
      <w:start w:val="3"/>
    </w:lvl>
  </w:abstractNum>
  <w:abstractNum w:abstractNumId="66">
    <w:nsid w:val="2B4B8B53"/>
    <w:multiLevelType w:val="hybridMultilevel"/>
    <w:lvl w:ilvl="0">
      <w:lvlJc w:val="left"/>
      <w:lvlText w:val="(%1)"/>
      <w:numFmt w:val="lowerLetter"/>
      <w:start w:val="1"/>
    </w:lvl>
  </w:abstractNum>
  <w:abstractNum w:abstractNumId="67">
    <w:nsid w:val="72E3413A"/>
    <w:multiLevelType w:val="hybridMultilevel"/>
    <w:lvl w:ilvl="0">
      <w:lvlJc w:val="left"/>
      <w:lvlText w:val="(%1)"/>
      <w:numFmt w:val="lowerLetter"/>
      <w:start w:val="1"/>
    </w:lvl>
  </w:abstractNum>
  <w:abstractNum w:abstractNumId="68">
    <w:nsid w:val="116AE494"/>
    <w:multiLevelType w:val="hybridMultilevel"/>
    <w:lvl w:ilvl="0">
      <w:lvlJc w:val="left"/>
      <w:lvlText w:val="(%1)"/>
      <w:numFmt w:val="lowerLetter"/>
      <w:start w:val="1"/>
    </w:lvl>
    <w:lvl w:ilvl="1">
      <w:lvlJc w:val="left"/>
      <w:lvlText w:val="(%2)"/>
      <w:numFmt w:val="decimal"/>
      <w:start w:val="1"/>
    </w:lvl>
  </w:abstractNum>
  <w:abstractNum w:abstractNumId="69">
    <w:nsid w:val="3494B2FB"/>
    <w:multiLevelType w:val="hybridMultilevel"/>
    <w:lvl w:ilvl="0">
      <w:lvlJc w:val="left"/>
      <w:lvlText w:val="(%1)"/>
      <w:numFmt w:val="lowerLetter"/>
      <w:start w:val="3"/>
    </w:lvl>
  </w:abstractNum>
  <w:abstractNum w:abstractNumId="70">
    <w:nsid w:val="B13A31"/>
    <w:multiLevelType w:val="hybridMultilevel"/>
    <w:lvl w:ilvl="0">
      <w:lvlJc w:val="left"/>
      <w:lvlText w:val="(%1)"/>
      <w:numFmt w:val="lowerLetter"/>
      <w:start w:val="5"/>
    </w:lvl>
  </w:abstractNum>
  <w:abstractNum w:abstractNumId="71">
    <w:nsid w:val="6442959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2">
    <w:nsid w:val="631F1690"/>
    <w:multiLevelType w:val="hybridMultilevel"/>
    <w:lvl w:ilvl="0">
      <w:lvlJc w:val="left"/>
      <w:lvlText w:val="(%1)"/>
      <w:numFmt w:val="lowerRoman"/>
      <w:start w:val="1"/>
    </w:lvl>
  </w:abstractNum>
  <w:abstractNum w:abstractNumId="73">
    <w:nsid w:val="25973E32"/>
    <w:multiLevelType w:val="hybridMultilevel"/>
    <w:lvl w:ilvl="0">
      <w:lvlJc w:val="left"/>
      <w:lvlText w:val="(%1)"/>
      <w:numFmt w:val="lowerLetter"/>
      <w:start w:val="1"/>
    </w:lvl>
  </w:abstractNum>
  <w:abstractNum w:abstractNumId="74">
    <w:nsid w:val="EAD6F57"/>
    <w:multiLevelType w:val="hybridMultilevel"/>
    <w:lvl w:ilvl="0">
      <w:lvlJc w:val="left"/>
      <w:lvlText w:val="(%1)"/>
      <w:numFmt w:val="lowerLetter"/>
      <w:start w:val="2"/>
    </w:lvl>
  </w:abstractNum>
  <w:abstractNum w:abstractNumId="75">
    <w:nsid w:val="6EC9D844"/>
    <w:multiLevelType w:val="hybridMultilevel"/>
    <w:lvl w:ilvl="0">
      <w:lvlJc w:val="left"/>
      <w:lvlText w:val="(%1)"/>
      <w:numFmt w:val="lowerLetter"/>
      <w:start w:val="1"/>
    </w:lvl>
    <w:lvl w:ilvl="1">
      <w:lvlJc w:val="left"/>
      <w:lvlText w:val="(%2)"/>
      <w:numFmt w:val="decimal"/>
      <w:start w:val="1"/>
    </w:lvl>
  </w:abstractNum>
  <w:abstractNum w:abstractNumId="76">
    <w:nsid w:val="5C49EAEE"/>
    <w:multiLevelType w:val="hybridMultilevel"/>
    <w:lvl w:ilvl="0">
      <w:lvlJc w:val="left"/>
      <w:lvlText w:val="(%1)"/>
      <w:numFmt w:val="lowerLetter"/>
      <w:start w:val="2"/>
    </w:lvl>
    <w:lvl w:ilvl="1">
      <w:lvlJc w:val="left"/>
      <w:lvlText w:val="(%2)"/>
      <w:numFmt w:val="decimal"/>
      <w:start w:val="1"/>
    </w:lvl>
  </w:abstractNum>
  <w:abstractNum w:abstractNumId="77">
    <w:nsid w:val="64AF49B"/>
    <w:multiLevelType w:val="hybridMultilevel"/>
    <w:lvl w:ilvl="0">
      <w:lvlJc w:val="left"/>
      <w:lvlText w:val="%1"/>
      <w:numFmt w:val="lowerLetter"/>
      <w:start w:val="1"/>
    </w:lvl>
    <w:lvl w:ilvl="1">
      <w:lvlJc w:val="left"/>
      <w:lvlText w:val="(%2)"/>
      <w:numFmt w:val="decimal"/>
      <w:start w:val="2"/>
    </w:lvl>
  </w:abstractNum>
  <w:abstractNum w:abstractNumId="78">
    <w:nsid w:val="397C46BC"/>
    <w:multiLevelType w:val="hybridMultilevel"/>
    <w:lvl w:ilvl="0">
      <w:lvlJc w:val="left"/>
      <w:lvlText w:val="(%1)"/>
      <w:numFmt w:val="lowerLetter"/>
      <w:start w:val="3"/>
    </w:lvl>
    <w:lvl w:ilvl="1">
      <w:lvlJc w:val="left"/>
      <w:lvlText w:val="%2"/>
      <w:numFmt w:val="decimal"/>
      <w:start w:val="1"/>
    </w:lvl>
  </w:abstractNum>
  <w:abstractNum w:abstractNumId="79">
    <w:nsid w:val="7E448D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0">
    <w:nsid w:val="5A9CC3E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1">
    <w:nsid w:val="1AFE3625"/>
    <w:multiLevelType w:val="hybridMultilevel"/>
    <w:lvl w:ilvl="0">
      <w:lvlJc w:val="left"/>
      <w:lvlText w:val="(%1)"/>
      <w:numFmt w:val="decimal"/>
      <w:start w:val="4"/>
    </w:lvl>
    <w:lvl w:ilvl="1">
      <w:lvlJc w:val="left"/>
      <w:lvlText w:val="(%2)"/>
      <w:numFmt w:val="lowerLetter"/>
      <w:start w:val="1"/>
    </w:lvl>
  </w:abstractNum>
  <w:abstractNum w:abstractNumId="82">
    <w:nsid w:val="3CA88ECF"/>
    <w:multiLevelType w:val="hybridMultilevel"/>
    <w:lvl w:ilvl="0">
      <w:lvlJc w:val="left"/>
      <w:lvlText w:val="(%1)"/>
      <w:numFmt w:val="lowerLetter"/>
      <w:start w:val="1"/>
    </w:lvl>
  </w:abstractNum>
  <w:abstractNum w:abstractNumId="83">
    <w:nsid w:val="6EBE4208"/>
    <w:multiLevelType w:val="hybridMultilevel"/>
    <w:lvl w:ilvl="0">
      <w:lvlJc w:val="left"/>
      <w:lvlText w:val="(%1)"/>
      <w:numFmt w:val="lowerLetter"/>
      <w:start w:val="2"/>
    </w:lvl>
  </w:abstractNum>
  <w:abstractNum w:abstractNumId="84">
    <w:nsid w:val="C058DF5"/>
    <w:multiLevelType w:val="hybridMultilevel"/>
    <w:lvl w:ilvl="0">
      <w:lvlJc w:val="left"/>
      <w:lvlText w:val="(%1)"/>
      <w:numFmt w:val="lowerLetter"/>
      <w:start w:val="1"/>
    </w:lvl>
  </w:abstractNum>
  <w:abstractNum w:abstractNumId="85">
    <w:nsid w:val="CBE5BE9"/>
    <w:multiLevelType w:val="hybridMultilevel"/>
    <w:lvl w:ilvl="0">
      <w:lvlJc w:val="left"/>
      <w:lvlText w:val="(%1)"/>
      <w:numFmt w:val="lowerLetter"/>
      <w:start w:val="1"/>
    </w:lvl>
    <w:lvl w:ilvl="1">
      <w:lvlJc w:val="left"/>
      <w:lvlText w:val="(%2)"/>
      <w:numFmt w:val="decimal"/>
      <w:start w:val="1"/>
    </w:lvl>
  </w:abstractNum>
  <w:abstractNum w:abstractNumId="86">
    <w:nsid w:val="3102BBE2"/>
    <w:multiLevelType w:val="hybridMultilevel"/>
    <w:lvl w:ilvl="0">
      <w:lvlJc w:val="left"/>
      <w:lvlText w:val="(%1)"/>
      <w:numFmt w:val="decimal"/>
      <w:start w:val="6"/>
    </w:lvl>
  </w:abstractNum>
  <w:abstractNum w:abstractNumId="87">
    <w:nsid w:val="26A02C5E"/>
    <w:multiLevelType w:val="hybridMultilevel"/>
    <w:lvl w:ilvl="0">
      <w:lvlJc w:val="left"/>
      <w:lvlText w:val="(%1)"/>
      <w:numFmt w:val="lowerLetter"/>
      <w:start w:val="2"/>
    </w:lvl>
    <w:lvl w:ilvl="1">
      <w:lvlJc w:val="left"/>
      <w:lvlText w:val="(%2)"/>
      <w:numFmt w:val="decimal"/>
      <w:start w:val="1"/>
    </w:lvl>
  </w:abstractNum>
  <w:abstractNum w:abstractNumId="88">
    <w:nsid w:val="541C8153"/>
    <w:multiLevelType w:val="hybridMultilevel"/>
    <w:lvl w:ilvl="0">
      <w:lvlJc w:val="left"/>
      <w:lvlText w:val="(%1)"/>
      <w:numFmt w:val="lowerLetter"/>
      <w:start w:val="3"/>
    </w:lvl>
  </w:abstractNum>
  <w:abstractNum w:abstractNumId="89">
    <w:nsid w:val="67906F6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90">
    <w:nsid w:val="10DB9DA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91">
    <w:nsid w:val="697D2D2"/>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2">
    <w:nsid w:val="6D68AB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93">
    <w:nsid w:val="3A966CD0"/>
    <w:multiLevelType w:val="hybridMultilevel"/>
    <w:lvl w:ilvl="0">
      <w:lvlJc w:val="left"/>
      <w:lvlText w:val="%1"/>
      <w:numFmt w:val="upperLetter"/>
      <w:start w:val="1"/>
    </w:lvl>
    <w:lvl w:ilvl="1">
      <w:lvlJc w:val="left"/>
      <w:lvlText w:val="(%2)"/>
      <w:numFmt w:val="lowerLetter"/>
      <w:start w:val="3"/>
    </w:lvl>
  </w:abstractNum>
  <w:abstractNum w:abstractNumId="94">
    <w:nsid w:val="63F37E85"/>
    <w:multiLevelType w:val="hybridMultilevel"/>
    <w:lvl w:ilvl="0">
      <w:lvlJc w:val="left"/>
      <w:lvlText w:val="(%1)"/>
      <w:numFmt w:val="upperLetter"/>
      <w:start w:val="1"/>
    </w:lvl>
    <w:lvl w:ilvl="1">
      <w:lvlJc w:val="left"/>
      <w:lvlText w:val="(%2)"/>
      <w:numFmt w:val="lowerLetter"/>
      <w:start w:val="4"/>
    </w:lvl>
  </w:abstractNum>
  <w:abstractNum w:abstractNumId="95">
    <w:nsid w:val="5895F5FA"/>
    <w:multiLevelType w:val="hybridMultilevel"/>
    <w:lvl w:ilvl="0">
      <w:lvlJc w:val="left"/>
      <w:lvlText w:val="(%1)"/>
      <w:numFmt w:val="lowerLetter"/>
      <w:start w:val="6"/>
    </w:lvl>
  </w:abstractNum>
  <w:abstractNum w:abstractNumId="96">
    <w:nsid w:val="38A5D054"/>
    <w:multiLevelType w:val="hybridMultilevel"/>
    <w:lvl w:ilvl="0">
      <w:lvlJc w:val="left"/>
      <w:lvlText w:val="%1"/>
      <w:numFmt w:val="lowerLetter"/>
      <w:start w:val="1"/>
    </w:lvl>
    <w:lvl w:ilvl="1">
      <w:lvlJc w:val="left"/>
      <w:lvlText w:val="(%2)"/>
      <w:numFmt w:val="decimal"/>
      <w:start w:val="1"/>
    </w:lvl>
  </w:abstractNum>
  <w:abstractNum w:abstractNumId="97">
    <w:nsid w:val="F3F09D8"/>
    <w:multiLevelType w:val="hybridMultilevel"/>
    <w:lvl w:ilvl="0">
      <w:lvlJc w:val="left"/>
      <w:lvlText w:val="(%1)"/>
      <w:numFmt w:val="lowerLetter"/>
      <w:start w:val="2"/>
    </w:lvl>
    <w:lvl w:ilvl="1">
      <w:lvlJc w:val="left"/>
      <w:lvlText w:val="(%2)"/>
      <w:numFmt w:val="decimal"/>
      <w:start w:val="1"/>
    </w:lvl>
  </w:abstractNum>
  <w:abstractNum w:abstractNumId="98">
    <w:nsid w:val="4B793735"/>
    <w:multiLevelType w:val="hybridMultilevel"/>
    <w:lvl w:ilvl="0">
      <w:lvlJc w:val="left"/>
      <w:lvlText w:val="(%1)"/>
      <w:numFmt w:val="decimal"/>
      <w:start w:val="2"/>
    </w:lvl>
  </w:abstractNum>
  <w:abstractNum w:abstractNumId="99">
    <w:nsid w:val="4A10B4E8"/>
    <w:multiLevelType w:val="hybridMultilevel"/>
    <w:lvl w:ilvl="0">
      <w:lvlJc w:val="left"/>
      <w:lvlText w:val="(%1)"/>
      <w:numFmt w:val="lowerLetter"/>
      <w:start w:val="3"/>
    </w:lvl>
  </w:abstractNum>
  <w:abstractNum w:abstractNumId="100">
    <w:nsid w:val="43D3BCD4"/>
    <w:multiLevelType w:val="hybridMultilevel"/>
    <w:lvl w:ilvl="0">
      <w:lvlJc w:val="left"/>
      <w:lvlText w:val="(%1)"/>
      <w:numFmt w:val="decimal"/>
      <w:start w:val="1"/>
    </w:lvl>
  </w:abstractNum>
  <w:abstractNum w:abstractNumId="101">
    <w:nsid w:val="4C2A7166"/>
    <w:multiLevelType w:val="hybridMultilevel"/>
    <w:lvl w:ilvl="0">
      <w:lvlJc w:val="left"/>
      <w:lvlText w:val="(%1)"/>
      <w:numFmt w:val="lowerLetter"/>
      <w:start w:val="1"/>
    </w:lvl>
    <w:lvl w:ilvl="1">
      <w:lvlJc w:val="left"/>
      <w:lvlText w:val="(%2)"/>
      <w:numFmt w:val="decimal"/>
      <w:start w:val="1"/>
    </w:lvl>
  </w:abstractNum>
  <w:abstractNum w:abstractNumId="102">
    <w:nsid w:val="2E534A82"/>
    <w:multiLevelType w:val="hybridMultilevel"/>
    <w:lvl w:ilvl="0">
      <w:lvlJc w:val="left"/>
      <w:lvlText w:val="%1"/>
      <w:numFmt w:val="lowerLetter"/>
      <w:start w:val="1"/>
    </w:lvl>
    <w:lvl w:ilvl="1">
      <w:lvlJc w:val="left"/>
      <w:lvlText w:val="(%2)"/>
      <w:numFmt w:val="decimal"/>
      <w:start w:val="2"/>
    </w:lvl>
  </w:abstractNum>
  <w:abstractNum w:abstractNumId="103">
    <w:nsid w:val="26F2D364"/>
    <w:multiLevelType w:val="hybridMultilevel"/>
    <w:lvl w:ilvl="0">
      <w:lvlJc w:val="left"/>
      <w:lvlText w:val="(%1)"/>
      <w:numFmt w:val="lowerLetter"/>
      <w:start w:val="8"/>
    </w:lvl>
    <w:lvl w:ilvl="1">
      <w:lvlJc w:val="left"/>
      <w:lvlText w:val="(%2)"/>
      <w:numFmt w:val="decimal"/>
      <w:start w:val="1"/>
    </w:lvl>
  </w:abstractNum>
  <w:abstractNum w:abstractNumId="104">
    <w:nsid w:val="71C1AF98"/>
    <w:multiLevelType w:val="hybridMultilevel"/>
    <w:lvl w:ilvl="0">
      <w:lvlJc w:val="left"/>
      <w:lvlText w:val="(%1)"/>
      <w:numFmt w:val="lowerLetter"/>
      <w:start w:val="1"/>
    </w:lvl>
  </w:abstractNum>
  <w:abstractNum w:abstractNumId="105">
    <w:nsid w:val="3D00B9D9"/>
    <w:multiLevelType w:val="hybridMultilevel"/>
    <w:lvl w:ilvl="0">
      <w:lvlJc w:val="left"/>
      <w:lvlText w:val="(%1)"/>
      <w:numFmt w:val="lowerLetter"/>
      <w:start w:val="1"/>
    </w:lvl>
    <w:lvl w:ilvl="1">
      <w:lvlJc w:val="left"/>
      <w:lvlText w:val="(%2)"/>
      <w:numFmt w:val="decimal"/>
      <w:start w:val="1"/>
    </w:lvl>
  </w:abstractNum>
  <w:abstractNum w:abstractNumId="106">
    <w:nsid w:val="15BCABA8"/>
    <w:multiLevelType w:val="hybridMultilevel"/>
    <w:lvl w:ilvl="0">
      <w:lvlJc w:val="left"/>
      <w:lvlText w:val="%1"/>
      <w:numFmt w:val="lowerLetter"/>
      <w:start w:val="1"/>
    </w:lvl>
    <w:lvl w:ilvl="1">
      <w:lvlJc w:val="left"/>
      <w:lvlText w:val="(%2)"/>
      <w:numFmt w:val="decimal"/>
      <w:start w:val="3"/>
    </w:lvl>
  </w:abstractNum>
  <w:abstractNum w:abstractNumId="107">
    <w:nsid w:val="4E0B9A87"/>
    <w:multiLevelType w:val="hybridMultilevel"/>
    <w:lvl w:ilvl="0">
      <w:lvlJc w:val="left"/>
      <w:lvlText w:val="(%1)"/>
      <w:numFmt w:val="lowerLetter"/>
      <w:start w:val="4"/>
    </w:lvl>
    <w:lvl w:ilvl="1">
      <w:lvlJc w:val="left"/>
      <w:lvlText w:val="%2"/>
      <w:numFmt w:val="decimal"/>
      <w:start w:val="1"/>
    </w:lvl>
  </w:abstractNum>
  <w:abstractNum w:abstractNumId="108">
    <w:nsid w:val="434BAE75"/>
    <w:multiLevelType w:val="hybridMultilevel"/>
    <w:lvl w:ilvl="0">
      <w:lvlJc w:val="left"/>
      <w:lvlText w:val="(%1)"/>
      <w:numFmt w:val="lowerLetter"/>
      <w:start w:val="1"/>
    </w:lvl>
  </w:abstractNum>
  <w:abstractNum w:abstractNumId="109">
    <w:nsid w:val="4F38F265"/>
    <w:multiLevelType w:val="hybridMultilevel"/>
    <w:lvl w:ilvl="0">
      <w:lvlJc w:val="left"/>
      <w:lvlText w:val="(%1)"/>
      <w:numFmt w:val="lowerLetter"/>
      <w:start w:val="7"/>
    </w:lvl>
  </w:abstractNum>
  <w:abstractNum w:abstractNumId="110">
    <w:nsid w:val="4C502870"/>
    <w:multiLevelType w:val="hybridMultilevel"/>
    <w:lvl w:ilvl="0">
      <w:lvlJc w:val="left"/>
      <w:lvlText w:val="(%1)"/>
      <w:numFmt w:val="lowerLetter"/>
      <w:start w:val="1"/>
    </w:lvl>
  </w:abstractNum>
  <w:abstractNum w:abstractNumId="111">
    <w:nsid w:val="1DE8725A"/>
    <w:multiLevelType w:val="hybridMultilevel"/>
    <w:lvl w:ilvl="0">
      <w:lvlJc w:val="left"/>
      <w:lvlText w:val="(%1)"/>
      <w:numFmt w:val="lowerLetter"/>
      <w:start w:val="3"/>
    </w:lvl>
  </w:abstractNum>
  <w:abstractNum w:abstractNumId="112">
    <w:nsid w:val="6A37288A"/>
    <w:multiLevelType w:val="hybridMultilevel"/>
    <w:lvl w:ilvl="0">
      <w:lvlJc w:val="left"/>
      <w:lvlText w:val="(%1)"/>
      <w:numFmt w:val="lowerLetter"/>
      <w:start w:val="1"/>
    </w:lvl>
    <w:lvl w:ilvl="1">
      <w:lvlJc w:val="left"/>
      <w:lvlText w:val="(%2)"/>
      <w:numFmt w:val="decimal"/>
      <w:start w:val="1"/>
    </w:lvl>
  </w:abstractNum>
  <w:abstractNum w:abstractNumId="113">
    <w:nsid w:val="8F8B73F"/>
    <w:multiLevelType w:val="hybridMultilevel"/>
    <w:lvl w:ilvl="0">
      <w:lvlJc w:val="left"/>
      <w:lvlText w:val="(%1)"/>
      <w:numFmt w:val="lowerLetter"/>
      <w:start w:val="3"/>
    </w:lvl>
  </w:abstractNum>
  <w:abstractNum w:abstractNumId="114">
    <w:nsid w:val="CA6B462"/>
    <w:multiLevelType w:val="hybridMultilevel"/>
    <w:lvl w:ilvl="0">
      <w:lvlJc w:val="left"/>
      <w:lvlText w:val="(%1)"/>
      <w:numFmt w:val="lowerLetter"/>
      <w:start w:val="1"/>
    </w:lvl>
  </w:abstractNum>
  <w:abstractNum w:abstractNumId="115">
    <w:nsid w:val="763CB680"/>
    <w:multiLevelType w:val="hybridMultilevel"/>
    <w:lvl w:ilvl="0">
      <w:lvlJc w:val="left"/>
      <w:lvlText w:val="(%1)"/>
      <w:numFmt w:val="lowerLetter"/>
      <w:start w:val="1"/>
    </w:lvl>
  </w:abstractNum>
  <w:abstractNum w:abstractNumId="116">
    <w:nsid w:val="15B71329"/>
    <w:multiLevelType w:val="hybridMultilevel"/>
    <w:lvl w:ilvl="0">
      <w:lvlJc w:val="left"/>
      <w:lvlText w:val="(%1)"/>
      <w:numFmt w:val="lowerLetter"/>
      <w:start w:val="4"/>
    </w:lvl>
  </w:abstractNum>
  <w:abstractNum w:abstractNumId="117">
    <w:nsid w:val="3DA97044"/>
    <w:multiLevelType w:val="hybridMultilevel"/>
    <w:lvl w:ilvl="0">
      <w:lvlJc w:val="left"/>
      <w:lvlText w:val="(%1)"/>
      <w:numFmt w:val="lowerLetter"/>
      <w:start w:val="1"/>
    </w:lvl>
  </w:abstractNum>
  <w:abstractNum w:abstractNumId="118">
    <w:nsid w:val="1CDCE2DE"/>
    <w:multiLevelType w:val="hybridMultilevel"/>
    <w:lvl w:ilvl="0">
      <w:lvlJc w:val="left"/>
      <w:lvlText w:val="(%1)"/>
      <w:numFmt w:val="lowerLetter"/>
      <w:start w:val="1"/>
    </w:lvl>
  </w:abstractNum>
  <w:abstractNum w:abstractNumId="119">
    <w:nsid w:val="69D3947C"/>
    <w:multiLevelType w:val="hybridMultilevel"/>
    <w:lvl w:ilvl="0">
      <w:lvlJc w:val="left"/>
      <w:lvlText w:val="(%1)"/>
      <w:numFmt w:val="lowerLetter"/>
      <w:start w:val="1"/>
    </w:lvl>
    <w:lvl w:ilvl="1">
      <w:lvlJc w:val="left"/>
      <w:lvlText w:val="(%2)"/>
      <w:numFmt w:val="decimal"/>
      <w:start w:val="1"/>
    </w:lvl>
  </w:abstractNum>
  <w:abstractNum w:abstractNumId="120">
    <w:nsid w:val="2539DFA5"/>
    <w:multiLevelType w:val="hybridMultilevel"/>
    <w:lvl w:ilvl="0">
      <w:lvlJc w:val="left"/>
      <w:lvlText w:val="(%1)"/>
      <w:numFmt w:val="lowerLetter"/>
      <w:start w:val="2"/>
    </w:lvl>
  </w:abstractNum>
  <w:abstractNum w:abstractNumId="121">
    <w:nsid w:val="2DB88089"/>
    <w:multiLevelType w:val="hybridMultilevel"/>
    <w:lvl w:ilvl="0">
      <w:lvlJc w:val="left"/>
      <w:lvlText w:val="(%1)"/>
      <w:numFmt w:val="lowerLetter"/>
      <w:start w:val="1"/>
    </w:lvl>
  </w:abstractNum>
  <w:abstractNum w:abstractNumId="122">
    <w:nsid w:val="706B674E"/>
    <w:multiLevelType w:val="hybridMultilevel"/>
    <w:lvl w:ilvl="0">
      <w:lvlJc w:val="left"/>
      <w:lvlText w:val="(%1)"/>
      <w:numFmt w:val="lowerLetter"/>
      <w:start w:val="2"/>
    </w:lvl>
  </w:abstractNum>
  <w:abstractNum w:abstractNumId="123">
    <w:nsid w:val="2C106A57"/>
    <w:multiLevelType w:val="hybridMultilevel"/>
    <w:lvl w:ilvl="0">
      <w:lvlJc w:val="left"/>
      <w:lvlText w:val="(%1)"/>
      <w:numFmt w:val="lowerLetter"/>
      <w:start w:val="1"/>
    </w:lvl>
  </w:abstractNum>
  <w:abstractNum w:abstractNumId="124">
    <w:nsid w:val="684EED59"/>
    <w:multiLevelType w:val="hybridMultilevel"/>
    <w:lvl w:ilvl="0">
      <w:lvlJc w:val="left"/>
      <w:lvlText w:val="(%1)"/>
      <w:numFmt w:val="lowerLetter"/>
      <w:start w:val="1"/>
    </w:lvl>
  </w:abstractNum>
  <w:abstractNum w:abstractNumId="125">
    <w:nsid w:val="545EE5D3"/>
    <w:multiLevelType w:val="hybridMultilevel"/>
    <w:lvl w:ilvl="0">
      <w:lvlJc w:val="left"/>
      <w:lvlText w:val="(%1)"/>
      <w:numFmt w:val="decimal"/>
      <w:start w:val="1"/>
    </w:lvl>
  </w:abstractNum>
  <w:abstractNum w:abstractNumId="126">
    <w:nsid w:val="4A66051"/>
    <w:multiLevelType w:val="hybridMultilevel"/>
    <w:lvl w:ilvl="0">
      <w:lvlJc w:val="left"/>
      <w:lvlText w:val="(%1)"/>
      <w:numFmt w:val="decimal"/>
      <w:start w:val="2"/>
    </w:lvl>
  </w:abstractNum>
  <w:abstractNum w:abstractNumId="127">
    <w:nsid w:val="20F4BDA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8">
    <w:nsid w:val="639DEFAC"/>
    <w:multiLevelType w:val="hybridMultilevel"/>
    <w:lvl w:ilvl="0">
      <w:lvlJc w:val="left"/>
      <w:lvlText w:val="(%1)"/>
      <w:numFmt w:val="lowerRoman"/>
      <w:start w:val="2"/>
    </w:lvl>
  </w:abstractNum>
  <w:abstractNum w:abstractNumId="129">
    <w:nsid w:val="501F9786"/>
    <w:multiLevelType w:val="hybridMultilevel"/>
    <w:lvl w:ilvl="0">
      <w:lvlJc w:val="left"/>
      <w:lvlText w:val="(%1)"/>
      <w:numFmt w:val="lowerLetter"/>
      <w:start w:val="3"/>
    </w:lvl>
  </w:abstractNum>
  <w:abstractNum w:abstractNumId="130">
    <w:nsid w:val="6B057295"/>
    <w:multiLevelType w:val="hybridMultilevel"/>
    <w:lvl w:ilvl="0">
      <w:lvlJc w:val="left"/>
      <w:lvlText w:val="(%1)"/>
      <w:numFmt w:val="lowerLetter"/>
      <w:start w:val="5"/>
    </w:lvl>
  </w:abstractNum>
  <w:abstractNum w:abstractNumId="131">
    <w:nsid w:val="2771AC80"/>
    <w:multiLevelType w:val="hybridMultilevel"/>
    <w:lvl w:ilvl="0">
      <w:lvlJc w:val="left"/>
      <w:lvlText w:val="(%1)"/>
      <w:numFmt w:val="decimal"/>
      <w:start w:val="6"/>
    </w:lvl>
  </w:abstractNum>
  <w:abstractNum w:abstractNumId="132">
    <w:nsid w:val="1C4A08EC"/>
    <w:multiLevelType w:val="hybridMultilevel"/>
    <w:lvl w:ilvl="0">
      <w:lvlJc w:val="left"/>
      <w:lvlText w:val="(%1)"/>
      <w:numFmt w:val="lowerLetter"/>
      <w:start w:val="1"/>
    </w:lvl>
  </w:abstractNum>
  <w:abstractNum w:abstractNumId="133">
    <w:nsid w:val="1958BD17"/>
    <w:multiLevelType w:val="hybridMultilevel"/>
    <w:lvl w:ilvl="0">
      <w:lvlJc w:val="left"/>
      <w:lvlText w:val="(%1)"/>
      <w:numFmt w:val="decimal"/>
      <w:start w:val="8"/>
    </w:lvl>
    <w:lvl w:ilvl="1">
      <w:lvlJc w:val="left"/>
      <w:lvlText w:val="(%2)"/>
      <w:numFmt w:val="lowerLetter"/>
      <w:start w:val="1"/>
    </w:lvl>
  </w:abstractNum>
  <w:abstractNum w:abstractNumId="134">
    <w:nsid w:val="4E647FE4"/>
    <w:multiLevelType w:val="hybridMultilevel"/>
    <w:lvl w:ilvl="0">
      <w:lvlJc w:val="left"/>
      <w:lvlText w:val="(%1)"/>
      <w:numFmt w:val="lowerLetter"/>
      <w:start w:val="1"/>
    </w:lvl>
  </w:abstractNum>
  <w:abstractNum w:abstractNumId="135">
    <w:nsid w:val="E0BB88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36">
    <w:nsid w:val="565976F1"/>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37">
    <w:nsid w:val="64212B8C"/>
    <w:multiLevelType w:val="hybridMultilevel"/>
    <w:lvl w:ilvl="0">
      <w:lvlJc w:val="left"/>
      <w:lvlText w:val="%1"/>
      <w:numFmt w:val="lowerLetter"/>
      <w:start w:val="1"/>
    </w:lvl>
    <w:lvl w:ilvl="1">
      <w:lvlJc w:val="left"/>
      <w:lvlText w:val="(%2)"/>
      <w:numFmt w:val="lowerLetter"/>
      <w:start w:val="2"/>
    </w:lvl>
  </w:abstractNum>
  <w:abstractNum w:abstractNumId="138">
    <w:nsid w:val="5C17530C"/>
    <w:multiLevelType w:val="hybridMultilevel"/>
    <w:lvl w:ilvl="0">
      <w:lvlJc w:val="left"/>
      <w:lvlText w:val="(%1)"/>
      <w:numFmt w:val="lowerLetter"/>
      <w:start w:val="61"/>
    </w:lvl>
    <w:lvl w:ilvl="1">
      <w:lvlJc w:val="left"/>
      <w:lvlText w:val="(%2)"/>
      <w:numFmt w:val="lowerLetter"/>
      <w:start w:val="3"/>
    </w:lvl>
  </w:abstractNum>
  <w:abstractNum w:abstractNumId="139">
    <w:nsid w:val="19A52566"/>
    <w:multiLevelType w:val="hybridMultilevel"/>
    <w:lvl w:ilvl="0">
      <w:lvlJc w:val="left"/>
      <w:lvlText w:val="(%1)"/>
      <w:numFmt w:val="decimal"/>
      <w:start w:val="14"/>
    </w:lvl>
  </w:abstractNum>
  <w:abstractNum w:abstractNumId="140">
    <w:nsid w:val="335A1DF1"/>
    <w:multiLevelType w:val="hybridMultilevel"/>
    <w:lvl w:ilvl="0">
      <w:lvlJc w:val="left"/>
      <w:lvlText w:val="(%1)"/>
      <w:numFmt w:val="decimal"/>
      <w:start w:val="15"/>
    </w:lvl>
  </w:abstractNum>
  <w:abstractNum w:abstractNumId="141">
    <w:nsid w:val="28677B7C"/>
    <w:multiLevelType w:val="hybridMultilevel"/>
    <w:lvl w:ilvl="0">
      <w:lvlJc w:val="left"/>
      <w:lvlText w:val="*"/>
      <w:numFmt w:val="bullet"/>
      <w:start w:val="1"/>
    </w:lvl>
  </w:abstractNum>
  <w:abstractNum w:abstractNumId="142">
    <w:nsid w:val="378D97C0"/>
    <w:multiLevelType w:val="hybridMultilevel"/>
    <w:lvl w:ilvl="0">
      <w:lvlJc w:val="left"/>
      <w:lvlText w:val="*"/>
      <w:numFmt w:val="bullet"/>
      <w:start w:val="1"/>
    </w:lvl>
  </w:abstractNum>
  <w:abstractNum w:abstractNumId="143">
    <w:nsid w:val="1D91467C"/>
    <w:multiLevelType w:val="hybridMultilevel"/>
    <w:lvl w:ilvl="0">
      <w:lvlJc w:val="left"/>
      <w:lvlText w:val="*"/>
      <w:numFmt w:val="bullet"/>
      <w:start w:val="1"/>
    </w:lvl>
  </w:abstractNum>
  <w:abstractNum w:abstractNumId="144">
    <w:nsid w:val="316032BB"/>
    <w:multiLevelType w:val="hybridMultilevel"/>
    <w:lvl w:ilvl="0">
      <w:lvlJc w:val="left"/>
      <w:lvlText w:val="%1."/>
      <w:numFmt w:val="decimal"/>
      <w:start w:val="1"/>
    </w:lvl>
  </w:abstractNum>
  <w:abstractNum w:abstractNumId="145">
    <w:nsid w:val="44344C2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6">
    <w:nsid w:val="13CDFCFC"/>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1"/>
    </w:lvl>
  </w:abstractNum>
  <w:abstractNum w:abstractNumId="147">
    <w:nsid w:val="471745E4"/>
    <w:multiLevelType w:val="hybridMultilevel"/>
    <w:lvl w:ilvl="0">
      <w:lvlJc w:val="left"/>
      <w:lvlText w:val="(%1)"/>
      <w:numFmt w:val="lowerLetter"/>
      <w:start w:val="2"/>
    </w:lvl>
  </w:abstractNum>
  <w:abstractNum w:abstractNumId="148">
    <w:nsid w:val="1DDBC66"/>
    <w:multiLevelType w:val="hybridMultilevel"/>
    <w:lvl w:ilvl="0">
      <w:lvlJc w:val="left"/>
      <w:lvlText w:val="%1."/>
      <w:numFmt w:val="decimal"/>
      <w:start w:val="4"/>
    </w:lvl>
    <w:lvl w:ilvl="1">
      <w:lvlJc w:val="left"/>
      <w:lvlText w:val="(%2)"/>
      <w:numFmt w:val="lowerLetter"/>
      <w:start w:val="1"/>
    </w:lvl>
  </w:abstractNum>
  <w:abstractNum w:abstractNumId="149">
    <w:nsid w:val="30AADFDA"/>
    <w:multiLevelType w:val="hybridMultilevel"/>
    <w:lvl w:ilvl="0">
      <w:lvlJc w:val="left"/>
      <w:lvlText w:val="%1."/>
      <w:numFmt w:val="decimal"/>
      <w:start w:val="1"/>
    </w:lvl>
  </w:abstractNum>
  <w:abstractNum w:abstractNumId="150">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1">
    <w:nsid w:val="27179C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2">
    <w:nsid w:val="5E636063"/>
    <w:multiLevelType w:val="hybridMultilevel"/>
    <w:lvl w:ilvl="0">
      <w:lvlJc w:val="left"/>
      <w:lvlText w:val="(%1)"/>
      <w:numFmt w:val="lowerLetter"/>
      <w:start w:val="1"/>
    </w:lvl>
    <w:lvl w:ilvl="1">
      <w:lvlJc w:val="left"/>
      <w:lvlText w:val="(%2)"/>
      <w:numFmt w:val="lowerRoman"/>
      <w:start w:val="1"/>
    </w:lvl>
  </w:abstractNum>
  <w:abstractNum w:abstractNumId="153">
    <w:nsid w:val="215641AF"/>
    <w:multiLevelType w:val="hybridMultilevel"/>
    <w:lvl w:ilvl="0">
      <w:lvlJc w:val="left"/>
      <w:lvlText w:val="%1."/>
      <w:numFmt w:val="decimal"/>
      <w:start w:val="1"/>
    </w:lvl>
  </w:abstractNum>
  <w:abstractNum w:abstractNumId="154">
    <w:nsid w:val="53280662"/>
    <w:multiLevelType w:val="hybridMultilevel"/>
    <w:lvl w:ilvl="0">
      <w:lvlJc w:val="left"/>
      <w:lvlText w:val="(%1)"/>
      <w:numFmt w:val="lowerLetter"/>
      <w:start w:val="1"/>
    </w:lvl>
  </w:abstractNum>
  <w:abstractNum w:abstractNumId="155">
    <w:nsid w:val="46B24DBC"/>
    <w:multiLevelType w:val="hybridMultilevel"/>
    <w:lvl w:ilvl="0">
      <w:lvlJc w:val="left"/>
      <w:lvlText w:val="(%1)"/>
      <w:numFmt w:val="lowerLetter"/>
      <w:start w:val="2"/>
    </w:lvl>
  </w:abstractNum>
  <w:abstractNum w:abstractNumId="156">
    <w:nsid w:val="75B52783"/>
    <w:multiLevelType w:val="hybridMultilevel"/>
    <w:lvl w:ilvl="0">
      <w:lvlJc w:val="left"/>
      <w:lvlText w:val="%1."/>
      <w:numFmt w:val="decimal"/>
      <w:start w:val="2"/>
    </w:lvl>
  </w:abstractNum>
  <w:abstractNum w:abstractNumId="157">
    <w:nsid w:val="57CE66B4"/>
    <w:multiLevelType w:val="hybridMultilevel"/>
    <w:lvl w:ilvl="0">
      <w:lvlJc w:val="left"/>
      <w:lvlText w:val="(%1)"/>
      <w:numFmt w:val="lowerLetter"/>
      <w:start w:val="1"/>
    </w:lvl>
  </w:abstractNum>
  <w:abstractNum w:abstractNumId="158">
    <w:nsid w:val="67A70B69"/>
    <w:multiLevelType w:val="hybridMultilevel"/>
    <w:lvl w:ilvl="0">
      <w:lvlJc w:val="left"/>
      <w:lvlText w:val="(%1)"/>
      <w:numFmt w:val="lowerLetter"/>
      <w:start w:val="2"/>
    </w:lvl>
  </w:abstractNum>
  <w:abstractNum w:abstractNumId="159">
    <w:nsid w:val="5953172F"/>
    <w:multiLevelType w:val="hybridMultilevel"/>
    <w:lvl w:ilvl="0">
      <w:lvlJc w:val="left"/>
      <w:lvlText w:val="(%1)"/>
      <w:numFmt w:val="decimal"/>
      <w:start w:val="1"/>
    </w:lvl>
  </w:abstractNum>
  <w:abstractNum w:abstractNumId="160">
    <w:nsid w:val="27EDFE3A"/>
    <w:multiLevelType w:val="hybridMultilevel"/>
    <w:lvl w:ilvl="0">
      <w:lvlJc w:val="left"/>
      <w:lvlText w:val="(%1)"/>
      <w:numFmt w:val="decimal"/>
      <w:start w:val="1"/>
    </w:lvl>
  </w:abstractNum>
  <w:abstractNum w:abstractNumId="161">
    <w:nsid w:val="52AC7DFF"/>
    <w:multiLevelType w:val="hybridMultilevel"/>
    <w:lvl w:ilvl="0">
      <w:lvlJc w:val="left"/>
      <w:lvlText w:val="(%1)"/>
      <w:numFmt w:val="decimal"/>
      <w:start w:val="1"/>
    </w:lvl>
  </w:abstractNum>
  <w:abstractNum w:abstractNumId="162">
    <w:nsid w:val="C4C3AF"/>
    <w:multiLevelType w:val="hybridMultilevel"/>
    <w:lvl w:ilvl="0">
      <w:lvlJc w:val="left"/>
      <w:lvlText w:val="(%1)"/>
      <w:numFmt w:val="decimal"/>
      <w:start w:val="1"/>
    </w:lvl>
  </w:abstractNum>
  <w:abstractNum w:abstractNumId="163">
    <w:nsid w:val="44380727"/>
    <w:multiLevelType w:val="hybridMultilevel"/>
    <w:lvl w:ilvl="0">
      <w:lvlJc w:val="left"/>
      <w:lvlText w:val="(%1)"/>
      <w:numFmt w:val="decimal"/>
      <w:start w:val="1"/>
    </w:lvl>
  </w:abstractNum>
  <w:abstractNum w:abstractNumId="164">
    <w:nsid w:val="6C053B16"/>
    <w:multiLevelType w:val="hybridMultilevel"/>
    <w:lvl w:ilvl="0">
      <w:lvlJc w:val="left"/>
      <w:lvlText w:val="(%1)"/>
      <w:numFmt w:val="decimal"/>
      <w:start w:val="2"/>
    </w:lvl>
  </w:abstractNum>
  <w:abstractNum w:abstractNumId="165">
    <w:nsid w:val="4F294393"/>
    <w:multiLevelType w:val="hybridMultilevel"/>
    <w:lvl w:ilvl="0">
      <w:lvlJc w:val="left"/>
      <w:lvlText w:val="(%1)"/>
      <w:numFmt w:val="decimal"/>
      <w:start w:val="1"/>
    </w:lvl>
  </w:abstractNum>
  <w:abstractNum w:abstractNumId="166">
    <w:nsid w:val="5243BFAC"/>
    <w:multiLevelType w:val="hybridMultilevel"/>
    <w:lvl w:ilvl="0">
      <w:lvlJc w:val="left"/>
      <w:lvlText w:val="(%1)"/>
      <w:numFmt w:val="decimal"/>
      <w:start w:val="1"/>
    </w:lvl>
  </w:abstractNum>
  <w:abstractNum w:abstractNumId="167">
    <w:nsid w:val="425EB207"/>
    <w:multiLevelType w:val="hybridMultilevel"/>
    <w:lvl w:ilvl="0">
      <w:lvlJc w:val="left"/>
      <w:lvlText w:val="(%1)"/>
      <w:numFmt w:val="decimal"/>
      <w:start w:val="1"/>
    </w:lvl>
  </w:abstractNum>
  <w:abstractNum w:abstractNumId="168">
    <w:nsid w:val="334A6F1F"/>
    <w:multiLevelType w:val="hybridMultilevel"/>
    <w:lvl w:ilvl="0">
      <w:lvlJc w:val="left"/>
      <w:lvlText w:val="(%1)"/>
      <w:numFmt w:val="lowerLetter"/>
      <w:start w:val="1"/>
    </w:lvl>
  </w:abstractNum>
  <w:abstractNum w:abstractNumId="169">
    <w:nsid w:val="2E5B12B8"/>
    <w:multiLevelType w:val="hybridMultilevel"/>
    <w:lvl w:ilvl="0">
      <w:lvlJc w:val="left"/>
      <w:lvlText w:val="(%1)"/>
      <w:numFmt w:val="decimal"/>
      <w:start w:val="1"/>
    </w:lvl>
  </w:abstractNum>
  <w:abstractNum w:abstractNumId="170">
    <w:nsid w:val="5C03D76D"/>
    <w:multiLevelType w:val="hybridMultilevel"/>
    <w:lvl w:ilvl="0">
      <w:lvlJc w:val="left"/>
      <w:lvlText w:val="(%1)"/>
      <w:numFmt w:val="decimal"/>
      <w:start w:val="1"/>
    </w:lvl>
  </w:abstractNum>
  <w:abstractNum w:abstractNumId="171">
    <w:nsid w:val="66A48D11"/>
    <w:multiLevelType w:val="hybridMultilevel"/>
    <w:lvl w:ilvl="0">
      <w:lvlJc w:val="left"/>
      <w:lvlText w:val="(%1)"/>
      <w:numFmt w:val="decimal"/>
      <w:start w:val="2"/>
    </w:lvl>
  </w:abstractNum>
  <w:abstractNum w:abstractNumId="172">
    <w:nsid w:val="56C28E34"/>
    <w:multiLevelType w:val="hybridMultilevel"/>
    <w:lvl w:ilvl="0">
      <w:lvlJc w:val="left"/>
      <w:lvlText w:val="(%1)"/>
      <w:numFmt w:val="decimal"/>
      <w:start w:val="1"/>
    </w:lvl>
  </w:abstractNum>
  <w:abstractNum w:abstractNumId="173">
    <w:nsid w:val="13916F2D"/>
    <w:multiLevelType w:val="hybridMultilevel"/>
    <w:lvl w:ilvl="0">
      <w:lvlJc w:val="left"/>
      <w:lvlText w:val="(%1)"/>
      <w:numFmt w:val="decimal"/>
      <w:start w:val="2"/>
    </w:lvl>
  </w:abstractNum>
  <w:abstractNum w:abstractNumId="174">
    <w:nsid w:val="435D38D"/>
    <w:multiLevelType w:val="hybridMultilevel"/>
    <w:lvl w:ilvl="0">
      <w:lvlJc w:val="left"/>
      <w:lvlText w:val="(%1)"/>
      <w:numFmt w:val="decimal"/>
      <w:start w:val="1"/>
    </w:lvl>
  </w:abstractNum>
  <w:abstractNum w:abstractNumId="175">
    <w:nsid w:val="822C0EF"/>
    <w:multiLevelType w:val="hybridMultilevel"/>
    <w:lvl w:ilvl="0">
      <w:lvlJc w:val="left"/>
      <w:lvlText w:val="(%1)"/>
      <w:numFmt w:val="decimal"/>
      <w:start w:val="1"/>
    </w:lvl>
  </w:abstractNum>
  <w:abstractNum w:abstractNumId="176">
    <w:nsid w:val="57C5BB4F"/>
    <w:multiLevelType w:val="hybridMultilevel"/>
    <w:lvl w:ilvl="0">
      <w:lvlJc w:val="left"/>
      <w:lvlText w:val="(%1)"/>
      <w:numFmt w:val="decimal"/>
      <w:start w:val="7"/>
    </w:lvl>
  </w:abstractNum>
  <w:abstractNum w:abstractNumId="177">
    <w:nsid w:val="1803D089"/>
    <w:multiLevelType w:val="hybridMultilevel"/>
    <w:lvl w:ilvl="0">
      <w:lvlJc w:val="left"/>
      <w:lvlText w:val="(%1)"/>
      <w:numFmt w:val="lowerLetter"/>
      <w:start w:val="1"/>
    </w:lvl>
  </w:abstractNum>
  <w:abstractNum w:abstractNumId="178">
    <w:nsid w:val="4F3A06D4"/>
    <w:multiLevelType w:val="hybridMultilevel"/>
    <w:lvl w:ilvl="0">
      <w:lvlJc w:val="left"/>
      <w:lvlText w:val="(%1)"/>
      <w:numFmt w:val="lowerLetter"/>
      <w:start w:val="2"/>
    </w:lvl>
  </w:abstractNum>
  <w:abstractNum w:abstractNumId="179">
    <w:nsid w:val="59A377B6"/>
    <w:multiLevelType w:val="hybridMultilevel"/>
    <w:lvl w:ilvl="0">
      <w:lvlJc w:val="left"/>
      <w:lvlText w:val="(%1)"/>
      <w:numFmt w:val="lowerLetter"/>
      <w:start w:val="3"/>
    </w:lvl>
  </w:abstractNum>
  <w:abstractNum w:abstractNumId="180">
    <w:nsid w:val="48AEB063"/>
    <w:multiLevelType w:val="hybridMultilevel"/>
    <w:lvl w:ilvl="0">
      <w:lvlJc w:val="left"/>
      <w:lvlText w:val="(%1)"/>
      <w:numFmt w:val="lowerLetter"/>
      <w:start w:val="1"/>
    </w:lvl>
    <w:lvl w:ilvl="1">
      <w:lvlJc w:val="left"/>
      <w:lvlText w:val="(%2)"/>
      <w:numFmt w:val="decimal"/>
      <w:start w:val="1"/>
    </w:lvl>
  </w:abstractNum>
  <w:abstractNum w:abstractNumId="181">
    <w:nsid w:val="24E13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82">
    <w:nsid w:val="BB13C1"/>
    <w:multiLevelType w:val="hybridMultilevel"/>
    <w:lvl w:ilvl="0">
      <w:lvlJc w:val="left"/>
      <w:lvlText w:val="(%1)"/>
      <w:numFmt w:val="lowerRoman"/>
      <w:start w:val="2"/>
    </w:lvl>
  </w:abstractNum>
  <w:abstractNum w:abstractNumId="183">
    <w:nsid w:val="271210C7"/>
    <w:multiLevelType w:val="hybridMultilevel"/>
    <w:lvl w:ilvl="0">
      <w:lvlJc w:val="left"/>
      <w:lvlText w:val="(%1)"/>
      <w:numFmt w:val="decimal"/>
      <w:start w:val="3"/>
    </w:lvl>
    <w:lvl w:ilvl="1">
      <w:lvlJc w:val="left"/>
      <w:lvlText w:val="(%2)"/>
      <w:numFmt w:val="upperLetter"/>
      <w:start w:val="1"/>
    </w:lvl>
  </w:abstractNum>
  <w:abstractNum w:abstractNumId="184">
    <w:nsid w:val="217B22E4"/>
    <w:multiLevelType w:val="hybridMultilevel"/>
    <w:lvl w:ilvl="0">
      <w:lvlJc w:val="left"/>
      <w:lvlText w:val="(%1)"/>
      <w:numFmt w:val="decimal"/>
      <w:start w:val="2"/>
    </w:lvl>
    <w:lvl w:ilvl="1">
      <w:lvlJc w:val="left"/>
      <w:lvlText w:val="%2"/>
      <w:numFmt w:val="upperLetter"/>
      <w:start w:val="1"/>
    </w:lvl>
  </w:abstractNum>
  <w:abstractNum w:abstractNumId="185">
    <w:nsid w:val="53E31A24"/>
    <w:multiLevelType w:val="hybridMultilevel"/>
    <w:lvl w:ilvl="0">
      <w:lvlJc w:val="left"/>
      <w:lvlText w:val="(%1)"/>
      <w:numFmt w:val="decimal"/>
      <w:start w:val="4"/>
    </w:lvl>
    <w:lvl w:ilvl="1">
      <w:lvlJc w:val="left"/>
      <w:lvlText w:val="(%2)"/>
      <w:numFmt w:val="upperLetter"/>
      <w:start w:val="1"/>
    </w:lvl>
  </w:abstractNum>
  <w:abstractNum w:abstractNumId="186">
    <w:nsid w:val="6DC45E8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87">
    <w:nsid w:val="17304A67"/>
    <w:multiLevelType w:val="hybridMultilevel"/>
    <w:lvl w:ilvl="0">
      <w:lvlJc w:val="left"/>
      <w:lvlText w:val="(%1)"/>
      <w:numFmt w:val="upperLetter"/>
      <w:start w:val="5"/>
    </w:lvl>
  </w:abstractNum>
  <w:abstractNum w:abstractNumId="188">
    <w:nsid w:val="2BB180D8"/>
    <w:multiLevelType w:val="hybridMultilevel"/>
    <w:lvl w:ilvl="0">
      <w:lvlJc w:val="left"/>
      <w:lvlText w:val="(%1)"/>
      <w:numFmt w:val="decimal"/>
      <w:start w:val="2"/>
    </w:lvl>
    <w:lvl w:ilvl="1">
      <w:lvlJc w:val="left"/>
      <w:lvlText w:val="(%2)"/>
      <w:numFmt w:val="upperLetter"/>
      <w:start w:val="1"/>
    </w:lvl>
  </w:abstractNum>
  <w:abstractNum w:abstractNumId="189">
    <w:nsid w:val="556B69ED"/>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90">
    <w:nsid w:val="70836196"/>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91">
    <w:nsid w:val="539F7F12"/>
    <w:multiLevelType w:val="hybridMultilevel"/>
    <w:lvl w:ilvl="0">
      <w:lvlJc w:val="left"/>
      <w:lvlText w:val="(%1)"/>
      <w:numFmt w:val="upperLetter"/>
      <w:start w:val="4"/>
    </w:lvl>
  </w:abstractNum>
  <w:abstractNum w:abstractNumId="192">
    <w:nsid w:val="2817E7EC"/>
    <w:multiLevelType w:val="hybridMultilevel"/>
    <w:lvl w:ilvl="0">
      <w:lvlJc w:val="left"/>
      <w:lvlText w:val="(%1)"/>
      <w:numFmt w:val="decimal"/>
      <w:start w:val="2"/>
    </w:lvl>
    <w:lvl w:ilvl="1">
      <w:lvlJc w:val="left"/>
      <w:lvlText w:val="(%2)"/>
      <w:numFmt w:val="upperLetter"/>
      <w:start w:val="1"/>
    </w:lvl>
  </w:abstractNum>
  <w:abstractNum w:abstractNumId="193">
    <w:nsid w:val="71482545"/>
    <w:multiLevelType w:val="hybridMultilevel"/>
    <w:lvl w:ilvl="0">
      <w:lvlJc w:val="left"/>
      <w:lvlText w:val="(%1)"/>
      <w:numFmt w:val="decimal"/>
      <w:start w:val="3"/>
    </w:lvl>
  </w:abstractNum>
  <w:abstractNum w:abstractNumId="194">
    <w:nsid w:val="17D78639"/>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95">
    <w:nsid w:val="141D2302"/>
    <w:multiLevelType w:val="hybridMultilevel"/>
    <w:lvl w:ilvl="0">
      <w:lvlJc w:val="left"/>
      <w:lvlText w:val="(%1)"/>
      <w:numFmt w:val="decimal"/>
      <w:start w:val="2"/>
    </w:lvl>
    <w:lvl w:ilvl="1">
      <w:lvlJc w:val="left"/>
      <w:lvlText w:val="(%2)"/>
      <w:numFmt w:val="upperLetter"/>
      <w:start w:val="1"/>
    </w:lvl>
  </w:abstractNum>
  <w:abstractNum w:abstractNumId="196">
    <w:nsid w:val="407168D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97">
    <w:nsid w:val="6A1B45E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98">
    <w:nsid w:val="567BD50A"/>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2"/>
    </w:lvl>
  </w:abstractNum>
  <w:abstractNum w:abstractNumId="199">
    <w:nsid w:val="73BBD7F8"/>
    <w:multiLevelType w:val="hybridMultilevel"/>
    <w:lvl w:ilvl="0">
      <w:lvlJc w:val="left"/>
      <w:lvlText w:val="(%1)"/>
      <w:numFmt w:val="decimal"/>
      <w:start w:val="4"/>
    </w:lvl>
  </w:abstractNum>
  <w:abstractNum w:abstractNumId="200">
    <w:nsid w:val="1876589D"/>
    <w:multiLevelType w:val="hybridMultilevel"/>
    <w:lvl w:ilvl="0">
      <w:lvlJc w:val="left"/>
      <w:lvlText w:val="(%1)"/>
      <w:numFmt w:val="lowerLetter"/>
      <w:start w:val="7"/>
    </w:lvl>
  </w:abstractNum>
  <w:abstractNum w:abstractNumId="201">
    <w:nsid w:val="327FAC77"/>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02">
    <w:nsid w:val="5A606509"/>
    <w:multiLevelType w:val="hybridMultilevel"/>
    <w:lvl w:ilvl="0">
      <w:lvlJc w:val="left"/>
      <w:lvlText w:val="(%1)"/>
      <w:numFmt w:val="decimal"/>
      <w:start w:val="8"/>
    </w:lvl>
  </w:abstractNum>
  <w:abstractNum w:abstractNumId="203">
    <w:nsid w:val="6F38E6D1"/>
    <w:multiLevelType w:val="hybridMultilevel"/>
    <w:lvl w:ilvl="0">
      <w:lvlJc w:val="left"/>
      <w:lvlText w:val="(%1)"/>
      <w:numFmt w:val="lowerLetter"/>
      <w:start w:val="1"/>
    </w:lvl>
  </w:abstractNum>
  <w:abstractNum w:abstractNumId="204">
    <w:nsid w:val="46111BA5"/>
    <w:multiLevelType w:val="hybridMultilevel"/>
    <w:lvl w:ilvl="0">
      <w:lvlJc w:val="left"/>
      <w:lvlText w:val="(%1)"/>
      <w:numFmt w:val="lowerLetter"/>
      <w:start w:val="2"/>
    </w:lvl>
  </w:abstractNum>
  <w:abstractNum w:abstractNumId="205">
    <w:nsid w:val="5E963896"/>
    <w:multiLevelType w:val="hybridMultilevel"/>
    <w:lvl w:ilvl="0">
      <w:lvlJc w:val="left"/>
      <w:lvlText w:val="(%1)"/>
      <w:numFmt w:val="lowerLetter"/>
      <w:start w:val="1"/>
    </w:lvl>
  </w:abstractNum>
  <w:abstractNum w:abstractNumId="206">
    <w:nsid w:val="775BA7C1"/>
    <w:multiLevelType w:val="hybridMultilevel"/>
    <w:lvl w:ilvl="0">
      <w:lvlJc w:val="left"/>
      <w:lvlText w:val="(%1)"/>
      <w:numFmt w:val="lowerLetter"/>
      <w:start w:val="3"/>
    </w:lvl>
  </w:abstractNum>
  <w:abstractNum w:abstractNumId="207">
    <w:nsid w:val="1DD6D6F4"/>
    <w:multiLevelType w:val="hybridMultilevel"/>
    <w:lvl w:ilvl="0">
      <w:lvlJc w:val="left"/>
      <w:lvlText w:val="(%1)"/>
      <w:numFmt w:val="lowerLetter"/>
      <w:start w:val="1"/>
    </w:lvl>
  </w:abstractNum>
  <w:abstractNum w:abstractNumId="208">
    <w:nsid w:val="769A091F"/>
    <w:multiLevelType w:val="hybridMultilevel"/>
    <w:lvl w:ilvl="0">
      <w:lvlJc w:val="left"/>
      <w:lvlText w:val="(%1)"/>
      <w:numFmt w:val="lowerLetter"/>
      <w:start w:val="1"/>
    </w:lvl>
  </w:abstractNum>
  <w:abstractNum w:abstractNumId="209">
    <w:nsid w:val="4695AE95"/>
    <w:multiLevelType w:val="hybridMultilevel"/>
    <w:lvl w:ilvl="0">
      <w:lvlJc w:val="left"/>
      <w:lvlText w:val="(%1)"/>
      <w:numFmt w:val="lowerLetter"/>
      <w:start w:val="1"/>
    </w:lvl>
    <w:lvl w:ilvl="1">
      <w:lvlJc w:val="left"/>
      <w:lvlText w:val="(%2)"/>
      <w:numFmt w:val="decimal"/>
      <w:start w:val="1"/>
    </w:lvl>
  </w:abstractNum>
  <w:abstractNum w:abstractNumId="210">
    <w:nsid w:val="777A4EAA"/>
    <w:multiLevelType w:val="hybridMultilevel"/>
    <w:lvl w:ilvl="0">
      <w:lvlJc w:val="left"/>
      <w:lvlText w:val="(%1)"/>
      <w:numFmt w:val="lowerLetter"/>
      <w:start w:val="3"/>
    </w:lvl>
  </w:abstractNum>
  <w:abstractNum w:abstractNumId="211">
    <w:nsid w:val="3F48B982"/>
    <w:multiLevelType w:val="hybridMultilevel"/>
    <w:lvl w:ilvl="0">
      <w:lvlJc w:val="left"/>
      <w:lvlText w:val="(%1)"/>
      <w:numFmt w:val="lowerLetter"/>
      <w:start w:val="5"/>
    </w:lvl>
  </w:abstractNum>
  <w:abstractNum w:abstractNumId="212">
    <w:nsid w:val="46BA8FC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13">
    <w:nsid w:val="7835626C"/>
    <w:multiLevelType w:val="hybridMultilevel"/>
    <w:lvl w:ilvl="0">
      <w:lvlJc w:val="left"/>
      <w:lvlText w:val="(%1)"/>
      <w:numFmt w:val="lowerRoman"/>
      <w:start w:val="1"/>
    </w:lvl>
  </w:abstractNum>
  <w:abstractNum w:abstractNumId="214">
    <w:nsid w:val="665ACA49"/>
    <w:multiLevelType w:val="hybridMultilevel"/>
    <w:lvl w:ilvl="0">
      <w:lvlJc w:val="left"/>
      <w:lvlText w:val="(%1)"/>
      <w:numFmt w:val="lowerLetter"/>
      <w:start w:val="1"/>
    </w:lvl>
  </w:abstractNum>
  <w:abstractNum w:abstractNumId="215">
    <w:nsid w:val="6835B2AE"/>
    <w:multiLevelType w:val="hybridMultilevel"/>
    <w:lvl w:ilvl="0">
      <w:lvlJc w:val="left"/>
      <w:lvlText w:val="(%1)"/>
      <w:numFmt w:val="lowerLetter"/>
      <w:start w:val="2"/>
    </w:lvl>
  </w:abstractNum>
  <w:abstractNum w:abstractNumId="216">
    <w:nsid w:val="4C187C90"/>
    <w:multiLevelType w:val="hybridMultilevel"/>
    <w:lvl w:ilvl="0">
      <w:lvlJc w:val="left"/>
      <w:lvlText w:val="(%1)"/>
      <w:numFmt w:val="lowerLetter"/>
      <w:start w:val="1"/>
    </w:lvl>
    <w:lvl w:ilvl="1">
      <w:lvlJc w:val="left"/>
      <w:lvlText w:val="(%2)"/>
      <w:numFmt w:val="decimal"/>
      <w:start w:val="1"/>
    </w:lvl>
  </w:abstractNum>
  <w:abstractNum w:abstractNumId="217">
    <w:nsid w:val="541F28CD"/>
    <w:multiLevelType w:val="hybridMultilevel"/>
    <w:lvl w:ilvl="0">
      <w:lvlJc w:val="left"/>
      <w:lvlText w:val="(%1)"/>
      <w:numFmt w:val="lowerLetter"/>
      <w:start w:val="2"/>
    </w:lvl>
    <w:lvl w:ilvl="1">
      <w:lvlJc w:val="left"/>
      <w:lvlText w:val="(%2)"/>
      <w:numFmt w:val="decimal"/>
      <w:start w:val="1"/>
    </w:lvl>
  </w:abstractNum>
  <w:abstractNum w:abstractNumId="218">
    <w:nsid w:val="7F65FD16"/>
    <w:multiLevelType w:val="hybridMultilevel"/>
    <w:lvl w:ilvl="0">
      <w:lvlJc w:val="left"/>
      <w:lvlText w:val="%1"/>
      <w:numFmt w:val="lowerLetter"/>
      <w:start w:val="1"/>
    </w:lvl>
    <w:lvl w:ilvl="1">
      <w:lvlJc w:val="left"/>
      <w:lvlText w:val="(%2)"/>
      <w:numFmt w:val="decimal"/>
      <w:start w:val="2"/>
    </w:lvl>
  </w:abstractNum>
  <w:abstractNum w:abstractNumId="219">
    <w:nsid w:val="77C9FD68"/>
    <w:multiLevelType w:val="hybridMultilevel"/>
    <w:lvl w:ilvl="0">
      <w:lvlJc w:val="left"/>
      <w:lvlText w:val="(%1)"/>
      <w:numFmt w:val="lowerLetter"/>
      <w:start w:val="3"/>
    </w:lvl>
    <w:lvl w:ilvl="1">
      <w:lvlJc w:val="left"/>
      <w:lvlText w:val="%2"/>
      <w:numFmt w:val="decimal"/>
      <w:start w:val="1"/>
    </w:lvl>
  </w:abstractNum>
  <w:abstractNum w:abstractNumId="220">
    <w:nsid w:val="298A92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1">
    <w:nsid w:val="6FE95EAC"/>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22">
    <w:nsid w:val="4B697C7A"/>
    <w:multiLevelType w:val="hybridMultilevel"/>
    <w:lvl w:ilvl="0">
      <w:lvlJc w:val="left"/>
      <w:lvlText w:val="(%1)"/>
      <w:numFmt w:val="decimal"/>
      <w:start w:val="4"/>
    </w:lvl>
    <w:lvl w:ilvl="1">
      <w:lvlJc w:val="left"/>
      <w:lvlText w:val="(%2)"/>
      <w:numFmt w:val="lowerLetter"/>
      <w:start w:val="1"/>
    </w:lvl>
  </w:abstractNum>
  <w:abstractNum w:abstractNumId="223">
    <w:nsid w:val="51A27AA6"/>
    <w:multiLevelType w:val="hybridMultilevel"/>
    <w:lvl w:ilvl="0">
      <w:lvlJc w:val="left"/>
      <w:lvlText w:val="(%1)"/>
      <w:numFmt w:val="lowerLetter"/>
      <w:start w:val="1"/>
    </w:lvl>
  </w:abstractNum>
  <w:abstractNum w:abstractNumId="224">
    <w:nsid w:val="613183F2"/>
    <w:multiLevelType w:val="hybridMultilevel"/>
    <w:lvl w:ilvl="0">
      <w:lvlJc w:val="left"/>
      <w:lvlText w:val="(%1)"/>
      <w:numFmt w:val="lowerLetter"/>
      <w:start w:val="2"/>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Letter"/>
      <w:start w:val="1"/>
    </w:lvl>
    <w:lvl w:ilvl="1">
      <w:lvlJc w:val="left"/>
      <w:lvlText w:val="(%2)"/>
      <w:numFmt w:val="decimal"/>
      <w:start w:val="1"/>
    </w:lvl>
  </w:abstractNum>
  <w:abstractNum w:abstractNumId="227">
    <w:nsid w:val="21A2ECCA"/>
    <w:multiLevelType w:val="hybridMultilevel"/>
    <w:lvl w:ilvl="0">
      <w:lvlJc w:val="left"/>
      <w:lvlText w:val="(%1)"/>
      <w:numFmt w:val="decimal"/>
      <w:start w:val="6"/>
    </w:lvl>
  </w:abstractNum>
  <w:abstractNum w:abstractNumId="228">
    <w:nsid w:val="4D5C4899"/>
    <w:multiLevelType w:val="hybridMultilevel"/>
    <w:lvl w:ilvl="0">
      <w:lvlJc w:val="left"/>
      <w:lvlText w:val="(%1)"/>
      <w:numFmt w:val="lowerLetter"/>
      <w:start w:val="2"/>
    </w:lvl>
    <w:lvl w:ilvl="1">
      <w:lvlJc w:val="left"/>
      <w:lvlText w:val="(%2)"/>
      <w:numFmt w:val="decimal"/>
      <w:start w:val="1"/>
    </w:lvl>
  </w:abstractNum>
  <w:abstractNum w:abstractNumId="229">
    <w:nsid w:val="3C3B72B2"/>
    <w:multiLevelType w:val="hybridMultilevel"/>
    <w:lvl w:ilvl="0">
      <w:lvlJc w:val="left"/>
      <w:lvlText w:val="(%1)"/>
      <w:numFmt w:val="lowerLetter"/>
      <w:start w:val="3"/>
    </w:lvl>
  </w:abstractNum>
  <w:abstractNum w:abstractNumId="230">
    <w:nsid w:val="155EC4C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231">
    <w:nsid w:val="65D2A13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232">
    <w:nsid w:val="6EBB1F2A"/>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33">
    <w:nsid w:val="6FBF29C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34">
    <w:nsid w:val="550B8808"/>
    <w:multiLevelType w:val="hybridMultilevel"/>
    <w:lvl w:ilvl="0">
      <w:lvlJc w:val="left"/>
      <w:lvlText w:val="%1"/>
      <w:numFmt w:val="upperLetter"/>
      <w:start w:val="1"/>
    </w:lvl>
    <w:lvl w:ilvl="1">
      <w:lvlJc w:val="left"/>
      <w:lvlText w:val="(%2)"/>
      <w:numFmt w:val="lowerLetter"/>
      <w:start w:val="3"/>
    </w:lvl>
  </w:abstractNum>
  <w:abstractNum w:abstractNumId="235">
    <w:nsid w:val="34CC3ACF"/>
    <w:multiLevelType w:val="hybridMultilevel"/>
    <w:lvl w:ilvl="0">
      <w:lvlJc w:val="left"/>
      <w:lvlText w:val="(%1)"/>
      <w:numFmt w:val="upperLetter"/>
      <w:start w:val="1"/>
    </w:lvl>
    <w:lvl w:ilvl="1">
      <w:lvlJc w:val="left"/>
      <w:lvlText w:val="(%2)"/>
      <w:numFmt w:val="lowerLetter"/>
      <w:start w:val="4"/>
    </w:lvl>
  </w:abstractNum>
  <w:abstractNum w:abstractNumId="236">
    <w:nsid w:val="4E556261"/>
    <w:multiLevelType w:val="hybridMultilevel"/>
    <w:lvl w:ilvl="0">
      <w:lvlJc w:val="left"/>
      <w:lvlText w:val="(%1)"/>
      <w:numFmt w:val="lowerLetter"/>
      <w:start w:val="6"/>
    </w:lvl>
  </w:abstractNum>
  <w:abstractNum w:abstractNumId="237">
    <w:nsid w:val="4C672FC9"/>
    <w:multiLevelType w:val="hybridMultilevel"/>
    <w:lvl w:ilvl="0">
      <w:lvlJc w:val="left"/>
      <w:lvlText w:val="%1"/>
      <w:numFmt w:val="lowerLetter"/>
      <w:start w:val="1"/>
    </w:lvl>
    <w:lvl w:ilvl="1">
      <w:lvlJc w:val="left"/>
      <w:lvlText w:val="(%2)"/>
      <w:numFmt w:val="decimal"/>
      <w:start w:val="1"/>
    </w:lvl>
  </w:abstractNum>
  <w:abstractNum w:abstractNumId="238">
    <w:nsid w:val="52A311C3"/>
    <w:multiLevelType w:val="hybridMultilevel"/>
    <w:lvl w:ilvl="0">
      <w:lvlJc w:val="left"/>
      <w:lvlText w:val="(%1)"/>
      <w:numFmt w:val="lowerLetter"/>
      <w:start w:val="2"/>
    </w:lvl>
    <w:lvl w:ilvl="1">
      <w:lvlJc w:val="left"/>
      <w:lvlText w:val="(%2)"/>
      <w:numFmt w:val="decimal"/>
      <w:start w:val="1"/>
    </w:lvl>
  </w:abstractNum>
  <w:abstractNum w:abstractNumId="239">
    <w:nsid w:val="44EF6B80"/>
    <w:multiLevelType w:val="hybridMultilevel"/>
    <w:lvl w:ilvl="0">
      <w:lvlJc w:val="left"/>
      <w:lvlText w:val="(%1)"/>
      <w:numFmt w:val="decimal"/>
      <w:start w:val="2"/>
    </w:lvl>
  </w:abstractNum>
  <w:abstractNum w:abstractNumId="240">
    <w:nsid w:val="12FCDE5E"/>
    <w:multiLevelType w:val="hybridMultilevel"/>
    <w:lvl w:ilvl="0">
      <w:lvlJc w:val="left"/>
      <w:lvlText w:val="(%1)"/>
      <w:numFmt w:val="lowerLetter"/>
      <w:start w:val="3"/>
    </w:lvl>
  </w:abstractNum>
  <w:abstractNum w:abstractNumId="241">
    <w:nsid w:val="4A1D606E"/>
    <w:multiLevelType w:val="hybridMultilevel"/>
    <w:lvl w:ilvl="0">
      <w:lvlJc w:val="left"/>
      <w:lvlText w:val="(%1)"/>
      <w:numFmt w:val="decimal"/>
      <w:start w:val="1"/>
    </w:lvl>
  </w:abstractNum>
  <w:abstractNum w:abstractNumId="242">
    <w:nsid w:val="4382503"/>
    <w:multiLevelType w:val="hybridMultilevel"/>
    <w:lvl w:ilvl="0">
      <w:lvlJc w:val="left"/>
      <w:lvlText w:val="(%1)"/>
      <w:numFmt w:val="lowerLetter"/>
      <w:start w:val="1"/>
    </w:lvl>
    <w:lvl w:ilvl="1">
      <w:lvlJc w:val="left"/>
      <w:lvlText w:val="(%2)"/>
      <w:numFmt w:val="decimal"/>
      <w:start w:val="1"/>
    </w:lvl>
  </w:abstractNum>
  <w:abstractNum w:abstractNumId="243">
    <w:nsid w:val="59B76E28"/>
    <w:multiLevelType w:val="hybridMultilevel"/>
    <w:lvl w:ilvl="0">
      <w:lvlJc w:val="left"/>
      <w:lvlText w:val="%1"/>
      <w:numFmt w:val="lowerLetter"/>
      <w:start w:val="1"/>
    </w:lvl>
    <w:lvl w:ilvl="1">
      <w:lvlJc w:val="left"/>
      <w:lvlText w:val="(%2)"/>
      <w:numFmt w:val="decimal"/>
      <w:start w:val="2"/>
    </w:lvl>
  </w:abstractNum>
  <w:abstractNum w:abstractNumId="244">
    <w:nsid w:val="4252C2DA"/>
    <w:multiLevelType w:val="hybridMultilevel"/>
    <w:lvl w:ilvl="0">
      <w:lvlJc w:val="left"/>
      <w:lvlText w:val="(%1)"/>
      <w:numFmt w:val="lowerLetter"/>
      <w:start w:val="8"/>
    </w:lvl>
    <w:lvl w:ilvl="1">
      <w:lvlJc w:val="left"/>
      <w:lvlText w:val="(%2)"/>
      <w:numFmt w:val="decimal"/>
      <w:start w:val="1"/>
    </w:lvl>
  </w:abstractNum>
  <w:abstractNum w:abstractNumId="245">
    <w:nsid w:val="6A92EF4C"/>
    <w:multiLevelType w:val="hybridMultilevel"/>
    <w:lvl w:ilvl="0">
      <w:lvlJc w:val="left"/>
      <w:lvlText w:val="(%1)"/>
      <w:numFmt w:val="lowerLetter"/>
      <w:start w:val="1"/>
    </w:lvl>
  </w:abstractNum>
  <w:abstractNum w:abstractNumId="246">
    <w:nsid w:val="41ED20D7"/>
    <w:multiLevelType w:val="hybridMultilevel"/>
    <w:lvl w:ilvl="0">
      <w:lvlJc w:val="left"/>
      <w:lvlText w:val="(%1)"/>
      <w:numFmt w:val="lowerLetter"/>
      <w:start w:val="1"/>
    </w:lvl>
    <w:lvl w:ilvl="1">
      <w:lvlJc w:val="left"/>
      <w:lvlText w:val="(%2)"/>
      <w:numFmt w:val="decimal"/>
      <w:start w:val="1"/>
    </w:lvl>
  </w:abstractNum>
  <w:abstractNum w:abstractNumId="247">
    <w:nsid w:val="E6B3F6A"/>
    <w:multiLevelType w:val="hybridMultilevel"/>
    <w:lvl w:ilvl="0">
      <w:lvlJc w:val="left"/>
      <w:lvlText w:val="%1"/>
      <w:numFmt w:val="lowerLetter"/>
      <w:start w:val="1"/>
    </w:lvl>
    <w:lvl w:ilvl="1">
      <w:lvlJc w:val="left"/>
      <w:lvlText w:val="(%2)"/>
      <w:numFmt w:val="decimal"/>
      <w:start w:val="3"/>
    </w:lvl>
  </w:abstractNum>
  <w:abstractNum w:abstractNumId="248">
    <w:nsid w:val="3EB21819"/>
    <w:multiLevelType w:val="hybridMultilevel"/>
    <w:lvl w:ilvl="0">
      <w:lvlJc w:val="left"/>
      <w:lvlText w:val="(%1)"/>
      <w:numFmt w:val="lowerLetter"/>
      <w:start w:val="4"/>
    </w:lvl>
    <w:lvl w:ilvl="1">
      <w:lvlJc w:val="left"/>
      <w:lvlText w:val="%2"/>
      <w:numFmt w:val="decimal"/>
      <w:start w:val="1"/>
    </w:lvl>
  </w:abstractNum>
  <w:abstractNum w:abstractNumId="249">
    <w:nsid w:val="41531DED"/>
    <w:multiLevelType w:val="hybridMultilevel"/>
    <w:lvl w:ilvl="0">
      <w:lvlJc w:val="left"/>
      <w:lvlText w:val="(%1)"/>
      <w:numFmt w:val="lowerLetter"/>
      <w:start w:val="1"/>
    </w:lvl>
  </w:abstractNum>
  <w:abstractNum w:abstractNumId="250">
    <w:nsid w:val="6353CD2"/>
    <w:multiLevelType w:val="hybridMultilevel"/>
    <w:lvl w:ilvl="0">
      <w:lvlJc w:val="left"/>
      <w:lvlText w:val="(%1)"/>
      <w:numFmt w:val="lowerLetter"/>
      <w:start w:val="7"/>
    </w:lvl>
  </w:abstractNum>
  <w:abstractNum w:abstractNumId="251">
    <w:nsid w:val="683CAAD3"/>
    <w:multiLevelType w:val="hybridMultilevel"/>
    <w:lvl w:ilvl="0">
      <w:lvlJc w:val="left"/>
      <w:lvlText w:val="(%1)"/>
      <w:numFmt w:val="lowerLetter"/>
      <w:start w:val="1"/>
    </w:lvl>
  </w:abstractNum>
  <w:abstractNum w:abstractNumId="252">
    <w:nsid w:val="313C7C99"/>
    <w:multiLevelType w:val="hybridMultilevel"/>
    <w:lvl w:ilvl="0">
      <w:lvlJc w:val="left"/>
      <w:lvlText w:val="(%1)"/>
      <w:numFmt w:val="lowerLetter"/>
      <w:start w:val="3"/>
    </w:lvl>
  </w:abstractNum>
  <w:abstractNum w:abstractNumId="253">
    <w:nsid w:val="519EB94C"/>
    <w:multiLevelType w:val="hybridMultilevel"/>
    <w:lvl w:ilvl="0">
      <w:lvlJc w:val="left"/>
      <w:lvlText w:val="(%1)"/>
      <w:numFmt w:val="lowerLetter"/>
      <w:start w:val="1"/>
    </w:lvl>
    <w:lvl w:ilvl="1">
      <w:lvlJc w:val="left"/>
      <w:lvlText w:val="(%2)"/>
      <w:numFmt w:val="decimal"/>
      <w:start w:val="1"/>
    </w:lvl>
  </w:abstractNum>
  <w:abstractNum w:abstractNumId="254">
    <w:nsid w:val="39DF2579"/>
    <w:multiLevelType w:val="hybridMultilevel"/>
    <w:lvl w:ilvl="0">
      <w:lvlJc w:val="left"/>
      <w:lvlText w:val="(%1)"/>
      <w:numFmt w:val="lowerLetter"/>
      <w:start w:val="3"/>
    </w:lvl>
  </w:abstractNum>
  <w:abstractNum w:abstractNumId="255">
    <w:nsid w:val="126E008B"/>
    <w:multiLevelType w:val="hybridMultilevel"/>
    <w:lvl w:ilvl="0">
      <w:lvlJc w:val="left"/>
      <w:lvlText w:val="(%1)"/>
      <w:numFmt w:val="lowerLetter"/>
      <w:start w:val="1"/>
    </w:lvl>
  </w:abstractNum>
  <w:abstractNum w:abstractNumId="256">
    <w:nsid w:val="34DFBC00"/>
    <w:multiLevelType w:val="hybridMultilevel"/>
    <w:lvl w:ilvl="0">
      <w:lvlJc w:val="left"/>
      <w:lvlText w:val="(%1)"/>
      <w:numFmt w:val="lowerLetter"/>
      <w:start w:val="1"/>
    </w:lvl>
  </w:abstractNum>
  <w:abstractNum w:abstractNumId="257">
    <w:nsid w:val="1F9EC322"/>
    <w:multiLevelType w:val="hybridMultilevel"/>
    <w:lvl w:ilvl="0">
      <w:lvlJc w:val="left"/>
      <w:lvlText w:val="(%1)"/>
      <w:numFmt w:val="lowerLetter"/>
      <w:start w:val="4"/>
    </w:lvl>
  </w:abstractNum>
  <w:abstractNum w:abstractNumId="258">
    <w:nsid w:val="3410ED56"/>
    <w:multiLevelType w:val="hybridMultilevel"/>
    <w:lvl w:ilvl="0">
      <w:lvlJc w:val="left"/>
      <w:lvlText w:val="(%1)"/>
      <w:numFmt w:val="lowerLetter"/>
      <w:start w:val="1"/>
    </w:lvl>
  </w:abstractNum>
  <w:abstractNum w:abstractNumId="259">
    <w:nsid w:val="23C049A"/>
    <w:multiLevelType w:val="hybridMultilevel"/>
    <w:lvl w:ilvl="0">
      <w:lvlJc w:val="left"/>
      <w:lvlText w:val="(%1)"/>
      <w:numFmt w:val="lowerLetter"/>
      <w:start w:val="1"/>
    </w:lvl>
  </w:abstractNum>
  <w:abstractNum w:abstractNumId="260">
    <w:nsid w:val="5BDA35D4"/>
    <w:multiLevelType w:val="hybridMultilevel"/>
    <w:lvl w:ilvl="0">
      <w:lvlJc w:val="left"/>
      <w:lvlText w:val="(%1)"/>
      <w:numFmt w:val="lowerLetter"/>
      <w:start w:val="1"/>
    </w:lvl>
    <w:lvl w:ilvl="1">
      <w:lvlJc w:val="left"/>
      <w:lvlText w:val="(%2)"/>
      <w:numFmt w:val="decimal"/>
      <w:start w:val="1"/>
    </w:lvl>
  </w:abstractNum>
  <w:abstractNum w:abstractNumId="261">
    <w:nsid w:val="496FB218"/>
    <w:multiLevelType w:val="hybridMultilevel"/>
    <w:lvl w:ilvl="0">
      <w:lvlJc w:val="left"/>
      <w:lvlText w:val="(%1)"/>
      <w:numFmt w:val="lowerLetter"/>
      <w:start w:val="2"/>
    </w:lvl>
  </w:abstractNum>
  <w:abstractNum w:abstractNumId="262">
    <w:nsid w:val="680EA5D1"/>
    <w:multiLevelType w:val="hybridMultilevel"/>
    <w:lvl w:ilvl="0">
      <w:lvlJc w:val="left"/>
      <w:lvlText w:val="(%1)"/>
      <w:numFmt w:val="lowerLetter"/>
      <w:start w:val="1"/>
    </w:lvl>
  </w:abstractNum>
  <w:abstractNum w:abstractNumId="263">
    <w:nsid w:val="4A9554FE"/>
    <w:multiLevelType w:val="hybridMultilevel"/>
    <w:lvl w:ilvl="0">
      <w:lvlJc w:val="left"/>
      <w:lvlText w:val="(%1)"/>
      <w:numFmt w:val="lowerLetter"/>
      <w:start w:val="2"/>
    </w:lvl>
  </w:abstractNum>
  <w:abstractNum w:abstractNumId="264">
    <w:nsid w:val="392EDBE4"/>
    <w:multiLevelType w:val="hybridMultilevel"/>
    <w:lvl w:ilvl="0">
      <w:lvlJc w:val="left"/>
      <w:lvlText w:val="(%1)"/>
      <w:numFmt w:val="lowerLetter"/>
      <w:start w:val="1"/>
    </w:lvl>
  </w:abstractNum>
  <w:abstractNum w:abstractNumId="265">
    <w:nsid w:val="3D1A2DD9"/>
    <w:multiLevelType w:val="hybridMultilevel"/>
    <w:lvl w:ilvl="0">
      <w:lvlJc w:val="left"/>
      <w:lvlText w:val="(%1)"/>
      <w:numFmt w:val="lowerLetter"/>
      <w:start w:val="1"/>
    </w:lvl>
  </w:abstractNum>
  <w:abstractNum w:abstractNumId="266">
    <w:nsid w:val="7F618FCD"/>
    <w:multiLevelType w:val="hybridMultilevel"/>
    <w:lvl w:ilvl="0">
      <w:lvlJc w:val="left"/>
      <w:lvlText w:val="(%1)"/>
      <w:numFmt w:val="decimal"/>
      <w:start w:val="1"/>
    </w:lvl>
  </w:abstractNum>
  <w:abstractNum w:abstractNumId="267">
    <w:nsid w:val="7843E45"/>
    <w:multiLevelType w:val="hybridMultilevel"/>
    <w:lvl w:ilvl="0">
      <w:lvlJc w:val="left"/>
      <w:lvlText w:val="(%1)"/>
      <w:numFmt w:val="decimal"/>
      <w:start w:val="2"/>
    </w:lvl>
  </w:abstractNum>
  <w:abstractNum w:abstractNumId="268">
    <w:nsid w:val="9815D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9">
    <w:nsid w:val="5204A191"/>
    <w:multiLevelType w:val="hybridMultilevel"/>
    <w:lvl w:ilvl="0">
      <w:lvlJc w:val="left"/>
      <w:lvlText w:val="(%1)"/>
      <w:numFmt w:val="lowerRoman"/>
      <w:start w:val="2"/>
    </w:lvl>
  </w:abstractNum>
  <w:abstractNum w:abstractNumId="270">
    <w:nsid w:val="4C73A9C6"/>
    <w:multiLevelType w:val="hybridMultilevel"/>
    <w:lvl w:ilvl="0">
      <w:lvlJc w:val="left"/>
      <w:lvlText w:val="(%1)"/>
      <w:numFmt w:val="lowerLetter"/>
      <w:start w:val="3"/>
    </w:lvl>
  </w:abstractNum>
  <w:abstractNum w:abstractNumId="271">
    <w:nsid w:val="1C7E3C01"/>
    <w:multiLevelType w:val="hybridMultilevel"/>
    <w:lvl w:ilvl="0">
      <w:lvlJc w:val="left"/>
      <w:lvlText w:val="(%1)"/>
      <w:numFmt w:val="lowerLetter"/>
      <w:start w:val="5"/>
    </w:lvl>
  </w:abstractNum>
  <w:abstractNum w:abstractNumId="272">
    <w:nsid w:val="1C2201FF"/>
    <w:multiLevelType w:val="hybridMultilevel"/>
    <w:lvl w:ilvl="0">
      <w:lvlJc w:val="left"/>
      <w:lvlText w:val="(%1)"/>
      <w:numFmt w:val="decimal"/>
      <w:start w:val="6"/>
    </w:lvl>
  </w:abstractNum>
  <w:abstractNum w:abstractNumId="273">
    <w:nsid w:val="50ABCEC9"/>
    <w:multiLevelType w:val="hybridMultilevel"/>
    <w:lvl w:ilvl="0">
      <w:lvlJc w:val="left"/>
      <w:lvlText w:val="(%1)"/>
      <w:numFmt w:val="lowerLetter"/>
      <w:start w:val="1"/>
    </w:lvl>
  </w:abstractNum>
  <w:abstractNum w:abstractNumId="274">
    <w:nsid w:val="7635AA2A"/>
    <w:multiLevelType w:val="hybridMultilevel"/>
    <w:lvl w:ilvl="0">
      <w:lvlJc w:val="left"/>
      <w:lvlText w:val="(%1)"/>
      <w:numFmt w:val="decimal"/>
      <w:start w:val="8"/>
    </w:lvl>
    <w:lvl w:ilvl="1">
      <w:lvlJc w:val="left"/>
      <w:lvlText w:val="(%2)"/>
      <w:numFmt w:val="lowerLetter"/>
      <w:start w:val="1"/>
    </w:lvl>
  </w:abstractNum>
  <w:abstractNum w:abstractNumId="275">
    <w:nsid w:val="5E74C4D9"/>
    <w:multiLevelType w:val="hybridMultilevel"/>
    <w:lvl w:ilvl="0">
      <w:lvlJc w:val="left"/>
      <w:lvlText w:val="(%1)"/>
      <w:numFmt w:val="lowerLetter"/>
      <w:start w:val="1"/>
    </w:lvl>
  </w:abstractNum>
  <w:abstractNum w:abstractNumId="276">
    <w:nsid w:val="3B3EBE1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77">
    <w:nsid w:val="3822CB01"/>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278">
    <w:nsid w:val="6CE00443"/>
    <w:multiLevelType w:val="hybridMultilevel"/>
    <w:lvl w:ilvl="0">
      <w:lvlJc w:val="left"/>
      <w:lvlText w:val="%1"/>
      <w:numFmt w:val="lowerLetter"/>
      <w:start w:val="1"/>
    </w:lvl>
    <w:lvl w:ilvl="1">
      <w:lvlJc w:val="left"/>
      <w:lvlText w:val="(%2)"/>
      <w:numFmt w:val="lowerLetter"/>
      <w:start w:val="2"/>
    </w:lvl>
  </w:abstractNum>
  <w:abstractNum w:abstractNumId="279">
    <w:nsid w:val="79F0D62F"/>
    <w:multiLevelType w:val="hybridMultilevel"/>
    <w:lvl w:ilvl="0">
      <w:lvlJc w:val="left"/>
      <w:lvlText w:val="(%1)"/>
      <w:numFmt w:val="lowerLetter"/>
      <w:start w:val="61"/>
    </w:lvl>
    <w:lvl w:ilvl="1">
      <w:lvlJc w:val="left"/>
      <w:lvlText w:val="(%2)"/>
      <w:numFmt w:val="lowerLetter"/>
      <w:start w:val="3"/>
    </w:lvl>
  </w:abstractNum>
  <w:abstractNum w:abstractNumId="280">
    <w:nsid w:val="7975E8EE"/>
    <w:multiLevelType w:val="hybridMultilevel"/>
    <w:lvl w:ilvl="0">
      <w:lvlJc w:val="left"/>
      <w:lvlText w:val="(%1)"/>
      <w:numFmt w:val="decimal"/>
      <w:start w:val="14"/>
    </w:lvl>
  </w:abstractNum>
  <w:abstractNum w:abstractNumId="281">
    <w:nsid w:val="73154115"/>
    <w:multiLevelType w:val="hybridMultilevel"/>
    <w:lvl w:ilvl="0">
      <w:lvlJc w:val="left"/>
      <w:lvlText w:val="(%1)"/>
      <w:numFmt w:val="decimal"/>
      <w:start w:val="15"/>
    </w:lvl>
  </w:abstractNum>
  <w:abstractNum w:abstractNumId="282">
    <w:nsid w:val="622D8102"/>
    <w:multiLevelType w:val="hybridMultilevel"/>
    <w:lvl w:ilvl="0">
      <w:lvlJc w:val="left"/>
      <w:lvlText w:val="*"/>
      <w:numFmt w:val="bullet"/>
      <w:start w:val="1"/>
    </w:lvl>
  </w:abstractNum>
  <w:abstractNum w:abstractNumId="283">
    <w:nsid w:val="2AB26587"/>
    <w:multiLevelType w:val="hybridMultilevel"/>
    <w:lvl w:ilvl="0">
      <w:lvlJc w:val="left"/>
      <w:lvlText w:val="*"/>
      <w:numFmt w:val="bullet"/>
      <w:start w:val="1"/>
    </w:lvl>
  </w:abstractNum>
  <w:abstractNum w:abstractNumId="284">
    <w:nsid w:val="44B3FA61"/>
    <w:multiLevelType w:val="hybridMultilevel"/>
    <w:lvl w:ilvl="0">
      <w:lvlJc w:val="left"/>
      <w:lvlText w:val="*"/>
      <w:numFmt w:val="bullet"/>
      <w:start w:val="1"/>
    </w:lvl>
  </w:abstractNum>
  <w:abstractNum w:abstractNumId="285">
    <w:nsid w:val="1C0CA67C"/>
    <w:multiLevelType w:val="hybridMultilevel"/>
    <w:lvl w:ilvl="0">
      <w:lvlJc w:val="left"/>
      <w:lvlText w:val="%1."/>
      <w:numFmt w:val="decimal"/>
      <w:start w:val="1"/>
    </w:lvl>
  </w:abstractNum>
  <w:abstractNum w:abstractNumId="286">
    <w:nsid w:val="3D20661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7">
    <w:nsid w:val="7993B662"/>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1"/>
    </w:lvl>
  </w:abstractNum>
  <w:abstractNum w:abstractNumId="288">
    <w:nsid w:val="3BAB699E"/>
    <w:multiLevelType w:val="hybridMultilevel"/>
    <w:lvl w:ilvl="0">
      <w:lvlJc w:val="left"/>
      <w:lvlText w:val="(%1)"/>
      <w:numFmt w:val="lowerLetter"/>
      <w:start w:val="2"/>
    </w:lvl>
  </w:abstractNum>
  <w:abstractNum w:abstractNumId="289">
    <w:nsid w:val="71315369"/>
    <w:multiLevelType w:val="hybridMultilevel"/>
    <w:lvl w:ilvl="0">
      <w:lvlJc w:val="left"/>
      <w:lvlText w:val="%1."/>
      <w:numFmt w:val="decimal"/>
      <w:start w:val="4"/>
    </w:lvl>
    <w:lvl w:ilvl="1">
      <w:lvlJc w:val="left"/>
      <w:lvlText w:val="(%2)"/>
      <w:numFmt w:val="lowerLetter"/>
      <w:start w:val="1"/>
    </w:lvl>
  </w:abstractNum>
  <w:abstractNum w:abstractNumId="290">
    <w:nsid w:val="7BCFBAFC"/>
    <w:multiLevelType w:val="hybridMultilevel"/>
    <w:lvl w:ilvl="0">
      <w:lvlJc w:val="left"/>
      <w:lvlText w:val="%1."/>
      <w:numFmt w:val="decimal"/>
      <w:start w:val="1"/>
    </w:lvl>
  </w:abstractNum>
  <w:abstractNum w:abstractNumId="291">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3AA1058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3">
    <w:nsid w:val="63DE60CD"/>
    <w:multiLevelType w:val="hybridMultilevel"/>
    <w:lvl w:ilvl="0">
      <w:lvlJc w:val="left"/>
      <w:lvlText w:val="(%1)"/>
      <w:numFmt w:val="lowerLetter"/>
      <w:start w:val="1"/>
    </w:lvl>
    <w:lvl w:ilvl="1">
      <w:lvlJc w:val="left"/>
      <w:lvlText w:val="(%2)"/>
      <w:numFmt w:val="lowerRoman"/>
      <w:start w:val="1"/>
    </w:lvl>
  </w:abstractNum>
  <w:abstractNum w:abstractNumId="294">
    <w:nsid w:val="621AF471"/>
    <w:multiLevelType w:val="hybridMultilevel"/>
    <w:lvl w:ilvl="0">
      <w:lvlJc w:val="left"/>
      <w:lvlText w:val="%1."/>
      <w:numFmt w:val="decimal"/>
      <w:start w:val="1"/>
    </w:lvl>
  </w:abstractNum>
  <w:abstractNum w:abstractNumId="295">
    <w:nsid w:val="73CFE165"/>
    <w:multiLevelType w:val="hybridMultilevel"/>
    <w:lvl w:ilvl="0">
      <w:lvlJc w:val="left"/>
      <w:lvlText w:val="(%1)"/>
      <w:numFmt w:val="lowerLetter"/>
      <w:start w:val="1"/>
    </w:lvl>
  </w:abstractNum>
  <w:abstractNum w:abstractNumId="296">
    <w:nsid w:val="20F88EA6"/>
    <w:multiLevelType w:val="hybridMultilevel"/>
    <w:lvl w:ilvl="0">
      <w:lvlJc w:val="left"/>
      <w:lvlText w:val="(%1)"/>
      <w:numFmt w:val="lowerLetter"/>
      <w:start w:val="2"/>
    </w:lvl>
  </w:abstractNum>
  <w:abstractNum w:abstractNumId="297">
    <w:nsid w:val="617C843E"/>
    <w:multiLevelType w:val="hybridMultilevel"/>
    <w:lvl w:ilvl="0">
      <w:lvlJc w:val="left"/>
      <w:lvlText w:val="%1."/>
      <w:numFmt w:val="decimal"/>
      <w:start w:val="2"/>
    </w:lvl>
  </w:abstractNum>
  <w:abstractNum w:abstractNumId="298">
    <w:nsid w:val="7B541FAB"/>
    <w:multiLevelType w:val="hybridMultilevel"/>
    <w:lvl w:ilvl="0">
      <w:lvlJc w:val="left"/>
      <w:lvlText w:val="(%1)"/>
      <w:numFmt w:val="lowerLetter"/>
      <w:start w:val="1"/>
    </w:lvl>
  </w:abstractNum>
  <w:abstractNum w:abstractNumId="299">
    <w:nsid w:val="2A79EC49"/>
    <w:multiLevelType w:val="hybridMultilevel"/>
    <w:lvl w:ilvl="0">
      <w:lvlJc w:val="left"/>
      <w:lvlText w:val="(%1)"/>
      <w:numFmt w:val="lowerLetter"/>
      <w:start w:val="2"/>
    </w:lvl>
  </w:abstractNum>
  <w:abstractNum w:abstractNumId="300">
    <w:nsid w:val="338125CF"/>
    <w:multiLevelType w:val="hybridMultilevel"/>
    <w:lvl w:ilvl="0">
      <w:lvlJc w:val="left"/>
      <w:lvlText w:val="%1."/>
      <w:numFmt w:val="decimal"/>
      <w:start w:val="1"/>
    </w:lvl>
    <w:lvl w:ilvl="1">
      <w:lvlJc w:val="left"/>
      <w:lvlText w:val="%2."/>
      <w:numFmt w:val="lowerLetter"/>
      <w:start w:val="1"/>
    </w:lvl>
  </w:abstractNum>
  <w:abstractNum w:abstractNumId="301">
    <w:nsid w:val="47C7C971"/>
    <w:multiLevelType w:val="hybridMultilevel"/>
    <w:lvl w:ilvl="0">
      <w:lvlJc w:val="left"/>
      <w:lvlText w:val="%1."/>
      <w:numFmt w:val="decimal"/>
      <w:start w:val="1"/>
    </w:lvl>
    <w:lvl w:ilvl="1">
      <w:lvlJc w:val="left"/>
      <w:lvlText w:val="%2."/>
      <w:numFmt w:val="lowerLetter"/>
      <w:start w:val="1"/>
    </w:lvl>
  </w:abstractNum>
  <w:abstractNum w:abstractNumId="302">
    <w:nsid w:val="46F828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20" Type="http://schemas.openxmlformats.org/officeDocument/2006/relationships/hyperlink" Target="http://www.sec.gov/Archives/edgar/data/1174922/000117492215000044/ex-31.htm" TargetMode="External"/><Relationship Id="rId21" Type="http://schemas.openxmlformats.org/officeDocument/2006/relationships/hyperlink" Target="http://www.sec.gov/Archives/edgar/data/1174922/00011749221500010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2019-12-29T03:41:27Z</dcterms:created>
  <dcterms:modified xsi:type="dcterms:W3CDTF">2019-12-29T03:41:27Z</dcterms:modified>
</cp:coreProperties>
</file>