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94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94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SCHORR MARC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Marc 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Schorr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par value $0.01</w:t>
            </w: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12/20/2010</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0000FF"/>
              </w:rPr>
              <w:t>15,800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105.38</w:t>
            </w:r>
            <w:r>
              <w:rPr>
                <w:rFonts w:ascii="Arial" w:cs="Arial" w:eastAsia="Arial" w:hAnsi="Arial"/>
                <w:sz w:val="22"/>
                <w:szCs w:val="22"/>
                <w:color w:val="008000"/>
                <w:w w:val="91"/>
                <w:vertAlign w:val="superscript"/>
              </w:rPr>
              <w:t>(1)</w:t>
            </w:r>
          </w:p>
        </w:tc>
        <w:tc>
          <w:tcPr>
            <w:tcW w:w="440" w:type="dxa"/>
            <w:vAlign w:val="bottom"/>
          </w:tcPr>
          <w:p>
            <w:pPr>
              <w:spacing w:after="0"/>
              <w:rPr>
                <w:sz w:val="18"/>
                <w:szCs w:val="18"/>
                <w:color w:val="auto"/>
              </w:rPr>
            </w:pPr>
          </w:p>
        </w:tc>
        <w:tc>
          <w:tcPr>
            <w:tcW w:w="780" w:type="dxa"/>
            <w:vAlign w:val="bottom"/>
            <w:vMerge w:val="restart"/>
          </w:tcPr>
          <w:p>
            <w:pPr>
              <w:jc w:val="right"/>
              <w:ind w:right="537"/>
              <w:spacing w:after="0"/>
              <w:rPr>
                <w:sz w:val="20"/>
                <w:szCs w:val="20"/>
                <w:color w:val="auto"/>
              </w:rPr>
            </w:pPr>
            <w:r>
              <w:rPr>
                <w:rFonts w:ascii="Arial" w:cs="Arial" w:eastAsia="Arial" w:hAnsi="Arial"/>
                <w:sz w:val="18"/>
                <w:szCs w:val="18"/>
                <w:color w:val="0000FF"/>
              </w:rPr>
              <w:t>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7"/>
              </w:rPr>
              <w:t>and Jane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Schorr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par value $0.01</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297"/>
              <w:spacing w:after="0"/>
              <w:rPr>
                <w:sz w:val="20"/>
                <w:szCs w:val="20"/>
                <w:color w:val="auto"/>
              </w:rPr>
            </w:pPr>
            <w:r>
              <w:rPr>
                <w:rFonts w:ascii="Arial" w:cs="Arial" w:eastAsia="Arial" w:hAnsi="Arial"/>
                <w:sz w:val="18"/>
                <w:szCs w:val="18"/>
                <w:color w:val="0000FF"/>
              </w:rPr>
              <w:t>250,000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4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weighted average price of multiple transactions with a range of prices between $105.31 and $105.53. The reporting person, upon request by the staff of the SEC, Wynn Resorts, Limited or any security holder of Wynn Resorts, Limited, undertakes to provide further information regarding the number of securities sold at each separate price.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12/21/2010</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Marc D. Schorr</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4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2019-12-18T01:44:44Z</dcterms:created>
  <dcterms:modified xsi:type="dcterms:W3CDTF">2019-12-18T01:44:44Z</dcterms:modified>
</cp:coreProperties>
</file>