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5, 2008</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420"/>
          </w:cols>
          <w:pgMar w:left="240" w:top="225" w:right="239" w:bottom="1440" w:gutter="0" w:footer="0" w:header="0"/>
        </w:sectPr>
      </w:pPr>
    </w:p>
    <w:p>
      <w:pPr>
        <w:spacing w:after="0" w:line="221" w:lineRule="exact"/>
        <w:rPr>
          <w:sz w:val="24"/>
          <w:szCs w:val="24"/>
          <w:color w:val="auto"/>
        </w:rPr>
      </w:pPr>
    </w:p>
    <w:p>
      <w:pPr>
        <w:jc w:val="center"/>
        <w:ind w:right="3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000-50028</w:t>
      </w:r>
    </w:p>
    <w:p>
      <w:pPr>
        <w:spacing w:after="0" w:line="22"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46-0484987</w:t>
      </w:r>
    </w:p>
    <w:p>
      <w:pPr>
        <w:spacing w:after="0" w:line="22"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900" w:space="720"/>
            <w:col w:w="3260"/>
          </w:cols>
          <w:pgMar w:left="240" w:top="22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WYNN LAS VEGAS, LLC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right="300"/>
        <w:spacing w:after="0"/>
        <w:rPr>
          <w:sz w:val="20"/>
          <w:szCs w:val="20"/>
          <w:color w:val="auto"/>
        </w:rPr>
      </w:pPr>
      <w:r>
        <w:rPr>
          <w:rFonts w:ascii="Arial" w:cs="Arial" w:eastAsia="Arial" w:hAnsi="Arial"/>
          <w:sz w:val="20"/>
          <w:szCs w:val="20"/>
          <w:b w:val="1"/>
          <w:bCs w:val="1"/>
          <w:color w:val="auto"/>
        </w:rPr>
        <w:t>Nevada</w:t>
      </w:r>
    </w:p>
    <w:p>
      <w:pPr>
        <w:spacing w:after="0" w:line="22"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333-100768</w:t>
      </w:r>
    </w:p>
    <w:p>
      <w:pPr>
        <w:spacing w:after="0" w:line="22"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88-0494875</w:t>
      </w:r>
    </w:p>
    <w:p>
      <w:pPr>
        <w:spacing w:after="0" w:line="22"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20" w:space="720"/>
            <w:col w:w="2900" w:space="720"/>
            <w:col w:w="3260"/>
          </w:cols>
          <w:pgMar w:left="240" w:top="225" w:right="239" w:bottom="1440" w:gutter="0" w:footer="0" w:header="0"/>
          <w:type w:val="continuous"/>
        </w:sectPr>
      </w:pPr>
    </w:p>
    <w:p>
      <w:pPr>
        <w:spacing w:after="0" w:line="44" w:lineRule="exact"/>
        <w:rPr>
          <w:sz w:val="24"/>
          <w:szCs w:val="24"/>
          <w:color w:val="auto"/>
        </w:rPr>
      </w:pPr>
    </w:p>
    <w:p>
      <w:pPr>
        <w:jc w:val="center"/>
        <w:ind w:right="1080"/>
        <w:spacing w:after="0"/>
        <w:rPr>
          <w:sz w:val="20"/>
          <w:szCs w:val="20"/>
          <w:color w:val="auto"/>
        </w:rPr>
      </w:pPr>
      <w:r>
        <w:rPr>
          <w:rFonts w:ascii="Arial" w:cs="Arial" w:eastAsia="Arial" w:hAnsi="Arial"/>
          <w:sz w:val="20"/>
          <w:szCs w:val="20"/>
          <w:b w:val="1"/>
          <w:bCs w:val="1"/>
          <w:color w:val="auto"/>
        </w:rPr>
        <w:t>3131 Las Vegas Boulevard South</w:t>
      </w:r>
    </w:p>
    <w:p>
      <w:pPr>
        <w:spacing w:after="0" w:line="21" w:lineRule="exact"/>
        <w:rPr>
          <w:sz w:val="24"/>
          <w:szCs w:val="24"/>
          <w:color w:val="auto"/>
        </w:rPr>
      </w:pPr>
    </w:p>
    <w:p>
      <w:pPr>
        <w:jc w:val="center"/>
        <w:ind w:right="1080"/>
        <w:spacing w:after="0"/>
        <w:rPr>
          <w:sz w:val="20"/>
          <w:szCs w:val="20"/>
          <w:color w:val="auto"/>
        </w:rPr>
      </w:pPr>
      <w:r>
        <w:rPr>
          <w:rFonts w:ascii="Arial" w:cs="Arial" w:eastAsia="Arial" w:hAnsi="Arial"/>
          <w:sz w:val="20"/>
          <w:szCs w:val="20"/>
          <w:b w:val="1"/>
          <w:bCs w:val="1"/>
          <w:color w:val="auto"/>
        </w:rPr>
        <w:t>Las Vegas, Nevada</w:t>
      </w:r>
    </w:p>
    <w:p>
      <w:pPr>
        <w:jc w:val="center"/>
        <w:ind w:right="1080"/>
        <w:spacing w:after="0"/>
        <w:rPr>
          <w:sz w:val="20"/>
          <w:szCs w:val="20"/>
          <w:color w:val="auto"/>
        </w:rPr>
      </w:pPr>
      <w:r>
        <w:rPr>
          <w:rFonts w:ascii="Arial" w:cs="Arial" w:eastAsia="Arial" w:hAnsi="Arial"/>
          <w:sz w:val="18"/>
          <w:szCs w:val="18"/>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1820"/>
        <w:spacing w:after="0"/>
        <w:rPr>
          <w:sz w:val="20"/>
          <w:szCs w:val="20"/>
          <w:color w:val="auto"/>
        </w:rPr>
      </w:pPr>
      <w:r>
        <w:rPr>
          <w:rFonts w:ascii="Arial" w:cs="Arial" w:eastAsia="Arial" w:hAnsi="Arial"/>
          <w:sz w:val="20"/>
          <w:szCs w:val="20"/>
          <w:b w:val="1"/>
          <w:bCs w:val="1"/>
          <w:color w:val="auto"/>
        </w:rPr>
        <w:t>89109</w:t>
      </w:r>
    </w:p>
    <w:p>
      <w:pPr>
        <w:spacing w:after="0" w:line="22" w:lineRule="exact"/>
        <w:rPr>
          <w:sz w:val="24"/>
          <w:szCs w:val="24"/>
          <w:color w:val="auto"/>
        </w:rPr>
      </w:pPr>
    </w:p>
    <w:p>
      <w:pPr>
        <w:jc w:val="center"/>
        <w:ind w:right="1820"/>
        <w:spacing w:after="0"/>
        <w:rPr>
          <w:sz w:val="20"/>
          <w:szCs w:val="20"/>
          <w:color w:val="auto"/>
        </w:rPr>
      </w:pPr>
      <w:r>
        <w:rPr>
          <w:rFonts w:ascii="Arial" w:cs="Arial" w:eastAsia="Arial" w:hAnsi="Arial"/>
          <w:sz w:val="18"/>
          <w:szCs w:val="18"/>
          <w:color w:val="auto"/>
        </w:rPr>
        <w:t>(Zip Code)</w:t>
      </w:r>
    </w:p>
    <w:p>
      <w:pPr>
        <w:spacing w:after="0" w:line="200" w:lineRule="exact"/>
        <w:rPr>
          <w:sz w:val="24"/>
          <w:szCs w:val="24"/>
          <w:color w:val="auto"/>
        </w:rPr>
      </w:pPr>
    </w:p>
    <w:p>
      <w:pPr>
        <w:sectPr>
          <w:pgSz w:w="11900" w:h="16838" w:orient="portrait"/>
          <w:cols w:equalWidth="0" w:num="2">
            <w:col w:w="8000" w:space="720"/>
            <w:col w:w="2700"/>
          </w:cols>
          <w:pgMar w:left="240" w:top="22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225" w:right="239" w:bottom="1440" w:gutter="0" w:footer="0" w:header="0"/>
          <w:type w:val="continuous"/>
        </w:sect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42"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71"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 xml:space="preserve">On May 5, 2008, two of Wynn Resorts, Limited’s wholly owned subsidiaries, Wynn Las Vegas, LLC and Wynn Las Vegas Capital Corp. (together, the “Issuers”), completed their offer to exchange up to $400 million of their outstanding 6 </w:t>
      </w:r>
      <w:r>
        <w:rPr>
          <w:rFonts w:ascii="Arial" w:cs="Arial" w:eastAsia="Arial" w:hAnsi="Arial"/>
          <w:sz w:val="28"/>
          <w:szCs w:val="28"/>
          <w:color w:val="auto"/>
          <w:vertAlign w:val="superscript"/>
        </w:rPr>
        <w:t>5</w:t>
      </w:r>
      <w:r>
        <w:rPr>
          <w:rFonts w:ascii="Arial" w:cs="Arial" w:eastAsia="Arial" w:hAnsi="Arial"/>
          <w:sz w:val="20"/>
          <w:szCs w:val="20"/>
          <w:color w:val="auto"/>
        </w:rPr>
        <w:t>/</w:t>
      </w:r>
      <w:r>
        <w:rPr>
          <w:rFonts w:ascii="Arial" w:cs="Arial" w:eastAsia="Arial" w:hAnsi="Arial"/>
          <w:sz w:val="28"/>
          <w:szCs w:val="28"/>
          <w:color w:val="auto"/>
          <w:vertAlign w:val="subscript"/>
        </w:rPr>
        <w:t>8</w:t>
      </w:r>
      <w:r>
        <w:rPr>
          <w:rFonts w:ascii="Arial" w:cs="Arial" w:eastAsia="Arial" w:hAnsi="Arial"/>
          <w:sz w:val="20"/>
          <w:szCs w:val="20"/>
          <w:color w:val="auto"/>
        </w:rPr>
        <w:t xml:space="preserve">% First Mortgage Notes issued on November 6, 2007 due 2014 (the “Original Notes”) for 6 </w:t>
      </w:r>
      <w:r>
        <w:rPr>
          <w:rFonts w:ascii="Arial" w:cs="Arial" w:eastAsia="Arial" w:hAnsi="Arial"/>
          <w:sz w:val="28"/>
          <w:szCs w:val="28"/>
          <w:color w:val="auto"/>
          <w:vertAlign w:val="superscript"/>
        </w:rPr>
        <w:t>5</w:t>
      </w:r>
      <w:r>
        <w:rPr>
          <w:rFonts w:ascii="Arial" w:cs="Arial" w:eastAsia="Arial" w:hAnsi="Arial"/>
          <w:sz w:val="20"/>
          <w:szCs w:val="20"/>
          <w:color w:val="auto"/>
        </w:rPr>
        <w:t>/</w:t>
      </w:r>
      <w:r>
        <w:rPr>
          <w:rFonts w:ascii="Arial" w:cs="Arial" w:eastAsia="Arial" w:hAnsi="Arial"/>
          <w:sz w:val="28"/>
          <w:szCs w:val="28"/>
          <w:color w:val="auto"/>
          <w:vertAlign w:val="subscript"/>
        </w:rPr>
        <w:t>8</w:t>
      </w:r>
      <w:r>
        <w:rPr>
          <w:rFonts w:ascii="Arial" w:cs="Arial" w:eastAsia="Arial" w:hAnsi="Arial"/>
          <w:sz w:val="20"/>
          <w:szCs w:val="20"/>
          <w:color w:val="auto"/>
        </w:rPr>
        <w:t>% First Mortgage Notes due 2014 that have been registered under the Securities Act of 1933, as amended (the “New Notes”). The exchange offer was made in order to satisfy certain obligations of the Issuers contained in a Registration Rights Agreement, dated November 6, 2007.</w:t>
      </w:r>
    </w:p>
    <w:p>
      <w:pPr>
        <w:spacing w:after="0" w:line="246" w:lineRule="exact"/>
        <w:rPr>
          <w:sz w:val="20"/>
          <w:szCs w:val="20"/>
          <w:color w:val="auto"/>
        </w:rPr>
      </w:pPr>
    </w:p>
    <w:p>
      <w:pPr>
        <w:jc w:val="both"/>
        <w:ind w:right="20"/>
        <w:spacing w:after="0" w:line="292" w:lineRule="auto"/>
        <w:rPr>
          <w:sz w:val="20"/>
          <w:szCs w:val="20"/>
          <w:color w:val="auto"/>
        </w:rPr>
      </w:pPr>
      <w:r>
        <w:rPr>
          <w:rFonts w:ascii="Arial" w:cs="Arial" w:eastAsia="Arial" w:hAnsi="Arial"/>
          <w:sz w:val="21"/>
          <w:szCs w:val="21"/>
          <w:color w:val="auto"/>
        </w:rPr>
        <w:t>The exchange offer expired at 5:00 p.m., New York City time, on April 29, 2008. All $400 million in aggregate principal amount of the Original Notes were exchanged. The New Notes are substantially identical to the Original Notes, except that the New Notes have been registered under the Securities Act of 1933, as amended, and, as a result, the transfer restrictions and registration rights provisions applicable to the Original Notes do not apply to the New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500380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8"/>
          <w:szCs w:val="18"/>
          <w:color w:val="auto"/>
        </w:rPr>
        <w:t>May 5, 2008</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05"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10160</wp:posOffset>
            </wp:positionV>
            <wp:extent cx="2727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Chief Financial Officer and</w:t>
      </w:r>
    </w:p>
    <w:p>
      <w:pPr>
        <w:ind w:left="712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Date:</w:t>
        <w:tab/>
        <w:t>May 5, 2008</w:t>
      </w:r>
    </w:p>
    <w:p>
      <w:pPr>
        <w:spacing w:after="0" w:line="243"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WYNN LAS VEGAS, LLC</w:t>
      </w:r>
    </w:p>
    <w:p>
      <w:pPr>
        <w:spacing w:after="0" w:line="200" w:lineRule="exact"/>
        <w:rPr>
          <w:sz w:val="20"/>
          <w:szCs w:val="20"/>
          <w:color w:val="auto"/>
        </w:rPr>
      </w:pPr>
    </w:p>
    <w:p>
      <w:pPr>
        <w:spacing w:after="0" w:line="205"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 Holdings, LLC, its</w:t>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20"/>
          <w:szCs w:val="20"/>
          <w:color w:val="auto"/>
        </w:rPr>
        <w:t>sole member</w:t>
      </w:r>
    </w:p>
    <w:p>
      <w:pPr>
        <w:spacing w:after="0" w:line="186"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Wynn Resorts,Limited, its sole</w:t>
      </w:r>
    </w:p>
    <w:p>
      <w:pPr>
        <w:spacing w:after="0" w:line="16" w:lineRule="exact"/>
        <w:rPr>
          <w:sz w:val="20"/>
          <w:szCs w:val="20"/>
          <w:color w:val="auto"/>
        </w:rPr>
      </w:pPr>
    </w:p>
    <w:p>
      <w:pPr>
        <w:ind w:left="7420"/>
        <w:spacing w:after="0"/>
        <w:rPr>
          <w:sz w:val="20"/>
          <w:szCs w:val="20"/>
          <w:color w:val="auto"/>
        </w:rPr>
      </w:pPr>
      <w:r>
        <w:rPr>
          <w:rFonts w:ascii="Arial" w:cs="Arial" w:eastAsia="Arial" w:hAnsi="Arial"/>
          <w:sz w:val="20"/>
          <w:szCs w:val="20"/>
          <w:color w:val="auto"/>
        </w:rPr>
        <w:t>member</w:t>
      </w:r>
    </w:p>
    <w:p>
      <w:pPr>
        <w:spacing w:after="0" w:line="186" w:lineRule="exact"/>
        <w:rPr>
          <w:sz w:val="20"/>
          <w:szCs w:val="20"/>
          <w:color w:val="auto"/>
        </w:rPr>
      </w:pPr>
    </w:p>
    <w:p>
      <w:pPr>
        <w:ind w:left="6660"/>
        <w:spacing w:after="0"/>
        <w:tabs>
          <w:tab w:leader="none" w:pos="7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10160</wp:posOffset>
            </wp:positionV>
            <wp:extent cx="27273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712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120"/>
        <w:spacing w:after="0"/>
        <w:rPr>
          <w:sz w:val="20"/>
          <w:szCs w:val="20"/>
          <w:color w:val="auto"/>
        </w:rPr>
      </w:pPr>
      <w:r>
        <w:rPr>
          <w:rFonts w:ascii="Arial" w:cs="Arial" w:eastAsia="Arial" w:hAnsi="Arial"/>
          <w:sz w:val="20"/>
          <w:szCs w:val="20"/>
          <w:color w:val="auto"/>
        </w:rPr>
        <w:t>Chief Financial Officer and</w:t>
      </w:r>
    </w:p>
    <w:p>
      <w:pPr>
        <w:ind w:left="7120"/>
        <w:spacing w:after="0"/>
        <w:rPr>
          <w:sz w:val="20"/>
          <w:szCs w:val="20"/>
          <w:color w:val="auto"/>
        </w:rPr>
      </w:pPr>
      <w:r>
        <w:rPr>
          <w:rFonts w:ascii="Arial" w:cs="Arial" w:eastAsia="Arial" w:hAnsi="Arial"/>
          <w:sz w:val="20"/>
          <w:szCs w:val="20"/>
          <w:color w:val="auto"/>
        </w:rPr>
        <w:t>Treasurer</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2019-12-11T15:57:49Z</dcterms:created>
  <dcterms:modified xsi:type="dcterms:W3CDTF">2019-12-11T15:57:49Z</dcterms:modified>
</cp:coreProperties>
</file>