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November 13, 2008</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Charter)</w:t>
      </w: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31"/>
        </w:trPr>
        <w:tc>
          <w:tcPr>
            <w:tcW w:w="2340" w:type="dxa"/>
            <w:vAlign w:val="bottom"/>
          </w:tcPr>
          <w:p>
            <w:pPr>
              <w:jc w:val="center"/>
              <w:ind w:right="143"/>
              <w:spacing w:after="0"/>
              <w:rPr>
                <w:sz w:val="20"/>
                <w:szCs w:val="20"/>
                <w:color w:val="auto"/>
              </w:rPr>
            </w:pPr>
            <w:r>
              <w:rPr>
                <w:rFonts w:ascii="Arial" w:cs="Arial" w:eastAsia="Arial" w:hAnsi="Arial"/>
                <w:sz w:val="19"/>
                <w:szCs w:val="19"/>
                <w:b w:val="1"/>
                <w:bCs w:val="1"/>
                <w:color w:val="auto"/>
                <w:w w:val="91"/>
              </w:rPr>
              <w:t>Nevada</w:t>
            </w:r>
          </w:p>
        </w:tc>
        <w:tc>
          <w:tcPr>
            <w:tcW w:w="5300" w:type="dxa"/>
            <w:vAlign w:val="bottom"/>
          </w:tcPr>
          <w:p>
            <w:pPr>
              <w:jc w:val="center"/>
              <w:ind w:right="3"/>
              <w:spacing w:after="0"/>
              <w:rPr>
                <w:sz w:val="20"/>
                <w:szCs w:val="20"/>
                <w:color w:val="auto"/>
              </w:rPr>
            </w:pPr>
            <w:r>
              <w:rPr>
                <w:rFonts w:ascii="Arial" w:cs="Arial" w:eastAsia="Arial" w:hAnsi="Arial"/>
                <w:sz w:val="19"/>
                <w:szCs w:val="19"/>
                <w:b w:val="1"/>
                <w:bCs w:val="1"/>
                <w:color w:val="auto"/>
                <w:w w:val="92"/>
              </w:rPr>
              <w:t>000-50028</w:t>
            </w:r>
          </w:p>
        </w:tc>
        <w:tc>
          <w:tcPr>
            <w:tcW w:w="2120" w:type="dxa"/>
            <w:vAlign w:val="bottom"/>
          </w:tcPr>
          <w:p>
            <w:pPr>
              <w:jc w:val="center"/>
              <w:ind w:left="20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340" w:type="dxa"/>
            <w:vAlign w:val="bottom"/>
          </w:tcPr>
          <w:p>
            <w:pPr>
              <w:jc w:val="center"/>
              <w:ind w:right="143"/>
              <w:spacing w:after="0"/>
              <w:rPr>
                <w:sz w:val="20"/>
                <w:szCs w:val="20"/>
                <w:color w:val="auto"/>
              </w:rPr>
            </w:pPr>
            <w:r>
              <w:rPr>
                <w:rFonts w:ascii="Arial" w:cs="Arial" w:eastAsia="Arial" w:hAnsi="Arial"/>
                <w:sz w:val="19"/>
                <w:szCs w:val="19"/>
                <w:color w:val="auto"/>
                <w:w w:val="92"/>
              </w:rPr>
              <w:t>(State or Other Jurisdiction</w:t>
            </w:r>
          </w:p>
        </w:tc>
        <w:tc>
          <w:tcPr>
            <w:tcW w:w="5300" w:type="dxa"/>
            <w:vAlign w:val="bottom"/>
          </w:tcPr>
          <w:p>
            <w:pPr>
              <w:jc w:val="center"/>
              <w:ind w:right="3"/>
              <w:spacing w:after="0"/>
              <w:rPr>
                <w:sz w:val="20"/>
                <w:szCs w:val="20"/>
                <w:color w:val="auto"/>
              </w:rPr>
            </w:pPr>
            <w:r>
              <w:rPr>
                <w:rFonts w:ascii="Arial" w:cs="Arial" w:eastAsia="Arial" w:hAnsi="Arial"/>
                <w:sz w:val="19"/>
                <w:szCs w:val="19"/>
                <w:color w:val="auto"/>
                <w:w w:val="95"/>
              </w:rPr>
              <w:t>(Commission File</w:t>
            </w:r>
          </w:p>
        </w:tc>
        <w:tc>
          <w:tcPr>
            <w:tcW w:w="2120" w:type="dxa"/>
            <w:vAlign w:val="bottom"/>
          </w:tcPr>
          <w:p>
            <w:pPr>
              <w:jc w:val="center"/>
              <w:ind w:left="203"/>
              <w:spacing w:after="0"/>
              <w:rPr>
                <w:sz w:val="20"/>
                <w:szCs w:val="20"/>
                <w:color w:val="auto"/>
              </w:rPr>
            </w:pPr>
            <w:r>
              <w:rPr>
                <w:rFonts w:ascii="Arial" w:cs="Arial" w:eastAsia="Arial" w:hAnsi="Arial"/>
                <w:sz w:val="19"/>
                <w:szCs w:val="19"/>
                <w:color w:val="auto"/>
                <w:w w:val="96"/>
              </w:rPr>
              <w:t>(I.R.S. Employer</w:t>
            </w:r>
          </w:p>
        </w:tc>
      </w:tr>
      <w:tr>
        <w:trPr>
          <w:trHeight w:val="247"/>
        </w:trPr>
        <w:tc>
          <w:tcPr>
            <w:tcW w:w="2340" w:type="dxa"/>
            <w:vAlign w:val="bottom"/>
          </w:tcPr>
          <w:p>
            <w:pPr>
              <w:jc w:val="center"/>
              <w:ind w:right="143"/>
              <w:spacing w:after="0"/>
              <w:rPr>
                <w:sz w:val="20"/>
                <w:szCs w:val="20"/>
                <w:color w:val="auto"/>
              </w:rPr>
            </w:pPr>
            <w:r>
              <w:rPr>
                <w:rFonts w:ascii="Arial" w:cs="Arial" w:eastAsia="Arial" w:hAnsi="Arial"/>
                <w:sz w:val="19"/>
                <w:szCs w:val="19"/>
                <w:color w:val="auto"/>
                <w:w w:val="96"/>
              </w:rPr>
              <w:t>of Incorporation)</w:t>
            </w:r>
          </w:p>
        </w:tc>
        <w:tc>
          <w:tcPr>
            <w:tcW w:w="5300" w:type="dxa"/>
            <w:vAlign w:val="bottom"/>
          </w:tcPr>
          <w:p>
            <w:pPr>
              <w:jc w:val="center"/>
              <w:spacing w:after="0"/>
              <w:rPr>
                <w:sz w:val="20"/>
                <w:szCs w:val="20"/>
                <w:color w:val="auto"/>
              </w:rPr>
            </w:pPr>
            <w:r>
              <w:rPr>
                <w:rFonts w:ascii="Arial" w:cs="Arial" w:eastAsia="Arial" w:hAnsi="Arial"/>
                <w:sz w:val="19"/>
                <w:szCs w:val="19"/>
                <w:color w:val="auto"/>
                <w:w w:val="94"/>
              </w:rPr>
              <w:t>Number)</w:t>
            </w:r>
          </w:p>
        </w:tc>
        <w:tc>
          <w:tcPr>
            <w:tcW w:w="2120" w:type="dxa"/>
            <w:vAlign w:val="bottom"/>
          </w:tcPr>
          <w:p>
            <w:pPr>
              <w:jc w:val="center"/>
              <w:ind w:left="223"/>
              <w:spacing w:after="0"/>
              <w:rPr>
                <w:sz w:val="20"/>
                <w:szCs w:val="20"/>
                <w:color w:val="auto"/>
              </w:rPr>
            </w:pPr>
            <w:r>
              <w:rPr>
                <w:rFonts w:ascii="Arial" w:cs="Arial" w:eastAsia="Arial" w:hAnsi="Arial"/>
                <w:sz w:val="19"/>
                <w:szCs w:val="19"/>
                <w:color w:val="auto"/>
                <w:w w:val="96"/>
              </w:rPr>
              <w:t>Identification Number)</w:t>
            </w:r>
          </w:p>
        </w:tc>
      </w:tr>
      <w:tr>
        <w:trPr>
          <w:trHeight w:val="675"/>
        </w:trPr>
        <w:tc>
          <w:tcPr>
            <w:tcW w:w="23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9"/>
                <w:szCs w:val="19"/>
                <w:b w:val="1"/>
                <w:bCs w:val="1"/>
                <w:color w:val="auto"/>
                <w:w w:val="91"/>
              </w:rPr>
              <w:t>3131 Las Vegas Boulevard South</w:t>
            </w:r>
          </w:p>
        </w:tc>
        <w:tc>
          <w:tcPr>
            <w:tcW w:w="2120" w:type="dxa"/>
            <w:vAlign w:val="bottom"/>
          </w:tcPr>
          <w:p>
            <w:pPr>
              <w:spacing w:after="0"/>
              <w:rPr>
                <w:sz w:val="24"/>
                <w:szCs w:val="24"/>
                <w:color w:val="auto"/>
              </w:rPr>
            </w:pPr>
          </w:p>
        </w:tc>
      </w:tr>
      <w:tr>
        <w:trPr>
          <w:trHeight w:val="231"/>
        </w:trPr>
        <w:tc>
          <w:tcPr>
            <w:tcW w:w="234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9"/>
                <w:szCs w:val="19"/>
                <w:b w:val="1"/>
                <w:bCs w:val="1"/>
                <w:color w:val="auto"/>
                <w:w w:val="90"/>
              </w:rPr>
              <w:t>Las Vegas, Nevada 89109</w:t>
            </w:r>
          </w:p>
        </w:tc>
        <w:tc>
          <w:tcPr>
            <w:tcW w:w="2120" w:type="dxa"/>
            <w:vAlign w:val="bottom"/>
          </w:tcPr>
          <w:p>
            <w:pPr>
              <w:spacing w:after="0"/>
              <w:rPr>
                <w:sz w:val="20"/>
                <w:szCs w:val="20"/>
                <w:color w:val="auto"/>
              </w:rPr>
            </w:pPr>
          </w:p>
        </w:tc>
      </w:tr>
      <w:tr>
        <w:trPr>
          <w:trHeight w:val="247"/>
        </w:trPr>
        <w:tc>
          <w:tcPr>
            <w:tcW w:w="2340" w:type="dxa"/>
            <w:vAlign w:val="bottom"/>
          </w:tcPr>
          <w:p>
            <w:pPr>
              <w:spacing w:after="0"/>
              <w:rPr>
                <w:sz w:val="21"/>
                <w:szCs w:val="21"/>
                <w:color w:val="auto"/>
              </w:rPr>
            </w:pPr>
          </w:p>
        </w:tc>
        <w:tc>
          <w:tcPr>
            <w:tcW w:w="5300" w:type="dxa"/>
            <w:vAlign w:val="bottom"/>
          </w:tcPr>
          <w:p>
            <w:pPr>
              <w:jc w:val="center"/>
              <w:spacing w:after="0"/>
              <w:rPr>
                <w:sz w:val="20"/>
                <w:szCs w:val="20"/>
                <w:color w:val="auto"/>
              </w:rPr>
            </w:pPr>
            <w:r>
              <w:rPr>
                <w:rFonts w:ascii="Arial" w:cs="Arial" w:eastAsia="Arial" w:hAnsi="Arial"/>
                <w:sz w:val="19"/>
                <w:szCs w:val="19"/>
                <w:color w:val="auto"/>
                <w:w w:val="94"/>
              </w:rPr>
              <w:t>(Address of principal executive offices) (Zip Code)</w:t>
            </w:r>
          </w:p>
        </w:tc>
        <w:tc>
          <w:tcPr>
            <w:tcW w:w="212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9"/>
                <w:szCs w:val="19"/>
                <w:b w:val="1"/>
                <w:bCs w:val="1"/>
                <w:color w:val="auto"/>
                <w:w w:val="93"/>
              </w:rPr>
              <w:t>(702) 770-7555</w:t>
            </w:r>
          </w:p>
        </w:tc>
        <w:tc>
          <w:tcPr>
            <w:tcW w:w="212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300" w:type="dxa"/>
            <w:vAlign w:val="bottom"/>
          </w:tcPr>
          <w:p>
            <w:pPr>
              <w:jc w:val="center"/>
              <w:spacing w:after="0"/>
              <w:rPr>
                <w:sz w:val="20"/>
                <w:szCs w:val="20"/>
                <w:color w:val="auto"/>
              </w:rPr>
            </w:pPr>
            <w:r>
              <w:rPr>
                <w:rFonts w:ascii="Arial" w:cs="Arial" w:eastAsia="Arial" w:hAnsi="Arial"/>
                <w:sz w:val="19"/>
                <w:szCs w:val="19"/>
                <w:color w:val="auto"/>
                <w:w w:val="92"/>
              </w:rPr>
              <w:t>(Registrant’s telephone number, including area code)</w:t>
            </w:r>
          </w:p>
        </w:tc>
        <w:tc>
          <w:tcPr>
            <w:tcW w:w="212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9"/>
                <w:szCs w:val="19"/>
                <w:b w:val="1"/>
                <w:bCs w:val="1"/>
                <w:color w:val="auto"/>
                <w:w w:val="93"/>
              </w:rPr>
              <w:t>Not applicable.</w:t>
            </w:r>
          </w:p>
        </w:tc>
        <w:tc>
          <w:tcPr>
            <w:tcW w:w="212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300" w:type="dxa"/>
            <w:vAlign w:val="bottom"/>
          </w:tcPr>
          <w:p>
            <w:pPr>
              <w:jc w:val="center"/>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212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827"/>
        </w:trPr>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9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42"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On November 13, 2008, Wynn Resorts, Limited (the “Registrant”) entered into an Equity Underwriting Agreement, dated November 13, 2008, between the Registrant and Deutsche Bank Securities Inc. and Banc of America Securities LLC (the “Underwriters”), for the sale by the Registrant of 8,000,000 shares of its common stock, par value $0.01 per share. Pursuant to the Equity Underwriting Agreement, the Registrant granted Deutsche Bank Securities Inc. and Banc of America Securities LLC the right to purchase up to 1,200,000 additional shares to cover over-allotments, if any. The Equity Underwriting Agreement is filed herewith as Exhibit 1.1 and is incorporated herein by reference. The Registrant’s press releases dated November 13, 2008, relating to the stock offering, are filed herewith as Exhibits 99.1 and 99.2 and are incorporated herein by reference.</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21"/>
          <w:szCs w:val="21"/>
          <w:color w:val="auto"/>
        </w:rPr>
        <w:t>The Registrant intends to use the net proceeds for general corporate purposes, including repayment of any of the Registrant’s debt or debt of its subsidiaries.</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21"/>
          <w:szCs w:val="21"/>
          <w:color w:val="auto"/>
        </w:rPr>
        <w:t>The Underwriters and certain of their affiliates have performed investment banking, commercial lending and advisory services for the Registrant and its affiliates, from time to time, for which they have received customary fees and expenses.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Deutsche Bank Securities Inc. acted as joint lead arranger and joint book-running manager, Deutsche Bank Trust Company Americas, an affiliate of Deutsche Bank Securities Inc., acted as administrative agent, Banc of America Securities LLC acted as joint lead arranger and joint book-running manager, Bank of America, N.A., an affiliate of Banc of America Securities LLC, acted as syndication agent, and certain of the foregoing entities or affiliates of the foregoing entities have made extensions of credit to the Registrant in connection with a credit facility, dated as of June 21, 2007, as amended, providing for a delayed-draw term loan facility to the Registrant in the aggregate principal amount of $1.0 billion.</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acted as lead arranger and joint book running manager, Bank of America, N.A., an affiliate of Banc of America Securities LLC, acted as syndication agent, and certain of the foregoing entities or affiliates of the foregoing entities have made extensions of credit to the Registrant in connection with the amended and restated credit agreement, dated as of August 15, 2006, as amended, providing for revolving credit and term loan borrowings to Wynn Las Vegas, LLC, an indirect subsidiary of the Registrant, in the aggregate principal amount of $1.125 billion, which may be increased to an aggregate principal amount of $1.575 billion under certain circumstances and upon the satisfaction of certain conditions.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21"/>
          <w:szCs w:val="21"/>
          <w:color w:val="auto"/>
        </w:rPr>
        <w:t>Deutsche Bank AG, Hong Kong Branch, an affiliate of Deutsche Bank Securities Inc. and Bank of America Securities Asia Limited, an affiliate of Banc of America Securities LLC, each acted as a global coordinating lead arranger under a $1.550 billion amended credit agreement executed on June 27, 2007 by an affiliate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0" w:type="dxa"/>
            <w:vAlign w:val="bottom"/>
          </w:tcPr>
          <w:p>
            <w:pPr>
              <w:spacing w:after="0"/>
              <w:rPr>
                <w:sz w:val="20"/>
                <w:szCs w:val="20"/>
                <w:color w:val="auto"/>
              </w:rPr>
            </w:pPr>
            <w:r>
              <w:rPr>
                <w:rFonts w:ascii="Arial" w:cs="Arial" w:eastAsia="Arial" w:hAnsi="Arial"/>
                <w:sz w:val="21"/>
                <w:szCs w:val="21"/>
                <w:color w:val="auto"/>
              </w:rPr>
              <w:t>(d)</w:t>
            </w:r>
          </w:p>
        </w:tc>
        <w:tc>
          <w:tcPr>
            <w:tcW w:w="11020" w:type="dxa"/>
            <w:vAlign w:val="bottom"/>
          </w:tcPr>
          <w:p>
            <w:pPr>
              <w:ind w:left="20"/>
              <w:spacing w:after="0"/>
              <w:rPr>
                <w:sz w:val="20"/>
                <w:szCs w:val="20"/>
                <w:color w:val="auto"/>
              </w:rPr>
            </w:pPr>
            <w:r>
              <w:rPr>
                <w:rFonts w:ascii="Arial" w:cs="Arial" w:eastAsia="Arial" w:hAnsi="Arial"/>
                <w:sz w:val="21"/>
                <w:szCs w:val="21"/>
                <w:color w:val="auto"/>
              </w:rPr>
              <w:t>Exhibits</w:t>
            </w:r>
          </w:p>
        </w:tc>
      </w:tr>
      <w:tr>
        <w:trPr>
          <w:trHeight w:val="477"/>
        </w:trPr>
        <w:tc>
          <w:tcPr>
            <w:tcW w:w="400" w:type="dxa"/>
            <w:vAlign w:val="bottom"/>
          </w:tcPr>
          <w:p>
            <w:pPr>
              <w:spacing w:after="0"/>
              <w:rPr>
                <w:sz w:val="20"/>
                <w:szCs w:val="20"/>
                <w:color w:val="auto"/>
              </w:rPr>
            </w:pPr>
            <w:r>
              <w:rPr>
                <w:rFonts w:ascii="Arial" w:cs="Arial" w:eastAsia="Arial" w:hAnsi="Arial"/>
                <w:sz w:val="21"/>
                <w:szCs w:val="21"/>
                <w:color w:val="auto"/>
              </w:rPr>
              <w:t>1.1</w:t>
            </w:r>
          </w:p>
        </w:tc>
        <w:tc>
          <w:tcPr>
            <w:tcW w:w="11020" w:type="dxa"/>
            <w:vAlign w:val="bottom"/>
          </w:tcPr>
          <w:p>
            <w:pPr>
              <w:ind w:left="860"/>
              <w:spacing w:after="0"/>
              <w:rPr>
                <w:sz w:val="20"/>
                <w:szCs w:val="20"/>
                <w:color w:val="auto"/>
              </w:rPr>
            </w:pPr>
            <w:r>
              <w:rPr>
                <w:rFonts w:ascii="Arial" w:cs="Arial" w:eastAsia="Arial" w:hAnsi="Arial"/>
                <w:sz w:val="21"/>
                <w:szCs w:val="21"/>
                <w:color w:val="auto"/>
              </w:rPr>
              <w:t>Equity Underwriting Agreement, dated November 13, 2008.</w:t>
            </w:r>
          </w:p>
        </w:tc>
      </w:tr>
      <w:tr>
        <w:trPr>
          <w:trHeight w:val="477"/>
        </w:trPr>
        <w:tc>
          <w:tcPr>
            <w:tcW w:w="400" w:type="dxa"/>
            <w:vAlign w:val="bottom"/>
          </w:tcPr>
          <w:p>
            <w:pPr>
              <w:spacing w:after="0"/>
              <w:rPr>
                <w:sz w:val="20"/>
                <w:szCs w:val="20"/>
                <w:color w:val="auto"/>
              </w:rPr>
            </w:pPr>
            <w:r>
              <w:rPr>
                <w:rFonts w:ascii="Arial" w:cs="Arial" w:eastAsia="Arial" w:hAnsi="Arial"/>
                <w:sz w:val="21"/>
                <w:szCs w:val="21"/>
                <w:color w:val="auto"/>
              </w:rPr>
              <w:t>5.1</w:t>
            </w:r>
          </w:p>
        </w:tc>
        <w:tc>
          <w:tcPr>
            <w:tcW w:w="11020" w:type="dxa"/>
            <w:vAlign w:val="bottom"/>
          </w:tcPr>
          <w:p>
            <w:pPr>
              <w:ind w:left="860"/>
              <w:spacing w:after="0"/>
              <w:rPr>
                <w:sz w:val="20"/>
                <w:szCs w:val="20"/>
                <w:color w:val="auto"/>
              </w:rPr>
            </w:pPr>
            <w:r>
              <w:rPr>
                <w:rFonts w:ascii="Arial" w:cs="Arial" w:eastAsia="Arial" w:hAnsi="Arial"/>
                <w:sz w:val="21"/>
                <w:szCs w:val="21"/>
                <w:color w:val="auto"/>
              </w:rPr>
              <w:t>Opinion of Brownstein Hyatt Farber Schreck, LLP.</w:t>
            </w:r>
          </w:p>
        </w:tc>
      </w:tr>
      <w:tr>
        <w:trPr>
          <w:trHeight w:val="477"/>
        </w:trPr>
        <w:tc>
          <w:tcPr>
            <w:tcW w:w="400" w:type="dxa"/>
            <w:vAlign w:val="bottom"/>
          </w:tcPr>
          <w:p>
            <w:pPr>
              <w:spacing w:after="0"/>
              <w:rPr>
                <w:sz w:val="20"/>
                <w:szCs w:val="20"/>
                <w:color w:val="auto"/>
              </w:rPr>
            </w:pPr>
            <w:r>
              <w:rPr>
                <w:rFonts w:ascii="Arial" w:cs="Arial" w:eastAsia="Arial" w:hAnsi="Arial"/>
                <w:sz w:val="21"/>
                <w:szCs w:val="21"/>
                <w:color w:val="auto"/>
                <w:w w:val="92"/>
              </w:rPr>
              <w:t>23.1</w:t>
            </w:r>
          </w:p>
        </w:tc>
        <w:tc>
          <w:tcPr>
            <w:tcW w:w="11020" w:type="dxa"/>
            <w:vAlign w:val="bottom"/>
          </w:tcPr>
          <w:p>
            <w:pPr>
              <w:ind w:left="860"/>
              <w:spacing w:after="0"/>
              <w:rPr>
                <w:sz w:val="20"/>
                <w:szCs w:val="20"/>
                <w:color w:val="auto"/>
              </w:rPr>
            </w:pPr>
            <w:r>
              <w:rPr>
                <w:rFonts w:ascii="Arial" w:cs="Arial" w:eastAsia="Arial" w:hAnsi="Arial"/>
                <w:sz w:val="21"/>
                <w:szCs w:val="21"/>
                <w:color w:val="auto"/>
              </w:rPr>
              <w:t>Consent of Brownstein Hyatt Farber Schreck, LLP (included in Exhibit 5.1 hereto)</w:t>
            </w:r>
          </w:p>
        </w:tc>
      </w:tr>
      <w:tr>
        <w:trPr>
          <w:trHeight w:val="477"/>
        </w:trPr>
        <w:tc>
          <w:tcPr>
            <w:tcW w:w="400" w:type="dxa"/>
            <w:vAlign w:val="bottom"/>
          </w:tcPr>
          <w:p>
            <w:pPr>
              <w:spacing w:after="0"/>
              <w:rPr>
                <w:sz w:val="20"/>
                <w:szCs w:val="20"/>
                <w:color w:val="auto"/>
              </w:rPr>
            </w:pPr>
            <w:r>
              <w:rPr>
                <w:rFonts w:ascii="Arial" w:cs="Arial" w:eastAsia="Arial" w:hAnsi="Arial"/>
                <w:sz w:val="21"/>
                <w:szCs w:val="21"/>
                <w:color w:val="auto"/>
                <w:w w:val="92"/>
              </w:rPr>
              <w:t>99.1</w:t>
            </w:r>
          </w:p>
        </w:tc>
        <w:tc>
          <w:tcPr>
            <w:tcW w:w="11020" w:type="dxa"/>
            <w:vAlign w:val="bottom"/>
          </w:tcPr>
          <w:p>
            <w:pPr>
              <w:ind w:left="860"/>
              <w:spacing w:after="0"/>
              <w:rPr>
                <w:sz w:val="20"/>
                <w:szCs w:val="20"/>
                <w:color w:val="auto"/>
              </w:rPr>
            </w:pPr>
            <w:r>
              <w:rPr>
                <w:rFonts w:ascii="Arial" w:cs="Arial" w:eastAsia="Arial" w:hAnsi="Arial"/>
                <w:sz w:val="21"/>
                <w:szCs w:val="21"/>
                <w:color w:val="auto"/>
              </w:rPr>
              <w:t>Press Release, dated November 13, 2008, by Wynn Resorts, Limited.</w:t>
            </w:r>
          </w:p>
        </w:tc>
      </w:tr>
      <w:tr>
        <w:trPr>
          <w:trHeight w:val="477"/>
        </w:trPr>
        <w:tc>
          <w:tcPr>
            <w:tcW w:w="400" w:type="dxa"/>
            <w:vAlign w:val="bottom"/>
          </w:tcPr>
          <w:p>
            <w:pPr>
              <w:spacing w:after="0"/>
              <w:rPr>
                <w:sz w:val="20"/>
                <w:szCs w:val="20"/>
                <w:color w:val="auto"/>
              </w:rPr>
            </w:pPr>
            <w:r>
              <w:rPr>
                <w:rFonts w:ascii="Arial" w:cs="Arial" w:eastAsia="Arial" w:hAnsi="Arial"/>
                <w:sz w:val="21"/>
                <w:szCs w:val="21"/>
                <w:color w:val="auto"/>
                <w:w w:val="92"/>
              </w:rPr>
              <w:t>99.2</w:t>
            </w:r>
          </w:p>
        </w:tc>
        <w:tc>
          <w:tcPr>
            <w:tcW w:w="11020" w:type="dxa"/>
            <w:vAlign w:val="bottom"/>
          </w:tcPr>
          <w:p>
            <w:pPr>
              <w:ind w:left="860"/>
              <w:spacing w:after="0"/>
              <w:rPr>
                <w:sz w:val="20"/>
                <w:szCs w:val="20"/>
                <w:color w:val="auto"/>
              </w:rPr>
            </w:pPr>
            <w:r>
              <w:rPr>
                <w:rFonts w:ascii="Arial" w:cs="Arial" w:eastAsia="Arial" w:hAnsi="Arial"/>
                <w:sz w:val="21"/>
                <w:szCs w:val="21"/>
                <w:color w:val="auto"/>
              </w:rPr>
              <w:t>Press Release, dated November 13, 2008, by Wynn Resorts, Limited.</w:t>
            </w:r>
          </w:p>
        </w:tc>
      </w:tr>
      <w:tr>
        <w:trPr>
          <w:trHeight w:val="344"/>
        </w:trPr>
        <w:tc>
          <w:tcPr>
            <w:tcW w:w="400" w:type="dxa"/>
            <w:vAlign w:val="bottom"/>
            <w:tcBorders>
              <w:bottom w:val="single" w:sz="8" w:color="808080"/>
            </w:tcBorders>
          </w:tcPr>
          <w:p>
            <w:pPr>
              <w:spacing w:after="0"/>
              <w:rPr>
                <w:sz w:val="24"/>
                <w:szCs w:val="24"/>
                <w:color w:val="auto"/>
              </w:rPr>
            </w:pPr>
          </w:p>
        </w:tc>
        <w:tc>
          <w:tcPr>
            <w:tcW w:w="1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707"/>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Date: November 14, 2008</w:t>
      </w:r>
    </w:p>
    <w:p>
      <w:pPr>
        <w:spacing w:after="0" w:line="236" w:lineRule="exact"/>
        <w:rPr>
          <w:sz w:val="20"/>
          <w:szCs w:val="20"/>
          <w:color w:val="auto"/>
        </w:rPr>
      </w:pPr>
    </w:p>
    <w:p>
      <w:pPr>
        <w:ind w:left="684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21" w:lineRule="exact"/>
        <w:rPr>
          <w:sz w:val="20"/>
          <w:szCs w:val="20"/>
          <w:color w:val="auto"/>
        </w:rPr>
      </w:pPr>
    </w:p>
    <w:tbl>
      <w:tblPr>
        <w:tblLayout w:type="fixed"/>
        <w:tblInd w:w="6840" w:type="dxa"/>
        <w:tblCellMar>
          <w:top w:w="0" w:type="dxa"/>
          <w:left w:w="0" w:type="dxa"/>
          <w:bottom w:w="0" w:type="dxa"/>
          <w:right w:w="0" w:type="dxa"/>
        </w:tblCellMar>
      </w:tblPr>
      <w:tr>
        <w:trPr>
          <w:trHeight w:val="260"/>
        </w:trPr>
        <w:tc>
          <w:tcPr>
            <w:tcW w:w="720" w:type="dxa"/>
            <w:vAlign w:val="bottom"/>
          </w:tcPr>
          <w:p>
            <w:pPr>
              <w:spacing w:after="0"/>
              <w:rPr>
                <w:sz w:val="20"/>
                <w:szCs w:val="20"/>
                <w:color w:val="auto"/>
              </w:rPr>
            </w:pPr>
            <w:r>
              <w:rPr>
                <w:rFonts w:ascii="Arial" w:cs="Arial" w:eastAsia="Arial" w:hAnsi="Arial"/>
                <w:sz w:val="21"/>
                <w:szCs w:val="21"/>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Kim Sinatra</w:t>
            </w:r>
          </w:p>
        </w:tc>
      </w:tr>
      <w:tr>
        <w:trPr>
          <w:trHeight w:val="211"/>
        </w:trPr>
        <w:tc>
          <w:tcPr>
            <w:tcW w:w="720" w:type="dxa"/>
            <w:vAlign w:val="bottom"/>
          </w:tcPr>
          <w:p>
            <w:pPr>
              <w:spacing w:after="0"/>
              <w:rPr>
                <w:sz w:val="18"/>
                <w:szCs w:val="18"/>
                <w:color w:val="auto"/>
              </w:rPr>
            </w:pPr>
          </w:p>
        </w:tc>
        <w:tc>
          <w:tcPr>
            <w:tcW w:w="3580" w:type="dxa"/>
            <w:vAlign w:val="bottom"/>
          </w:tcPr>
          <w:p>
            <w:pPr>
              <w:spacing w:after="0" w:line="211" w:lineRule="exact"/>
              <w:rPr>
                <w:sz w:val="20"/>
                <w:szCs w:val="20"/>
                <w:color w:val="auto"/>
              </w:rPr>
            </w:pPr>
            <w:r>
              <w:rPr>
                <w:rFonts w:ascii="Arial" w:cs="Arial" w:eastAsia="Arial" w:hAnsi="Arial"/>
                <w:sz w:val="21"/>
                <w:szCs w:val="21"/>
                <w:color w:val="auto"/>
              </w:rPr>
              <w:t>Kim Sinatra</w:t>
            </w:r>
          </w:p>
        </w:tc>
      </w:tr>
      <w:tr>
        <w:trPr>
          <w:trHeight w:val="239"/>
        </w:trPr>
        <w:tc>
          <w:tcPr>
            <w:tcW w:w="720" w:type="dxa"/>
            <w:vAlign w:val="bottom"/>
          </w:tcPr>
          <w:p>
            <w:pPr>
              <w:spacing w:after="0"/>
              <w:rPr>
                <w:sz w:val="20"/>
                <w:szCs w:val="20"/>
                <w:color w:val="auto"/>
              </w:rPr>
            </w:pPr>
          </w:p>
        </w:tc>
        <w:tc>
          <w:tcPr>
            <w:tcW w:w="3580" w:type="dxa"/>
            <w:vAlign w:val="bottom"/>
          </w:tcPr>
          <w:p>
            <w:pPr>
              <w:spacing w:after="0" w:line="239" w:lineRule="exact"/>
              <w:rPr>
                <w:sz w:val="20"/>
                <w:szCs w:val="20"/>
                <w:color w:val="auto"/>
              </w:rPr>
            </w:pPr>
            <w:r>
              <w:rPr>
                <w:rFonts w:ascii="Arial" w:cs="Arial" w:eastAsia="Arial" w:hAnsi="Arial"/>
                <w:sz w:val="21"/>
                <w:szCs w:val="21"/>
                <w:color w:val="auto"/>
              </w:rPr>
              <w:t>Senior Vice President, General</w:t>
            </w:r>
          </w:p>
        </w:tc>
      </w:tr>
      <w:tr>
        <w:trPr>
          <w:trHeight w:val="271"/>
        </w:trPr>
        <w:tc>
          <w:tcPr>
            <w:tcW w:w="72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Arial" w:cs="Arial" w:eastAsia="Arial" w:hAnsi="Arial"/>
                <w:sz w:val="21"/>
                <w:szCs w:val="21"/>
                <w:color w:val="auto"/>
              </w:rPr>
              <w:t>Counsel and Secretary</w:t>
            </w:r>
          </w:p>
        </w:tc>
      </w:tr>
    </w:tbl>
    <w:p>
      <w:pPr>
        <w:sectPr>
          <w:pgSz w:w="11900" w:h="16838" w:orient="portrait"/>
          <w:cols w:equalWidth="0" w:num="1">
            <w:col w:w="11420"/>
          </w:cols>
          <w:pgMar w:left="240" w:top="35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1.1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EXECUTION COPY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8,000,000 Shares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WYNN RESORTS, LIMITED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Common Stock</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($0.01 Par Value)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EQUITY UNDERWRITING AGREEMENT</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November 13, 2008</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Banc of America Securities LLC</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c/o Deutsche Bank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60 Wall Street, 4th Floor</w:t>
      </w:r>
    </w:p>
    <w:p>
      <w:pPr>
        <w:spacing w:after="0"/>
        <w:rPr>
          <w:sz w:val="20"/>
          <w:szCs w:val="20"/>
          <w:color w:val="auto"/>
        </w:rPr>
      </w:pPr>
      <w:r>
        <w:rPr>
          <w:rFonts w:ascii="Arial" w:cs="Arial" w:eastAsia="Arial" w:hAnsi="Arial"/>
          <w:sz w:val="21"/>
          <w:szCs w:val="21"/>
          <w:color w:val="auto"/>
        </w:rPr>
        <w:t>New York, New York 10005</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36" w:lineRule="exact"/>
        <w:rPr>
          <w:sz w:val="20"/>
          <w:szCs w:val="20"/>
          <w:color w:val="auto"/>
        </w:rPr>
      </w:pPr>
    </w:p>
    <w:p>
      <w:pPr>
        <w:jc w:val="both"/>
        <w:ind w:firstLine="707"/>
        <w:spacing w:after="0" w:line="273" w:lineRule="auto"/>
        <w:rPr>
          <w:sz w:val="20"/>
          <w:szCs w:val="20"/>
          <w:color w:val="auto"/>
        </w:rPr>
      </w:pPr>
      <w:r>
        <w:rPr>
          <w:rFonts w:ascii="Arial" w:cs="Arial" w:eastAsia="Arial" w:hAnsi="Arial"/>
          <w:sz w:val="19"/>
          <w:szCs w:val="19"/>
          <w:color w:val="auto"/>
        </w:rPr>
        <w:t>Wynn Resorts, Limited, a Nevada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proposes to sell to you (the “</w:t>
      </w:r>
      <w:r>
        <w:rPr>
          <w:rFonts w:ascii="Arial" w:cs="Arial" w:eastAsia="Arial" w:hAnsi="Arial"/>
          <w:sz w:val="19"/>
          <w:szCs w:val="19"/>
          <w:u w:val="single" w:color="auto"/>
          <w:color w:val="auto"/>
        </w:rPr>
        <w:t>Underwriters</w:t>
      </w:r>
      <w:r>
        <w:rPr>
          <w:rFonts w:ascii="Arial" w:cs="Arial" w:eastAsia="Arial" w:hAnsi="Arial"/>
          <w:sz w:val="19"/>
          <w:szCs w:val="19"/>
          <w:color w:val="auto"/>
        </w:rPr>
        <w:t>”), an aggregate of 8,000,000 shares (the “</w:t>
      </w:r>
      <w:r>
        <w:rPr>
          <w:rFonts w:ascii="Arial" w:cs="Arial" w:eastAsia="Arial" w:hAnsi="Arial"/>
          <w:sz w:val="19"/>
          <w:szCs w:val="19"/>
          <w:u w:val="single" w:color="auto"/>
          <w:color w:val="auto"/>
        </w:rPr>
        <w:t>Firm Shares</w:t>
      </w:r>
      <w:r>
        <w:rPr>
          <w:rFonts w:ascii="Arial" w:cs="Arial" w:eastAsia="Arial" w:hAnsi="Arial"/>
          <w:sz w:val="19"/>
          <w:szCs w:val="19"/>
          <w:color w:val="auto"/>
        </w:rPr>
        <w:t>”) of the Company’s Common Stock, par value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The respective amounts of the Firm Shares to be so purchased by you are set forth opposite your names in Schedule I hereto. The Company also proposes to sell, at the Underwriters’ option, an aggregate of up to 1,200,000 additional shares (the “</w:t>
      </w:r>
      <w:r>
        <w:rPr>
          <w:rFonts w:ascii="Arial" w:cs="Arial" w:eastAsia="Arial" w:hAnsi="Arial"/>
          <w:sz w:val="19"/>
          <w:szCs w:val="19"/>
          <w:u w:val="single" w:color="auto"/>
          <w:color w:val="auto"/>
        </w:rPr>
        <w:t>Option Shares</w:t>
      </w:r>
      <w:r>
        <w:rPr>
          <w:rFonts w:ascii="Arial" w:cs="Arial" w:eastAsia="Arial" w:hAnsi="Arial"/>
          <w:sz w:val="19"/>
          <w:szCs w:val="19"/>
          <w:color w:val="auto"/>
        </w:rPr>
        <w:t>”) of the Company’s Common Stock as set forth below. The Firm Shares and the Option Shares (to the extent the aforementioned option is exercised) are herein collectively called the “</w:t>
      </w:r>
      <w:r>
        <w:rPr>
          <w:rFonts w:ascii="Arial" w:cs="Arial" w:eastAsia="Arial" w:hAnsi="Arial"/>
          <w:sz w:val="19"/>
          <w:szCs w:val="19"/>
          <w:u w:val="single" w:color="auto"/>
          <w:color w:val="auto"/>
        </w:rPr>
        <w:t>Shares</w:t>
      </w:r>
      <w:r>
        <w:rPr>
          <w:rFonts w:ascii="Arial" w:cs="Arial" w:eastAsia="Arial" w:hAnsi="Arial"/>
          <w:sz w:val="19"/>
          <w:szCs w:val="19"/>
          <w:color w:val="auto"/>
        </w:rPr>
        <w:t>.” The offering and sale of the Shares is referred to herein as the “</w:t>
      </w:r>
      <w:r>
        <w:rPr>
          <w:rFonts w:ascii="Arial" w:cs="Arial" w:eastAsia="Arial" w:hAnsi="Arial"/>
          <w:sz w:val="19"/>
          <w:szCs w:val="19"/>
          <w:u w:val="single" w:color="auto"/>
          <w:color w:val="auto"/>
        </w:rPr>
        <w:t>Offering</w:t>
      </w:r>
      <w:r>
        <w:rPr>
          <w:rFonts w:ascii="Arial" w:cs="Arial" w:eastAsia="Arial" w:hAnsi="Arial"/>
          <w:sz w:val="19"/>
          <w:szCs w:val="19"/>
          <w:color w:val="auto"/>
        </w:rPr>
        <w:t>.”</w:t>
      </w:r>
    </w:p>
    <w:p>
      <w:pPr>
        <w:spacing w:after="0" w:line="179" w:lineRule="exact"/>
        <w:rPr>
          <w:sz w:val="20"/>
          <w:szCs w:val="20"/>
          <w:color w:val="auto"/>
        </w:rPr>
      </w:pPr>
    </w:p>
    <w:p>
      <w:pPr>
        <w:jc w:val="both"/>
        <w:ind w:firstLine="707"/>
        <w:spacing w:after="0" w:line="266" w:lineRule="auto"/>
        <w:rPr>
          <w:sz w:val="20"/>
          <w:szCs w:val="20"/>
          <w:color w:val="auto"/>
        </w:rPr>
      </w:pPr>
      <w:r>
        <w:rPr>
          <w:rFonts w:ascii="Arial" w:cs="Arial" w:eastAsia="Arial" w:hAnsi="Arial"/>
          <w:sz w:val="21"/>
          <w:szCs w:val="21"/>
          <w:color w:val="auto"/>
        </w:rPr>
        <w:t>In consideration of the mutual agreements contained herein and of the interests of the parties in the transactions contemplated hereby, the parties hereto agree as follows:</w:t>
      </w:r>
    </w:p>
    <w:p>
      <w:pPr>
        <w:spacing w:after="0" w:line="181" w:lineRule="exact"/>
        <w:rPr>
          <w:sz w:val="20"/>
          <w:szCs w:val="20"/>
          <w:color w:val="auto"/>
        </w:rPr>
      </w:pPr>
    </w:p>
    <w:p>
      <w:pPr>
        <w:ind w:left="1340" w:hanging="698"/>
        <w:spacing w:after="0"/>
        <w:tabs>
          <w:tab w:leader="none" w:pos="134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R</w:t>
      </w:r>
      <w:r>
        <w:rPr>
          <w:rFonts w:ascii="Arial" w:cs="Arial" w:eastAsia="Arial" w:hAnsi="Arial"/>
          <w:sz w:val="14"/>
          <w:szCs w:val="14"/>
          <w:u w:val="single" w:color="auto"/>
          <w:color w:val="auto"/>
        </w:rPr>
        <w:t>EPRESENTATIONS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14"/>
          <w:szCs w:val="14"/>
          <w:u w:val="single" w:color="auto"/>
          <w:color w:val="auto"/>
        </w:rPr>
        <w:t>ND</w:t>
      </w:r>
      <w:r>
        <w:rPr>
          <w:rFonts w:ascii="Arial" w:cs="Arial" w:eastAsia="Arial" w:hAnsi="Arial"/>
          <w:sz w:val="21"/>
          <w:szCs w:val="21"/>
          <w:color w:val="auto"/>
        </w:rPr>
        <w:t xml:space="preserve"> </w:t>
      </w:r>
      <w:r>
        <w:rPr>
          <w:rFonts w:ascii="Arial" w:cs="Arial" w:eastAsia="Arial" w:hAnsi="Arial"/>
          <w:sz w:val="21"/>
          <w:szCs w:val="21"/>
          <w:u w:val="single" w:color="auto"/>
          <w:color w:val="auto"/>
        </w:rPr>
        <w:t>W</w:t>
      </w:r>
      <w:r>
        <w:rPr>
          <w:rFonts w:ascii="Arial" w:cs="Arial" w:eastAsia="Arial" w:hAnsi="Arial"/>
          <w:sz w:val="14"/>
          <w:szCs w:val="14"/>
          <w:u w:val="single" w:color="auto"/>
          <w:color w:val="auto"/>
        </w:rPr>
        <w:t>ARRANTIES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OMPANY</w:t>
      </w:r>
      <w:r>
        <w:rPr>
          <w:rFonts w:ascii="Arial" w:cs="Arial" w:eastAsia="Arial" w:hAnsi="Arial"/>
          <w:sz w:val="21"/>
          <w:szCs w:val="21"/>
          <w:color w:val="auto"/>
        </w:rPr>
        <w:t>.</w:t>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Company represents and warrants to the Underwriters as follows:</w:t>
      </w:r>
    </w:p>
    <w:p>
      <w:pPr>
        <w:spacing w:after="0" w:line="236" w:lineRule="exact"/>
        <w:rPr>
          <w:sz w:val="20"/>
          <w:szCs w:val="20"/>
          <w:color w:val="auto"/>
        </w:rPr>
      </w:pPr>
    </w:p>
    <w:p>
      <w:pPr>
        <w:jc w:val="both"/>
        <w:ind w:firstLine="1332"/>
        <w:spacing w:after="0" w:line="291" w:lineRule="auto"/>
        <w:tabs>
          <w:tab w:leader="none" w:pos="2354" w:val="left"/>
        </w:tabs>
        <w:numPr>
          <w:ilvl w:val="0"/>
          <w:numId w:val="2"/>
        </w:numPr>
        <w:rPr>
          <w:rFonts w:ascii="Arial" w:cs="Arial" w:eastAsia="Arial" w:hAnsi="Arial"/>
          <w:sz w:val="19"/>
          <w:szCs w:val="19"/>
          <w:color w:val="auto"/>
        </w:rPr>
      </w:pPr>
      <w:r>
        <w:rPr>
          <w:rFonts w:ascii="Arial" w:cs="Arial" w:eastAsia="Arial" w:hAnsi="Arial"/>
          <w:sz w:val="19"/>
          <w:szCs w:val="19"/>
          <w:color w:val="auto"/>
        </w:rPr>
        <w:t>An “automatic shelf registration statement” as defined in Rule 405 under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on Form S-3 (File No. 333-146360) in respect of the Shares, including a form of prospectus (the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Prospectus</w:t>
      </w:r>
      <w:r>
        <w:rPr>
          <w:rFonts w:ascii="Arial" w:cs="Arial" w:eastAsia="Arial" w:hAnsi="Arial"/>
          <w:sz w:val="19"/>
          <w:szCs w:val="19"/>
          <w:color w:val="auto"/>
        </w:rPr>
        <w:t>”), has been prepared and filed by the Company not earlier than three years prior to the date hereof, in conformity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516890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9"/>
          <w:szCs w:val="19"/>
          <w:color w:val="auto"/>
        </w:rPr>
        <w:t>the requirements of the Act and the rules and regulations (the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thereunder. The Company and the transactions contemplated by this Agreement meet the requirements and comply with the conditions for the use of Form S-3. Copies of such registration statement, including any amendments thereto, the Base Prospectus, as supplemented by any preliminary prospectus (including any preliminary prospectus supplement) relating to the Shares filed with the Commission pursuant to Rule 424(b) under the Act, and including the documents incorporated in the Base Prospectus by reference (a “</w:t>
      </w:r>
      <w:r>
        <w:rPr>
          <w:rFonts w:ascii="Arial" w:cs="Arial" w:eastAsia="Arial" w:hAnsi="Arial"/>
          <w:sz w:val="19"/>
          <w:szCs w:val="19"/>
          <w:u w:val="single" w:color="auto"/>
          <w:color w:val="auto"/>
        </w:rPr>
        <w:t>Preliminary Prospectus</w:t>
      </w:r>
      <w:r>
        <w:rPr>
          <w:rFonts w:ascii="Arial" w:cs="Arial" w:eastAsia="Arial" w:hAnsi="Arial"/>
          <w:sz w:val="19"/>
          <w:szCs w:val="19"/>
          <w:color w:val="auto"/>
        </w:rPr>
        <w:t>”), and the exhibits, financial statements and schedules to such registration statement, in each case as finally amended and revised, have heretofore been delivered or made available to you. Such registration statement, together with any registration statement filed by the Company pursuant to Rules 413(b) and 462(f) under the Act, is herein referred to as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w:t>
      </w:r>
      <w:r>
        <w:rPr>
          <w:rFonts w:ascii="Arial" w:cs="Arial" w:eastAsia="Arial" w:hAnsi="Arial"/>
          <w:sz w:val="19"/>
          <w:szCs w:val="19"/>
          <w:u w:val="single" w:color="auto"/>
          <w:color w:val="auto"/>
        </w:rPr>
        <w:t>Prospectus</w:t>
      </w:r>
      <w:r>
        <w:rPr>
          <w:rFonts w:ascii="Arial" w:cs="Arial" w:eastAsia="Arial" w:hAnsi="Arial"/>
          <w:sz w:val="19"/>
          <w:szCs w:val="19"/>
          <w:color w:val="auto"/>
        </w:rPr>
        <w:t>” means the form of prospectus relating to the Shares first filed with the Commission pursuant to and within the time limits described in Rule 424(b) under the Act and in accordance with Section 4(a) hereof. Any reference herein to the Registration Statement, any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Act, and prior to the termination of the offering of the Shares by the Underwriters.</w:t>
      </w:r>
    </w:p>
    <w:p>
      <w:pPr>
        <w:spacing w:after="0" w:line="192" w:lineRule="exact"/>
        <w:rPr>
          <w:sz w:val="20"/>
          <w:szCs w:val="20"/>
          <w:color w:val="auto"/>
        </w:rPr>
      </w:pPr>
    </w:p>
    <w:p>
      <w:pPr>
        <w:jc w:val="both"/>
        <w:ind w:firstLine="1332"/>
        <w:spacing w:after="0" w:line="268" w:lineRule="auto"/>
        <w:tabs>
          <w:tab w:leader="none" w:pos="219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As of the Applicable Time (as defined below) and as of the Closing Date or the Option Closing Date, as the case may be, neither (i) the General Use Free Writing Prospectus(es) (as defined below) issued at or prior to the Applicable Time, the Statutory Prospectus (as defined below) and any information included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all considered together (collectively, the “</w:t>
      </w:r>
      <w:r>
        <w:rPr>
          <w:rFonts w:ascii="Arial" w:cs="Arial" w:eastAsia="Arial" w:hAnsi="Arial"/>
          <w:sz w:val="19"/>
          <w:szCs w:val="19"/>
          <w:u w:val="single" w:color="auto"/>
          <w:color w:val="auto"/>
        </w:rPr>
        <w:t>General Disclosure Package</w:t>
      </w:r>
      <w:r>
        <w:rPr>
          <w:rFonts w:ascii="Arial" w:cs="Arial" w:eastAsia="Arial" w:hAnsi="Arial"/>
          <w:sz w:val="19"/>
          <w:szCs w:val="19"/>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makes no representations or warranties as to information contained in or omitted from any Issuer Free Writing Prospectus, in reliance upon, and in conformity with, written information furnished to the Company by or on behalf of the Underwriters, specifically for use therein, it being understood and agreed that the only such information is that described in Section 12 herein. As used in this subsection and elsewhere in this Agreement:</w:t>
      </w:r>
    </w:p>
    <w:p>
      <w:pPr>
        <w:spacing w:after="0" w:line="185" w:lineRule="exact"/>
        <w:rPr>
          <w:sz w:val="20"/>
          <w:szCs w:val="20"/>
          <w:color w:val="auto"/>
        </w:rPr>
      </w:pPr>
    </w:p>
    <w:p>
      <w:pPr>
        <w:ind w:firstLine="707"/>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Time</w:t>
      </w:r>
      <w:r>
        <w:rPr>
          <w:rFonts w:ascii="Arial" w:cs="Arial" w:eastAsia="Arial" w:hAnsi="Arial"/>
          <w:sz w:val="21"/>
          <w:szCs w:val="21"/>
          <w:color w:val="auto"/>
        </w:rPr>
        <w:t>” means 9:30 p.m. (New York time) on the date of this Agreement or such other time as agreed to by the Company and the Underwriters.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both"/>
        <w:ind w:firstLine="707"/>
        <w:spacing w:after="0" w:line="29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Prospectus</w:t>
      </w:r>
      <w:r>
        <w:rPr>
          <w:rFonts w:ascii="Arial" w:cs="Arial" w:eastAsia="Arial" w:hAnsi="Arial"/>
          <w:sz w:val="20"/>
          <w:szCs w:val="20"/>
          <w:color w:val="auto"/>
        </w:rPr>
        <w:t>” means the Base Prospectus, as amended and supplemented immediately prior to the Applicable Time, including any document incorporated by reference therein and any prospectus supplement deemed to be a part thereof.</w:t>
      </w:r>
    </w:p>
    <w:p>
      <w:pPr>
        <w:spacing w:after="0" w:line="158" w:lineRule="exact"/>
        <w:rPr>
          <w:sz w:val="20"/>
          <w:szCs w:val="20"/>
          <w:color w:val="auto"/>
        </w:rPr>
      </w:pPr>
    </w:p>
    <w:p>
      <w:pPr>
        <w:jc w:val="both"/>
        <w:ind w:firstLine="707"/>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Free Writing Prospectus</w:t>
      </w:r>
      <w:r>
        <w:rPr>
          <w:rFonts w:ascii="Arial" w:cs="Arial" w:eastAsia="Arial" w:hAnsi="Arial"/>
          <w:sz w:val="21"/>
          <w:szCs w:val="21"/>
          <w:color w:val="auto"/>
        </w:rPr>
        <w:t>”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197" w:lineRule="exact"/>
        <w:rPr>
          <w:sz w:val="20"/>
          <w:szCs w:val="20"/>
          <w:color w:val="auto"/>
        </w:rPr>
      </w:pPr>
    </w:p>
    <w:p>
      <w:pPr>
        <w:jc w:val="both"/>
        <w:ind w:firstLine="707"/>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Use Free Writing Prospectus</w:t>
      </w:r>
      <w:r>
        <w:rPr>
          <w:rFonts w:ascii="Arial" w:cs="Arial" w:eastAsia="Arial" w:hAnsi="Arial"/>
          <w:sz w:val="21"/>
          <w:szCs w:val="21"/>
          <w:color w:val="auto"/>
        </w:rPr>
        <w:t xml:space="preserve">” means any Issuer Free Writing Prospectus that is identified on </w:t>
      </w: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to this Agreement.</w:t>
      </w:r>
    </w:p>
    <w:p>
      <w:pPr>
        <w:spacing w:after="0" w:line="181" w:lineRule="exact"/>
        <w:rPr>
          <w:sz w:val="20"/>
          <w:szCs w:val="20"/>
          <w:color w:val="auto"/>
        </w:rPr>
      </w:pPr>
    </w:p>
    <w:p>
      <w:pPr>
        <w:jc w:val="both"/>
        <w:ind w:firstLine="707"/>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Limited Use Free Writing Prospectus</w:t>
      </w:r>
      <w:r>
        <w:rPr>
          <w:rFonts w:ascii="Arial" w:cs="Arial" w:eastAsia="Arial" w:hAnsi="Arial"/>
          <w:sz w:val="21"/>
          <w:szCs w:val="21"/>
          <w:color w:val="auto"/>
        </w:rPr>
        <w:t>” means any Issuer Free Writing Prospectus that is not a General Use Free Writing Prospectus.</w:t>
      </w:r>
    </w:p>
    <w:p>
      <w:pPr>
        <w:spacing w:after="0" w:line="181" w:lineRule="exact"/>
        <w:rPr>
          <w:sz w:val="20"/>
          <w:szCs w:val="20"/>
          <w:color w:val="auto"/>
        </w:rPr>
      </w:pPr>
    </w:p>
    <w:p>
      <w:pPr>
        <w:jc w:val="both"/>
        <w:ind w:firstLine="1332"/>
        <w:spacing w:after="0" w:line="252" w:lineRule="auto"/>
        <w:tabs>
          <w:tab w:leader="none" w:pos="2261"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the General Disclosure Package and the Prospectus and as currently conducted and to enter into and to perform its obligations under this Agreement. Each of the subsidiaries of the Company is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(each a “</w:t>
      </w:r>
      <w:r>
        <w:rPr>
          <w:rFonts w:ascii="Arial" w:cs="Arial" w:eastAsia="Arial" w:hAnsi="Arial"/>
          <w:sz w:val="20"/>
          <w:szCs w:val="20"/>
          <w:u w:val="single" w:color="auto"/>
          <w:color w:val="auto"/>
        </w:rPr>
        <w:t>Subsidiary</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General Disclosure Package and the Prospectus. The Company does not own or control, directly or indirectly, any corporation, limited liability company, association or other entity, other than the Subsidiaries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Each of the Company and its Subsidiaries (collectively, the “</w:t>
      </w:r>
      <w:r>
        <w:rPr>
          <w:rFonts w:ascii="Arial" w:cs="Arial" w:eastAsia="Arial" w:hAnsi="Arial"/>
          <w:sz w:val="20"/>
          <w:szCs w:val="20"/>
          <w:u w:val="single" w:color="auto"/>
          <w:color w:val="auto"/>
        </w:rPr>
        <w:t>Wynn Parties</w:t>
      </w:r>
      <w:r>
        <w:rPr>
          <w:rFonts w:ascii="Arial" w:cs="Arial" w:eastAsia="Arial" w:hAnsi="Arial"/>
          <w:sz w:val="20"/>
          <w:szCs w:val="20"/>
          <w:color w:val="auto"/>
        </w:rPr>
        <w:t>”) is duly qualified to transact business in all jurisdictions in which the conduct of its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Wynn Parties, taken as a whole, whether or not occurring in the ordinary course of business (any such change, a “</w:t>
      </w:r>
      <w:r>
        <w:rPr>
          <w:rFonts w:ascii="Arial" w:cs="Arial" w:eastAsia="Arial" w:hAnsi="Arial"/>
          <w:sz w:val="20"/>
          <w:szCs w:val="20"/>
          <w:u w:val="single" w:color="auto"/>
          <w:color w:val="auto"/>
        </w:rPr>
        <w:t>Material Adverse Change</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firstLine="1332"/>
        <w:spacing w:after="0" w:line="270" w:lineRule="auto"/>
        <w:tabs>
          <w:tab w:leader="none" w:pos="227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As of the date hereof, the authorized capital stock of the Company consists only of 400,000,000 shares of Common Stock, par value $0.01 per share, and 40,000,000 shares of Preferred Stock, par value $0.01 per share. As of the date hereof, there are </w:t>
      </w:r>
      <w:r>
        <w:rPr>
          <w:rFonts w:ascii="Arial" w:cs="Arial" w:eastAsia="Arial" w:hAnsi="Arial"/>
          <w:sz w:val="15"/>
          <w:szCs w:val="15"/>
          <w:color w:val="auto"/>
        </w:rPr>
        <w:t>104,012,540</w:t>
      </w:r>
      <w:r>
        <w:rPr>
          <w:rFonts w:ascii="Arial" w:cs="Arial" w:eastAsia="Arial" w:hAnsi="Arial"/>
          <w:sz w:val="19"/>
          <w:szCs w:val="19"/>
          <w:color w:val="auto"/>
        </w:rPr>
        <w:t xml:space="preserve"> shares of Common Stock and no shares of Preferred Stock outstanding. All issued and outstanding member’s interests and shares of capital stock of each of the Wynn Parties have been duly authorized and validly issued, the shares of capital stock are fully paid and non-assessable, and the member’s interests and shares of capital stock have been issued in compliance with federal and state securities laws. All such member’s interests and shares of capital stock are owned free and clear of all liens, encumbrances and equities and claims, except for any lien, encumbrance, equity or claim granted or agreed to be granted, in each case as accurately described in all material respects in the Registration Statement, the General Disclosure Package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both"/>
        <w:spacing w:after="0" w:line="252" w:lineRule="auto"/>
        <w:rPr>
          <w:sz w:val="20"/>
          <w:szCs w:val="20"/>
          <w:color w:val="auto"/>
        </w:rPr>
      </w:pPr>
      <w:r>
        <w:rPr>
          <w:rFonts w:ascii="Arial" w:cs="Arial" w:eastAsia="Arial" w:hAnsi="Arial"/>
          <w:sz w:val="20"/>
          <w:szCs w:val="20"/>
          <w:color w:val="auto"/>
        </w:rPr>
        <w:t>and the Prospectus (collectively, “</w:t>
      </w:r>
      <w:r>
        <w:rPr>
          <w:rFonts w:ascii="Arial" w:cs="Arial" w:eastAsia="Arial" w:hAnsi="Arial"/>
          <w:sz w:val="20"/>
          <w:szCs w:val="20"/>
          <w:u w:val="single" w:color="auto"/>
          <w:color w:val="auto"/>
        </w:rPr>
        <w:t>Existing Liens</w:t>
      </w:r>
      <w:r>
        <w:rPr>
          <w:rFonts w:ascii="Arial" w:cs="Arial" w:eastAsia="Arial" w:hAnsi="Arial"/>
          <w:sz w:val="20"/>
          <w:szCs w:val="20"/>
          <w:color w:val="auto"/>
        </w:rPr>
        <w:t>”). None of the outstanding member’s interests or shares of capital stock of any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member’s interests or shares of capital stock of any of the Wynn Parties other than those described in all material respects in the Registration Statement, the General Disclosure Package and the Prospectus. The Shares to be issued by the Company pursuant to this Agreement have been duly authorized by all necessary corporate action, and such Shares, when issued, will be validly issued, fully paid and non-assessable; and, except as set forth in the Registration Statement, the General Disclosure Package and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199" w:lineRule="exact"/>
        <w:rPr>
          <w:sz w:val="20"/>
          <w:szCs w:val="20"/>
          <w:color w:val="auto"/>
        </w:rPr>
      </w:pPr>
    </w:p>
    <w:p>
      <w:pPr>
        <w:ind w:firstLine="1332"/>
        <w:spacing w:after="0" w:line="266" w:lineRule="auto"/>
        <w:tabs>
          <w:tab w:leader="none" w:pos="2307" w:val="left"/>
        </w:tabs>
        <w:numPr>
          <w:ilvl w:val="0"/>
          <w:numId w:val="5"/>
        </w:numPr>
        <w:rPr>
          <w:rFonts w:ascii="Arial" w:cs="Arial" w:eastAsia="Arial" w:hAnsi="Arial"/>
          <w:sz w:val="21"/>
          <w:szCs w:val="21"/>
          <w:color w:val="auto"/>
        </w:rPr>
      </w:pPr>
      <w:r>
        <w:rPr>
          <w:rFonts w:ascii="Arial" w:cs="Arial" w:eastAsia="Arial" w:hAnsi="Arial"/>
          <w:sz w:val="21"/>
          <w:szCs w:val="21"/>
          <w:color w:val="auto"/>
        </w:rPr>
        <w:t>All of the Shares conform to the description thereof contained in the Registration Statement, the General Disclosure Package and the Prospectus.</w:t>
      </w:r>
    </w:p>
    <w:p>
      <w:pPr>
        <w:spacing w:after="0" w:line="180" w:lineRule="exact"/>
        <w:rPr>
          <w:rFonts w:ascii="Arial" w:cs="Arial" w:eastAsia="Arial" w:hAnsi="Arial"/>
          <w:sz w:val="21"/>
          <w:szCs w:val="21"/>
          <w:color w:val="auto"/>
        </w:rPr>
      </w:pPr>
    </w:p>
    <w:p>
      <w:pPr>
        <w:jc w:val="both"/>
        <w:ind w:firstLine="1332"/>
        <w:spacing w:after="0" w:line="251" w:lineRule="auto"/>
        <w:tabs>
          <w:tab w:leader="none" w:pos="2128"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spacing w:after="0" w:line="196" w:lineRule="exact"/>
        <w:rPr>
          <w:rFonts w:ascii="Arial" w:cs="Arial" w:eastAsia="Arial" w:hAnsi="Arial"/>
          <w:sz w:val="21"/>
          <w:szCs w:val="21"/>
          <w:color w:val="auto"/>
        </w:rPr>
      </w:pPr>
    </w:p>
    <w:p>
      <w:pPr>
        <w:jc w:val="both"/>
        <w:ind w:firstLine="1332"/>
        <w:spacing w:after="0" w:line="252" w:lineRule="auto"/>
        <w:tabs>
          <w:tab w:leader="none" w:pos="2276"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at the time filed with the Commission conformed or will conform, in all respects to the requirements of the Securities Exchange Act of 1934 (the “</w:t>
      </w:r>
      <w:r>
        <w:rPr>
          <w:rFonts w:ascii="Arial" w:cs="Arial" w:eastAsia="Arial" w:hAnsi="Arial"/>
          <w:sz w:val="20"/>
          <w:szCs w:val="20"/>
          <w:u w:val="single" w:color="auto"/>
          <w:color w:val="auto"/>
        </w:rPr>
        <w:t>Exchange</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provided, however, that the Company makes no representations or warranties as to information contained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21"/>
          <w:szCs w:val="21"/>
          <w:color w:val="auto"/>
        </w:rPr>
        <w:t>in or omitted from the Registration Statement or the Prospectus, or any such amendment or supplement, in reliance upon, and in conformity with, written information furnished to the Company by or on behalf of the Underwriters, specifically for use therein, it being understood and agreed that the only such information is that described in Section 12 herein.</w:t>
      </w:r>
    </w:p>
    <w:p>
      <w:pPr>
        <w:spacing w:after="0" w:line="197" w:lineRule="exact"/>
        <w:rPr>
          <w:sz w:val="20"/>
          <w:szCs w:val="20"/>
          <w:color w:val="auto"/>
        </w:rPr>
      </w:pPr>
    </w:p>
    <w:p>
      <w:pPr>
        <w:jc w:val="both"/>
        <w:ind w:firstLine="1332"/>
        <w:spacing w:after="0" w:line="252" w:lineRule="auto"/>
        <w:tabs>
          <w:tab w:leader="none" w:pos="2214" w:val="left"/>
        </w:tabs>
        <w:numPr>
          <w:ilvl w:val="0"/>
          <w:numId w:val="6"/>
        </w:numPr>
        <w:rPr>
          <w:rFonts w:ascii="Arial" w:cs="Arial" w:eastAsia="Arial" w:hAnsi="Arial"/>
          <w:sz w:val="20"/>
          <w:szCs w:val="20"/>
          <w:color w:val="auto"/>
        </w:rPr>
      </w:pPr>
      <w:r>
        <w:rPr>
          <w:rFonts w:ascii="Arial" w:cs="Arial" w:eastAsia="Arial" w:hAnsi="Arial"/>
          <w:sz w:val="20"/>
          <w:szCs w:val="20"/>
          <w:color w:val="auto"/>
        </w:rPr>
        <w:t>Each Issuer Free Writing Prospectus, as of its issue date and at all subsequent times through the completion of the public offer and sale of the Shares or until any earlier date that the Company notified or notifies the Underwriters as described in the next sentence,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 If at any time following issuance of an Issuer Free Writing Prospectus there occurs an event or development as a result of which such Issuer Free Writing Prospectus conflicts with the information contained in the Registration Statement or contains any untrue statement of a material fact or omits to state a material fact necessary in order to make the statements therein, in the light of the circumstances under which they were made, not misleading, (A) the Company will promptly notify the Underwriters and (B) the Company will promptly amend or supplement such Issuer Free Writing Prospectus to eliminate or correct such conflict, untrue statement or omission. The foregoing two sentences do not apply to statements in or omissions from any Issuer Free Writing Prospectus made in reliance upon and in conformity with written information furnished to the Company by or on behalf of the Underwriters specifically for use therein, it being understood and agreed that the only such information furnished by the Underwriters consists of the information described as such in Section 12 herein.</w:t>
      </w:r>
    </w:p>
    <w:p>
      <w:pPr>
        <w:spacing w:after="0" w:line="199" w:lineRule="exact"/>
        <w:rPr>
          <w:rFonts w:ascii="Arial" w:cs="Arial" w:eastAsia="Arial" w:hAnsi="Arial"/>
          <w:sz w:val="20"/>
          <w:szCs w:val="20"/>
          <w:color w:val="auto"/>
        </w:rPr>
      </w:pPr>
    </w:p>
    <w:p>
      <w:pPr>
        <w:jc w:val="both"/>
        <w:ind w:firstLine="1332"/>
        <w:spacing w:after="0" w:line="263" w:lineRule="auto"/>
        <w:tabs>
          <w:tab w:leader="none" w:pos="236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 Writing Prospectuses in the time and manner required under Rules 163(b)(2) and 433(d) under the Act.</w:t>
      </w:r>
    </w:p>
    <w:p>
      <w:pPr>
        <w:spacing w:after="0" w:line="185" w:lineRule="exact"/>
        <w:rPr>
          <w:rFonts w:ascii="Arial" w:cs="Arial" w:eastAsia="Arial" w:hAnsi="Arial"/>
          <w:sz w:val="20"/>
          <w:szCs w:val="20"/>
          <w:color w:val="auto"/>
        </w:rPr>
      </w:pPr>
    </w:p>
    <w:p>
      <w:pPr>
        <w:jc w:val="both"/>
        <w:ind w:firstLine="1332"/>
        <w:spacing w:after="0" w:line="256" w:lineRule="auto"/>
        <w:tabs>
          <w:tab w:leader="none" w:pos="2157" w:val="left"/>
        </w:tabs>
        <w:numPr>
          <w:ilvl w:val="0"/>
          <w:numId w:val="6"/>
        </w:numPr>
        <w:rPr>
          <w:rFonts w:ascii="Arial" w:cs="Arial" w:eastAsia="Arial" w:hAnsi="Arial"/>
          <w:sz w:val="20"/>
          <w:szCs w:val="20"/>
          <w:color w:val="auto"/>
        </w:rPr>
      </w:pPr>
      <w:r>
        <w:rPr>
          <w:rFonts w:ascii="Arial" w:cs="Arial" w:eastAsia="Arial" w:hAnsi="Arial"/>
          <w:sz w:val="20"/>
          <w:szCs w:val="20"/>
          <w:color w:val="auto"/>
        </w:rPr>
        <w:t>(i) At the time of filing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and (iv) at the date hereof, the Company is a “well-known seasoned issuer” as defined in Rule 405 under the Act. The Company has not received from the Commission any notice pursuant to Rule 401(g)(2) under the Act objecting to the use of the automatic shelf registration form.</w:t>
      </w:r>
    </w:p>
    <w:p>
      <w:pPr>
        <w:spacing w:after="0" w:line="192" w:lineRule="exact"/>
        <w:rPr>
          <w:rFonts w:ascii="Arial" w:cs="Arial" w:eastAsia="Arial" w:hAnsi="Arial"/>
          <w:sz w:val="20"/>
          <w:szCs w:val="20"/>
          <w:color w:val="auto"/>
        </w:rPr>
      </w:pPr>
    </w:p>
    <w:p>
      <w:pPr>
        <w:jc w:val="both"/>
        <w:ind w:firstLine="1332"/>
        <w:spacing w:after="0" w:line="251" w:lineRule="auto"/>
        <w:tabs>
          <w:tab w:leader="none" w:pos="2404"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At the earliest time after the filing of the Registration Statement that the Company or another offering participant made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offer (within the meaning of Rule 164(h)(2) under the Act) of the Shares and (ii) as of the date hereof (with such date being used as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20"/>
          <w:szCs w:val="20"/>
          <w:color w:val="auto"/>
        </w:rPr>
        <w:t>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85" w:lineRule="exact"/>
        <w:rPr>
          <w:sz w:val="20"/>
          <w:szCs w:val="20"/>
          <w:color w:val="auto"/>
        </w:rPr>
      </w:pPr>
    </w:p>
    <w:p>
      <w:pPr>
        <w:jc w:val="both"/>
        <w:ind w:firstLine="1332"/>
        <w:spacing w:after="0" w:line="266" w:lineRule="auto"/>
        <w:tabs>
          <w:tab w:leader="none" w:pos="2222"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consolidated financial statements of the Company and its Subsidiaries, together with related notes and schedules as set forth or incorporated by reference in the Registration Statement, the General Disclosure Package and the Prospectus (collectively,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present fairly the consolidated financial position and the results of operations and cash flows of the Company and its Subsidiaries at the indicated dates and for the indicated periods. The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the General Disclosure Package and the Prospectus, including such data set forth under the caption “Selected Financial Data,” presents fairly the information shown therein and such data has been compiled on a basis consistent with the financial statements presented therein and the books and records of the Company and its Subsidiaries, as applicable. No other financial statements or supporting schedules are required to be included in the Registration Statement, the General Disclosure Package and the Prospectus, and there are no pro forma or as adjusted financial statements which are required to be included in the Registration Statement, the General Disclosure Package and the Prospectus which have not been included as so required.</w:t>
      </w:r>
    </w:p>
    <w:p>
      <w:pPr>
        <w:spacing w:after="0" w:line="193" w:lineRule="exact"/>
        <w:rPr>
          <w:rFonts w:ascii="Arial" w:cs="Arial" w:eastAsia="Arial" w:hAnsi="Arial"/>
          <w:sz w:val="19"/>
          <w:szCs w:val="19"/>
          <w:color w:val="auto"/>
        </w:rPr>
      </w:pPr>
    </w:p>
    <w:p>
      <w:pPr>
        <w:jc w:val="both"/>
        <w:ind w:firstLine="1332"/>
        <w:spacing w:after="0" w:line="244" w:lineRule="auto"/>
        <w:tabs>
          <w:tab w:leader="none" w:pos="2410" w:val="left"/>
        </w:tabs>
        <w:numPr>
          <w:ilvl w:val="0"/>
          <w:numId w:val="7"/>
        </w:numPr>
        <w:rPr>
          <w:rFonts w:ascii="Arial" w:cs="Arial" w:eastAsia="Arial" w:hAnsi="Arial"/>
          <w:sz w:val="21"/>
          <w:szCs w:val="21"/>
          <w:color w:val="auto"/>
        </w:rPr>
      </w:pPr>
      <w:r>
        <w:rPr>
          <w:rFonts w:ascii="Arial" w:cs="Arial" w:eastAsia="Arial" w:hAnsi="Arial"/>
          <w:sz w:val="21"/>
          <w:szCs w:val="21"/>
          <w:color w:val="auto"/>
        </w:rPr>
        <w:t>Each of Deloitte &amp; Touche LLP, which has certified certain of the Financial Statements included in the Registration Statement, the General Disclosure Package and the Prospectus, and Ernst &amp; Young LLP, which currently serves as auditor with respect to the financial statements of the Company and its Subsidiaries, is an independent public accountant as required by the Act, the rules and regulations of the Commission and the Public Company Accounting Oversight Board (United States) (the “</w:t>
      </w:r>
      <w:r>
        <w:rPr>
          <w:rFonts w:ascii="Arial" w:cs="Arial" w:eastAsia="Arial" w:hAnsi="Arial"/>
          <w:sz w:val="21"/>
          <w:szCs w:val="21"/>
          <w:u w:val="single" w:color="auto"/>
          <w:color w:val="auto"/>
        </w:rPr>
        <w:t>PCAOB</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jc w:val="both"/>
        <w:ind w:firstLine="1332"/>
        <w:spacing w:after="0" w:line="253" w:lineRule="auto"/>
        <w:tabs>
          <w:tab w:leader="none" w:pos="215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There is no action, suit, claim or proceeding pending or, to the knowledge of the Wynn Parties, (i) threatened against any of the Wynn Parties or (ii) which has as the subject thereof any officer or director of, or property owned or leased by or to, any of the Wynn Parties, in each case, before any court or administrative agency or otherwise where, in any such case, (A) there is a reasonable possibility of such action, suit, claim or proceeding being determined adversely to such Wynn Party and (B) any such action, suit, claim or proceeding, if so determined adversely, would reasonably be expected to result, individually or in the aggregate, in a Material Adverse Change, or prevent, adversely affect, hinder or delay the consummation of the transactions contemplated by this Agreement or the performance by any of the Wynn Parties of their obligations hereunder, except as otherwise disclosed in the Registration Statement, the General Disclosure Package and the Prospectus. Except as otherwise disclosed in the Registration Statement, the General Disclosure Package and the Prospectus, none of the Wynn Parties is involved in any labor dispute with the employees of any of the Wynn Parties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21"/>
          <w:szCs w:val="21"/>
          <w:color w:val="auto"/>
        </w:rPr>
        <w:t>any of their predecessors, or with the employees of any principal supplier, contractor or sub-contractor of any of the Wynn Parties that would reasonably be expected to result in a Material Adverse Change and, to the best of the Wynn Parties’ knowledge, no such dispute is threatened or imminent.</w:t>
      </w:r>
    </w:p>
    <w:p>
      <w:pPr>
        <w:spacing w:after="0" w:line="197" w:lineRule="exact"/>
        <w:rPr>
          <w:sz w:val="20"/>
          <w:szCs w:val="20"/>
          <w:color w:val="auto"/>
        </w:rPr>
      </w:pPr>
    </w:p>
    <w:p>
      <w:pPr>
        <w:jc w:val="both"/>
        <w:ind w:firstLine="1332"/>
        <w:spacing w:after="0" w:line="269" w:lineRule="auto"/>
        <w:tabs>
          <w:tab w:leader="none" w:pos="2268" w:val="left"/>
        </w:tabs>
        <w:numPr>
          <w:ilvl w:val="0"/>
          <w:numId w:val="8"/>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the General Disclosure Package and the Prospectus, the Wynn Parties have good title in fee simple to all real property and good title to all personal property owned by them, subject to no lien, mortgage, pledge, charge or encumbrance of any kind except Existing Liens or those reflected in the Financial Statements described in Section 1(l) above or which do not, individually or in the aggregate, materially and adversely affect the value of such property and do not, individually or in the aggregate, materially interfere with the use made or proposed to be made of such property by the Wynn Parties. Except as disclosed in the Registration Statement, the General Disclosure Package and the Prospectus, the real property, improvements, equipment and personal property held under lease by the Wynn Parties are held under valid and enforceable leases, with such exceptions as are not material and do not materially interfere with the use made or proposed to be made of such leased real property, improvements, equipment or personal property by such Wynn Parties.</w:t>
      </w:r>
    </w:p>
    <w:p>
      <w:pPr>
        <w:spacing w:after="0" w:line="182" w:lineRule="exact"/>
        <w:rPr>
          <w:rFonts w:ascii="Arial" w:cs="Arial" w:eastAsia="Arial" w:hAnsi="Arial"/>
          <w:sz w:val="19"/>
          <w:szCs w:val="19"/>
          <w:color w:val="auto"/>
        </w:rPr>
      </w:pPr>
    </w:p>
    <w:p>
      <w:pPr>
        <w:jc w:val="both"/>
        <w:ind w:firstLine="1332"/>
        <w:spacing w:after="0" w:line="269" w:lineRule="auto"/>
        <w:tabs>
          <w:tab w:leader="none" w:pos="220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Wynn Parties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Wynn Parties have established reserves that are adequate for the payment thereof and are in conformity with United States generally accepted accounting principles consistently applied or (ii) to the extent that the failure to timely file any such tax returns or to timely pay such taxes has not resulted in, and would not reasonably be expected to result in, a Material Adverse Change. All taxes of the Wynn Parties not yet due and payable have been provided for in the consolidated Financial Statements described in Section 1(l) above to the extent required by and in conformity with United States generally accepted accounting principles consistently applied, and none of the Wynn Parties has received written notice of any actual or proposed additional material tax assessment against any Wynn Parties.</w:t>
      </w:r>
    </w:p>
    <w:p>
      <w:pPr>
        <w:spacing w:after="0" w:line="182" w:lineRule="exact"/>
        <w:rPr>
          <w:rFonts w:ascii="Arial" w:cs="Arial" w:eastAsia="Arial" w:hAnsi="Arial"/>
          <w:sz w:val="19"/>
          <w:szCs w:val="19"/>
          <w:color w:val="auto"/>
        </w:rPr>
      </w:pPr>
    </w:p>
    <w:p>
      <w:pPr>
        <w:jc w:val="both"/>
        <w:ind w:firstLine="1332"/>
        <w:spacing w:after="0"/>
        <w:tabs>
          <w:tab w:leader="none" w:pos="2192" w:val="left"/>
        </w:tabs>
        <w:numPr>
          <w:ilvl w:val="0"/>
          <w:numId w:val="8"/>
        </w:numPr>
        <w:rPr>
          <w:rFonts w:ascii="Arial" w:cs="Arial" w:eastAsia="Arial" w:hAnsi="Arial"/>
          <w:sz w:val="21"/>
          <w:szCs w:val="21"/>
          <w:color w:val="auto"/>
        </w:rPr>
      </w:pPr>
      <w:r>
        <w:rPr>
          <w:rFonts w:ascii="Arial" w:cs="Arial" w:eastAsia="Arial" w:hAnsi="Arial"/>
          <w:sz w:val="21"/>
          <w:szCs w:val="21"/>
          <w:color w:val="auto"/>
        </w:rPr>
        <w:t>Except as disclosed in the Registration Statement, the General Disclosure Package and the Prospectus, since the respective dates as of which information is given in each of the Registration Statement, the General Disclosure Package and the Prospectus, as each may be amended or supplemented, (i) there has not been any Material Adverse Change or any development that would reasonably be expected to result in a Material Adverse Change, (ii) the Wynn Parties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jc w:val="both"/>
        <w:ind w:firstLine="1332"/>
        <w:spacing w:after="0" w:line="272" w:lineRule="auto"/>
        <w:tabs>
          <w:tab w:leader="none" w:pos="2121" w:val="left"/>
        </w:tabs>
        <w:numPr>
          <w:ilvl w:val="1"/>
          <w:numId w:val="9"/>
        </w:numPr>
        <w:rPr>
          <w:rFonts w:ascii="Arial" w:cs="Arial" w:eastAsia="Arial" w:hAnsi="Arial"/>
          <w:sz w:val="19"/>
          <w:szCs w:val="19"/>
          <w:color w:val="auto"/>
        </w:rPr>
      </w:pPr>
      <w:r>
        <w:rPr>
          <w:rFonts w:ascii="Arial" w:cs="Arial" w:eastAsia="Arial" w:hAnsi="Arial"/>
          <w:sz w:val="19"/>
          <w:szCs w:val="19"/>
          <w:color w:val="auto"/>
        </w:rPr>
        <w:t>None of the Wynn Parties is or, with the giving of notice or lapse of time or both, will be, in violation of or in default under (i) its articles of incorporation, by-laws, articles of organization, operating agreement or other organizational document,</w:t>
      </w:r>
    </w:p>
    <w:p>
      <w:pPr>
        <w:jc w:val="both"/>
        <w:ind w:firstLine="6"/>
        <w:spacing w:after="0" w:line="264" w:lineRule="auto"/>
        <w:tabs>
          <w:tab w:leader="none" w:pos="31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terms of any security issued by it or any contract, indenture, mortgage, deed of trust, loan, credit, security or pledge agreement, promissory note, lease, license, franchise agreement, permit, certificate or other agreement or instrument to which it is a party or by which it, or any of its properties, is bound (collectively, the “</w:t>
      </w:r>
      <w:r>
        <w:rPr>
          <w:rFonts w:ascii="Arial" w:cs="Arial" w:eastAsia="Arial" w:hAnsi="Arial"/>
          <w:sz w:val="19"/>
          <w:szCs w:val="19"/>
          <w:u w:val="single" w:color="auto"/>
          <w:color w:val="auto"/>
        </w:rPr>
        <w:t>Agreements and Instruments</w:t>
      </w:r>
      <w:r>
        <w:rPr>
          <w:rFonts w:ascii="Arial" w:cs="Arial" w:eastAsia="Arial" w:hAnsi="Arial"/>
          <w:sz w:val="19"/>
          <w:szCs w:val="19"/>
          <w:color w:val="auto"/>
        </w:rPr>
        <w:t>”) and, solely with respect to this clause (ii), which violation or default would reasonably be expected, individually or in the aggregate, to result in a Material Adverse Change. The execution, delivery and performance of this Agreement and compliance by the Company with its obligations hereunder or thereunder do not and, with the giving of notice or lapse of time or both, will not conflict with or constitute a breach of, or default or a Repayment Event (as defined below) under, or, except with respect to the transactions contemplated by the Registration Statement, the General Disclosure Package and the Prospectus, result in the creation or imposition of any lien, charge or encumbrance upon any property or assets of any Wynn Party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(x) the provisions of the articles of incorporation, bylaws, articles of organization, operating agreement or any other organizational document or stockholders’ agreement of any Wynn Parties, as applicable, or (y) any applicable law, statute, rule, regulation, judgment, order, writ or decree of any government, government instrumentality or court, domestic or foreign, having jurisdiction over it or any of its assets or properties and, solely with respect to this clause (y), which violation would reasonably be expected to result in a Material Adverse Change. As used herein, a “</w:t>
      </w:r>
      <w:r>
        <w:rPr>
          <w:rFonts w:ascii="Arial" w:cs="Arial" w:eastAsia="Arial" w:hAnsi="Arial"/>
          <w:sz w:val="19"/>
          <w:szCs w:val="19"/>
          <w:u w:val="single" w:color="auto"/>
          <w:color w:val="auto"/>
        </w:rPr>
        <w:t>Repayment Event</w:t>
      </w:r>
      <w:r>
        <w:rPr>
          <w:rFonts w:ascii="Arial" w:cs="Arial" w:eastAsia="Arial" w:hAnsi="Arial"/>
          <w:sz w:val="19"/>
          <w:szCs w:val="19"/>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any Wynn Party.</w:t>
      </w:r>
    </w:p>
    <w:p>
      <w:pPr>
        <w:spacing w:after="0" w:line="190" w:lineRule="exact"/>
        <w:rPr>
          <w:rFonts w:ascii="Arial" w:cs="Arial" w:eastAsia="Arial" w:hAnsi="Arial"/>
          <w:sz w:val="19"/>
          <w:szCs w:val="19"/>
          <w:color w:val="auto"/>
        </w:rPr>
      </w:pPr>
    </w:p>
    <w:p>
      <w:pPr>
        <w:jc w:val="both"/>
        <w:ind w:firstLine="1332"/>
        <w:spacing w:after="0" w:line="252" w:lineRule="auto"/>
        <w:tabs>
          <w:tab w:leader="none" w:pos="2328" w:val="left"/>
        </w:tabs>
        <w:numPr>
          <w:ilvl w:val="1"/>
          <w:numId w:val="10"/>
        </w:numPr>
        <w:rPr>
          <w:rFonts w:ascii="Arial" w:cs="Arial" w:eastAsia="Arial" w:hAnsi="Arial"/>
          <w:sz w:val="20"/>
          <w:szCs w:val="20"/>
          <w:color w:val="auto"/>
        </w:rPr>
      </w:pPr>
      <w:r>
        <w:rPr>
          <w:rFonts w:ascii="Arial" w:cs="Arial" w:eastAsia="Arial" w:hAnsi="Arial"/>
          <w:sz w:val="20"/>
          <w:szCs w:val="20"/>
          <w:color w:val="auto"/>
        </w:rPr>
        <w:t>No approval, consent, order, authorization, designation, declaration or filing by or with any government, judicial, regulatory, administrative or other legal or governmental body, foreign or domestic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w:t>
      </w:r>
      <w:r>
        <w:rPr>
          <w:rFonts w:ascii="Arial" w:cs="Arial" w:eastAsia="Arial" w:hAnsi="Arial"/>
          <w:sz w:val="20"/>
          <w:szCs w:val="20"/>
          <w:u w:val="single" w:color="auto"/>
          <w:color w:val="auto"/>
        </w:rPr>
        <w:t>Consents</w:t>
      </w:r>
      <w:r>
        <w:rPr>
          <w:rFonts w:ascii="Arial" w:cs="Arial" w:eastAsia="Arial" w:hAnsi="Arial"/>
          <w:sz w:val="20"/>
          <w:szCs w:val="20"/>
          <w:color w:val="auto"/>
        </w:rPr>
        <w:t>”) is necessary in connection with the execution, delivery and performance by the Company of this Agreement, and the consummation of the transactions contemplated by this Agreement, the General Disclosure Package and the Prospectus, except (i) such as have already been obtained, (ii) the registration under the Act or the Rules and Regulations of the Shares, which has become effective, (iii) 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State securities laws, Blue Sky Laws, the Nasdaq Global Select Market or the by-laws and rules of the Financial Industry Regulatory Authority, Inc.</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FINRA</w:t>
      </w:r>
      <w:r>
        <w:rPr>
          <w:rFonts w:ascii="Arial" w:cs="Arial" w:eastAsia="Arial" w:hAnsi="Arial"/>
          <w:sz w:val="21"/>
          <w:szCs w:val="21"/>
          <w:color w:val="auto"/>
        </w:rPr>
        <w:t>”) in connection with the purchase and distribution of the Shares by you, each of which, except as disclosed in the Registration Statement, the General Disclosure Package and the Prospectus, has been obtained and is in full force and effect, and (v) as disclosed in the Registration Statement, the General Disclosure Package and the Prospectus.</w:t>
      </w:r>
    </w:p>
    <w:p>
      <w:pPr>
        <w:spacing w:after="0" w:line="197" w:lineRule="exact"/>
        <w:rPr>
          <w:sz w:val="20"/>
          <w:szCs w:val="20"/>
          <w:color w:val="auto"/>
        </w:rPr>
      </w:pPr>
    </w:p>
    <w:p>
      <w:pPr>
        <w:jc w:val="both"/>
        <w:ind w:firstLine="1332"/>
        <w:spacing w:after="0" w:line="265" w:lineRule="auto"/>
        <w:tabs>
          <w:tab w:leader="none" w:pos="2194"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the General Disclosure Package and the Prospectus or as would not, individually or in the aggregate, reasonably be expected to result in a Material Adverse Change, (i) each of the Wynn Parties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agency or authority (“</w:t>
      </w:r>
      <w:r>
        <w:rPr>
          <w:rFonts w:ascii="Arial" w:cs="Arial" w:eastAsia="Arial" w:hAnsi="Arial"/>
          <w:sz w:val="19"/>
          <w:szCs w:val="19"/>
          <w:u w:val="single" w:color="auto"/>
          <w:color w:val="auto"/>
        </w:rPr>
        <w:t>Permits</w:t>
      </w:r>
      <w:r>
        <w:rPr>
          <w:rFonts w:ascii="Arial" w:cs="Arial" w:eastAsia="Arial" w:hAnsi="Arial"/>
          <w:sz w:val="19"/>
          <w:szCs w:val="19"/>
          <w:color w:val="auto"/>
        </w:rPr>
        <w:t>”) for the ownership or current use of all real property owned or leased by any such Wynn Party and for any other property otherwise currently operated by or on behalf of, or for the benefit of, such entity and for the operation of each of its businesses as presently conducted, (ii) all such Permits are in full force and effect, and each of the Wynn Parties has performed and observed all requirements of such Permits, (iii) 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any of the Wynn Parties, or to the current operation of any of their businesses or any property currently owned, leased or otherwise operated by such entity, (v) each of the Wynn Parties reasonably believes that each of its Permits will be timely renewed and complied with and that any additional Permits that may be required of such entity in order to conduct its business as proposed to be conducted will be timely obtained and complied with and (vi) none of the Wynn Parties has any knowledge or any reason to believe that any governmental authority is considering limiting, suspending, revoking or renewing any such Permits on terms materially more burdensome than the terms of such Permit as in effect on the date hereof.</w:t>
      </w:r>
    </w:p>
    <w:p>
      <w:pPr>
        <w:spacing w:after="0" w:line="194" w:lineRule="exact"/>
        <w:rPr>
          <w:rFonts w:ascii="Arial" w:cs="Arial" w:eastAsia="Arial" w:hAnsi="Arial"/>
          <w:sz w:val="19"/>
          <w:szCs w:val="19"/>
          <w:color w:val="auto"/>
        </w:rPr>
      </w:pPr>
    </w:p>
    <w:p>
      <w:pPr>
        <w:jc w:val="both"/>
        <w:ind w:firstLine="1332"/>
        <w:spacing w:after="0" w:line="252" w:lineRule="auto"/>
        <w:tabs>
          <w:tab w:leader="none" w:pos="2485"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Except as otherwise disclosed in the Registration Statement, the General Disclosure Package and the Prospectus or as would not reasonably be expected to result in a Material Adverse Change, (i) none of the Wynn Parties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20"/>
          <w:szCs w:val="20"/>
          <w:u w:val="single" w:color="auto"/>
          <w:color w:val="auto"/>
        </w:rPr>
        <w:t>Hazardous Materials</w:t>
      </w:r>
      <w:r>
        <w:rPr>
          <w:rFonts w:ascii="Arial" w:cs="Arial" w:eastAsia="Arial" w:hAnsi="Arial"/>
          <w:sz w:val="20"/>
          <w:szCs w:val="20"/>
          <w:color w:val="auto"/>
        </w:rPr>
        <w:t>”) or to the manufacture, processing, distribution, use, treatment, storage, disposal, transport or handling of Hazardous Materials (collectively, “</w:t>
      </w:r>
      <w:r>
        <w:rPr>
          <w:rFonts w:ascii="Arial" w:cs="Arial" w:eastAsia="Arial" w:hAnsi="Arial"/>
          <w:sz w:val="20"/>
          <w:szCs w:val="20"/>
          <w:u w:val="single" w:color="auto"/>
          <w:color w:val="auto"/>
        </w:rPr>
        <w:t>Environmental Laws</w:t>
      </w:r>
      <w:r>
        <w:rPr>
          <w:rFonts w:ascii="Arial" w:cs="Arial" w:eastAsia="Arial" w:hAnsi="Arial"/>
          <w:sz w:val="20"/>
          <w:szCs w:val="20"/>
          <w:color w:val="auto"/>
        </w:rPr>
        <w:t>”); (ii) none of the Wynn Parties or, to the knowledge of any Wynn Party, any third party, has used, released, discharged, generated, manufactured, produced, stored, or disposed of in, on, under, or about the real property owned or leased by any of the Wynn Parties or any improvements thereon (the “</w:t>
      </w:r>
      <w:r>
        <w:rPr>
          <w:rFonts w:ascii="Arial" w:cs="Arial" w:eastAsia="Arial" w:hAnsi="Arial"/>
          <w:sz w:val="20"/>
          <w:szCs w:val="20"/>
          <w:u w:val="single" w:color="auto"/>
          <w:color w:val="auto"/>
        </w:rPr>
        <w:t>Sites</w:t>
      </w:r>
      <w:r>
        <w:rPr>
          <w:rFonts w:ascii="Arial" w:cs="Arial" w:eastAsia="Arial" w:hAnsi="Arial"/>
          <w:sz w:val="20"/>
          <w:szCs w:val="20"/>
          <w:color w:val="auto"/>
        </w:rPr>
        <w:t>”) or transported thereto or therefrom, any Hazardous Materials that would reasonably be expected to subject any of the Wynn Parties to any liability under any Environmental Law; (iii)</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20"/>
          <w:szCs w:val="20"/>
          <w:color w:val="auto"/>
        </w:rPr>
        <w:t>there are no underground tanks and no Hazardous Materials used, stored or present at, on or near the Sites; (iv) to the knowledge of any of the Wynn Parties after due inquiry, there is or has been no condition, circumstance, action, activity or event that could reasonably form the basis of any violation of, or any liability to any of the Wynn Parties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 (vi) none of the Wynn Parties has any knowledge of any past or existing violations of any Environmental Laws by any person relating in any way to the Sites; and (vii) none of the Wynn Parties has received any complaint, order, directive, citation or notice from any governmental body with respect to any Environmental Law.</w:t>
      </w:r>
    </w:p>
    <w:p>
      <w:pPr>
        <w:spacing w:after="0" w:line="193" w:lineRule="exact"/>
        <w:rPr>
          <w:sz w:val="20"/>
          <w:szCs w:val="20"/>
          <w:color w:val="auto"/>
        </w:rPr>
      </w:pPr>
    </w:p>
    <w:p>
      <w:pPr>
        <w:jc w:val="both"/>
        <w:ind w:firstLine="1332"/>
        <w:spacing w:after="0" w:line="251" w:lineRule="auto"/>
        <w:tabs>
          <w:tab w:leader="none" w:pos="2485"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Except as otherwise disclosed in the Registration Statement, the General Disclosure Package and the Prospectus, (i) the Wynn Parties each own or possess the valid right to use all material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presently used in their businesses and none of the Wynn Parties has any reason to believe that it or they will not own or possess or be able to obtain when needed the valid right to use all Intellectual Property necessary to carry on their businesses as presently or proposed to be conducted; (ii) neither the Intellectual Property owned or, to the knowledge of any of the Wynn Parties, used by, nor the conduct or operation of the businesses (as presently and proposed to be conducted or operated) of, the Wynn Parties infringes upon, misappropriates or violates, or, if the businesses are conducted or operated as presently intended, will, to the knowledge of any of the Wynn Parties, infringe upon, misappropriate or violate, any Intellectual Property of any other person or entity; (iii) to the knowledge of the Wynn Parties, none of the Intellectual Property used by any Wynn Party has been obtained or is being used by any such Wynn Party in violation of any contractual obligation binding on such Wynn Party or any of their respective officers, directors or employees or otherwise in violation of the rights of any persons, except as would not reasonably be expected to result in a Material Adverse Change; (iv) none of the Wynn Parties has in the last three years received any material written communications, nor to the knowledge of the Wynn Parties is any action or proceeding pending, alleging that any such Wynn Party has violated, infringed upon or misappropriated, or, by conducting its business as set forth in the Registration Statement, the General Disclosure Package or the Prospectus, would violate, infringe upon or misappropriate, any of the Intellectual Property of any other person or entity; and (v) none of the Wynn Parties knows of any material infringement by others of Intellectual Property owned by or licensed to any of the Wynn Parties.</w:t>
      </w:r>
    </w:p>
    <w:p>
      <w:pPr>
        <w:spacing w:after="0" w:line="201" w:lineRule="exact"/>
        <w:rPr>
          <w:sz w:val="20"/>
          <w:szCs w:val="20"/>
          <w:color w:val="auto"/>
        </w:rPr>
      </w:pPr>
    </w:p>
    <w:p>
      <w:pPr>
        <w:jc w:val="both"/>
        <w:ind w:firstLine="1326"/>
        <w:spacing w:after="0" w:line="244" w:lineRule="auto"/>
        <w:rPr>
          <w:sz w:val="20"/>
          <w:szCs w:val="20"/>
          <w:color w:val="auto"/>
        </w:rPr>
      </w:pPr>
      <w:r>
        <w:rPr>
          <w:rFonts w:ascii="Arial" w:cs="Arial" w:eastAsia="Arial" w:hAnsi="Arial"/>
          <w:sz w:val="21"/>
          <w:szCs w:val="21"/>
          <w:color w:val="auto"/>
        </w:rPr>
        <w:t>The Wynn Parties have taken all commercially reasonable steps necessary to secure their interests in, and protect the secrecy, confidentiality and value of, such Intellectual Property. There are no outstanding options, licenses or agreements of any kind relating to the Intellectual Property of the Wynn Parties that are required to be described in the Registration Statement, the General Disclosure Package and the Prospectus and are not described therein in all material respects. None of the Wynn Parties is a party to or bound by any options, licenses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p>
      <w:pPr>
        <w:spacing w:after="0" w:line="319" w:lineRule="auto"/>
        <w:rPr>
          <w:sz w:val="20"/>
          <w:szCs w:val="20"/>
          <w:color w:val="auto"/>
        </w:rPr>
      </w:pPr>
      <w:r>
        <w:rPr>
          <w:rFonts w:ascii="Arial" w:cs="Arial" w:eastAsia="Arial" w:hAnsi="Arial"/>
          <w:sz w:val="19"/>
          <w:szCs w:val="19"/>
          <w:color w:val="auto"/>
        </w:rPr>
        <w:t>agreements with respect to the Intellectual Property of any other person or entity that are required to be set forth in the Registration Statement, the General Disclosure Package and the Prospectus and are not described therein in all material respects.</w:t>
      </w:r>
    </w:p>
    <w:p>
      <w:pPr>
        <w:spacing w:after="0" w:line="135" w:lineRule="exact"/>
        <w:rPr>
          <w:sz w:val="20"/>
          <w:szCs w:val="20"/>
          <w:color w:val="auto"/>
        </w:rPr>
      </w:pPr>
    </w:p>
    <w:p>
      <w:pPr>
        <w:jc w:val="both"/>
        <w:ind w:firstLine="1332"/>
        <w:spacing w:after="0" w:line="243" w:lineRule="auto"/>
        <w:tabs>
          <w:tab w:leader="none" w:pos="23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Neither the Company nor, to the knowledge of the Company, any of its affiliates (within the meaning of Rule 144 under the Act) (each, an “</w:t>
      </w:r>
      <w:r>
        <w:rPr>
          <w:rFonts w:ascii="Arial" w:cs="Arial" w:eastAsia="Arial" w:hAnsi="Arial"/>
          <w:sz w:val="21"/>
          <w:szCs w:val="21"/>
          <w:u w:val="single" w:color="auto"/>
          <w:color w:val="auto"/>
        </w:rPr>
        <w:t>Affiliate</w:t>
      </w:r>
      <w:r>
        <w:rPr>
          <w:rFonts w:ascii="Arial" w:cs="Arial" w:eastAsia="Arial" w:hAnsi="Arial"/>
          <w:sz w:val="21"/>
          <w:szCs w:val="21"/>
          <w:color w:val="auto"/>
        </w:rPr>
        <w:t>”), has taken, nor will the Company, or to the knowledge of the Company, any such Affiliate, take, directly or indirectly, any action designed to cause or result in, or which has constituted or which could reasonably be expected to constitute, the stabilization or manipulation of the price of the shares of Common Stock to facilitate the sale or resale of the Shares. The Company acknowledges that the Underwriters may engage in passive market making transactions in the Securities in accordance with Regulation M under the Exchange Act.</w:t>
      </w:r>
    </w:p>
    <w:p>
      <w:pPr>
        <w:spacing w:after="0" w:line="203" w:lineRule="exact"/>
        <w:rPr>
          <w:rFonts w:ascii="Arial" w:cs="Arial" w:eastAsia="Arial" w:hAnsi="Arial"/>
          <w:sz w:val="21"/>
          <w:szCs w:val="21"/>
          <w:color w:val="auto"/>
        </w:rPr>
      </w:pPr>
    </w:p>
    <w:p>
      <w:pPr>
        <w:jc w:val="both"/>
        <w:ind w:firstLine="1332"/>
        <w:spacing w:after="0" w:line="246" w:lineRule="auto"/>
        <w:tabs>
          <w:tab w:leader="none" w:pos="2405" w:val="left"/>
        </w:tabs>
        <w:numPr>
          <w:ilvl w:val="0"/>
          <w:numId w:val="13"/>
        </w:numPr>
        <w:rPr>
          <w:rFonts w:ascii="Arial" w:cs="Arial" w:eastAsia="Arial" w:hAnsi="Arial"/>
          <w:sz w:val="21"/>
          <w:szCs w:val="21"/>
          <w:color w:val="auto"/>
        </w:rPr>
      </w:pPr>
      <w:r>
        <w:rPr>
          <w:rFonts w:ascii="Arial" w:cs="Arial" w:eastAsia="Arial" w:hAnsi="Arial"/>
          <w:sz w:val="21"/>
          <w:szCs w:val="21"/>
          <w:color w:val="auto"/>
        </w:rPr>
        <w:t>None of the Wynn Parties, or to the knowledge of any of the Wynn Parties, any of their affiliates, has distributed or will distribute, prior to the completion of the Underwriters’ distribution of the Shares, any offering material in connection with the offering and sale of the Shares other than the Registration Statement, the General Disclosure Package and the Prospectus.</w:t>
      </w:r>
    </w:p>
    <w:p>
      <w:pPr>
        <w:spacing w:after="0" w:line="203" w:lineRule="exact"/>
        <w:rPr>
          <w:rFonts w:ascii="Arial" w:cs="Arial" w:eastAsia="Arial" w:hAnsi="Arial"/>
          <w:sz w:val="21"/>
          <w:szCs w:val="21"/>
          <w:color w:val="auto"/>
        </w:rPr>
      </w:pPr>
    </w:p>
    <w:p>
      <w:pPr>
        <w:jc w:val="both"/>
        <w:ind w:firstLine="1332"/>
        <w:spacing w:after="0" w:line="263" w:lineRule="auto"/>
        <w:tabs>
          <w:tab w:leader="none" w:pos="2408"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None of the Wynn Parties is or, after giving effect to the offering and sale of the Shares contemplated hereunder and the application of the net proceeds from such sale as described in the General Disclosure Package and the Prospectus, will be required to register as an “investment company” within the meaning of such term under the Investment Company Act of 1940, as amended (the “</w:t>
      </w:r>
      <w:r>
        <w:rPr>
          <w:rFonts w:ascii="Arial" w:cs="Arial" w:eastAsia="Arial" w:hAnsi="Arial"/>
          <w:sz w:val="20"/>
          <w:szCs w:val="20"/>
          <w:u w:val="single" w:color="auto"/>
          <w:color w:val="auto"/>
        </w:rPr>
        <w:t>1940 Act</w:t>
      </w:r>
      <w:r>
        <w:rPr>
          <w:rFonts w:ascii="Arial" w:cs="Arial" w:eastAsia="Arial" w:hAnsi="Arial"/>
          <w:sz w:val="20"/>
          <w:szCs w:val="20"/>
          <w:color w:val="auto"/>
        </w:rPr>
        <w:t>”), and the rules and regulations of the Commission thereunder.</w:t>
      </w:r>
    </w:p>
    <w:p>
      <w:pPr>
        <w:spacing w:after="0" w:line="185" w:lineRule="exact"/>
        <w:rPr>
          <w:rFonts w:ascii="Arial" w:cs="Arial" w:eastAsia="Arial" w:hAnsi="Arial"/>
          <w:sz w:val="20"/>
          <w:szCs w:val="20"/>
          <w:color w:val="auto"/>
        </w:rPr>
      </w:pPr>
    </w:p>
    <w:p>
      <w:pPr>
        <w:jc w:val="both"/>
        <w:ind w:firstLine="1332"/>
        <w:spacing w:after="0" w:line="246" w:lineRule="auto"/>
        <w:tabs>
          <w:tab w:leader="none" w:pos="2225" w:val="left"/>
        </w:tabs>
        <w:numPr>
          <w:ilvl w:val="0"/>
          <w:numId w:val="13"/>
        </w:numPr>
        <w:rPr>
          <w:rFonts w:ascii="Arial" w:cs="Arial" w:eastAsia="Arial" w:hAnsi="Arial"/>
          <w:sz w:val="21"/>
          <w:szCs w:val="21"/>
          <w:color w:val="auto"/>
        </w:rPr>
      </w:pPr>
      <w:r>
        <w:rPr>
          <w:rFonts w:ascii="Arial" w:cs="Arial" w:eastAsia="Arial" w:hAnsi="Arial"/>
          <w:sz w:val="21"/>
          <w:szCs w:val="21"/>
          <w:color w:val="auto"/>
        </w:rPr>
        <w:t>To the Company’s knowledge, there are no affiliations or associations between any member of FINRA and any of the Company’s officers, directors or 5% or greater securityholders, other than (i) as set forth in the Registration Statement, the General Disclosure Package and the Prospectus, and (ii) Baron Capital Group’s Inc. affiliation with Baron Capital (a member of FINRA and a broker dealer for several of its affiliated investment advisory firms).</w:t>
      </w:r>
    </w:p>
    <w:p>
      <w:pPr>
        <w:spacing w:after="0" w:line="203" w:lineRule="exact"/>
        <w:rPr>
          <w:sz w:val="20"/>
          <w:szCs w:val="20"/>
          <w:color w:val="auto"/>
        </w:rPr>
      </w:pPr>
    </w:p>
    <w:p>
      <w:pPr>
        <w:jc w:val="both"/>
        <w:ind w:firstLine="1332"/>
        <w:spacing w:after="0" w:line="273" w:lineRule="auto"/>
        <w:tabs>
          <w:tab w:leader="none" w:pos="2238" w:val="left"/>
        </w:tabs>
        <w:numPr>
          <w:ilvl w:val="0"/>
          <w:numId w:val="14"/>
        </w:numPr>
        <w:rPr>
          <w:rFonts w:ascii="Arial" w:cs="Arial" w:eastAsia="Arial" w:hAnsi="Arial"/>
          <w:sz w:val="19"/>
          <w:szCs w:val="19"/>
          <w:color w:val="auto"/>
        </w:rPr>
      </w:pPr>
      <w:r>
        <w:rPr>
          <w:rFonts w:ascii="Arial" w:cs="Arial" w:eastAsia="Arial" w:hAnsi="Arial"/>
          <w:sz w:val="19"/>
          <w:szCs w:val="19"/>
          <w:color w:val="auto"/>
        </w:rPr>
        <w:t>Each of the Wynn Parties keeps accurate books and records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9" w:lineRule="exact"/>
        <w:rPr>
          <w:rFonts w:ascii="Arial" w:cs="Arial" w:eastAsia="Arial" w:hAnsi="Arial"/>
          <w:sz w:val="19"/>
          <w:szCs w:val="19"/>
          <w:color w:val="auto"/>
        </w:rPr>
      </w:pPr>
    </w:p>
    <w:p>
      <w:pPr>
        <w:jc w:val="both"/>
        <w:ind w:firstLine="1332"/>
        <w:spacing w:after="0" w:line="246" w:lineRule="auto"/>
        <w:tabs>
          <w:tab w:leader="none" w:pos="2247"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chief executive officer and chief financial officer of the Company are responsible for establishing and maintaining disclosure controls and procedures (as defined in Rules 13a-15(e) and 15d-15(e) of the rules and regulations of the Commission under the Exchange Act) for the Company and have (i) designed such disclosure controls and procedures, or caused such disclosure controls and procedures to be designed under their supervision, to</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20"/>
          <w:szCs w:val="20"/>
          <w:color w:val="auto"/>
        </w:rPr>
        <w:t>ensure that material information relating to the Company and the Subsidiaries is made known to the chief executive officer and chief financial officer by others within the Company and the Subsidiaries, (ii) evaluated the effectiveness of the Company’s disclosure controls and procedures and presented in each annual and quarterly report of the Company (each, a “</w:t>
      </w:r>
      <w:r>
        <w:rPr>
          <w:rFonts w:ascii="Arial" w:cs="Arial" w:eastAsia="Arial" w:hAnsi="Arial"/>
          <w:sz w:val="20"/>
          <w:szCs w:val="20"/>
          <w:u w:val="single" w:color="auto"/>
          <w:color w:val="auto"/>
        </w:rPr>
        <w:t>Report</w:t>
      </w:r>
      <w:r>
        <w:rPr>
          <w:rFonts w:ascii="Arial" w:cs="Arial" w:eastAsia="Arial" w:hAnsi="Arial"/>
          <w:sz w:val="20"/>
          <w:szCs w:val="20"/>
          <w:color w:val="auto"/>
        </w:rPr>
        <w:t>”) their conclusions about the effectiveness of the disclosure controls and procedures as of the end of the period covered by each Report based on such evaluation and (iii) disclosed in each Report any change in the Company’s internal control over financial reporting that occurred during the period covered by the Report that has materially affected, or is reasonably likely to materially affect, the Company’s internal controls over financial reporting. The chief executive officer and chief financial officer of the Company have disclosed, based upon their most recent evaluation of the internal controls over financial reporting, to the Company’s auditors and the Audit Committee of the Company’s Board of Directors (x) all significant deficiencies and material weaknesses in the design or operation of internal controls over financial reporting which are reasonably likely to adversely affect the Company’s ability to record, process, summarize and report financial information, and (y) any fraud, whether or not material, that involves management or other employees who have a significant role in the Company’s internal controls. The Company and its Subsidiaries’ internal control over financial reporting is effective and the Company and its Subsidiaries are not aware of any material weakness in their internal control over financial reporting.</w:t>
      </w:r>
    </w:p>
    <w:p>
      <w:pPr>
        <w:spacing w:after="0" w:line="199" w:lineRule="exact"/>
        <w:rPr>
          <w:sz w:val="20"/>
          <w:szCs w:val="20"/>
          <w:color w:val="auto"/>
        </w:rPr>
      </w:pPr>
    </w:p>
    <w:p>
      <w:pPr>
        <w:jc w:val="both"/>
        <w:ind w:firstLine="1332"/>
        <w:spacing w:after="0" w:line="255" w:lineRule="auto"/>
        <w:tabs>
          <w:tab w:leader="none" w:pos="24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Each of the Wynn Parties carries, or is covered by, insurance with insurers of recognized financial responsibility in such amounts, with such deductibles and covering such risks as is commercially reasonable, and as the Wynn Parties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Wynn Parties against theft, damage, destruction, acts of vandalism and earthquakes. The Wynn Parties have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193" w:lineRule="exact"/>
        <w:rPr>
          <w:rFonts w:ascii="Arial" w:cs="Arial" w:eastAsia="Arial" w:hAnsi="Arial"/>
          <w:sz w:val="20"/>
          <w:szCs w:val="20"/>
          <w:color w:val="auto"/>
        </w:rPr>
      </w:pPr>
    </w:p>
    <w:p>
      <w:pPr>
        <w:jc w:val="both"/>
        <w:ind w:firstLine="1332"/>
        <w:spacing w:after="0" w:line="253" w:lineRule="auto"/>
        <w:tabs>
          <w:tab w:leader="none" w:pos="2198"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Except for matters which would not reasonably be expected to result in a Material Adverse Change, each of the Wynn Parties is in compliance with all presently applicable provisions of the Employee Retirement Income Security Act of 1974, as amended, including the regulations and published interpretations thereunder (“</w:t>
      </w:r>
      <w:r>
        <w:rPr>
          <w:rFonts w:ascii="Arial" w:cs="Arial" w:eastAsia="Arial" w:hAnsi="Arial"/>
          <w:sz w:val="20"/>
          <w:szCs w:val="20"/>
          <w:u w:val="single" w:color="auto"/>
          <w:color w:val="auto"/>
        </w:rPr>
        <w:t>ERISA</w:t>
      </w:r>
      <w:r>
        <w:rPr>
          <w:rFonts w:ascii="Arial" w:cs="Arial" w:eastAsia="Arial" w:hAnsi="Arial"/>
          <w:sz w:val="20"/>
          <w:szCs w:val="20"/>
          <w:color w:val="auto"/>
        </w:rPr>
        <w:t>”). No “reportable event” (as defined in ERISA) has occurred with respect to any “pension plan” (as defined in ERISA) for which any Wynn Parties would have any liability. None of the Wynn Parties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w:t>
      </w:r>
      <w:r>
        <w:rPr>
          <w:rFonts w:ascii="Arial" w:cs="Arial" w:eastAsia="Arial" w:hAnsi="Arial"/>
          <w:sz w:val="20"/>
          <w:szCs w:val="20"/>
          <w:u w:val="single" w:color="auto"/>
          <w:color w:val="auto"/>
        </w:rPr>
        <w:t>Code</w:t>
      </w:r>
      <w:r>
        <w:rPr>
          <w:rFonts w:ascii="Arial" w:cs="Arial" w:eastAsia="Arial" w:hAnsi="Arial"/>
          <w:sz w:val="20"/>
          <w:szCs w:val="20"/>
          <w:color w:val="auto"/>
        </w:rPr>
        <w:t>”). Except for matters which would not reasonably be expected to result in a Material Adverse Change, each “pension plan” for which any Wynn Parties would have any liability that is intended to be qualified under Section 401(a) of the Code is so qualified and nothing has occurred, whether by action or by failure to act, which would cause the loss of such qualification.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jc w:val="both"/>
        <w:ind w:firstLine="1332"/>
        <w:spacing w:after="0" w:line="242" w:lineRule="auto"/>
        <w:tabs>
          <w:tab w:leader="none" w:pos="2404"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None of the Wynn Parties or, to the best knowledge of the Wynn Parties, any director, officer, agent, employee or other person associated with or acting on behalf of any of the Wynn Parties or any owner of 10 percent or more of the capital stock of any of the Wynn Parties has, with respect to any of the Wynn Parties, (i) used any corporate funds for any unlawful contribution, gift, entertainment or other unlawful expense relating to political activity, (ii) 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204" w:lineRule="exact"/>
        <w:rPr>
          <w:rFonts w:ascii="Arial" w:cs="Arial" w:eastAsia="Arial" w:hAnsi="Arial"/>
          <w:sz w:val="21"/>
          <w:szCs w:val="21"/>
          <w:color w:val="auto"/>
        </w:rPr>
      </w:pPr>
    </w:p>
    <w:p>
      <w:pPr>
        <w:jc w:val="both"/>
        <w:ind w:firstLine="1332"/>
        <w:spacing w:after="0" w:line="273" w:lineRule="auto"/>
        <w:tabs>
          <w:tab w:leader="none" w:pos="2245"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is subject to the reporting requirements of Section 13 or 15(d) of the Exchange Act and files reports with the Commission on the EDGAR System. The Company’s Common Stock is registered pursuant to Section 12(g) of the Exchange Act and the outstanding shares of the Company’s Common Stock are listed on the Nasdaq Global Select Market and the Company has taken no action designed to, or likely to have the effect of, terminating the registration of its Common Stock under the Exchange Act or de-listing the Common Stock from the Nasdaq Global Select Market, nor has the Company received any notification that the Commission or the Nasdaq Global Select Market is contemplating terminating such registration or listing.</w:t>
      </w:r>
    </w:p>
    <w:p>
      <w:pPr>
        <w:spacing w:after="0" w:line="179" w:lineRule="exact"/>
        <w:rPr>
          <w:rFonts w:ascii="Arial" w:cs="Arial" w:eastAsia="Arial" w:hAnsi="Arial"/>
          <w:sz w:val="19"/>
          <w:szCs w:val="19"/>
          <w:color w:val="auto"/>
        </w:rPr>
      </w:pPr>
    </w:p>
    <w:p>
      <w:pPr>
        <w:jc w:val="both"/>
        <w:ind w:firstLine="1332"/>
        <w:spacing w:after="0" w:line="270" w:lineRule="auto"/>
        <w:tabs>
          <w:tab w:leader="none" w:pos="2203"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None of the Wynn Parties, their Affiliates or any person acting on their behalf (other than the Underwriters, as to whom the Company makes no representation) has engaged, or will engage, in connection with the offering of the Shares, in any form of general solicitation or general advertising within the meaning of Rule 502(c) under the Act.</w:t>
      </w:r>
    </w:p>
    <w:p>
      <w:pPr>
        <w:spacing w:after="0" w:line="178" w:lineRule="exact"/>
        <w:rPr>
          <w:rFonts w:ascii="Arial" w:cs="Arial" w:eastAsia="Arial" w:hAnsi="Arial"/>
          <w:sz w:val="20"/>
          <w:szCs w:val="20"/>
          <w:color w:val="auto"/>
        </w:rPr>
      </w:pPr>
    </w:p>
    <w:p>
      <w:pPr>
        <w:jc w:val="both"/>
        <w:ind w:firstLine="1332"/>
        <w:spacing w:after="0" w:line="244" w:lineRule="auto"/>
        <w:tabs>
          <w:tab w:leader="none" w:pos="2216"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 relationship, direct or indirect, exists between or among any of the Wynn Parties or the Subsidiaries, on the one hand, and any manager, member, managing member, director, officer, stockholder, affiliate, customer or supplier of any of them, on the other hand, which would be required by the Act or by the Rules and Regulations promulgated pursuant thereto to be disclosed in a registration statement on Form S-3 which is not so disclosed in the Registration Statement, the General Disclosure Package and the Prospectus.</w:t>
      </w:r>
    </w:p>
    <w:p>
      <w:pPr>
        <w:spacing w:after="0" w:line="204" w:lineRule="exact"/>
        <w:rPr>
          <w:rFonts w:ascii="Arial" w:cs="Arial" w:eastAsia="Arial" w:hAnsi="Arial"/>
          <w:sz w:val="21"/>
          <w:szCs w:val="21"/>
          <w:color w:val="auto"/>
        </w:rPr>
      </w:pPr>
    </w:p>
    <w:p>
      <w:pPr>
        <w:jc w:val="both"/>
        <w:ind w:firstLine="1332"/>
        <w:spacing w:after="0" w:line="257" w:lineRule="auto"/>
        <w:tabs>
          <w:tab w:leader="none" w:pos="2204"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Except as disclosed in the Registration Statement, the General Disclosure Package and the Prospectus, there are no holders of securities (debt or equity) of the Wynn Parties, or holders of rights (including, without limitation, preemptive rights), warrants or options to obtain securities of the Wynn Parties, who in connection with the issuance, sale and delivery of the Shares and the execution, delivery and performance of this Agreement, have the right to request the Wynn Parties to register securities held by them under the Act, and any such rights so disclosed have either been fully complied with by the Company or effectively waived by the holders thereof, and any such waivers remain in full force and effect.</w:t>
      </w:r>
    </w:p>
    <w:p>
      <w:pPr>
        <w:spacing w:after="0" w:line="193" w:lineRule="exact"/>
        <w:rPr>
          <w:rFonts w:ascii="Arial" w:cs="Arial" w:eastAsia="Arial" w:hAnsi="Arial"/>
          <w:sz w:val="20"/>
          <w:szCs w:val="20"/>
          <w:color w:val="auto"/>
        </w:rPr>
      </w:pPr>
    </w:p>
    <w:p>
      <w:pPr>
        <w:jc w:val="both"/>
        <w:ind w:firstLine="1332"/>
        <w:spacing w:after="0" w:line="263" w:lineRule="auto"/>
        <w:tabs>
          <w:tab w:leader="none" w:pos="2204"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Except as disclosed in the Registration Statement, the General Disclosure Package and the Prospectus, there are no contracts, agreements or understandings between the Company (or any Subsidiary) and any person that would give rise to a valid claim against the Company, any Subsidiary or you for a brokerage commission, finder’s fee or other like payment in connection with the transactions contemplated by this Agreement, General Disclosure Package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21"/>
          <w:szCs w:val="21"/>
          <w:color w:val="auto"/>
        </w:rPr>
        <w:t>and the Prospectus or, to the Company’s or any Subsidiary’s knowledge, any arrangements, agreements, understandings, payments or issuance with respect to the Company or any Subsidiary or any of their respective officers, directors, shareholders, partners, employees, subsidiaries or affiliates that may affect your compensation as determined by FINRA.</w:t>
      </w:r>
    </w:p>
    <w:p>
      <w:pPr>
        <w:spacing w:after="0" w:line="197" w:lineRule="exact"/>
        <w:rPr>
          <w:sz w:val="20"/>
          <w:szCs w:val="20"/>
          <w:color w:val="auto"/>
        </w:rPr>
      </w:pPr>
    </w:p>
    <w:p>
      <w:pPr>
        <w:jc w:val="both"/>
        <w:ind w:firstLine="1326"/>
        <w:spacing w:after="0" w:line="251" w:lineRule="auto"/>
        <w:rPr>
          <w:sz w:val="20"/>
          <w:szCs w:val="20"/>
          <w:color w:val="auto"/>
        </w:rPr>
      </w:pPr>
      <w:r>
        <w:rPr>
          <w:rFonts w:ascii="Arial" w:cs="Arial" w:eastAsia="Arial" w:hAnsi="Arial"/>
          <w:sz w:val="21"/>
          <w:szCs w:val="21"/>
          <w:color w:val="auto"/>
        </w:rPr>
        <w:t>Any certificate required hereunder signed by or on behalf of the Company and delivered to the Underwriters or to counsel for the Underwriters shall be deemed to be a representation and warranty by the Company to the Underwriters as to the matters covered thereby (and is subject to the limitations set forth therein, if any).</w:t>
      </w:r>
    </w:p>
    <w:p>
      <w:pPr>
        <w:spacing w:after="0" w:line="197" w:lineRule="exact"/>
        <w:rPr>
          <w:sz w:val="20"/>
          <w:szCs w:val="20"/>
          <w:color w:val="auto"/>
        </w:rPr>
      </w:pPr>
    </w:p>
    <w:p>
      <w:pPr>
        <w:jc w:val="both"/>
        <w:ind w:firstLine="1326"/>
        <w:spacing w:after="0" w:line="251" w:lineRule="auto"/>
        <w:rPr>
          <w:sz w:val="20"/>
          <w:szCs w:val="20"/>
          <w:color w:val="auto"/>
        </w:rPr>
      </w:pPr>
      <w:r>
        <w:rPr>
          <w:rFonts w:ascii="Arial" w:cs="Arial" w:eastAsia="Arial" w:hAnsi="Arial"/>
          <w:sz w:val="21"/>
          <w:szCs w:val="21"/>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 to such reliance.</w:t>
      </w:r>
    </w:p>
    <w:p>
      <w:pPr>
        <w:spacing w:after="0" w:line="197" w:lineRule="exact"/>
        <w:rPr>
          <w:sz w:val="20"/>
          <w:szCs w:val="20"/>
          <w:color w:val="auto"/>
        </w:rPr>
      </w:pPr>
    </w:p>
    <w:p>
      <w:pPr>
        <w:ind w:left="1340" w:hanging="698"/>
        <w:spacing w:after="0"/>
        <w:tabs>
          <w:tab w:leader="none" w:pos="134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P</w:t>
      </w:r>
      <w:r>
        <w:rPr>
          <w:rFonts w:ascii="Arial" w:cs="Arial" w:eastAsia="Arial" w:hAnsi="Arial"/>
          <w:sz w:val="14"/>
          <w:szCs w:val="14"/>
          <w:u w:val="single" w:color="auto"/>
          <w:color w:val="auto"/>
        </w:rPr>
        <w:t>URCHASE</w:t>
      </w:r>
      <w:r>
        <w:rPr>
          <w:rFonts w:ascii="Arial" w:cs="Arial" w:eastAsia="Arial" w:hAnsi="Arial"/>
          <w:sz w:val="21"/>
          <w:szCs w:val="21"/>
          <w:u w:val="single" w:color="auto"/>
          <w:color w:val="auto"/>
        </w:rPr>
        <w:t>, S</w:t>
      </w:r>
      <w:r>
        <w:rPr>
          <w:rFonts w:ascii="Arial" w:cs="Arial" w:eastAsia="Arial" w:hAnsi="Arial"/>
          <w:sz w:val="14"/>
          <w:szCs w:val="14"/>
          <w:u w:val="single" w:color="auto"/>
          <w:color w:val="auto"/>
        </w:rPr>
        <w:t>ALE</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14"/>
          <w:szCs w:val="14"/>
          <w:u w:val="single" w:color="auto"/>
          <w:color w:val="auto"/>
        </w:rPr>
        <w:t>ND</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14"/>
          <w:szCs w:val="14"/>
          <w:u w:val="single" w:color="auto"/>
          <w:color w:val="auto"/>
        </w:rPr>
        <w:t>ELIVERY</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S</w:t>
      </w:r>
      <w:r>
        <w:rPr>
          <w:rFonts w:ascii="Arial" w:cs="Arial" w:eastAsia="Arial" w:hAnsi="Arial"/>
          <w:sz w:val="14"/>
          <w:szCs w:val="14"/>
          <w:u w:val="single" w:color="auto"/>
          <w:color w:val="auto"/>
        </w:rPr>
        <w:t>HARES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332"/>
        <w:spacing w:after="0" w:line="246" w:lineRule="auto"/>
        <w:tabs>
          <w:tab w:leader="none" w:pos="2184" w:val="left"/>
        </w:tabs>
        <w:numPr>
          <w:ilvl w:val="1"/>
          <w:numId w:val="17"/>
        </w:numPr>
        <w:rPr>
          <w:rFonts w:ascii="Arial" w:cs="Arial" w:eastAsia="Arial" w:hAnsi="Arial"/>
          <w:sz w:val="21"/>
          <w:szCs w:val="21"/>
          <w:color w:val="auto"/>
        </w:rPr>
      </w:pPr>
      <w:r>
        <w:rPr>
          <w:rFonts w:ascii="Arial" w:cs="Arial" w:eastAsia="Arial" w:hAnsi="Arial"/>
          <w:sz w:val="21"/>
          <w:szCs w:val="21"/>
          <w:color w:val="auto"/>
        </w:rPr>
        <w:t>On the basis of the representations, warranties and covenants herein contained, and subject to the conditions herein set forth, the Company agrees to sell to the Underwriters and each Underwriter agrees, severally and not jointly, to purchase, at a price of $43.50 per share, the number of Firm Shares set forth opposite the name of each Underwriter in Schedule I hereof, subject to adjustments in accordance with Section 9 hereof.</w:t>
      </w:r>
    </w:p>
    <w:p>
      <w:pPr>
        <w:spacing w:after="0" w:line="203" w:lineRule="exact"/>
        <w:rPr>
          <w:rFonts w:ascii="Arial" w:cs="Arial" w:eastAsia="Arial" w:hAnsi="Arial"/>
          <w:sz w:val="21"/>
          <w:szCs w:val="21"/>
          <w:color w:val="auto"/>
        </w:rPr>
      </w:pPr>
    </w:p>
    <w:p>
      <w:pPr>
        <w:jc w:val="both"/>
        <w:ind w:firstLine="1332"/>
        <w:spacing w:after="0" w:line="270" w:lineRule="auto"/>
        <w:tabs>
          <w:tab w:leader="none" w:pos="2257" w:val="left"/>
        </w:tabs>
        <w:numPr>
          <w:ilvl w:val="1"/>
          <w:numId w:val="17"/>
        </w:numPr>
        <w:rPr>
          <w:rFonts w:ascii="Arial" w:cs="Arial" w:eastAsia="Arial" w:hAnsi="Arial"/>
          <w:sz w:val="19"/>
          <w:szCs w:val="19"/>
          <w:color w:val="auto"/>
        </w:rPr>
      </w:pPr>
      <w:r>
        <w:rPr>
          <w:rFonts w:ascii="Arial" w:cs="Arial" w:eastAsia="Arial" w:hAnsi="Arial"/>
          <w:sz w:val="19"/>
          <w:szCs w:val="19"/>
          <w:color w:val="auto"/>
        </w:rPr>
        <w:t>Payment for the Firm Shares to be sold hereunder, less the underwriting fee set forth opposite the name of each Underwriter in Schedule I hereof, is to be made in Federal (same day) funds to an account designated by the Company against electronic delivery thereof of the Firm Shares to the accounts of the Underwriters through the facilities of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in New York, New York, in accordance with the instructions from the Underwriters. Such payment and delivery are to be made through the facilities of DTC, New York, New York at 10:00 a.m., New York time, on November 18, 2008 or at such other time and date not later than five business days thereafter as you and the Company shall agree upon, such time and date being herein referred to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(As used herein, “business day” means a day on which the New York Stock Exchange is open for trading and on which banks in New York are open for business and are not permitted by law or executive order to be closed.)</w:t>
      </w:r>
    </w:p>
    <w:p>
      <w:pPr>
        <w:spacing w:after="0" w:line="181" w:lineRule="exact"/>
        <w:rPr>
          <w:rFonts w:ascii="Arial" w:cs="Arial" w:eastAsia="Arial" w:hAnsi="Arial"/>
          <w:sz w:val="19"/>
          <w:szCs w:val="19"/>
          <w:color w:val="auto"/>
        </w:rPr>
      </w:pPr>
    </w:p>
    <w:p>
      <w:pPr>
        <w:jc w:val="both"/>
        <w:ind w:firstLine="1332"/>
        <w:spacing w:after="0" w:line="241" w:lineRule="auto"/>
        <w:tabs>
          <w:tab w:leader="none" w:pos="2212" w:val="left"/>
        </w:tabs>
        <w:numPr>
          <w:ilvl w:val="1"/>
          <w:numId w:val="17"/>
        </w:numPr>
        <w:rPr>
          <w:rFonts w:ascii="Arial" w:cs="Arial" w:eastAsia="Arial" w:hAnsi="Arial"/>
          <w:sz w:val="21"/>
          <w:szCs w:val="21"/>
          <w:color w:val="auto"/>
        </w:rPr>
      </w:pPr>
      <w:r>
        <w:rPr>
          <w:rFonts w:ascii="Arial" w:cs="Arial" w:eastAsia="Arial" w:hAnsi="Arial"/>
          <w:sz w:val="21"/>
          <w:szCs w:val="21"/>
          <w:color w:val="auto"/>
        </w:rPr>
        <w:t>In addition, on the basis of the representations and warranties herein contained and subject to the terms and conditions herein set forth, the Company hereby grants an option to the Underwriters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to the Company setting forth the number of Option Shares as to which you are exercising the option and the time and date at which such Shares are to be delivered. The time and date at which Option Shares are to be electronically delivered shall be determined by the Underwriters but shall not be earlier than two nor later than 10 full business days after the exercise of such option, nor in any event prior to the Closing Date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20"/>
          <w:szCs w:val="20"/>
          <w:color w:val="auto"/>
        </w:rPr>
        <w:t>(such time and date being herein referred to as the “</w:t>
      </w:r>
      <w:r>
        <w:rPr>
          <w:rFonts w:ascii="Arial" w:cs="Arial" w:eastAsia="Arial" w:hAnsi="Arial"/>
          <w:sz w:val="20"/>
          <w:szCs w:val="20"/>
          <w:u w:val="single" w:color="auto"/>
          <w:color w:val="auto"/>
        </w:rPr>
        <w:t>Option Closing Date</w:t>
      </w:r>
      <w:r>
        <w:rPr>
          <w:rFonts w:ascii="Arial" w:cs="Arial" w:eastAsia="Arial" w:hAnsi="Arial"/>
          <w:sz w:val="20"/>
          <w:szCs w:val="20"/>
          <w:color w:val="auto"/>
        </w:rPr>
        <w:t>”). The option with respect to the Option Shares granted hereunder may be exercised only to cover over-allotments in the sale of the Firm Shares by the Underwriters. You may cancel such option at any time prior to its expiration by giving written notice of such cancellation to the Company. To the extent, if any, that the option is exercised, payment for the Option Shares, less the underwriting fee applicable to the Option Shares set forth in Schedule I hereto, shall be made on the Option Closing Date in Federal (same day) funds to an account designated by the Company against electronic delivery thereof of the Option Shares to the accounts of the Underwriters through the facilities of DTC in New York, New York, in accordance with the instructions from the Underwriters.</w:t>
      </w:r>
    </w:p>
    <w:p>
      <w:pPr>
        <w:spacing w:after="0" w:line="192" w:lineRule="exact"/>
        <w:rPr>
          <w:sz w:val="20"/>
          <w:szCs w:val="20"/>
          <w:color w:val="auto"/>
        </w:rPr>
      </w:pPr>
    </w:p>
    <w:p>
      <w:pPr>
        <w:ind w:left="1340" w:hanging="698"/>
        <w:spacing w:after="0"/>
        <w:tabs>
          <w:tab w:leader="none" w:pos="134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FFERING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14"/>
          <w:szCs w:val="14"/>
          <w:u w:val="single" w:color="auto"/>
          <w:color w:val="auto"/>
        </w:rPr>
        <w:t>Y</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332"/>
        <w:spacing w:after="0" w:line="244" w:lineRule="auto"/>
        <w:tabs>
          <w:tab w:leader="none" w:pos="2412" w:val="left"/>
        </w:tabs>
        <w:numPr>
          <w:ilvl w:val="1"/>
          <w:numId w:val="18"/>
        </w:numPr>
        <w:rPr>
          <w:rFonts w:ascii="Arial" w:cs="Arial" w:eastAsia="Arial" w:hAnsi="Arial"/>
          <w:sz w:val="21"/>
          <w:szCs w:val="21"/>
          <w:color w:val="auto"/>
        </w:rPr>
      </w:pPr>
      <w:r>
        <w:rPr>
          <w:rFonts w:ascii="Arial" w:cs="Arial" w:eastAsia="Arial" w:hAnsi="Arial"/>
          <w:sz w:val="21"/>
          <w:szCs w:val="21"/>
          <w:color w:val="auto"/>
        </w:rPr>
        <w:t>It is understood that the Underwriters are to make a public offering of the Firm Shares as soon as the Underwriters deem it advisable to do so. The Firm Shares are to be initially offered to the public at the public offering price set forth in the Prospectus. The Underwriters may from time to time thereafter change the public offering price and other selling terms. To the extent, if at all, that any Option Shares are purchased pursuant to Section 2 hereof, the Underwriters will offer them to the public on the foregoing terms.</w:t>
      </w:r>
    </w:p>
    <w:p>
      <w:pPr>
        <w:spacing w:after="0" w:line="204" w:lineRule="exact"/>
        <w:rPr>
          <w:rFonts w:ascii="Arial" w:cs="Arial" w:eastAsia="Arial" w:hAnsi="Arial"/>
          <w:sz w:val="21"/>
          <w:szCs w:val="21"/>
          <w:color w:val="auto"/>
        </w:rPr>
      </w:pPr>
    </w:p>
    <w:p>
      <w:pPr>
        <w:ind w:left="1340" w:hanging="698"/>
        <w:spacing w:after="0"/>
        <w:tabs>
          <w:tab w:leader="none" w:pos="134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OVENANTS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OMPANY</w:t>
      </w:r>
      <w:r>
        <w:rPr>
          <w:rFonts w:ascii="Arial" w:cs="Arial" w:eastAsia="Arial" w:hAnsi="Arial"/>
          <w:sz w:val="21"/>
          <w:szCs w:val="21"/>
          <w:color w:val="auto"/>
        </w:rPr>
        <w:t>.</w:t>
      </w:r>
    </w:p>
    <w:p>
      <w:pPr>
        <w:spacing w:after="0" w:line="236"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The Company covenants and agrees with the Underwriters that:</w:t>
      </w:r>
    </w:p>
    <w:p>
      <w:pPr>
        <w:spacing w:after="0" w:line="236" w:lineRule="exact"/>
        <w:rPr>
          <w:sz w:val="20"/>
          <w:szCs w:val="20"/>
          <w:color w:val="auto"/>
        </w:rPr>
      </w:pPr>
    </w:p>
    <w:p>
      <w:pPr>
        <w:jc w:val="both"/>
        <w:ind w:firstLine="1332"/>
        <w:spacing w:after="0"/>
        <w:tabs>
          <w:tab w:leader="none" w:pos="2189"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Company will (A) prepare and timely file with the Commission under Rule 424(b) (without reliance on Rule 424(b)(8)) under the Act a Prospectus in a form approved by the Underwriters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Underwriters shall not previously have been advised and furnished with a copy or to which the Underwriters shall have reasonably objected in writing or which is not in compliance with the 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213" w:lineRule="exact"/>
        <w:rPr>
          <w:rFonts w:ascii="Arial" w:cs="Arial" w:eastAsia="Arial" w:hAnsi="Arial"/>
          <w:sz w:val="21"/>
          <w:szCs w:val="21"/>
          <w:color w:val="auto"/>
        </w:rPr>
      </w:pPr>
    </w:p>
    <w:p>
      <w:pPr>
        <w:jc w:val="both"/>
        <w:ind w:firstLine="1332"/>
        <w:spacing w:after="0" w:line="256" w:lineRule="auto"/>
        <w:tabs>
          <w:tab w:leader="none" w:pos="219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Underwriters approve its use in writing prior to first use (each, a “</w:t>
      </w:r>
      <w:r>
        <w:rPr>
          <w:rFonts w:ascii="Arial" w:cs="Arial" w:eastAsia="Arial" w:hAnsi="Arial"/>
          <w:sz w:val="20"/>
          <w:szCs w:val="20"/>
          <w:u w:val="single" w:color="auto"/>
          <w:color w:val="auto"/>
        </w:rPr>
        <w:t>Permitted Free Writing Prospectus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prior written consent of the Underwriters shall be deemed to have been given in respect of the Issuer Free Writing Prospectus(es) included in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 (ii) treat each Permitted Free Writing Prospectus as an Issuer Free Writing Prospectus, (iii) comply with the requirements of Rules 163, 164 and 433 under the Act applicable to any Issuer Free Writing Prospectus, including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9" w:name="page20"/>
    <w:bookmarkEnd w:id="19"/>
    <w:p>
      <w:pPr>
        <w:jc w:val="both"/>
        <w:spacing w:after="0" w:line="246" w:lineRule="auto"/>
        <w:rPr>
          <w:sz w:val="20"/>
          <w:szCs w:val="20"/>
          <w:color w:val="auto"/>
        </w:rPr>
      </w:pPr>
      <w:r>
        <w:rPr>
          <w:rFonts w:ascii="Arial" w:cs="Arial" w:eastAsia="Arial" w:hAnsi="Arial"/>
          <w:sz w:val="21"/>
          <w:szCs w:val="21"/>
          <w:color w:val="auto"/>
        </w:rPr>
        <w:t>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w:t>
      </w:r>
    </w:p>
    <w:p>
      <w:pPr>
        <w:spacing w:after="0" w:line="203" w:lineRule="exact"/>
        <w:rPr>
          <w:sz w:val="20"/>
          <w:szCs w:val="20"/>
          <w:color w:val="auto"/>
        </w:rPr>
      </w:pPr>
    </w:p>
    <w:p>
      <w:pPr>
        <w:jc w:val="both"/>
        <w:ind w:firstLine="1332"/>
        <w:spacing w:after="0" w:line="253" w:lineRule="auto"/>
        <w:tabs>
          <w:tab w:leader="none" w:pos="248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will advise the Underwriters promptly (A) when any post-effective amendment to the Registration Statement or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200" w:lineRule="exact"/>
        <w:rPr>
          <w:rFonts w:ascii="Arial" w:cs="Arial" w:eastAsia="Arial" w:hAnsi="Arial"/>
          <w:sz w:val="20"/>
          <w:szCs w:val="20"/>
          <w:color w:val="auto"/>
        </w:rPr>
      </w:pPr>
    </w:p>
    <w:p>
      <w:pPr>
        <w:jc w:val="both"/>
        <w:ind w:firstLine="1332"/>
        <w:spacing w:after="0" w:line="268" w:lineRule="auto"/>
        <w:tabs>
          <w:tab w:leader="none" w:pos="2227"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at any time after the Underwriters have informed the Company that Shares remain unsold, the Company receives from the Commission a notice pursuant to Rule 401(g)(2) under the Act or otherwise ceases to be eligible to use the automatic shelf registration statement form, the Company will (i) promptly notify the Underwriters, (ii) promptly file a new registration statement or post-effective amendment on the proper form relating to the Shares, in a form satisfactory to the Underwriters, (iii) use its best efforts to cause such registration statement or post-effective amendment to be declared effective as soon as practicable (if such filing is not otherwise effective immediately pursuant to Rule 462 under the Act), and (iv) promptly notify the Underwriters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185" w:lineRule="exact"/>
        <w:rPr>
          <w:rFonts w:ascii="Arial" w:cs="Arial" w:eastAsia="Arial" w:hAnsi="Arial"/>
          <w:sz w:val="19"/>
          <w:szCs w:val="19"/>
          <w:color w:val="auto"/>
        </w:rPr>
      </w:pPr>
    </w:p>
    <w:p>
      <w:pPr>
        <w:jc w:val="both"/>
        <w:ind w:firstLine="1332"/>
        <w:spacing w:after="0" w:line="270" w:lineRule="auto"/>
        <w:tabs>
          <w:tab w:leader="none" w:pos="23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immediately prior to the third anniversary (the “</w:t>
      </w:r>
      <w:r>
        <w:rPr>
          <w:rFonts w:ascii="Arial" w:cs="Arial" w:eastAsia="Arial" w:hAnsi="Arial"/>
          <w:sz w:val="19"/>
          <w:szCs w:val="19"/>
          <w:u w:val="single" w:color="auto"/>
          <w:color w:val="auto"/>
        </w:rPr>
        <w:t>Renewal Deadline</w:t>
      </w:r>
      <w:r>
        <w:rPr>
          <w:rFonts w:ascii="Arial" w:cs="Arial" w:eastAsia="Arial" w:hAnsi="Arial"/>
          <w:sz w:val="19"/>
          <w:szCs w:val="19"/>
          <w:color w:val="auto"/>
        </w:rPr>
        <w:t>”) of the initial effective date of the Registration Statement the Underwriters have informed the Company that Shares remain unsold, the Company will, prior to the Renewal Deadline file, if it has not already done so and is eligible to do so, a new automatic shelf registration statement relating to the Shares, in a form satisfactory to the Underwriters. If the Company is no longer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References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p>
      <w:pPr>
        <w:spacing w:after="0" w:line="266" w:lineRule="auto"/>
        <w:rPr>
          <w:sz w:val="20"/>
          <w:szCs w:val="20"/>
          <w:color w:val="auto"/>
        </w:rPr>
      </w:pPr>
      <w:r>
        <w:rPr>
          <w:rFonts w:ascii="Arial" w:cs="Arial" w:eastAsia="Arial" w:hAnsi="Arial"/>
          <w:sz w:val="21"/>
          <w:szCs w:val="21"/>
          <w:color w:val="auto"/>
        </w:rPr>
        <w:t>herein to the Registration Statement shall include such new automatic shelf registration statement or such new shelf registration statement, as the case may be.</w:t>
      </w:r>
    </w:p>
    <w:p>
      <w:pPr>
        <w:spacing w:after="0" w:line="181" w:lineRule="exact"/>
        <w:rPr>
          <w:sz w:val="20"/>
          <w:szCs w:val="20"/>
          <w:color w:val="auto"/>
        </w:rPr>
      </w:pPr>
    </w:p>
    <w:p>
      <w:pPr>
        <w:jc w:val="both"/>
        <w:ind w:firstLine="1332"/>
        <w:spacing w:after="0" w:line="251" w:lineRule="auto"/>
        <w:tabs>
          <w:tab w:leader="none" w:pos="2153"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 agrees to pay the required filing fees to the Commission relating to the Shares within the time required by Rule 456(b)(1) under the Act without regard to the proviso therein and otherwise in accordance with Rules 456(b) and 457(r) under the Act.</w:t>
      </w:r>
    </w:p>
    <w:p>
      <w:pPr>
        <w:spacing w:after="0" w:line="196" w:lineRule="exact"/>
        <w:rPr>
          <w:rFonts w:ascii="Arial" w:cs="Arial" w:eastAsia="Arial" w:hAnsi="Arial"/>
          <w:sz w:val="21"/>
          <w:szCs w:val="21"/>
          <w:color w:val="auto"/>
        </w:rPr>
      </w:pPr>
    </w:p>
    <w:p>
      <w:pPr>
        <w:jc w:val="both"/>
        <w:ind w:firstLine="1332"/>
        <w:spacing w:after="0" w:line="253" w:lineRule="auto"/>
        <w:tabs>
          <w:tab w:leader="none" w:pos="224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will cooperate with the Underwriters in endeavoring to qualify the Shares for sale under (or obtain exemptions from the application of the qualification requirements of) the securities laws of such jurisdictions as the Underwriters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Underwriters may reasonably request for distribution of the Shares. The Company shall advise the Underwriters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7" w:lineRule="exact"/>
        <w:rPr>
          <w:rFonts w:ascii="Arial" w:cs="Arial" w:eastAsia="Arial" w:hAnsi="Arial"/>
          <w:sz w:val="20"/>
          <w:szCs w:val="20"/>
          <w:color w:val="auto"/>
        </w:rPr>
      </w:pPr>
    </w:p>
    <w:p>
      <w:pPr>
        <w:jc w:val="both"/>
        <w:ind w:firstLine="1332"/>
        <w:spacing w:after="0" w:line="271" w:lineRule="auto"/>
        <w:tabs>
          <w:tab w:leader="none" w:pos="22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will deliver to, or upon the order of, the Underwriters, from time to time, as many copies of any Preliminary Prospectus or any Issuer Free Writing Prospectus as the Underwriters may reasonably request. The Company will deliver to, or upon the order of, the Underwriters during the period when delivery of a Prospectus (or, in lieu thereof, the notice referred to under Rule 173(a) under the Act) (the “</w:t>
      </w:r>
      <w:r>
        <w:rPr>
          <w:rFonts w:ascii="Arial" w:cs="Arial" w:eastAsia="Arial" w:hAnsi="Arial"/>
          <w:sz w:val="19"/>
          <w:szCs w:val="19"/>
          <w:u w:val="single" w:color="auto"/>
          <w:color w:val="auto"/>
        </w:rPr>
        <w:t>Prospectus Delivery Period</w:t>
      </w:r>
      <w:r>
        <w:rPr>
          <w:rFonts w:ascii="Arial" w:cs="Arial" w:eastAsia="Arial" w:hAnsi="Arial"/>
          <w:sz w:val="19"/>
          <w:szCs w:val="19"/>
          <w:color w:val="auto"/>
        </w:rPr>
        <w:t>”) is required under the Act, as many copies of the Prospectus in final form, or as thereafter amended or supplemented, as the Underwriters may reasonably request. The Company will maintain in the Company’s files manually signed copies of the Registration Statement as initially filed and all amendments thereto including all consents and exhibits filed therewith in accordance with the Rules and Regulations of the Commission.</w:t>
      </w:r>
    </w:p>
    <w:p>
      <w:pPr>
        <w:spacing w:after="0" w:line="182" w:lineRule="exact"/>
        <w:rPr>
          <w:rFonts w:ascii="Arial" w:cs="Arial" w:eastAsia="Arial" w:hAnsi="Arial"/>
          <w:sz w:val="19"/>
          <w:szCs w:val="19"/>
          <w:color w:val="auto"/>
        </w:rPr>
      </w:pPr>
    </w:p>
    <w:p>
      <w:pPr>
        <w:jc w:val="both"/>
        <w:ind w:firstLine="1332"/>
        <w:spacing w:after="0" w:line="254" w:lineRule="auto"/>
        <w:tabs>
          <w:tab w:leader="none" w:pos="2163"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will comply with the Act,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a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either (i) prepare and file with the Commission an appropriate amendment to the Registration Statement or supplement to the Prospectus or (ii) prepare and file with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21"/>
          <w:szCs w:val="21"/>
          <w:color w:val="auto"/>
        </w:rPr>
        <w:t>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197" w:lineRule="exact"/>
        <w:rPr>
          <w:sz w:val="20"/>
          <w:szCs w:val="20"/>
          <w:color w:val="auto"/>
        </w:rPr>
      </w:pPr>
    </w:p>
    <w:p>
      <w:pPr>
        <w:jc w:val="both"/>
        <w:ind w:firstLine="1332"/>
        <w:spacing w:after="0" w:line="253" w:lineRule="auto"/>
        <w:tabs>
          <w:tab w:leader="none" w:pos="23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either (i) 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197" w:lineRule="exact"/>
        <w:rPr>
          <w:rFonts w:ascii="Arial" w:cs="Arial" w:eastAsia="Arial" w:hAnsi="Arial"/>
          <w:sz w:val="20"/>
          <w:szCs w:val="20"/>
          <w:color w:val="auto"/>
        </w:rPr>
      </w:pPr>
    </w:p>
    <w:p>
      <w:pPr>
        <w:jc w:val="both"/>
        <w:ind w:firstLine="1332"/>
        <w:spacing w:after="0" w:line="263" w:lineRule="auto"/>
        <w:tabs>
          <w:tab w:leader="none" w:pos="222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will make generally available to its security holders, as soon as it is practicable to do so, but in any event not later than 15 months after the effective date of the Registration Statement (as defined in Rule 158(c) under the Act), an earnings statement (which need not be audited) in reasonable detail, complying with the requirements of Section 11(a) of the Act and Rule 158 under the Act and will advise you in writing when such statement has been so made available.</w:t>
      </w:r>
    </w:p>
    <w:p>
      <w:pPr>
        <w:spacing w:after="0" w:line="185" w:lineRule="exact"/>
        <w:rPr>
          <w:rFonts w:ascii="Arial" w:cs="Arial" w:eastAsia="Arial" w:hAnsi="Arial"/>
          <w:sz w:val="20"/>
          <w:szCs w:val="20"/>
          <w:color w:val="auto"/>
        </w:rPr>
      </w:pPr>
    </w:p>
    <w:p>
      <w:pPr>
        <w:jc w:val="both"/>
        <w:ind w:firstLine="1332"/>
        <w:spacing w:after="0" w:line="291" w:lineRule="auto"/>
        <w:tabs>
          <w:tab w:leader="none" w:pos="215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59" w:lineRule="exact"/>
        <w:rPr>
          <w:rFonts w:ascii="Arial" w:cs="Arial" w:eastAsia="Arial" w:hAnsi="Arial"/>
          <w:sz w:val="19"/>
          <w:szCs w:val="19"/>
          <w:color w:val="auto"/>
        </w:rPr>
      </w:pPr>
    </w:p>
    <w:p>
      <w:pPr>
        <w:jc w:val="both"/>
        <w:ind w:firstLine="1332"/>
        <w:spacing w:after="0" w:line="256" w:lineRule="auto"/>
        <w:tabs>
          <w:tab w:leader="none" w:pos="23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No offering, sale, short sale or other disposition of any shares of Common Stock of the Company or other securities convertible into or exchangeable or exercisable for shares of Common Stock or derivative of Common Stock (or agreement for such) will be made for a period of 30 days after the date of this Agreement, directly or indirectly, by the Company otherwise than hereunder or with the prior written consent of the Underwriters, which consent shall not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may issue (i) shares of its Common Stock upon the exercise of options, (ii) shares of its Common Stock pursuant to stock grants and (iii) options to purchase its Common Stock, to directors, officers and employees of the Company, issued pursuant to employee or director benefit plans, stock option plans or the employee compensation plans.</w:t>
      </w:r>
    </w:p>
    <w:p>
      <w:pPr>
        <w:spacing w:after="0" w:line="192" w:lineRule="exact"/>
        <w:rPr>
          <w:rFonts w:ascii="Arial" w:cs="Arial" w:eastAsia="Arial" w:hAnsi="Arial"/>
          <w:sz w:val="20"/>
          <w:szCs w:val="20"/>
          <w:color w:val="auto"/>
        </w:rPr>
      </w:pPr>
    </w:p>
    <w:p>
      <w:pPr>
        <w:ind w:left="2220" w:hanging="888"/>
        <w:spacing w:after="0"/>
        <w:tabs>
          <w:tab w:leader="none" w:pos="22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will use its best efforts to list, subject to notice of issuance, the Shares on the Nasdaq Global</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Select Market.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2" w:name="page23"/>
    <w:bookmarkEnd w:id="22"/>
    <w:p>
      <w:pPr>
        <w:jc w:val="both"/>
        <w:ind w:firstLine="1332"/>
        <w:spacing w:after="0" w:line="251" w:lineRule="auto"/>
        <w:tabs>
          <w:tab w:leader="none" w:pos="2228" w:val="left"/>
        </w:tabs>
        <w:numPr>
          <w:ilvl w:val="1"/>
          <w:numId w:val="23"/>
        </w:numPr>
        <w:rPr>
          <w:rFonts w:ascii="Arial" w:cs="Arial" w:eastAsia="Arial" w:hAnsi="Arial"/>
          <w:sz w:val="21"/>
          <w:szCs w:val="21"/>
          <w:color w:val="auto"/>
        </w:rPr>
      </w:pPr>
      <w:r>
        <w:rPr>
          <w:rFonts w:ascii="Arial" w:cs="Arial" w:eastAsia="Arial" w:hAnsi="Arial"/>
          <w:sz w:val="21"/>
          <w:szCs w:val="21"/>
          <w:color w:val="auto"/>
        </w:rPr>
        <w:t xml:space="preserve">The Company will use its best efforts to cause each executive officer, director, other person or entity of the Company listed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furnish to you, on or prior to the Closing Date, a letter or letters,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Lockup Agreement</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firstLine="1332"/>
        <w:spacing w:after="0" w:line="251" w:lineRule="auto"/>
        <w:tabs>
          <w:tab w:leader="none" w:pos="2304"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Company shall apply the net proceeds of its sale of the Shares as set forth in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196" w:lineRule="exact"/>
        <w:rPr>
          <w:rFonts w:ascii="Arial" w:cs="Arial" w:eastAsia="Arial" w:hAnsi="Arial"/>
          <w:sz w:val="21"/>
          <w:szCs w:val="21"/>
          <w:color w:val="auto"/>
        </w:rPr>
      </w:pPr>
    </w:p>
    <w:p>
      <w:pPr>
        <w:jc w:val="both"/>
        <w:ind w:firstLine="1332"/>
        <w:spacing w:after="0" w:line="251" w:lineRule="auto"/>
        <w:tabs>
          <w:tab w:leader="none" w:pos="2238"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96" w:lineRule="exact"/>
        <w:rPr>
          <w:rFonts w:ascii="Arial" w:cs="Arial" w:eastAsia="Arial" w:hAnsi="Arial"/>
          <w:sz w:val="21"/>
          <w:szCs w:val="21"/>
          <w:color w:val="auto"/>
        </w:rPr>
      </w:pPr>
    </w:p>
    <w:p>
      <w:pPr>
        <w:ind w:firstLine="1332"/>
        <w:spacing w:after="0" w:line="266" w:lineRule="auto"/>
        <w:tabs>
          <w:tab w:leader="none" w:pos="2250"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Company will maintain a transfer agent and, if necessary under the jurisdiction of incorporation of the Company, a registrar for the Common Stock.</w:t>
      </w:r>
    </w:p>
    <w:p>
      <w:pPr>
        <w:spacing w:after="0" w:line="180" w:lineRule="exact"/>
        <w:rPr>
          <w:rFonts w:ascii="Arial" w:cs="Arial" w:eastAsia="Arial" w:hAnsi="Arial"/>
          <w:sz w:val="21"/>
          <w:szCs w:val="21"/>
          <w:color w:val="auto"/>
        </w:rPr>
      </w:pPr>
    </w:p>
    <w:p>
      <w:pPr>
        <w:jc w:val="both"/>
        <w:ind w:firstLine="1332"/>
        <w:spacing w:after="0" w:line="251" w:lineRule="auto"/>
        <w:tabs>
          <w:tab w:leader="none" w:pos="2410"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96" w:lineRule="exact"/>
        <w:rPr>
          <w:rFonts w:ascii="Arial" w:cs="Arial" w:eastAsia="Arial" w:hAnsi="Arial"/>
          <w:sz w:val="21"/>
          <w:szCs w:val="21"/>
          <w:color w:val="auto"/>
        </w:rPr>
      </w:pPr>
    </w:p>
    <w:p>
      <w:pPr>
        <w:ind w:left="1340" w:hanging="698"/>
        <w:spacing w:after="0"/>
        <w:tabs>
          <w:tab w:leader="none" w:pos="134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OSTS</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14"/>
          <w:szCs w:val="14"/>
          <w:u w:val="single" w:color="auto"/>
          <w:color w:val="auto"/>
        </w:rPr>
        <w:t>ND</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14"/>
          <w:szCs w:val="14"/>
          <w:u w:val="single" w:color="auto"/>
          <w:color w:val="auto"/>
        </w:rPr>
        <w:t>XPENSES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65" w:lineRule="auto"/>
        <w:rPr>
          <w:sz w:val="20"/>
          <w:szCs w:val="20"/>
          <w:color w:val="auto"/>
        </w:rPr>
      </w:pPr>
      <w:r>
        <w:rPr>
          <w:rFonts w:ascii="Arial" w:cs="Arial" w:eastAsia="Arial" w:hAnsi="Arial"/>
          <w:sz w:val="19"/>
          <w:szCs w:val="19"/>
          <w:color w:val="auto"/>
        </w:rPr>
        <w:t xml:space="preserve">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the cost of printing and delivering to, or as requested by, the Underwriters copies of the Registration Statement, Preliminary Prospectuses, the Issuer Free Writing Prospectuses, the Prospectus, this Agreement, the Listing Application, the Blue Sky Survey and any supplements or amendments thereto; (iv) the filing fees of the Commission; (v) the filing fees and expenses (including reasonable and documented legal fees and disbursements of counsel to the Underwriters, not to exceed $15,000) incident to securing any required review by FINRA of the terms of the sale of the Shares; (vi) the Listing Fee of the Nasdaq Global Select Market; and (vii) the expenses, including the reasonable and documented fees and disbursements of counsel for the Underwriters, incurred in connection with the qualification of the Shares under State securities or Blue Sky laws. The Company shall not, however, be required to pay for the Underwriters’ costs and expenses (other than those as described in clauses (v) and (vii) above), including, without limitation, (a) the fees and expenses of counsel to the Underwriters (other than as set forth above), (b) the “roadshow” expenses of the Underwriters and (c) the advertising expenses of the Underwriters incurred in connection with the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sale of Shares pursuant to Section 2 of this Agreement shall not be consummated because the conditions in Section 6 hereof (other than Section 6(f)) are not satisfied, or because this Agreement is terminated by the Underwriters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20"/>
          <w:szCs w:val="20"/>
          <w:color w:val="auto"/>
        </w:rPr>
        <w:t>an Underwriter, the Company shall reimburse the Underwriters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Underwriters for damages on account of loss of anticipated profits from the sale by them of the Shares.</w:t>
      </w:r>
    </w:p>
    <w:p>
      <w:pPr>
        <w:spacing w:after="0" w:line="185" w:lineRule="exact"/>
        <w:rPr>
          <w:sz w:val="20"/>
          <w:szCs w:val="20"/>
          <w:color w:val="auto"/>
        </w:rPr>
      </w:pPr>
    </w:p>
    <w:p>
      <w:pPr>
        <w:ind w:left="1340" w:hanging="698"/>
        <w:spacing w:after="0"/>
        <w:tabs>
          <w:tab w:leader="none" w:pos="134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ONDITIONS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44" w:lineRule="auto"/>
        <w:rPr>
          <w:sz w:val="20"/>
          <w:szCs w:val="20"/>
          <w:color w:val="auto"/>
        </w:rPr>
      </w:pPr>
      <w:r>
        <w:rPr>
          <w:rFonts w:ascii="Arial" w:cs="Arial" w:eastAsia="Arial" w:hAnsi="Arial"/>
          <w:sz w:val="21"/>
          <w:szCs w:val="21"/>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to be performed prior to the Closing Date or the Option Closing Date, as the case may be, and to the following additional conditions:</w:t>
      </w:r>
    </w:p>
    <w:p>
      <w:pPr>
        <w:spacing w:after="0" w:line="204" w:lineRule="exact"/>
        <w:rPr>
          <w:sz w:val="20"/>
          <w:szCs w:val="20"/>
          <w:color w:val="auto"/>
        </w:rPr>
      </w:pPr>
    </w:p>
    <w:p>
      <w:pPr>
        <w:jc w:val="both"/>
        <w:ind w:firstLine="1332"/>
        <w:spacing w:after="0" w:line="269" w:lineRule="auto"/>
        <w:tabs>
          <w:tab w:leader="none" w:pos="225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Underwriters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82" w:lineRule="exact"/>
        <w:rPr>
          <w:rFonts w:ascii="Arial" w:cs="Arial" w:eastAsia="Arial" w:hAnsi="Arial"/>
          <w:sz w:val="19"/>
          <w:szCs w:val="19"/>
          <w:color w:val="auto"/>
        </w:rPr>
      </w:pPr>
    </w:p>
    <w:p>
      <w:pPr>
        <w:jc w:val="both"/>
        <w:ind w:firstLine="1332"/>
        <w:spacing w:after="0" w:line="251" w:lineRule="auto"/>
        <w:tabs>
          <w:tab w:leader="none" w:pos="2332"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from Skadden, Arps, Slate, Meagher &amp; Flom LLP, counsel for the Company, an opinion dated the Closing Date or the Option Closing Date, as the case may be, substantially in the form attached hereto as </w:t>
      </w:r>
      <w:r>
        <w:rPr>
          <w:rFonts w:ascii="Arial" w:cs="Arial" w:eastAsia="Arial" w:hAnsi="Arial"/>
          <w:sz w:val="21"/>
          <w:szCs w:val="21"/>
          <w:u w:val="single" w:color="auto"/>
          <w:color w:val="auto"/>
        </w:rPr>
        <w:t>Annex I</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firstLine="1332"/>
        <w:spacing w:after="0" w:line="251" w:lineRule="auto"/>
        <w:tabs>
          <w:tab w:leader="none" w:pos="22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from Brownstein Hyatt Farber Schreck, LLP, special Nevada counsel for the Company, an opinion dated the Closing Date or the Option Closing Date, as the case may be, substantially in the form attached hereto as </w:t>
      </w:r>
      <w:r>
        <w:rPr>
          <w:rFonts w:ascii="Arial" w:cs="Arial" w:eastAsia="Arial" w:hAnsi="Arial"/>
          <w:sz w:val="21"/>
          <w:szCs w:val="21"/>
          <w:u w:val="single" w:color="auto"/>
          <w:color w:val="auto"/>
        </w:rPr>
        <w:t>Annex II</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firstLine="1332"/>
        <w:spacing w:after="0" w:line="251" w:lineRule="auto"/>
        <w:tabs>
          <w:tab w:leader="none" w:pos="2246"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from Manuel Alexandre de Oliveira Correia de Silva, special Macau counsel for the Company, an opinion dated the Closing Date or the Option Closing Date, as the case may be, substantially in the form attached hereto as </w:t>
      </w:r>
      <w:r>
        <w:rPr>
          <w:rFonts w:ascii="Arial" w:cs="Arial" w:eastAsia="Arial" w:hAnsi="Arial"/>
          <w:sz w:val="21"/>
          <w:szCs w:val="21"/>
          <w:u w:val="single" w:color="auto"/>
          <w:color w:val="auto"/>
        </w:rPr>
        <w:t>Annex III</w:t>
      </w:r>
      <w:r>
        <w:rPr>
          <w:rFonts w:ascii="Arial" w:cs="Arial" w:eastAsia="Arial" w:hAnsi="Arial"/>
          <w:sz w:val="21"/>
          <w:szCs w:val="21"/>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jc w:val="both"/>
        <w:ind w:firstLine="1332"/>
        <w:spacing w:after="0" w:line="251" w:lineRule="auto"/>
        <w:tabs>
          <w:tab w:leader="none" w:pos="2146"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Underwriters shall have received from Latham &amp; Watkins LLP, counsel for the Underwriters, an opinion dated the Closing Date or the Option Closing Date, as the case may be, in form and substance reasonably satisfactory to the Underwriters.</w:t>
      </w:r>
    </w:p>
    <w:p>
      <w:pPr>
        <w:spacing w:after="0" w:line="196" w:lineRule="exact"/>
        <w:rPr>
          <w:rFonts w:ascii="Arial" w:cs="Arial" w:eastAsia="Arial" w:hAnsi="Arial"/>
          <w:sz w:val="21"/>
          <w:szCs w:val="21"/>
          <w:color w:val="auto"/>
        </w:rPr>
      </w:pPr>
    </w:p>
    <w:p>
      <w:pPr>
        <w:jc w:val="both"/>
        <w:ind w:firstLine="1332"/>
        <w:spacing w:after="0" w:line="246" w:lineRule="auto"/>
        <w:tabs>
          <w:tab w:leader="none" w:pos="2435"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Underwriters shall have received at or prior to the Closing Date from Latham &amp; Watkins LLP a memorandum or summary, in form and substance satisfactory to the Underwriters, with respect to the qualification for the Offering by the Underwriters of the Shares under the State securities or Blue Sky laws of such jurisdictions as the Underwriters may reasonably have designated to the Company.</w:t>
      </w:r>
    </w:p>
    <w:p>
      <w:pPr>
        <w:spacing w:after="0" w:line="203" w:lineRule="exact"/>
        <w:rPr>
          <w:rFonts w:ascii="Arial" w:cs="Arial" w:eastAsia="Arial" w:hAnsi="Arial"/>
          <w:sz w:val="21"/>
          <w:szCs w:val="21"/>
          <w:color w:val="auto"/>
        </w:rPr>
      </w:pPr>
    </w:p>
    <w:p>
      <w:pPr>
        <w:jc w:val="both"/>
        <w:ind w:firstLine="1332"/>
        <w:spacing w:after="0" w:line="268" w:lineRule="auto"/>
        <w:tabs>
          <w:tab w:leader="none" w:pos="2209" w:val="left"/>
        </w:tabs>
        <w:numPr>
          <w:ilvl w:val="0"/>
          <w:numId w:val="27"/>
        </w:numPr>
        <w:rPr>
          <w:rFonts w:ascii="Arial" w:cs="Arial" w:eastAsia="Arial" w:hAnsi="Arial"/>
          <w:sz w:val="19"/>
          <w:szCs w:val="19"/>
          <w:color w:val="auto"/>
        </w:rPr>
      </w:pPr>
      <w:r>
        <w:rPr>
          <w:rFonts w:ascii="Arial" w:cs="Arial" w:eastAsia="Arial" w:hAnsi="Arial"/>
          <w:sz w:val="19"/>
          <w:szCs w:val="19"/>
          <w:color w:val="auto"/>
        </w:rPr>
        <w:t>You shall have received, on each of the date hereof, the Closing Date and, if applicable, the Option Closing Date, a letter dated the date hereof, the Closing Date or the Option Closing Date, as the case may be, in form and substance satisfactory to you, of Ernst &amp; Young LLP, and on the date hereof, a letter dated the date hereof, in form and substance satisfactory to you, of Deloitte &amp; Touche LLP, confirming that they are independent public accountants within the meaning of the Act and the applicable published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published Rules and Regulations; and, in the case of Ernst &amp; Young LLP, containing such other statements and information as is ordinarily included in accountants’ “comfort letters” to Underwriters with respect to the financial statements and certain financial and statistical information contained or incorporated by reference in the Registration Statement, the General Disclosure Package and the Prospectus.</w:t>
      </w:r>
    </w:p>
    <w:p>
      <w:pPr>
        <w:spacing w:after="0" w:line="185" w:lineRule="exact"/>
        <w:rPr>
          <w:rFonts w:ascii="Arial" w:cs="Arial" w:eastAsia="Arial" w:hAnsi="Arial"/>
          <w:sz w:val="19"/>
          <w:szCs w:val="19"/>
          <w:color w:val="auto"/>
        </w:rPr>
      </w:pPr>
    </w:p>
    <w:p>
      <w:pPr>
        <w:jc w:val="both"/>
        <w:ind w:firstLine="1332"/>
        <w:spacing w:after="0" w:line="291" w:lineRule="auto"/>
        <w:tabs>
          <w:tab w:leader="none" w:pos="216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Underwriters shall have received on the Closing Date and, if applicable, the Option Closing Date, as the case may be, a certificate or certificates of the Chief Executive Officer or President and the Chief Financial Officer of the Company to the effect that, as of the Closing Date or the Option Closing Date, as the case may be, each of them severally represents as follows:</w:t>
      </w:r>
    </w:p>
    <w:p>
      <w:pPr>
        <w:spacing w:after="0" w:line="159" w:lineRule="exact"/>
        <w:rPr>
          <w:rFonts w:ascii="Arial" w:cs="Arial" w:eastAsia="Arial" w:hAnsi="Arial"/>
          <w:sz w:val="19"/>
          <w:szCs w:val="19"/>
          <w:color w:val="auto"/>
        </w:rPr>
      </w:pPr>
    </w:p>
    <w:p>
      <w:pPr>
        <w:jc w:val="both"/>
        <w:ind w:firstLine="2163"/>
        <w:spacing w:after="0" w:line="244" w:lineRule="auto"/>
        <w:tabs>
          <w:tab w:leader="none" w:pos="3080" w:val="left"/>
        </w:tabs>
        <w:numPr>
          <w:ilvl w:val="1"/>
          <w:numId w:val="27"/>
        </w:numPr>
        <w:rPr>
          <w:rFonts w:ascii="Arial" w:cs="Arial" w:eastAsia="Arial" w:hAnsi="Arial"/>
          <w:sz w:val="21"/>
          <w:szCs w:val="21"/>
          <w:color w:val="auto"/>
        </w:rPr>
      </w:pPr>
      <w:r>
        <w:rPr>
          <w:rFonts w:ascii="Arial" w:cs="Arial" w:eastAsia="Arial" w:hAnsi="Arial"/>
          <w:sz w:val="21"/>
          <w:szCs w:val="21"/>
          <w:color w:val="auto"/>
        </w:rPr>
        <w:t>The conditions set forth in subsection (a) of this Section 6 have been satisfied, the Registration Statement has become effective under the Act and no stop order suspending the effectiveness of the Registration Statement or preventing or suspending the use of any Preliminary Prospectus, any Issuer Free Writing Prospectus or the Prospectus has been issued, and no proceedings for such purpose or pursuant to Section 8A of the Act have been taken or are, to his knowledge, contemplated or threatened by the Commission;</w:t>
      </w:r>
    </w:p>
    <w:p>
      <w:pPr>
        <w:spacing w:after="0" w:line="204" w:lineRule="exact"/>
        <w:rPr>
          <w:rFonts w:ascii="Arial" w:cs="Arial" w:eastAsia="Arial" w:hAnsi="Arial"/>
          <w:sz w:val="21"/>
          <w:szCs w:val="21"/>
          <w:color w:val="auto"/>
        </w:rPr>
      </w:pPr>
    </w:p>
    <w:p>
      <w:pPr>
        <w:ind w:right="20" w:firstLine="2229"/>
        <w:spacing w:after="0" w:line="319" w:lineRule="auto"/>
        <w:tabs>
          <w:tab w:leader="none" w:pos="3038"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contained in Section 1 hereof were true and correct as of the date hereof and are true and correct as of the Closing Date or the Option Closing Date, as the case may be;</w:t>
      </w:r>
    </w:p>
    <w:p>
      <w:pPr>
        <w:spacing w:after="0" w:line="135" w:lineRule="exact"/>
        <w:rPr>
          <w:rFonts w:ascii="Arial" w:cs="Arial" w:eastAsia="Arial" w:hAnsi="Arial"/>
          <w:sz w:val="19"/>
          <w:szCs w:val="19"/>
          <w:color w:val="auto"/>
        </w:rPr>
      </w:pPr>
    </w:p>
    <w:p>
      <w:pPr>
        <w:ind w:firstLine="2163"/>
        <w:spacing w:after="0" w:line="266" w:lineRule="auto"/>
        <w:tabs>
          <w:tab w:leader="none" w:pos="2854" w:val="left"/>
        </w:tabs>
        <w:numPr>
          <w:ilvl w:val="2"/>
          <w:numId w:val="27"/>
        </w:numPr>
        <w:rPr>
          <w:rFonts w:ascii="Arial" w:cs="Arial" w:eastAsia="Arial" w:hAnsi="Arial"/>
          <w:sz w:val="21"/>
          <w:szCs w:val="21"/>
          <w:color w:val="auto"/>
        </w:rPr>
      </w:pPr>
      <w:r>
        <w:rPr>
          <w:rFonts w:ascii="Arial" w:cs="Arial" w:eastAsia="Arial" w:hAnsi="Arial"/>
          <w:sz w:val="21"/>
          <w:szCs w:val="21"/>
          <w:color w:val="auto"/>
        </w:rPr>
        <w:t>All filings required to have been made pursuant to Rules 424(b), 430A, 430B or 430C under the Act have been made as and when required by such rules;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jc w:val="both"/>
        <w:ind w:firstLine="2216"/>
        <w:spacing w:after="0" w:line="243" w:lineRule="auto"/>
        <w:tabs>
          <w:tab w:leader="none" w:pos="3003" w:val="left"/>
        </w:tabs>
        <w:numPr>
          <w:ilvl w:val="2"/>
          <w:numId w:val="28"/>
        </w:numPr>
        <w:rPr>
          <w:rFonts w:ascii="Arial" w:cs="Arial" w:eastAsia="Arial" w:hAnsi="Arial"/>
          <w:sz w:val="21"/>
          <w:szCs w:val="21"/>
          <w:color w:val="auto"/>
        </w:rPr>
      </w:pPr>
      <w:r>
        <w:rPr>
          <w:rFonts w:ascii="Arial" w:cs="Arial" w:eastAsia="Arial" w:hAnsi="Arial"/>
          <w:sz w:val="21"/>
          <w:szCs w:val="21"/>
          <w:color w:val="auto"/>
        </w:rPr>
        <w:t>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203" w:lineRule="exact"/>
        <w:rPr>
          <w:rFonts w:ascii="Arial" w:cs="Arial" w:eastAsia="Arial" w:hAnsi="Arial"/>
          <w:sz w:val="21"/>
          <w:szCs w:val="21"/>
          <w:color w:val="auto"/>
        </w:rPr>
      </w:pPr>
    </w:p>
    <w:p>
      <w:pPr>
        <w:jc w:val="both"/>
        <w:ind w:firstLine="2189"/>
        <w:spacing w:after="0" w:line="259" w:lineRule="auto"/>
        <w:tabs>
          <w:tab w:leader="none" w:pos="2874" w:val="left"/>
        </w:tabs>
        <w:numPr>
          <w:ilvl w:val="0"/>
          <w:numId w:val="29"/>
        </w:numPr>
        <w:rPr>
          <w:rFonts w:ascii="Arial" w:cs="Arial" w:eastAsia="Arial" w:hAnsi="Arial"/>
          <w:sz w:val="20"/>
          <w:szCs w:val="20"/>
          <w:color w:val="auto"/>
        </w:rPr>
      </w:pPr>
      <w:r>
        <w:rPr>
          <w:rFonts w:ascii="Arial" w:cs="Arial" w:eastAsia="Arial" w:hAnsi="Arial"/>
          <w:sz w:val="20"/>
          <w:szCs w:val="20"/>
          <w:color w:val="auto"/>
        </w:rPr>
        <w:t>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191" w:lineRule="exact"/>
        <w:rPr>
          <w:rFonts w:ascii="Arial" w:cs="Arial" w:eastAsia="Arial" w:hAnsi="Arial"/>
          <w:sz w:val="20"/>
          <w:szCs w:val="20"/>
          <w:color w:val="auto"/>
        </w:rPr>
      </w:pPr>
    </w:p>
    <w:p>
      <w:pPr>
        <w:jc w:val="both"/>
        <w:ind w:firstLine="2202"/>
        <w:spacing w:after="0" w:line="246" w:lineRule="auto"/>
        <w:tabs>
          <w:tab w:leader="none" w:pos="2894" w:val="left"/>
        </w:tabs>
        <w:numPr>
          <w:ilvl w:val="1"/>
          <w:numId w:val="29"/>
        </w:numPr>
        <w:rPr>
          <w:rFonts w:ascii="Arial" w:cs="Arial" w:eastAsia="Arial" w:hAnsi="Arial"/>
          <w:sz w:val="21"/>
          <w:szCs w:val="21"/>
          <w:color w:val="auto"/>
        </w:rPr>
      </w:pPr>
      <w:r>
        <w:rPr>
          <w:rFonts w:ascii="Arial" w:cs="Arial" w:eastAsia="Arial" w:hAnsi="Arial"/>
          <w:sz w:val="21"/>
          <w:szCs w:val="21"/>
          <w:color w:val="auto"/>
        </w:rPr>
        <w:t>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203" w:lineRule="exact"/>
        <w:rPr>
          <w:sz w:val="20"/>
          <w:szCs w:val="20"/>
          <w:color w:val="auto"/>
        </w:rPr>
      </w:pPr>
    </w:p>
    <w:p>
      <w:pPr>
        <w:jc w:val="both"/>
        <w:ind w:firstLine="2189"/>
        <w:spacing w:after="0" w:line="270" w:lineRule="auto"/>
        <w:tabs>
          <w:tab w:leader="none" w:pos="3123" w:val="left"/>
        </w:tabs>
        <w:numPr>
          <w:ilvl w:val="1"/>
          <w:numId w:val="30"/>
        </w:numPr>
        <w:rPr>
          <w:rFonts w:ascii="Arial" w:cs="Arial" w:eastAsia="Arial" w:hAnsi="Arial"/>
          <w:sz w:val="20"/>
          <w:szCs w:val="20"/>
          <w:color w:val="auto"/>
        </w:rPr>
      </w:pPr>
      <w:r>
        <w:rPr>
          <w:rFonts w:ascii="Arial" w:cs="Arial" w:eastAsia="Arial" w:hAnsi="Arial"/>
          <w:sz w:val="20"/>
          <w:szCs w:val="20"/>
          <w:color w:val="auto"/>
        </w:rPr>
        <w:t>Since the respective dates as of which information is given in the Registration Statement, the General Disclosure Package and Prospectus, there has not been any Material Adverse Change or any development that could reasonably be expected to result in a Material Adverse Change, whether or not arising in the ordinary course of business.</w:t>
      </w:r>
    </w:p>
    <w:p>
      <w:pPr>
        <w:spacing w:after="0" w:line="178" w:lineRule="exact"/>
        <w:rPr>
          <w:rFonts w:ascii="Arial" w:cs="Arial" w:eastAsia="Arial" w:hAnsi="Arial"/>
          <w:sz w:val="20"/>
          <w:szCs w:val="20"/>
          <w:color w:val="auto"/>
        </w:rPr>
      </w:pPr>
    </w:p>
    <w:p>
      <w:pPr>
        <w:jc w:val="both"/>
        <w:ind w:firstLine="1332"/>
        <w:spacing w:after="0" w:line="251" w:lineRule="auto"/>
        <w:tabs>
          <w:tab w:leader="none" w:pos="2221"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Company shall have furnished to the Underwriters such further certificates and documents confirming the representations and warranties, covenants and conditions contained herein and related matters as the Underwriters may reasonably have requested.</w:t>
      </w:r>
    </w:p>
    <w:p>
      <w:pPr>
        <w:spacing w:after="0" w:line="196" w:lineRule="exact"/>
        <w:rPr>
          <w:rFonts w:ascii="Arial" w:cs="Arial" w:eastAsia="Arial" w:hAnsi="Arial"/>
          <w:sz w:val="21"/>
          <w:szCs w:val="21"/>
          <w:color w:val="auto"/>
        </w:rPr>
      </w:pPr>
    </w:p>
    <w:p>
      <w:pPr>
        <w:ind w:firstLine="1332"/>
        <w:spacing w:after="0" w:line="266" w:lineRule="auto"/>
        <w:tabs>
          <w:tab w:leader="none" w:pos="2357"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Firm Shares and Option Shares, if any, have been duly listed, subject to notice of issuance, on the Nasdaq Global Select Market.</w:t>
      </w:r>
    </w:p>
    <w:p>
      <w:pPr>
        <w:spacing w:after="0" w:line="180" w:lineRule="exact"/>
        <w:rPr>
          <w:rFonts w:ascii="Arial" w:cs="Arial" w:eastAsia="Arial" w:hAnsi="Arial"/>
          <w:sz w:val="21"/>
          <w:szCs w:val="21"/>
          <w:color w:val="auto"/>
        </w:rPr>
      </w:pPr>
    </w:p>
    <w:p>
      <w:pPr>
        <w:ind w:firstLine="1332"/>
        <w:spacing w:after="0" w:line="266" w:lineRule="auto"/>
        <w:tabs>
          <w:tab w:leader="none" w:pos="2198"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Each executive officer, director, other person or entity listed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have executed and delivered to the Underwriters the Lock-up Agreements, and such Lock-up Agreements are in full force and effect.</w:t>
      </w:r>
    </w:p>
    <w:p>
      <w:pPr>
        <w:spacing w:after="0" w:line="180" w:lineRule="exact"/>
        <w:rPr>
          <w:rFonts w:ascii="Arial" w:cs="Arial" w:eastAsia="Arial" w:hAnsi="Arial"/>
          <w:sz w:val="21"/>
          <w:szCs w:val="21"/>
          <w:color w:val="auto"/>
        </w:rPr>
      </w:pPr>
    </w:p>
    <w:p>
      <w:pPr>
        <w:jc w:val="both"/>
        <w:ind w:firstLine="1332"/>
        <w:spacing w:after="0" w:line="244" w:lineRule="auto"/>
        <w:tabs>
          <w:tab w:leader="none" w:pos="2213" w:val="left"/>
        </w:tabs>
        <w:numPr>
          <w:ilvl w:val="0"/>
          <w:numId w:val="31"/>
        </w:numPr>
        <w:rPr>
          <w:rFonts w:ascii="Arial" w:cs="Arial" w:eastAsia="Arial" w:hAnsi="Arial"/>
          <w:sz w:val="21"/>
          <w:szCs w:val="21"/>
          <w:color w:val="auto"/>
        </w:rPr>
      </w:pPr>
      <w:r>
        <w:rPr>
          <w:rFonts w:ascii="Arial" w:cs="Arial" w:eastAsia="Arial" w:hAnsi="Arial"/>
          <w:sz w:val="21"/>
          <w:szCs w:val="21"/>
          <w:color w:val="auto"/>
        </w:rPr>
        <w:t>For the period from and after the date of this Agreement and prior to the Closing Date and, with respect to the Option Shares, any Option Closing Date, in the judgment of the Underwriters, there shall not have occurred any Material Adverse Change. The opinions and certificates mentioned in this Agreement shall be deemed to be in compliance with the provisions hereof only if they are in all material respects reasonably satisfactory to the Underwriters and to Latham &amp; Watkins LLP, counsel for the Underwriters.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jc w:val="both"/>
        <w:ind w:firstLine="1326"/>
        <w:spacing w:after="0" w:line="291" w:lineRule="auto"/>
        <w:rPr>
          <w:sz w:val="20"/>
          <w:szCs w:val="20"/>
          <w:color w:val="auto"/>
        </w:rPr>
      </w:pPr>
      <w:r>
        <w:rPr>
          <w:rFonts w:ascii="Arial" w:cs="Arial" w:eastAsia="Arial" w:hAnsi="Arial"/>
          <w:sz w:val="19"/>
          <w:szCs w:val="19"/>
          <w:color w:val="auto"/>
        </w:rPr>
        <w:t>If any of the conditions hereinabove provided for in this Section 6 shall not have been fulfilled when and as required by this Agreement to be fulfilled, the obligations of the Underwriters hereunder may be terminated by notifying the Company of such termination in writing or by telegram at or prior to the Closing Date or the Option Closing Date, as the case may be.</w:t>
      </w:r>
    </w:p>
    <w:p>
      <w:pPr>
        <w:spacing w:after="0" w:line="160" w:lineRule="exact"/>
        <w:rPr>
          <w:sz w:val="20"/>
          <w:szCs w:val="20"/>
          <w:color w:val="auto"/>
        </w:rPr>
      </w:pPr>
    </w:p>
    <w:p>
      <w:pPr>
        <w:jc w:val="both"/>
        <w:ind w:firstLine="1326"/>
        <w:spacing w:after="0" w:line="266" w:lineRule="auto"/>
        <w:rPr>
          <w:sz w:val="20"/>
          <w:szCs w:val="20"/>
          <w:color w:val="auto"/>
        </w:rPr>
      </w:pPr>
      <w:r>
        <w:rPr>
          <w:rFonts w:ascii="Arial" w:cs="Arial" w:eastAsia="Arial" w:hAnsi="Arial"/>
          <w:sz w:val="21"/>
          <w:szCs w:val="21"/>
          <w:color w:val="auto"/>
        </w:rPr>
        <w:t>In such event, the Company and the Underwriters shall not be under any obligation to each other (except to the extent provided in Sections 5 and 8 hereof).</w:t>
      </w:r>
    </w:p>
    <w:p>
      <w:pPr>
        <w:spacing w:after="0" w:line="181" w:lineRule="exact"/>
        <w:rPr>
          <w:sz w:val="20"/>
          <w:szCs w:val="20"/>
          <w:color w:val="auto"/>
        </w:rPr>
      </w:pPr>
    </w:p>
    <w:p>
      <w:pPr>
        <w:ind w:left="1340" w:hanging="698"/>
        <w:spacing w:after="0"/>
        <w:tabs>
          <w:tab w:leader="none" w:pos="134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ONDITIONS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O</w:t>
      </w:r>
      <w:r>
        <w:rPr>
          <w:rFonts w:ascii="Arial" w:cs="Arial" w:eastAsia="Arial" w:hAnsi="Arial"/>
          <w:sz w:val="14"/>
          <w:szCs w:val="14"/>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14"/>
          <w:szCs w:val="14"/>
          <w:u w:val="single" w:color="auto"/>
          <w:color w:val="auto"/>
        </w:rPr>
        <w:t>OMPANY</w:t>
      </w:r>
      <w:r>
        <w:rPr>
          <w:rFonts w:ascii="Arial" w:cs="Arial" w:eastAsia="Arial" w:hAnsi="Arial"/>
          <w:sz w:val="21"/>
          <w:szCs w:val="21"/>
          <w:color w:val="auto"/>
        </w:rPr>
        <w:t>.</w:t>
      </w:r>
    </w:p>
    <w:p>
      <w:pPr>
        <w:spacing w:after="0" w:line="236" w:lineRule="exact"/>
        <w:rPr>
          <w:sz w:val="20"/>
          <w:szCs w:val="20"/>
          <w:color w:val="auto"/>
        </w:rPr>
      </w:pPr>
    </w:p>
    <w:p>
      <w:pPr>
        <w:jc w:val="both"/>
        <w:ind w:firstLine="1326"/>
        <w:spacing w:after="0" w:line="246" w:lineRule="auto"/>
        <w:rPr>
          <w:sz w:val="20"/>
          <w:szCs w:val="20"/>
          <w:color w:val="auto"/>
        </w:rPr>
      </w:pPr>
      <w:r>
        <w:rPr>
          <w:rFonts w:ascii="Arial" w:cs="Arial" w:eastAsia="Arial" w:hAnsi="Arial"/>
          <w:sz w:val="21"/>
          <w:szCs w:val="21"/>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203" w:lineRule="exact"/>
        <w:rPr>
          <w:sz w:val="20"/>
          <w:szCs w:val="20"/>
          <w:color w:val="auto"/>
        </w:rPr>
      </w:pPr>
    </w:p>
    <w:p>
      <w:pPr>
        <w:ind w:left="1340" w:hanging="698"/>
        <w:spacing w:after="0"/>
        <w:tabs>
          <w:tab w:leader="none" w:pos="134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332"/>
        <w:spacing w:after="0" w:line="265" w:lineRule="auto"/>
        <w:tabs>
          <w:tab w:leader="none" w:pos="2449"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the omission or alleged omission to state therein a material fact required to be stated therein or necessary to make the statements therein not misleading in the light of the circumstances under which they were made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 (ii)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the Underwriters specifically for use in the preparation thereof. The Company also agrees to reimburse each Underwriter and each such controlling person upon demand for any legal or other out-of-pocket expenses reasonably incurred by such Underwriter or such controlling person in connection with investigating or defending any such loss, claim, damage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21"/>
          <w:szCs w:val="21"/>
          <w:color w:val="auto"/>
        </w:rPr>
        <w:t>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203" w:lineRule="exact"/>
        <w:rPr>
          <w:sz w:val="20"/>
          <w:szCs w:val="20"/>
          <w:color w:val="auto"/>
        </w:rPr>
      </w:pPr>
    </w:p>
    <w:p>
      <w:pPr>
        <w:jc w:val="both"/>
        <w:ind w:firstLine="1332"/>
        <w:spacing w:after="0" w:line="265" w:lineRule="auto"/>
        <w:tabs>
          <w:tab w:leader="none" w:pos="2398"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 amendment or supplement thereto, or the omission or the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the Underwriters specifically for use thereof. This indemnity agreement will be in addition to any liability which such Underwriter may otherwise have.</w:t>
      </w:r>
    </w:p>
    <w:p>
      <w:pPr>
        <w:spacing w:after="0" w:line="194" w:lineRule="exact"/>
        <w:rPr>
          <w:rFonts w:ascii="Arial" w:cs="Arial" w:eastAsia="Arial" w:hAnsi="Arial"/>
          <w:sz w:val="19"/>
          <w:szCs w:val="19"/>
          <w:color w:val="auto"/>
        </w:rPr>
      </w:pPr>
    </w:p>
    <w:p>
      <w:pPr>
        <w:jc w:val="both"/>
        <w:ind w:firstLine="1332"/>
        <w:spacing w:after="0" w:line="264" w:lineRule="auto"/>
        <w:tabs>
          <w:tab w:leader="none" w:pos="2236"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this Section 8, such person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w:t>
      </w:r>
    </w:p>
    <w:p>
      <w:pPr>
        <w:spacing w:after="0" w:line="6" w:lineRule="exact"/>
        <w:rPr>
          <w:rFonts w:ascii="Arial" w:cs="Arial" w:eastAsia="Arial" w:hAnsi="Arial"/>
          <w:sz w:val="19"/>
          <w:szCs w:val="19"/>
          <w:color w:val="auto"/>
        </w:rPr>
      </w:pPr>
    </w:p>
    <w:p>
      <w:pPr>
        <w:jc w:val="both"/>
        <w:spacing w:after="0" w:line="241" w:lineRule="auto"/>
        <w:rPr>
          <w:rFonts w:ascii="Arial" w:cs="Arial" w:eastAsia="Arial" w:hAnsi="Arial"/>
          <w:sz w:val="19"/>
          <w:szCs w:val="19"/>
          <w:color w:val="auto"/>
        </w:rPr>
      </w:pPr>
      <w:r>
        <w:rPr>
          <w:rFonts w:ascii="Arial" w:cs="Arial" w:eastAsia="Arial" w:hAnsi="Arial"/>
          <w:sz w:val="21"/>
          <w:szCs w:val="21"/>
          <w:color w:val="auto"/>
        </w:rPr>
        <w:t>(b).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jc w:val="both"/>
        <w:spacing w:after="0" w:line="265" w:lineRule="auto"/>
        <w:rPr>
          <w:sz w:val="20"/>
          <w:szCs w:val="20"/>
          <w:color w:val="auto"/>
        </w:rPr>
      </w:pPr>
      <w:r>
        <w:rPr>
          <w:rFonts w:ascii="Arial" w:cs="Arial" w:eastAsia="Arial" w:hAnsi="Arial"/>
          <w:sz w:val="19"/>
          <w:szCs w:val="19"/>
          <w:color w:val="auto"/>
        </w:rPr>
        <w:t>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92" w:lineRule="exact"/>
        <w:rPr>
          <w:sz w:val="20"/>
          <w:szCs w:val="20"/>
          <w:color w:val="auto"/>
        </w:rPr>
      </w:pPr>
    </w:p>
    <w:p>
      <w:pPr>
        <w:jc w:val="both"/>
        <w:ind w:firstLine="1332"/>
        <w:spacing w:after="0" w:line="252" w:lineRule="auto"/>
        <w:tabs>
          <w:tab w:leader="none" w:pos="23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commissions and fees received by the Underwriters, in each case as set forth on the cover page of the Prospectus. The relative fault shall be determined by reference to, among other things, whether the untrue or alleged untrue statement of a material fact or the omission or alleged omission to state a material fact relates 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21"/>
          <w:szCs w:val="21"/>
          <w:color w:val="auto"/>
        </w:rPr>
        <w:t>information supplied by the Company on the one hand or the Underwriters on the other and the parties’ relative intent, knowledge, access to information and opportunity to correct or prevent such statement or omission.</w:t>
      </w:r>
    </w:p>
    <w:p>
      <w:pPr>
        <w:spacing w:after="0" w:line="181" w:lineRule="exact"/>
        <w:rPr>
          <w:sz w:val="20"/>
          <w:szCs w:val="20"/>
          <w:color w:val="auto"/>
        </w:rPr>
      </w:pPr>
    </w:p>
    <w:p>
      <w:pPr>
        <w:jc w:val="both"/>
        <w:ind w:firstLine="1326"/>
        <w:spacing w:after="0" w:line="264" w:lineRule="auto"/>
        <w:rPr>
          <w:sz w:val="20"/>
          <w:szCs w:val="20"/>
          <w:color w:val="auto"/>
        </w:rPr>
      </w:pPr>
      <w:r>
        <w:rPr>
          <w:rFonts w:ascii="Arial" w:cs="Arial" w:eastAsia="Arial" w:hAnsi="Arial"/>
          <w:sz w:val="19"/>
          <w:szCs w:val="19"/>
          <w:color w:val="auto"/>
        </w:rPr>
        <w:t>The Company and the Underwriters agree that it would not be just and equitable if contributions pursuant to this Section 8(d) were determined by pro rata allocation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commissions and fees applicable to the Shares purchased by such Underwriter and</w:t>
      </w:r>
    </w:p>
    <w:p>
      <w:pPr>
        <w:spacing w:after="0" w:line="6" w:lineRule="exact"/>
        <w:rPr>
          <w:sz w:val="20"/>
          <w:szCs w:val="20"/>
          <w:color w:val="auto"/>
        </w:rPr>
      </w:pPr>
    </w:p>
    <w:p>
      <w:pPr>
        <w:ind w:firstLine="6"/>
        <w:spacing w:after="0" w:line="248" w:lineRule="auto"/>
        <w:tabs>
          <w:tab w:leader="none" w:pos="321"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 person guilty of fraudulent misrepresentation (within the meaning of Section 11(f) of the Act) shall be entitled to contribution from any person who was not guilty of such fraudulent misrepresentation.</w:t>
      </w:r>
    </w:p>
    <w:p>
      <w:pPr>
        <w:spacing w:after="0" w:line="198" w:lineRule="exact"/>
        <w:rPr>
          <w:rFonts w:ascii="Arial" w:cs="Arial" w:eastAsia="Arial" w:hAnsi="Arial"/>
          <w:sz w:val="21"/>
          <w:szCs w:val="21"/>
          <w:color w:val="auto"/>
        </w:rPr>
      </w:pPr>
    </w:p>
    <w:p>
      <w:pPr>
        <w:jc w:val="both"/>
        <w:ind w:firstLine="1332"/>
        <w:spacing w:after="0" w:line="243" w:lineRule="auto"/>
        <w:tabs>
          <w:tab w:leader="none" w:pos="2449" w:val="left"/>
        </w:tabs>
        <w:numPr>
          <w:ilvl w:val="2"/>
          <w:numId w:val="36"/>
        </w:numPr>
        <w:rPr>
          <w:rFonts w:ascii="Arial" w:cs="Arial" w:eastAsia="Arial" w:hAnsi="Arial"/>
          <w:sz w:val="21"/>
          <w:szCs w:val="21"/>
          <w:color w:val="auto"/>
        </w:rPr>
      </w:pPr>
      <w:r>
        <w:rPr>
          <w:rFonts w:ascii="Arial" w:cs="Arial" w:eastAsia="Arial" w:hAnsi="Arial"/>
          <w:sz w:val="21"/>
          <w:szCs w:val="21"/>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state or federal court in New York City,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203" w:lineRule="exact"/>
        <w:rPr>
          <w:rFonts w:ascii="Arial" w:cs="Arial" w:eastAsia="Arial" w:hAnsi="Arial"/>
          <w:sz w:val="21"/>
          <w:szCs w:val="21"/>
          <w:color w:val="auto"/>
        </w:rPr>
      </w:pPr>
    </w:p>
    <w:p>
      <w:pPr>
        <w:jc w:val="both"/>
        <w:ind w:firstLine="1332"/>
        <w:spacing w:after="0" w:line="265" w:lineRule="auto"/>
        <w:tabs>
          <w:tab w:leader="none" w:pos="2605" w:val="left"/>
        </w:tabs>
        <w:numPr>
          <w:ilvl w:val="2"/>
          <w:numId w:val="36"/>
        </w:numPr>
        <w:rPr>
          <w:rFonts w:ascii="Arial" w:cs="Arial" w:eastAsia="Arial" w:hAnsi="Arial"/>
          <w:sz w:val="19"/>
          <w:szCs w:val="19"/>
          <w:color w:val="auto"/>
        </w:rPr>
      </w:pPr>
      <w:r>
        <w:rPr>
          <w:rFonts w:ascii="Arial" w:cs="Arial" w:eastAsia="Arial" w:hAnsi="Arial"/>
          <w:sz w:val="19"/>
          <w:szCs w:val="19"/>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or any person controlling any Underwriter, the Company, its directors or officers or any persons controlling the Company, (ii) acceptance of any Shares and payment therefor hereunder, and</w:t>
      </w:r>
    </w:p>
    <w:p>
      <w:pPr>
        <w:spacing w:after="0" w:line="2" w:lineRule="exact"/>
        <w:rPr>
          <w:rFonts w:ascii="Arial" w:cs="Arial" w:eastAsia="Arial" w:hAnsi="Arial"/>
          <w:sz w:val="19"/>
          <w:szCs w:val="19"/>
          <w:color w:val="auto"/>
        </w:rPr>
      </w:pPr>
    </w:p>
    <w:p>
      <w:pPr>
        <w:jc w:val="both"/>
        <w:ind w:firstLine="6"/>
        <w:spacing w:after="0" w:line="242" w:lineRule="auto"/>
        <w:tabs>
          <w:tab w:leader="none" w:pos="411"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206" w:lineRule="exact"/>
        <w:rPr>
          <w:rFonts w:ascii="Arial" w:cs="Arial" w:eastAsia="Arial" w:hAnsi="Arial"/>
          <w:sz w:val="21"/>
          <w:szCs w:val="21"/>
          <w:color w:val="auto"/>
        </w:rPr>
      </w:pPr>
    </w:p>
    <w:p>
      <w:pPr>
        <w:ind w:left="1340" w:hanging="698"/>
        <w:spacing w:after="0"/>
        <w:tabs>
          <w:tab w:leader="none" w:pos="1340"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D</w:t>
      </w:r>
      <w:r>
        <w:rPr>
          <w:rFonts w:ascii="Arial" w:cs="Arial" w:eastAsia="Arial" w:hAnsi="Arial"/>
          <w:sz w:val="14"/>
          <w:szCs w:val="14"/>
          <w:u w:val="single" w:color="auto"/>
          <w:color w:val="auto"/>
        </w:rPr>
        <w:t>EFAULT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44" w:lineRule="auto"/>
        <w:rPr>
          <w:sz w:val="20"/>
          <w:szCs w:val="20"/>
          <w:color w:val="auto"/>
        </w:rPr>
      </w:pPr>
      <w:r>
        <w:rPr>
          <w:rFonts w:ascii="Arial" w:cs="Arial" w:eastAsia="Arial" w:hAnsi="Arial"/>
          <w:sz w:val="21"/>
          <w:szCs w:val="21"/>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the Underwriters shall use their reasonable efforts to procure within 36 hours thereafter one or more other underwriters, to purchase from the Company such amounts as may be agreed upon and upon the terms set forth herein, the Shares which the defaulting Underwriter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jc w:val="both"/>
        <w:spacing w:after="0" w:line="252" w:lineRule="auto"/>
        <w:rPr>
          <w:sz w:val="20"/>
          <w:szCs w:val="20"/>
          <w:color w:val="auto"/>
        </w:rPr>
      </w:pPr>
      <w:r>
        <w:rPr>
          <w:rFonts w:ascii="Arial" w:cs="Arial" w:eastAsia="Arial" w:hAnsi="Arial"/>
          <w:sz w:val="20"/>
          <w:szCs w:val="20"/>
          <w:color w:val="auto"/>
        </w:rPr>
        <w:t>failed to purchase. If during such 36 hours the Underwriters shall not have procured such other underwriters to purchase the Shares agreed to be purchased by the defaulting Underwriter, then (a) if the aggregate number of Shares with respect to which such default shall occur does not exceed 10% of the Shares to be purchased on the Closing Date or the Option Closing date, as the case may be, the non-defaulting Underwriter shall be obligated to purchase the Shares which such defaulting Underwriter failed to purchase, or (b) if the aggregate number of Shares with respect to which such default shall occur exceeds 10% of the Shares to be purchased on the Closing Date or the Option Closing Date, as the case may be, the Company or the non-defaulting Underwriter will have the right, by written notice given within the next 36-hour period to the parties to this Agreement, to terminate this Agreement without liability on the part of the non-defaulting Underwriter or of the Company except to the extent provided in Sections 5 and 8 hereof. In the event of a default by any Underwriter, as set forth in this Section 9, the Closing Date or Option Closing Date, as the case may be, may be postponed for such period, not exceeding seven days, as the non-defaulting Underwriter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199" w:lineRule="exact"/>
        <w:rPr>
          <w:sz w:val="20"/>
          <w:szCs w:val="20"/>
          <w:color w:val="auto"/>
        </w:rPr>
      </w:pPr>
    </w:p>
    <w:p>
      <w:pPr>
        <w:ind w:left="1340" w:hanging="698"/>
        <w:spacing w:after="0"/>
        <w:tabs>
          <w:tab w:leader="none" w:pos="134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N</w:t>
      </w:r>
      <w:r>
        <w:rPr>
          <w:rFonts w:ascii="Arial" w:cs="Arial" w:eastAsia="Arial" w:hAnsi="Arial"/>
          <w:sz w:val="14"/>
          <w:szCs w:val="14"/>
          <w:u w:val="single" w:color="auto"/>
          <w:color w:val="auto"/>
        </w:rPr>
        <w:t>OTICES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74" w:lineRule="auto"/>
        <w:rPr>
          <w:sz w:val="20"/>
          <w:szCs w:val="20"/>
          <w:color w:val="auto"/>
        </w:rPr>
      </w:pPr>
      <w:r>
        <w:rPr>
          <w:rFonts w:ascii="Arial" w:cs="Arial" w:eastAsia="Arial" w:hAnsi="Arial"/>
          <w:sz w:val="19"/>
          <w:szCs w:val="19"/>
          <w:color w:val="auto"/>
        </w:rPr>
        <w:t>All notices and other communications hereunder shall be in writing and, except as otherwise provided herein, will be mailed, delivered, telecopied or telegraphed and confirmed as follows: (i) if to the Underwriters, to Deutsche Bank Securities Inc., 60 Wall</w:t>
      </w:r>
    </w:p>
    <w:p>
      <w:pPr>
        <w:spacing w:after="0" w:line="212" w:lineRule="auto"/>
        <w:rPr>
          <w:sz w:val="20"/>
          <w:szCs w:val="20"/>
          <w:color w:val="auto"/>
        </w:rPr>
      </w:pPr>
      <w:r>
        <w:rPr>
          <w:rFonts w:ascii="Arial" w:cs="Arial" w:eastAsia="Arial" w:hAnsi="Arial"/>
          <w:sz w:val="19"/>
          <w:szCs w:val="19"/>
          <w:color w:val="auto"/>
        </w:rPr>
        <w:t>Street, 4</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Floor, New York, New York 10005; Attention: Syndicate Manager, with a copy to Deutsche Bank Securities Inc., 60 Wall</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Street, 36</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Floor, New York, New York 10005, Attention: General Counsel, with a copy to Underwriters’ Counsel at Latham &amp; Watkins LLP, 663 West Fifth Street, Suite 4000, Los Angeles, California 90071, Attention: Pamela B. Kelly, Esq.; and (ii) if to the Company, to Kim Sinatra, Esq., and its counsel at Skadden, Arps, Slate, Meagher &amp; Flom LLP at the addresses set forth in the Registration Statement.</w:t>
      </w:r>
    </w:p>
    <w:p>
      <w:pPr>
        <w:spacing w:after="0" w:line="206" w:lineRule="exact"/>
        <w:rPr>
          <w:sz w:val="20"/>
          <w:szCs w:val="20"/>
          <w:color w:val="auto"/>
        </w:rPr>
      </w:pPr>
    </w:p>
    <w:p>
      <w:pPr>
        <w:ind w:left="1340" w:hanging="698"/>
        <w:spacing w:after="0"/>
        <w:tabs>
          <w:tab w:leader="none" w:pos="134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54" w:lineRule="auto"/>
        <w:rPr>
          <w:sz w:val="20"/>
          <w:szCs w:val="20"/>
          <w:color w:val="auto"/>
        </w:rPr>
      </w:pPr>
      <w:r>
        <w:rPr>
          <w:rFonts w:ascii="Arial" w:cs="Arial" w:eastAsia="Arial" w:hAnsi="Arial"/>
          <w:sz w:val="20"/>
          <w:szCs w:val="20"/>
          <w:color w:val="auto"/>
        </w:rPr>
        <w:t>This Agreement may be terminated by you: (a)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that could, in your judgment, be expected to result in a Material Adverse Change, whether or not arising in the ordinary course of business,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20"/>
          <w:szCs w:val="20"/>
          <w:color w:val="auto"/>
        </w:rPr>
        <w:t>American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Global Select Market, the Commission, or any other governmental authority or, (viii) the taking of any action by any governmental body or agency in respect of its monetary or fiscal affairs which in your reasonable opinion has a material adverse effect on the securities markets in the United States; or (b) as provided in Section 6 of this Agreement.</w:t>
      </w:r>
    </w:p>
    <w:p>
      <w:pPr>
        <w:spacing w:after="0" w:line="201" w:lineRule="exact"/>
        <w:rPr>
          <w:sz w:val="20"/>
          <w:szCs w:val="20"/>
          <w:color w:val="auto"/>
        </w:rPr>
      </w:pPr>
    </w:p>
    <w:p>
      <w:pPr>
        <w:ind w:left="1340" w:hanging="698"/>
        <w:spacing w:after="0"/>
        <w:tabs>
          <w:tab w:leader="none" w:pos="134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S</w:t>
      </w:r>
      <w:r>
        <w:rPr>
          <w:rFonts w:ascii="Arial" w:cs="Arial" w:eastAsia="Arial" w:hAnsi="Arial"/>
          <w:sz w:val="14"/>
          <w:szCs w:val="14"/>
          <w:u w:val="single" w:color="auto"/>
          <w:color w:val="auto"/>
        </w:rPr>
        <w:t>UCCESSORS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46" w:lineRule="auto"/>
        <w:rPr>
          <w:sz w:val="20"/>
          <w:szCs w:val="20"/>
          <w:color w:val="auto"/>
        </w:rPr>
      </w:pPr>
      <w:r>
        <w:rPr>
          <w:rFonts w:ascii="Arial" w:cs="Arial" w:eastAsia="Arial" w:hAnsi="Arial"/>
          <w:sz w:val="21"/>
          <w:szCs w:val="21"/>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203" w:lineRule="exact"/>
        <w:rPr>
          <w:sz w:val="20"/>
          <w:szCs w:val="20"/>
          <w:color w:val="auto"/>
        </w:rPr>
      </w:pPr>
    </w:p>
    <w:p>
      <w:pPr>
        <w:ind w:left="1340" w:hanging="698"/>
        <w:spacing w:after="0"/>
        <w:tabs>
          <w:tab w:leader="none" w:pos="134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I</w:t>
      </w:r>
      <w:r>
        <w:rPr>
          <w:rFonts w:ascii="Arial" w:cs="Arial" w:eastAsia="Arial" w:hAnsi="Arial"/>
          <w:sz w:val="14"/>
          <w:szCs w:val="14"/>
          <w:u w:val="single" w:color="auto"/>
          <w:color w:val="auto"/>
        </w:rPr>
        <w:t>NFORMATION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w:t>
      </w:r>
      <w:r>
        <w:rPr>
          <w:rFonts w:ascii="Arial" w:cs="Arial" w:eastAsia="Arial" w:hAnsi="Arial"/>
          <w:sz w:val="14"/>
          <w:szCs w:val="14"/>
          <w:u w:val="single" w:color="auto"/>
          <w:color w:val="auto"/>
        </w:rPr>
        <w:t>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14"/>
          <w:szCs w:val="14"/>
          <w:u w:val="single" w:color="auto"/>
          <w:color w:val="auto"/>
        </w:rPr>
        <w:t>Y</w:t>
      </w:r>
      <w:r>
        <w:rPr>
          <w:rFonts w:ascii="Arial" w:cs="Arial" w:eastAsia="Arial" w:hAnsi="Arial"/>
          <w:sz w:val="21"/>
          <w:szCs w:val="21"/>
          <w:color w:val="auto"/>
        </w:rPr>
        <w:t xml:space="preserve"> </w:t>
      </w:r>
      <w:r>
        <w:rPr>
          <w:rFonts w:ascii="Arial" w:cs="Arial" w:eastAsia="Arial" w:hAnsi="Arial"/>
          <w:sz w:val="21"/>
          <w:szCs w:val="21"/>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46" w:lineRule="auto"/>
        <w:rPr>
          <w:sz w:val="20"/>
          <w:szCs w:val="20"/>
          <w:color w:val="auto"/>
        </w:rPr>
      </w:pPr>
      <w:r>
        <w:rPr>
          <w:rFonts w:ascii="Arial" w:cs="Arial" w:eastAsia="Arial" w:hAnsi="Arial"/>
          <w:sz w:val="21"/>
          <w:szCs w:val="21"/>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third, tenth through sixteenth and twentieth paragraphs under the caption “Underwriting” in the Prospectus.</w:t>
      </w:r>
    </w:p>
    <w:p>
      <w:pPr>
        <w:spacing w:after="0" w:line="203" w:lineRule="exact"/>
        <w:rPr>
          <w:sz w:val="20"/>
          <w:szCs w:val="20"/>
          <w:color w:val="auto"/>
        </w:rPr>
      </w:pPr>
    </w:p>
    <w:p>
      <w:pPr>
        <w:ind w:left="1340" w:hanging="698"/>
        <w:spacing w:after="0"/>
        <w:tabs>
          <w:tab w:leader="none" w:pos="134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P</w:t>
      </w:r>
      <w:r>
        <w:rPr>
          <w:rFonts w:ascii="Arial" w:cs="Arial" w:eastAsia="Arial" w:hAnsi="Arial"/>
          <w:sz w:val="14"/>
          <w:szCs w:val="14"/>
          <w:u w:val="single" w:color="auto"/>
          <w:color w:val="auto"/>
        </w:rPr>
        <w:t>ARTIAL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14"/>
          <w:szCs w:val="14"/>
          <w:u w:val="single" w:color="auto"/>
          <w:color w:val="auto"/>
        </w:rPr>
        <w:t>NFORCEABILITY</w:t>
      </w:r>
      <w:r>
        <w:rPr>
          <w:rFonts w:ascii="Arial" w:cs="Arial" w:eastAsia="Arial" w:hAnsi="Arial"/>
          <w:sz w:val="21"/>
          <w:szCs w:val="21"/>
          <w:color w:val="auto"/>
        </w:rPr>
        <w:t>.</w:t>
      </w:r>
    </w:p>
    <w:p>
      <w:pPr>
        <w:spacing w:after="0" w:line="236" w:lineRule="exact"/>
        <w:rPr>
          <w:sz w:val="20"/>
          <w:szCs w:val="20"/>
          <w:color w:val="auto"/>
        </w:rPr>
      </w:pPr>
    </w:p>
    <w:p>
      <w:pPr>
        <w:jc w:val="both"/>
        <w:ind w:firstLine="707"/>
        <w:spacing w:after="0" w:line="263" w:lineRule="auto"/>
        <w:rPr>
          <w:sz w:val="20"/>
          <w:szCs w:val="20"/>
          <w:color w:val="auto"/>
        </w:rPr>
      </w:pPr>
      <w:r>
        <w:rPr>
          <w:rFonts w:ascii="Arial" w:cs="Arial" w:eastAsia="Arial" w:hAnsi="Arial"/>
          <w:sz w:val="20"/>
          <w:szCs w:val="20"/>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185" w:lineRule="exact"/>
        <w:rPr>
          <w:sz w:val="20"/>
          <w:szCs w:val="20"/>
          <w:color w:val="auto"/>
        </w:rPr>
      </w:pPr>
    </w:p>
    <w:p>
      <w:pPr>
        <w:ind w:left="1340" w:hanging="698"/>
        <w:spacing w:after="0"/>
        <w:tabs>
          <w:tab w:leader="none" w:pos="134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21"/>
          <w:szCs w:val="21"/>
          <w:color w:val="auto"/>
        </w:rPr>
        <w:t>.</w:t>
      </w:r>
    </w:p>
    <w:p>
      <w:pPr>
        <w:spacing w:after="0" w:line="236" w:lineRule="exact"/>
        <w:rPr>
          <w:sz w:val="20"/>
          <w:szCs w:val="20"/>
          <w:color w:val="auto"/>
        </w:rPr>
      </w:pPr>
    </w:p>
    <w:p>
      <w:pPr>
        <w:jc w:val="both"/>
        <w:ind w:firstLine="1326"/>
        <w:spacing w:after="0" w:line="291" w:lineRule="auto"/>
        <w:rPr>
          <w:sz w:val="20"/>
          <w:szCs w:val="20"/>
          <w:color w:val="auto"/>
        </w:rPr>
      </w:pPr>
      <w:r>
        <w:rPr>
          <w:rFonts w:ascii="Arial" w:cs="Arial" w:eastAsia="Arial" w:hAnsi="Arial"/>
          <w:sz w:val="19"/>
          <w:szCs w:val="19"/>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2" w:name="page33"/>
    <w:bookmarkEnd w:id="32"/>
    <w:p>
      <w:pPr>
        <w:spacing w:after="0"/>
        <w:rPr>
          <w:sz w:val="20"/>
          <w:szCs w:val="20"/>
          <w:color w:val="auto"/>
        </w:rPr>
      </w:pPr>
      <w:r>
        <w:rPr>
          <w:rFonts w:ascii="Arial" w:cs="Arial" w:eastAsia="Arial" w:hAnsi="Arial"/>
          <w:sz w:val="21"/>
          <w:szCs w:val="21"/>
          <w:color w:val="auto"/>
        </w:rPr>
        <w:t>Company or its directors or officers and (c) delivery of and payment for the Shares under this Agreement.</w:t>
      </w:r>
    </w:p>
    <w:p>
      <w:pPr>
        <w:spacing w:after="0" w:line="236" w:lineRule="exact"/>
        <w:rPr>
          <w:sz w:val="20"/>
          <w:szCs w:val="20"/>
          <w:color w:val="auto"/>
        </w:rPr>
      </w:pPr>
    </w:p>
    <w:p>
      <w:pPr>
        <w:jc w:val="both"/>
        <w:ind w:firstLine="1326"/>
        <w:spacing w:after="0" w:line="246" w:lineRule="auto"/>
        <w:rPr>
          <w:sz w:val="20"/>
          <w:szCs w:val="20"/>
          <w:color w:val="auto"/>
        </w:rPr>
      </w:pPr>
      <w:r>
        <w:rPr>
          <w:rFonts w:ascii="Arial" w:cs="Arial" w:eastAsia="Arial" w:hAnsi="Arial"/>
          <w:sz w:val="21"/>
          <w:szCs w:val="21"/>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203" w:lineRule="exact"/>
        <w:rPr>
          <w:sz w:val="20"/>
          <w:szCs w:val="20"/>
          <w:color w:val="auto"/>
        </w:rPr>
      </w:pPr>
    </w:p>
    <w:p>
      <w:pPr>
        <w:jc w:val="both"/>
        <w:ind w:firstLine="1326"/>
        <w:spacing w:after="0" w:line="266" w:lineRule="auto"/>
        <w:rPr>
          <w:sz w:val="20"/>
          <w:szCs w:val="20"/>
          <w:color w:val="auto"/>
        </w:rPr>
      </w:pPr>
      <w:r>
        <w:rPr>
          <w:rFonts w:ascii="Arial" w:cs="Arial" w:eastAsia="Arial" w:hAnsi="Arial"/>
          <w:sz w:val="21"/>
          <w:szCs w:val="21"/>
          <w:color w:val="auto"/>
        </w:rPr>
        <w:t>This Agreement may be executed in two or more counterparts (including by facsimile), each of which shall be deemed an original, but all of which together shall constitute one and the same instrument.</w:t>
      </w:r>
    </w:p>
    <w:p>
      <w:pPr>
        <w:spacing w:after="0" w:line="181" w:lineRule="exact"/>
        <w:rPr>
          <w:sz w:val="20"/>
          <w:szCs w:val="20"/>
          <w:color w:val="auto"/>
        </w:rPr>
      </w:pPr>
    </w:p>
    <w:p>
      <w:pPr>
        <w:jc w:val="both"/>
        <w:ind w:firstLine="1326"/>
        <w:spacing w:after="0" w:line="266" w:lineRule="auto"/>
        <w:rPr>
          <w:sz w:val="20"/>
          <w:szCs w:val="20"/>
          <w:color w:val="auto"/>
        </w:rPr>
      </w:pPr>
      <w:r>
        <w:rPr>
          <w:rFonts w:ascii="Arial" w:cs="Arial" w:eastAsia="Arial" w:hAnsi="Arial"/>
          <w:sz w:val="21"/>
          <w:szCs w:val="21"/>
          <w:color w:val="auto"/>
        </w:rPr>
        <w:t>This Agreement shall be governed by, and construed in accordance with, the laws of the State of New York, including, without limitation, Section 5-1401 of the New York General Obligations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3" w:name="page34"/>
    <w:bookmarkEnd w:id="33"/>
    <w:p>
      <w:pPr>
        <w:ind w:right="100"/>
        <w:spacing w:after="0" w:line="319" w:lineRule="auto"/>
        <w:rPr>
          <w:sz w:val="20"/>
          <w:szCs w:val="20"/>
          <w:color w:val="auto"/>
        </w:rPr>
      </w:pPr>
      <w:r>
        <w:rPr>
          <w:rFonts w:ascii="Arial" w:cs="Arial" w:eastAsia="Arial" w:hAnsi="Arial"/>
          <w:sz w:val="19"/>
          <w:szCs w:val="19"/>
          <w:color w:val="auto"/>
        </w:rPr>
        <w:t>If the foregoing letter is in accordance with your understanding of our agreement, please sign and return to us the enclosed duplicates hereof, whereupon it will become a binding agreement between the Company and the Underwriters in accordance with its terms.</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Very truly yours,</w:t>
      </w:r>
    </w:p>
    <w:p>
      <w:pPr>
        <w:spacing w:after="0" w:line="209"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WYNN RESORTS, LIMITED</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a Nevada corporation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40" w:type="dxa"/>
            <w:vAlign w:val="bottom"/>
          </w:tcPr>
          <w:p>
            <w:pPr>
              <w:ind w:left="5260"/>
              <w:spacing w:after="0"/>
              <w:rPr>
                <w:sz w:val="20"/>
                <w:szCs w:val="20"/>
                <w:color w:val="auto"/>
              </w:rPr>
            </w:pPr>
            <w:r>
              <w:rPr>
                <w:rFonts w:ascii="Arial" w:cs="Arial" w:eastAsia="Arial" w:hAnsi="Arial"/>
                <w:sz w:val="21"/>
                <w:szCs w:val="21"/>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Kim Sinatra</w:t>
            </w:r>
          </w:p>
        </w:tc>
        <w:tc>
          <w:tcPr>
            <w:tcW w:w="880" w:type="dxa"/>
            <w:vAlign w:val="bottom"/>
          </w:tcPr>
          <w:p>
            <w:pPr>
              <w:spacing w:after="0"/>
              <w:rPr>
                <w:sz w:val="22"/>
                <w:szCs w:val="22"/>
                <w:color w:val="auto"/>
              </w:rPr>
            </w:pPr>
          </w:p>
        </w:tc>
      </w:tr>
      <w:tr>
        <w:trPr>
          <w:trHeight w:val="211"/>
        </w:trPr>
        <w:tc>
          <w:tcPr>
            <w:tcW w:w="6140" w:type="dxa"/>
            <w:vAlign w:val="bottom"/>
          </w:tcPr>
          <w:p>
            <w:pPr>
              <w:ind w:left="5260"/>
              <w:spacing w:after="0" w:line="211" w:lineRule="exact"/>
              <w:rPr>
                <w:sz w:val="20"/>
                <w:szCs w:val="20"/>
                <w:color w:val="auto"/>
              </w:rPr>
            </w:pPr>
            <w:r>
              <w:rPr>
                <w:rFonts w:ascii="Arial" w:cs="Arial" w:eastAsia="Arial" w:hAnsi="Arial"/>
                <w:sz w:val="21"/>
                <w:szCs w:val="21"/>
                <w:color w:val="auto"/>
              </w:rPr>
              <w:t>Name:</w:t>
            </w:r>
          </w:p>
        </w:tc>
        <w:tc>
          <w:tcPr>
            <w:tcW w:w="4400" w:type="dxa"/>
            <w:vAlign w:val="bottom"/>
          </w:tcPr>
          <w:p>
            <w:pPr>
              <w:spacing w:after="0" w:line="211" w:lineRule="exact"/>
              <w:rPr>
                <w:sz w:val="20"/>
                <w:szCs w:val="20"/>
                <w:color w:val="auto"/>
              </w:rPr>
            </w:pPr>
            <w:r>
              <w:rPr>
                <w:rFonts w:ascii="Arial" w:cs="Arial" w:eastAsia="Arial" w:hAnsi="Arial"/>
                <w:sz w:val="21"/>
                <w:szCs w:val="21"/>
                <w:color w:val="auto"/>
              </w:rPr>
              <w:t>Kim Sinatra</w:t>
            </w:r>
          </w:p>
        </w:tc>
        <w:tc>
          <w:tcPr>
            <w:tcW w:w="880" w:type="dxa"/>
            <w:vAlign w:val="bottom"/>
          </w:tcPr>
          <w:p>
            <w:pPr>
              <w:spacing w:after="0"/>
              <w:rPr>
                <w:sz w:val="18"/>
                <w:szCs w:val="18"/>
                <w:color w:val="auto"/>
              </w:rPr>
            </w:pPr>
          </w:p>
        </w:tc>
      </w:tr>
      <w:tr>
        <w:trPr>
          <w:trHeight w:val="271"/>
        </w:trPr>
        <w:tc>
          <w:tcPr>
            <w:tcW w:w="6140" w:type="dxa"/>
            <w:vAlign w:val="bottom"/>
          </w:tcPr>
          <w:p>
            <w:pPr>
              <w:ind w:left="5260"/>
              <w:spacing w:after="0"/>
              <w:rPr>
                <w:sz w:val="20"/>
                <w:szCs w:val="20"/>
                <w:color w:val="auto"/>
              </w:rPr>
            </w:pPr>
            <w:r>
              <w:rPr>
                <w:rFonts w:ascii="Arial" w:cs="Arial" w:eastAsia="Arial" w:hAnsi="Arial"/>
                <w:sz w:val="21"/>
                <w:szCs w:val="21"/>
                <w:color w:val="auto"/>
              </w:rPr>
              <w:t>Title:</w:t>
            </w:r>
          </w:p>
        </w:tc>
        <w:tc>
          <w:tcPr>
            <w:tcW w:w="4400" w:type="dxa"/>
            <w:vAlign w:val="bottom"/>
          </w:tcPr>
          <w:p>
            <w:pPr>
              <w:spacing w:after="0"/>
              <w:rPr>
                <w:sz w:val="20"/>
                <w:szCs w:val="20"/>
                <w:color w:val="auto"/>
              </w:rPr>
            </w:pPr>
            <w:r>
              <w:rPr>
                <w:rFonts w:ascii="Arial" w:cs="Arial" w:eastAsia="Arial" w:hAnsi="Arial"/>
                <w:sz w:val="21"/>
                <w:szCs w:val="21"/>
                <w:color w:val="auto"/>
              </w:rPr>
              <w:t>Senior Vice President</w:t>
            </w:r>
          </w:p>
        </w:tc>
        <w:tc>
          <w:tcPr>
            <w:tcW w:w="880" w:type="dxa"/>
            <w:vAlign w:val="bottom"/>
          </w:tcPr>
          <w:p>
            <w:pPr>
              <w:spacing w:after="0"/>
              <w:rPr>
                <w:sz w:val="23"/>
                <w:szCs w:val="23"/>
                <w:color w:val="auto"/>
              </w:rPr>
            </w:pPr>
          </w:p>
        </w:tc>
      </w:tr>
      <w:tr>
        <w:trPr>
          <w:trHeight w:val="1298"/>
        </w:trPr>
        <w:tc>
          <w:tcPr>
            <w:tcW w:w="61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The foregoing Underwriting Agreement 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hereby 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DEUTSCHE BANK SECURITIES INC.</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By: __</w:t>
      </w:r>
      <w:r>
        <w:rPr>
          <w:rFonts w:ascii="Arial" w:cs="Arial" w:eastAsia="Arial" w:hAnsi="Arial"/>
          <w:sz w:val="19"/>
          <w:szCs w:val="19"/>
          <w:u w:val="single" w:color="auto"/>
          <w:color w:val="auto"/>
        </w:rPr>
        <w:t>/s/ Jeremy Fox</w:t>
      </w:r>
      <w:r>
        <w:rPr>
          <w:rFonts w:ascii="Arial" w:cs="Arial" w:eastAsia="Arial" w:hAnsi="Arial"/>
          <w:sz w:val="19"/>
          <w:szCs w:val="19"/>
          <w:color w:val="auto"/>
        </w:rPr>
        <w:t>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Name: Jeremy Fox</w:t>
      </w:r>
    </w:p>
    <w:p>
      <w:pPr>
        <w:spacing w:after="0"/>
        <w:rPr>
          <w:sz w:val="20"/>
          <w:szCs w:val="20"/>
          <w:color w:val="auto"/>
        </w:rPr>
      </w:pPr>
      <w:r>
        <w:rPr>
          <w:rFonts w:ascii="Arial" w:cs="Arial" w:eastAsia="Arial" w:hAnsi="Arial"/>
          <w:sz w:val="21"/>
          <w:szCs w:val="21"/>
          <w:color w:val="auto"/>
        </w:rPr>
        <w:t>Title: Managing Director</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By: __</w:t>
      </w:r>
      <w:r>
        <w:rPr>
          <w:rFonts w:ascii="Arial" w:cs="Arial" w:eastAsia="Arial" w:hAnsi="Arial"/>
          <w:sz w:val="19"/>
          <w:szCs w:val="19"/>
          <w:u w:val="single" w:color="auto"/>
          <w:color w:val="auto"/>
        </w:rPr>
        <w:t>/s/ Brad Miller</w:t>
      </w:r>
      <w:r>
        <w:rPr>
          <w:rFonts w:ascii="Arial" w:cs="Arial" w:eastAsia="Arial" w:hAnsi="Arial"/>
          <w:sz w:val="19"/>
          <w:szCs w:val="19"/>
          <w:color w:val="auto"/>
        </w:rPr>
        <w:t>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Name: Brad Miller</w:t>
      </w:r>
    </w:p>
    <w:p>
      <w:pPr>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Equity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80" w:right="1440"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The foregoing Underwriting Agreement 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hereby 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BANC OF AMERICA SECURITIES LLC</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By: __</w:t>
      </w:r>
      <w:r>
        <w:rPr>
          <w:rFonts w:ascii="Arial" w:cs="Arial" w:eastAsia="Arial" w:hAnsi="Arial"/>
          <w:sz w:val="19"/>
          <w:szCs w:val="19"/>
          <w:u w:val="single" w:color="auto"/>
          <w:color w:val="auto"/>
        </w:rPr>
        <w:t>/s/ Brad Smith</w:t>
      </w:r>
      <w:r>
        <w:rPr>
          <w:rFonts w:ascii="Arial" w:cs="Arial" w:eastAsia="Arial" w:hAnsi="Arial"/>
          <w:sz w:val="19"/>
          <w:szCs w:val="19"/>
          <w:color w:val="auto"/>
        </w:rPr>
        <w:t>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Name: Brad Smith</w:t>
      </w:r>
    </w:p>
    <w:p>
      <w:pPr>
        <w:spacing w:after="0"/>
        <w:rPr>
          <w:sz w:val="20"/>
          <w:szCs w:val="20"/>
          <w:color w:val="auto"/>
        </w:rPr>
      </w:pPr>
      <w:r>
        <w:rPr>
          <w:rFonts w:ascii="Arial" w:cs="Arial" w:eastAsia="Arial" w:hAnsi="Arial"/>
          <w:sz w:val="21"/>
          <w:szCs w:val="21"/>
          <w:color w:val="auto"/>
        </w:rPr>
        <w:t>Title: Managing Director</w:t>
      </w:r>
    </w:p>
    <w:p>
      <w:pPr>
        <w:sectPr>
          <w:pgSz w:w="11900" w:h="16838" w:orient="portrait"/>
          <w:cols w:equalWidth="0" w:num="1">
            <w:col w:w="10219"/>
          </w:cols>
          <w:pgMar w:left="240" w:top="503"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21"/>
          <w:szCs w:val="21"/>
          <w:b w:val="1"/>
          <w:bCs w:val="1"/>
          <w:color w:val="auto"/>
        </w:rPr>
        <w:t>Exhibit 5.1</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0"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1" w:lineRule="exact"/>
        <w:rPr>
          <w:sz w:val="20"/>
          <w:szCs w:val="20"/>
          <w:color w:val="auto"/>
        </w:rPr>
      </w:pPr>
    </w:p>
    <w:p>
      <w:pPr>
        <w:ind w:right="20" w:firstLine="707"/>
        <w:spacing w:after="0" w:line="233" w:lineRule="auto"/>
        <w:rPr>
          <w:sz w:val="20"/>
          <w:szCs w:val="20"/>
          <w:color w:val="auto"/>
        </w:rPr>
      </w:pPr>
      <w:r>
        <w:rPr>
          <w:rFonts w:ascii="Arial" w:cs="Arial" w:eastAsia="Arial" w:hAnsi="Arial"/>
          <w:sz w:val="18"/>
          <w:szCs w:val="18"/>
          <w:color w:val="auto"/>
        </w:rPr>
        <w:t>We have acted as special Nevada counsel to Wynn Resorts, Limited, a Nevada corporation (the “Company”), in connection with the filing by the Company of a Registration Statement on Form S-3 (the “Registration Statement”), including the form of prospectus, dated September 27, 2007 (the “Base Prospectus”), as supplemented by the Prospectus Supplement, dated November 13, 2008 (together with the Base Prospectus, the “Prospectus”), with the Securities and Exchange Commission (the “Commission”) under the Securities Act of 1933, as amended (the “Act”), relating to the registration by the Company of up to 9,200,000 shares (the "Shares") of the Company’s common stock, par value $0.01 per share (the “Common Stock”).</w:t>
      </w:r>
    </w:p>
    <w:p>
      <w:pPr>
        <w:spacing w:after="0" w:line="226" w:lineRule="exact"/>
        <w:rPr>
          <w:sz w:val="20"/>
          <w:szCs w:val="20"/>
          <w:color w:val="auto"/>
        </w:rPr>
      </w:pPr>
    </w:p>
    <w:p>
      <w:pPr>
        <w:ind w:firstLine="707"/>
        <w:spacing w:after="0" w:line="234"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authorization, issuance and sale of the Shares,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227" w:lineRule="exact"/>
        <w:rPr>
          <w:sz w:val="20"/>
          <w:szCs w:val="20"/>
          <w:color w:val="auto"/>
        </w:rPr>
      </w:pPr>
    </w:p>
    <w:p>
      <w:pPr>
        <w:ind w:firstLine="619"/>
        <w:spacing w:after="0" w:line="232" w:lineRule="auto"/>
        <w:rPr>
          <w:sz w:val="20"/>
          <w:szCs w:val="20"/>
          <w:color w:val="auto"/>
        </w:rPr>
      </w:pPr>
      <w:r>
        <w:rPr>
          <w:rFonts w:ascii="Arial" w:cs="Arial" w:eastAsia="Arial" w:hAnsi="Arial"/>
          <w:sz w:val="18"/>
          <w:szCs w:val="18"/>
          <w:color w:val="auto"/>
        </w:rPr>
        <w:t>In rendering the opinions hereinafter expressed, we have made such legal and factual examinations and inquiries, including an examination of originals or copies certified or otherwise identified to our satisfaction of the Registration Statement including the Prospectus, the Company’s articles of incorporation and bylaws, each as amended to date, that certain Underwriting Agreement, dated as of November 13, 2008, by and among Deutsche Bank Securities Inc. and Banc of America Securities LLC, as Underwriters, and the Company (the “Underwriting Agreement”), and such other documents, agreements, instruments and corporate records, as we have deemed necessary or appropriate for the purposes of this opinion letter. We have also obtained from officers, representatives and agents of the Company and from public officials, and have relied upon, such certificates, representations and assurances as we have deemed necessary and appropriate for the purpose of issuing this opinion letter.</w:t>
      </w:r>
    </w:p>
    <w:p>
      <w:pPr>
        <w:spacing w:after="0" w:line="229" w:lineRule="exact"/>
        <w:rPr>
          <w:sz w:val="20"/>
          <w:szCs w:val="20"/>
          <w:color w:val="auto"/>
        </w:rPr>
      </w:pPr>
    </w:p>
    <w:p>
      <w:pPr>
        <w:ind w:right="60" w:firstLine="707"/>
        <w:spacing w:after="0" w:line="244" w:lineRule="auto"/>
        <w:rPr>
          <w:sz w:val="20"/>
          <w:szCs w:val="20"/>
          <w:color w:val="auto"/>
        </w:rPr>
      </w:pPr>
      <w:r>
        <w:rPr>
          <w:rFonts w:ascii="Arial" w:cs="Arial" w:eastAsia="Arial" w:hAnsi="Arial"/>
          <w:sz w:val="17"/>
          <w:szCs w:val="17"/>
          <w:color w:val="auto"/>
        </w:rPr>
        <w:t>Without limiting the generality of the foregoing, in our examination, we have, with your permission, assumed without independent verification, that (i) each document we reviewed has been duly executed and delivered by the parties thereto to the extent due execution and delivery are prerequisites to the effectiveness thereof; (ii) the obligations of each party to any such document we examined are its valid and binding obligations, enforceable in accordance with its terms; (iii) each natural person executing a document has sufficient legal capacity to do so;</w:t>
      </w:r>
    </w:p>
    <w:p>
      <w:pPr>
        <w:spacing w:after="0" w:line="1" w:lineRule="exact"/>
        <w:rPr>
          <w:sz w:val="20"/>
          <w:szCs w:val="20"/>
          <w:color w:val="auto"/>
        </w:rPr>
      </w:pPr>
    </w:p>
    <w:p>
      <w:pPr>
        <w:ind w:right="220" w:firstLine="6"/>
        <w:spacing w:after="0" w:line="233" w:lineRule="auto"/>
        <w:tabs>
          <w:tab w:leader="none" w:pos="2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40" w:type="dxa"/>
            <w:vAlign w:val="bottom"/>
          </w:tcPr>
          <w:p>
            <w:pPr>
              <w:ind w:left="5540"/>
              <w:spacing w:after="0"/>
              <w:rPr>
                <w:sz w:val="20"/>
                <w:szCs w:val="20"/>
                <w:color w:val="auto"/>
              </w:rPr>
            </w:pPr>
            <w:r>
              <w:rPr>
                <w:rFonts w:ascii="Arial" w:cs="Arial" w:eastAsia="Arial" w:hAnsi="Arial"/>
                <w:sz w:val="18"/>
                <w:szCs w:val="18"/>
                <w:color w:val="auto"/>
                <w:w w:val="94"/>
              </w:rPr>
              <w:t xml:space="preserve">100 City Parkway, Suite 1600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Las Vegas, NV 89106-4614</w:t>
            </w:r>
          </w:p>
        </w:tc>
        <w:tc>
          <w:tcPr>
            <w:tcW w:w="1380" w:type="dxa"/>
            <w:vAlign w:val="bottom"/>
          </w:tcPr>
          <w:p>
            <w:pPr>
              <w:jc w:val="right"/>
              <w:spacing w:after="0"/>
              <w:rPr>
                <w:sz w:val="20"/>
                <w:szCs w:val="20"/>
                <w:color w:val="auto"/>
              </w:rPr>
            </w:pPr>
            <w:r>
              <w:rPr>
                <w:rFonts w:ascii="Arial" w:cs="Arial" w:eastAsia="Arial" w:hAnsi="Arial"/>
                <w:sz w:val="18"/>
                <w:szCs w:val="18"/>
                <w:color w:val="auto"/>
              </w:rPr>
              <w:t xml:space="preserve">702.382.2101 </w:t>
            </w:r>
            <w:r>
              <w:rPr>
                <w:rFonts w:ascii="Arial" w:cs="Arial" w:eastAsia="Arial" w:hAnsi="Arial"/>
                <w:sz w:val="18"/>
                <w:szCs w:val="18"/>
                <w:i w:val="1"/>
                <w:iCs w:val="1"/>
                <w:color w:val="auto"/>
              </w:rPr>
              <w:t>tel</w:t>
            </w:r>
          </w:p>
        </w:tc>
      </w:tr>
      <w:tr>
        <w:trPr>
          <w:trHeight w:val="229"/>
        </w:trPr>
        <w:tc>
          <w:tcPr>
            <w:tcW w:w="10040" w:type="dxa"/>
            <w:vAlign w:val="bottom"/>
          </w:tcPr>
          <w:p>
            <w:pPr>
              <w:ind w:left="6320"/>
              <w:spacing w:after="0"/>
              <w:rPr>
                <w:sz w:val="20"/>
                <w:szCs w:val="20"/>
                <w:color w:val="auto"/>
              </w:rPr>
            </w:pPr>
            <w:r>
              <w:rPr>
                <w:rFonts w:ascii="Arial" w:cs="Arial" w:eastAsia="Arial" w:hAnsi="Arial"/>
                <w:sz w:val="18"/>
                <w:szCs w:val="18"/>
                <w:color w:val="auto"/>
                <w:w w:val="93"/>
              </w:rPr>
              <w:t xml:space="preserve">Brownstein Hyatt Farber Schreck, LLP </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bhfs.com</w:t>
            </w:r>
          </w:p>
        </w:tc>
        <w:tc>
          <w:tcPr>
            <w:tcW w:w="1380" w:type="dxa"/>
            <w:vAlign w:val="bottom"/>
          </w:tcPr>
          <w:p>
            <w:pPr>
              <w:jc w:val="right"/>
              <w:spacing w:after="0"/>
              <w:rPr>
                <w:sz w:val="20"/>
                <w:szCs w:val="20"/>
                <w:color w:val="auto"/>
              </w:rPr>
            </w:pPr>
            <w:r>
              <w:rPr>
                <w:rFonts w:ascii="Arial" w:cs="Arial" w:eastAsia="Arial" w:hAnsi="Arial"/>
                <w:sz w:val="18"/>
                <w:szCs w:val="18"/>
                <w:color w:val="auto"/>
                <w:w w:val="97"/>
              </w:rPr>
              <w:t xml:space="preserve">702.382.8135 </w:t>
            </w:r>
            <w:r>
              <w:rPr>
                <w:rFonts w:ascii="Arial" w:cs="Arial" w:eastAsia="Arial" w:hAnsi="Arial"/>
                <w:sz w:val="18"/>
                <w:szCs w:val="18"/>
                <w:i w:val="1"/>
                <w:iCs w:val="1"/>
                <w:color w:val="auto"/>
                <w:w w:val="97"/>
              </w:rPr>
              <w:t>fax</w:t>
            </w:r>
          </w:p>
        </w:tc>
      </w:tr>
      <w:tr>
        <w:trPr>
          <w:trHeight w:val="117"/>
        </w:trPr>
        <w:tc>
          <w:tcPr>
            <w:tcW w:w="100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Wynn Resorts, Limited</w:t>
      </w:r>
    </w:p>
    <w:p>
      <w:pPr>
        <w:spacing w:after="0" w:line="230" w:lineRule="auto"/>
        <w:rPr>
          <w:sz w:val="20"/>
          <w:szCs w:val="20"/>
          <w:color w:val="auto"/>
        </w:rPr>
      </w:pPr>
      <w:r>
        <w:rPr>
          <w:rFonts w:ascii="Arial" w:cs="Arial" w:eastAsia="Arial" w:hAnsi="Arial"/>
          <w:sz w:val="18"/>
          <w:szCs w:val="18"/>
          <w:color w:val="auto"/>
        </w:rPr>
        <w:t>November 14, 2008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69"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set forth therein, or which would constitute a waiver of any of the provisions thereof by the actions or conduct of the parties or otherwise, or which would have an effect on the opinions rendered herein; and (vi) all corporate records made available to us by the Company, and all public records we have reviewed, are accurate and complete.</w:t>
      </w:r>
    </w:p>
    <w:p>
      <w:pPr>
        <w:spacing w:after="0" w:line="227" w:lineRule="exact"/>
        <w:rPr>
          <w:sz w:val="20"/>
          <w:szCs w:val="20"/>
          <w:color w:val="auto"/>
        </w:rPr>
      </w:pPr>
    </w:p>
    <w:p>
      <w:pPr>
        <w:ind w:right="140" w:firstLine="707"/>
        <w:spacing w:after="0" w:line="233" w:lineRule="auto"/>
        <w:rPr>
          <w:sz w:val="20"/>
          <w:szCs w:val="20"/>
          <w:color w:val="auto"/>
        </w:rPr>
      </w:pPr>
      <w:r>
        <w:rPr>
          <w:rFonts w:ascii="Arial" w:cs="Arial" w:eastAsia="Arial" w:hAnsi="Arial"/>
          <w:sz w:val="18"/>
          <w:szCs w:val="18"/>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We express no opinion concerning, and we assume no responsibility as to laws or judicial decisions related to, or any orders, consents or other authorizations or approvals as may be required by, any federal laws, rules or regulations, including any federal securities laws, rules or regulations, or any state securities or “blue sky” laws, rules or regulations.</w:t>
      </w:r>
    </w:p>
    <w:p>
      <w:pPr>
        <w:spacing w:after="0" w:line="226" w:lineRule="exact"/>
        <w:rPr>
          <w:sz w:val="20"/>
          <w:szCs w:val="20"/>
          <w:color w:val="auto"/>
        </w:rPr>
      </w:pPr>
    </w:p>
    <w:p>
      <w:pPr>
        <w:jc w:val="both"/>
        <w:ind w:right="20" w:firstLine="707"/>
        <w:spacing w:after="0" w:line="235"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Shares have been duly authorized, and when and to the extent issued and sold in accordance with the Underwriting Agreement and the proceedings described in the Registration Statement, will be validly issued, fully paid and non-assessable.</w:t>
      </w:r>
    </w:p>
    <w:p>
      <w:pPr>
        <w:spacing w:after="0" w:line="227" w:lineRule="exact"/>
        <w:rPr>
          <w:sz w:val="20"/>
          <w:szCs w:val="20"/>
          <w:color w:val="auto"/>
        </w:rPr>
      </w:pPr>
    </w:p>
    <w:p>
      <w:pPr>
        <w:ind w:firstLine="707"/>
        <w:spacing w:after="0" w:line="232" w:lineRule="auto"/>
        <w:rPr>
          <w:sz w:val="20"/>
          <w:szCs w:val="20"/>
          <w:color w:val="auto"/>
        </w:rPr>
      </w:pPr>
      <w:r>
        <w:rPr>
          <w:rFonts w:ascii="Arial" w:cs="Arial" w:eastAsia="Arial" w:hAnsi="Arial"/>
          <w:sz w:val="18"/>
          <w:szCs w:val="18"/>
          <w:color w:val="auto"/>
        </w:rPr>
        <w:t>The opinions expressed herein are based upon the applicable Nevada laws in effect and the facts in existence as of the date of this opinion letter. In delivering this opinion letter to you, we assume no obligation, and we advise you that we shall make no effort, to update the opinions set forth herein, to conduct any inquiry into the continued accuracy of such opinions, or to apprise you of any facts, matters, transactions, events or occurrences taking place, and of which we may acquire knowledge, after the date of this letter, or of any change in any applicable Nevada law or any facts occurring after the date of this opinion letter, which may affect the opinions set forth herein. No opinions are offered or implied as to any matter, and no inference may be drawn, beyond the strict scope of the specific issues expressly addressed by the opinions herein.</w:t>
      </w:r>
    </w:p>
    <w:p>
      <w:pPr>
        <w:spacing w:after="0" w:line="230" w:lineRule="exact"/>
        <w:rPr>
          <w:sz w:val="20"/>
          <w:szCs w:val="20"/>
          <w:color w:val="auto"/>
        </w:rPr>
      </w:pPr>
    </w:p>
    <w:p>
      <w:pPr>
        <w:jc w:val="both"/>
        <w:ind w:right="160" w:firstLine="707"/>
        <w:spacing w:after="0" w:line="235"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contained under the heading “Legal Matters.” In giving this consent, we do not admit that we are within the category of persons whose consent is required under Section 7 of the Act or the rules and regulations of the Commission promulgated thereunder.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00"/>
          </w:cols>
          <w:pgMar w:left="240" w:top="131"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21"/>
          <w:szCs w:val="21"/>
          <w:b w:val="1"/>
          <w:bCs w:val="1"/>
          <w:color w:val="auto"/>
        </w:rPr>
        <w:t>Exhibit 99.1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Wynn Resorts Announces Common Stock Offering</w:t>
      </w:r>
    </w:p>
    <w:p>
      <w:pPr>
        <w:spacing w:after="0" w:line="242" w:lineRule="exact"/>
        <w:rPr>
          <w:sz w:val="20"/>
          <w:szCs w:val="20"/>
          <w:color w:val="auto"/>
        </w:rPr>
      </w:pPr>
    </w:p>
    <w:p>
      <w:pPr>
        <w:ind w:right="240"/>
        <w:spacing w:after="0" w:line="274" w:lineRule="auto"/>
        <w:rPr>
          <w:sz w:val="20"/>
          <w:szCs w:val="20"/>
          <w:color w:val="auto"/>
        </w:rPr>
      </w:pPr>
      <w:r>
        <w:rPr>
          <w:rFonts w:ascii="Arial" w:cs="Arial" w:eastAsia="Arial" w:hAnsi="Arial"/>
          <w:sz w:val="19"/>
          <w:szCs w:val="19"/>
          <w:color w:val="auto"/>
        </w:rPr>
        <w:t>LAS VEGAS—(BUSINESS WIRE)—Nov. 13, 2008—Wynn Resorts, Limited (Nasdaq:WYNN) announced today that it intends to offer, subject to market conditions and other factors, 5,000,000 newly issued shares of its common stock in conjunction with the</w:t>
      </w:r>
    </w:p>
    <w:p>
      <w:pPr>
        <w:ind w:right="300"/>
        <w:spacing w:after="0" w:line="252" w:lineRule="auto"/>
        <w:rPr>
          <w:sz w:val="20"/>
          <w:szCs w:val="20"/>
          <w:color w:val="auto"/>
        </w:rPr>
      </w:pPr>
      <w:r>
        <w:rPr>
          <w:rFonts w:ascii="Arial" w:cs="Arial" w:eastAsia="Arial" w:hAnsi="Arial"/>
          <w:sz w:val="19"/>
          <w:szCs w:val="19"/>
          <w:color w:val="auto"/>
        </w:rPr>
        <w:t>November 10</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announcement of the Company’s inclusion in the S&amp;P 500. In connection with the offering, Wynn Resorts has granted to Deutsche Bank Securities Inc. and Banc of America Securities LLC, who are acting as joint book running managers and underwriters for the offering, an option to purchase up to an additional 750,000 shares of common stock solely to cover over-allotments, if any. Wynn Resorts intends to use the proceeds for general corporate purposes, including repayment of debt.</w:t>
      </w:r>
    </w:p>
    <w:p>
      <w:pPr>
        <w:spacing w:after="0" w:line="196"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 xml:space="preserve">An automatic shelf registration statement relating to the common stock was previously filed with the Securities and Exchange Commission and became effective upon such filing. This press release shall not constitute an offer to sell or a solicitation of an offer to buy the common stock nor shall there be any sale of these shares of common stock in any state or jurisdiction in which such offer, solicitation or sale would be unlawful prior to registration or qualification under the securities laws of any such state or jurisdiction. The offering of these shares is being made only by means of a prospectus supplement and related prospectus. A copy of the prospectus relating to the shares may be obtained by contacting Deutsche Bank Securities Inc. by mail, Attn: Prospectus Department, 100 Plaza One, Jersey City, NJ 07311, by telephone at (800) 503-4611 or by email: </w:t>
      </w:r>
      <w:r>
        <w:rPr>
          <w:rFonts w:ascii="Arial" w:cs="Arial" w:eastAsia="Arial" w:hAnsi="Arial"/>
          <w:sz w:val="19"/>
          <w:szCs w:val="19"/>
          <w:u w:val="single" w:color="auto"/>
          <w:color w:val="auto"/>
        </w:rPr>
        <w:t>prospectusrequest@list.db.com</w:t>
      </w:r>
      <w:r>
        <w:rPr>
          <w:rFonts w:ascii="Arial" w:cs="Arial" w:eastAsia="Arial" w:hAnsi="Arial"/>
          <w:sz w:val="19"/>
          <w:szCs w:val="19"/>
          <w:color w:val="auto"/>
        </w:rPr>
        <w:t>; and Banc of</w:t>
      </w:r>
    </w:p>
    <w:p>
      <w:pPr>
        <w:spacing w:after="0" w:line="204" w:lineRule="auto"/>
        <w:rPr>
          <w:sz w:val="20"/>
          <w:szCs w:val="20"/>
          <w:color w:val="auto"/>
        </w:rPr>
      </w:pPr>
      <w:r>
        <w:rPr>
          <w:rFonts w:ascii="Arial" w:cs="Arial" w:eastAsia="Arial" w:hAnsi="Arial"/>
          <w:sz w:val="20"/>
          <w:szCs w:val="20"/>
          <w:color w:val="auto"/>
        </w:rPr>
        <w:t>America Securities LLC by mail, Attn: Capital Markets Operations, 100 West 33</w:t>
      </w:r>
      <w:r>
        <w:rPr>
          <w:rFonts w:ascii="Arial" w:cs="Arial" w:eastAsia="Arial" w:hAnsi="Arial"/>
          <w:sz w:val="27"/>
          <w:szCs w:val="27"/>
          <w:color w:val="auto"/>
          <w:vertAlign w:val="superscript"/>
        </w:rPr>
        <w:t>rd</w:t>
      </w:r>
      <w:r>
        <w:rPr>
          <w:rFonts w:ascii="Arial" w:cs="Arial" w:eastAsia="Arial" w:hAnsi="Arial"/>
          <w:sz w:val="20"/>
          <w:szCs w:val="20"/>
          <w:color w:val="auto"/>
        </w:rPr>
        <w:t xml:space="preserve"> Street, 3</w:t>
      </w:r>
      <w:r>
        <w:rPr>
          <w:rFonts w:ascii="Arial" w:cs="Arial" w:eastAsia="Arial" w:hAnsi="Arial"/>
          <w:sz w:val="27"/>
          <w:szCs w:val="27"/>
          <w:color w:val="auto"/>
          <w:vertAlign w:val="superscript"/>
        </w:rPr>
        <w:t>rd</w:t>
      </w:r>
      <w:r>
        <w:rPr>
          <w:rFonts w:ascii="Arial" w:cs="Arial" w:eastAsia="Arial" w:hAnsi="Arial"/>
          <w:sz w:val="20"/>
          <w:szCs w:val="20"/>
          <w:color w:val="auto"/>
        </w:rPr>
        <w:t xml:space="preserve"> Floor, New York, NY 10001, or by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dg.prospectus_distribution@bofasecurities.com</w:t>
      </w:r>
      <w:r>
        <w:rPr>
          <w:rFonts w:ascii="Arial" w:cs="Arial" w:eastAsia="Arial" w:hAnsi="Arial"/>
          <w:sz w:val="21"/>
          <w:szCs w:val="21"/>
          <w:color w:val="auto"/>
        </w:rPr>
        <w:t>.</w:t>
      </w:r>
    </w:p>
    <w:p>
      <w:pPr>
        <w:spacing w:after="0" w:line="200" w:lineRule="exact"/>
        <w:rPr>
          <w:sz w:val="20"/>
          <w:szCs w:val="20"/>
          <w:color w:val="auto"/>
        </w:rPr>
      </w:pP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2007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CONTACT: Wynn Resorts, Limited, Las Vegas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Samanta Stewart, 702-770-7555</w:t>
      </w:r>
    </w:p>
    <w:p>
      <w:pPr>
        <w:spacing w:after="0" w:line="237" w:lineRule="auto"/>
        <w:rPr>
          <w:sz w:val="20"/>
          <w:szCs w:val="20"/>
          <w:color w:val="auto"/>
        </w:rPr>
      </w:pPr>
      <w:r>
        <w:rPr>
          <w:rFonts w:ascii="Arial" w:cs="Arial" w:eastAsia="Arial" w:hAnsi="Arial"/>
          <w:sz w:val="21"/>
          <w:szCs w:val="21"/>
          <w:color w:val="auto"/>
        </w:rPr>
        <w:t>investorrelations@wynnresorts.com</w:t>
      </w:r>
    </w:p>
    <w:p>
      <w:pPr>
        <w:spacing w:after="0"/>
        <w:rPr>
          <w:sz w:val="20"/>
          <w:szCs w:val="20"/>
          <w:color w:val="auto"/>
        </w:rPr>
      </w:pPr>
      <w:r>
        <w:rPr>
          <w:rFonts w:ascii="Arial" w:cs="Arial" w:eastAsia="Arial" w:hAnsi="Arial"/>
          <w:sz w:val="21"/>
          <w:szCs w:val="21"/>
          <w:color w:val="auto"/>
        </w:rPr>
        <w:t>SOURCE: Wynn Resorts, Limited</w:t>
      </w:r>
    </w:p>
    <w:p>
      <w:pPr>
        <w:sectPr>
          <w:pgSz w:w="11900" w:h="16838" w:orient="portrait"/>
          <w:cols w:equalWidth="0" w:num="1">
            <w:col w:w="11420"/>
          </w:cols>
          <w:pgMar w:left="240" w:top="11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1"/>
          <w:szCs w:val="21"/>
          <w:b w:val="1"/>
          <w:bCs w:val="1"/>
          <w:color w:val="auto"/>
        </w:rPr>
        <w:t>Exhibit 99.2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Wynn Resorts Prices Common Stock Offering</w:t>
      </w:r>
    </w:p>
    <w:p>
      <w:pPr>
        <w:spacing w:after="0" w:line="200" w:lineRule="exact"/>
        <w:rPr>
          <w:sz w:val="20"/>
          <w:szCs w:val="20"/>
          <w:color w:val="auto"/>
        </w:rPr>
      </w:pPr>
    </w:p>
    <w:p>
      <w:pPr>
        <w:spacing w:after="0" w:line="28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LAS VEGAS—(BUSINESS WIRE)—Nov. 13, 2008— Wynn Resorts, Limited (Nasdaq:WYNN) announced today that it has priced a public offering of 8,000,000 newly issued shares of its common stock at a price to the public of $43.50 per share. The aggregate number of shares offered was increased from the previously announced 5,000,000. In connection with the offering, Wynn Resorts has granted to Deutsche Bank Securities Inc. and Banc of America Securities LLC, who are acting as joint book running managers and underwriters for the offering, an option to purchase up to an additional 1,200,000 shares of common stock solely to cover over-allotments, if any. The offering is expected to close on November 18, 2008, subject to the satisfaction of customary closing conditions. Wynn Resorts intends to use the proceeds for general corporate purposes, including repayment of debt.</w:t>
      </w:r>
    </w:p>
    <w:p>
      <w:pPr>
        <w:spacing w:after="0" w:line="200" w:lineRule="exact"/>
        <w:rPr>
          <w:sz w:val="20"/>
          <w:szCs w:val="20"/>
          <w:color w:val="auto"/>
        </w:rPr>
      </w:pPr>
    </w:p>
    <w:p>
      <w:pPr>
        <w:spacing w:after="0" w:line="221"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 xml:space="preserve">An automatic shelf registration statement relating to the common stock was previously filed with the Securities and Exchange Commission and became effective upon such filing. This press release shall not constitute an offer to sell or a solicitation of an offer to buy the common stock nor shall there be any sale of these shares of common stock in any state or jurisdiction in which such offer, solicitation or sale would be unlawful prior to registration or qualification under the securities laws of any such state or jurisdiction. The offering of these shares is being made only by means of a prospectus supplement and related prospectus. A copy of the prospectus relating to the shares may be obtained by contacting Deutsche Bank Securities Inc. by mail, Attn: Prospectus Department, 100 Plaza One, Jersey City, NJ 07311, by telephone at (800) 503-4611 or by email: </w:t>
      </w:r>
      <w:r>
        <w:rPr>
          <w:rFonts w:ascii="Arial" w:cs="Arial" w:eastAsia="Arial" w:hAnsi="Arial"/>
          <w:sz w:val="19"/>
          <w:szCs w:val="19"/>
          <w:u w:val="single" w:color="auto"/>
          <w:color w:val="auto"/>
        </w:rPr>
        <w:t>prospectusrequest@list.db.com</w:t>
      </w:r>
      <w:r>
        <w:rPr>
          <w:rFonts w:ascii="Arial" w:cs="Arial" w:eastAsia="Arial" w:hAnsi="Arial"/>
          <w:sz w:val="19"/>
          <w:szCs w:val="19"/>
          <w:color w:val="auto"/>
        </w:rPr>
        <w:t>; and Banc of</w:t>
      </w:r>
    </w:p>
    <w:p>
      <w:pPr>
        <w:spacing w:after="0" w:line="204" w:lineRule="auto"/>
        <w:rPr>
          <w:sz w:val="20"/>
          <w:szCs w:val="20"/>
          <w:color w:val="auto"/>
        </w:rPr>
      </w:pPr>
      <w:r>
        <w:rPr>
          <w:rFonts w:ascii="Arial" w:cs="Arial" w:eastAsia="Arial" w:hAnsi="Arial"/>
          <w:sz w:val="20"/>
          <w:szCs w:val="20"/>
          <w:color w:val="auto"/>
        </w:rPr>
        <w:t>America Securities LLC by mail, Attn: Capital Markets Operations, 100 West 33</w:t>
      </w:r>
      <w:r>
        <w:rPr>
          <w:rFonts w:ascii="Arial" w:cs="Arial" w:eastAsia="Arial" w:hAnsi="Arial"/>
          <w:sz w:val="27"/>
          <w:szCs w:val="27"/>
          <w:color w:val="auto"/>
          <w:vertAlign w:val="superscript"/>
        </w:rPr>
        <w:t>rd</w:t>
      </w:r>
      <w:r>
        <w:rPr>
          <w:rFonts w:ascii="Arial" w:cs="Arial" w:eastAsia="Arial" w:hAnsi="Arial"/>
          <w:sz w:val="20"/>
          <w:szCs w:val="20"/>
          <w:color w:val="auto"/>
        </w:rPr>
        <w:t xml:space="preserve"> Street, 3</w:t>
      </w:r>
      <w:r>
        <w:rPr>
          <w:rFonts w:ascii="Arial" w:cs="Arial" w:eastAsia="Arial" w:hAnsi="Arial"/>
          <w:sz w:val="27"/>
          <w:szCs w:val="27"/>
          <w:color w:val="auto"/>
          <w:vertAlign w:val="superscript"/>
        </w:rPr>
        <w:t>rd</w:t>
      </w:r>
      <w:r>
        <w:rPr>
          <w:rFonts w:ascii="Arial" w:cs="Arial" w:eastAsia="Arial" w:hAnsi="Arial"/>
          <w:sz w:val="20"/>
          <w:szCs w:val="20"/>
          <w:color w:val="auto"/>
        </w:rPr>
        <w:t xml:space="preserve"> Floor, New York, NY 10001, or by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dg.prospectus_distribution@bofasecurities.com</w:t>
      </w:r>
      <w:r>
        <w:rPr>
          <w:rFonts w:ascii="Arial" w:cs="Arial" w:eastAsia="Arial" w:hAnsi="Arial"/>
          <w:sz w:val="21"/>
          <w:szCs w:val="21"/>
          <w:color w:val="auto"/>
        </w:rPr>
        <w:t>.</w:t>
      </w:r>
    </w:p>
    <w:p>
      <w:pPr>
        <w:spacing w:after="0" w:line="200" w:lineRule="exact"/>
        <w:rPr>
          <w:sz w:val="20"/>
          <w:szCs w:val="20"/>
          <w:color w:val="auto"/>
        </w:rPr>
      </w:pP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2007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CONTACT: Wynn Resorts, Limited, Las Vegas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Samanta Stewart, 702-770-7555</w:t>
      </w:r>
    </w:p>
    <w:p>
      <w:pPr>
        <w:spacing w:after="0" w:line="237" w:lineRule="auto"/>
        <w:rPr>
          <w:sz w:val="20"/>
          <w:szCs w:val="20"/>
          <w:color w:val="auto"/>
        </w:rPr>
      </w:pPr>
      <w:r>
        <w:rPr>
          <w:rFonts w:ascii="Arial" w:cs="Arial" w:eastAsia="Arial" w:hAnsi="Arial"/>
          <w:sz w:val="21"/>
          <w:szCs w:val="21"/>
          <w:color w:val="auto"/>
        </w:rPr>
        <w:t>investorrelations@wynnresorts.com</w:t>
      </w:r>
    </w:p>
    <w:p>
      <w:pPr>
        <w:spacing w:after="0"/>
        <w:rPr>
          <w:sz w:val="20"/>
          <w:szCs w:val="20"/>
          <w:color w:val="auto"/>
        </w:rPr>
      </w:pPr>
      <w:r>
        <w:rPr>
          <w:rFonts w:ascii="Arial" w:cs="Arial" w:eastAsia="Arial" w:hAnsi="Arial"/>
          <w:sz w:val="21"/>
          <w:szCs w:val="21"/>
          <w:color w:val="auto"/>
        </w:rPr>
        <w:t>SOURCE: Wynn Resorts, Limited</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2"/>
    </w:lvl>
  </w:abstractNum>
  <w:abstractNum w:abstractNumId="3">
    <w:nsid w:val="75A2A8D4"/>
    <w:multiLevelType w:val="hybridMultilevel"/>
    <w:lvl w:ilvl="0">
      <w:lvlJc w:val="left"/>
      <w:lvlText w:val="(%1)"/>
      <w:numFmt w:val="lowerLetter"/>
      <w:start w:val="3"/>
    </w:lvl>
  </w:abstractNum>
  <w:abstractNum w:abstractNumId="4">
    <w:nsid w:val="8EDBDAB"/>
    <w:multiLevelType w:val="hybridMultilevel"/>
    <w:lvl w:ilvl="0">
      <w:lvlJc w:val="left"/>
      <w:lvlText w:val="(%1)"/>
      <w:numFmt w:val="lowerLetter"/>
      <w:start w:val="5"/>
    </w:lvl>
  </w:abstractNum>
  <w:abstractNum w:abstractNumId="5">
    <w:nsid w:val="79838CB2"/>
    <w:multiLevelType w:val="hybridMultilevel"/>
    <w:lvl w:ilvl="0">
      <w:lvlJc w:val="left"/>
      <w:lvlText w:val="(%1)"/>
      <w:numFmt w:val="lowerLetter"/>
      <w:start w:val="8"/>
    </w:lvl>
  </w:abstractNum>
  <w:abstractNum w:abstractNumId="6">
    <w:nsid w:val="4353D0CD"/>
    <w:multiLevelType w:val="hybridMultilevel"/>
    <w:lvl w:ilvl="0">
      <w:lvlJc w:val="left"/>
      <w:lvlText w:val="(%1)"/>
      <w:numFmt w:val="lowerLetter"/>
      <w:start w:val="12"/>
    </w:lvl>
  </w:abstractNum>
  <w:abstractNum w:abstractNumId="7">
    <w:nsid w:val="B03E0C6"/>
    <w:multiLevelType w:val="hybridMultilevel"/>
    <w:lvl w:ilvl="0">
      <w:lvlJc w:val="left"/>
      <w:lvlText w:val="(%1)"/>
      <w:numFmt w:val="lowerLetter"/>
      <w:start w:val="15"/>
    </w:lvl>
  </w:abstractNum>
  <w:abstractNum w:abstractNumId="8">
    <w:nsid w:val="189A769B"/>
    <w:multiLevelType w:val="hybridMultilevel"/>
    <w:lvl w:ilvl="0">
      <w:lvlJc w:val="left"/>
      <w:lvlText w:val="%1"/>
      <w:numFmt w:val="lowerLetter"/>
      <w:start w:val="1"/>
    </w:lvl>
    <w:lvl w:ilvl="1">
      <w:lvlJc w:val="left"/>
      <w:lvlText w:val="(%2)"/>
      <w:numFmt w:val="lowerLetter"/>
      <w:start w:val="18"/>
    </w:lvl>
  </w:abstractNum>
  <w:abstractNum w:abstractNumId="9">
    <w:nsid w:val="54E49EB4"/>
    <w:multiLevelType w:val="hybridMultilevel"/>
    <w:lvl w:ilvl="0">
      <w:lvlJc w:val="left"/>
      <w:lvlText w:val="(%1)"/>
      <w:numFmt w:val="lowerLetter"/>
      <w:start w:val="35"/>
    </w:lvl>
    <w:lvl w:ilvl="1">
      <w:lvlJc w:val="left"/>
      <w:lvlText w:val="(%2)"/>
      <w:numFmt w:val="lowerLetter"/>
      <w:start w:val="19"/>
    </w:lvl>
  </w:abstractNum>
  <w:abstractNum w:abstractNumId="10">
    <w:nsid w:val="71F32454"/>
    <w:multiLevelType w:val="hybridMultilevel"/>
    <w:lvl w:ilvl="0">
      <w:lvlJc w:val="left"/>
      <w:lvlText w:val="(%1)"/>
      <w:numFmt w:val="lowerLetter"/>
      <w:start w:val="20"/>
    </w:lvl>
  </w:abstractNum>
  <w:abstractNum w:abstractNumId="11">
    <w:nsid w:val="2CA88611"/>
    <w:multiLevelType w:val="hybridMultilevel"/>
    <w:lvl w:ilvl="0">
      <w:lvlJc w:val="left"/>
      <w:lvlText w:val="(%1)"/>
      <w:numFmt w:val="lowerRoman"/>
      <w:start w:val="5"/>
    </w:lvl>
  </w:abstractNum>
  <w:abstractNum w:abstractNumId="12">
    <w:nsid w:val="836C40E"/>
    <w:multiLevelType w:val="hybridMultilevel"/>
    <w:lvl w:ilvl="0">
      <w:lvlJc w:val="left"/>
      <w:lvlText w:val="(%1)"/>
      <w:numFmt w:val="lowerLetter"/>
      <w:start w:val="23"/>
    </w:lvl>
  </w:abstractNum>
  <w:abstractNum w:abstractNumId="13">
    <w:nsid w:val="2901D82"/>
    <w:multiLevelType w:val="hybridMultilevel"/>
    <w:lvl w:ilvl="0">
      <w:lvlJc w:val="left"/>
      <w:lvlText w:val="(%1)"/>
      <w:numFmt w:val="lowerLetter"/>
      <w:start w:val="27"/>
    </w:lvl>
  </w:abstractNum>
  <w:abstractNum w:abstractNumId="14">
    <w:nsid w:val="3A95F874"/>
    <w:multiLevelType w:val="hybridMultilevel"/>
    <w:lvl w:ilvl="0">
      <w:lvlJc w:val="left"/>
      <w:lvlText w:val="(%1)"/>
      <w:numFmt w:val="lowerLetter"/>
      <w:start w:val="29"/>
    </w:lvl>
  </w:abstractNum>
  <w:abstractNum w:abstractNumId="15">
    <w:nsid w:val="8138641"/>
    <w:multiLevelType w:val="hybridMultilevel"/>
    <w:lvl w:ilvl="0">
      <w:lvlJc w:val="left"/>
      <w:lvlText w:val="(%1)"/>
      <w:numFmt w:val="lowerLetter"/>
      <w:start w:val="31"/>
    </w:lvl>
  </w:abstractNum>
  <w:abstractNum w:abstractNumId="16">
    <w:nsid w:val="1E7FF521"/>
    <w:multiLevelType w:val="hybridMultilevel"/>
    <w:lvl w:ilvl="0">
      <w:lvlJc w:val="left"/>
      <w:lvlText w:val="%1."/>
      <w:numFmt w:val="decimal"/>
      <w:start w:val="2"/>
    </w:lvl>
    <w:lvl w:ilvl="1">
      <w:lvlJc w:val="left"/>
      <w:lvlText w:val="(%2)"/>
      <w:numFmt w:val="lowerLetter"/>
      <w:start w:val="1"/>
    </w:lvl>
  </w:abstractNum>
  <w:abstractNum w:abstractNumId="17">
    <w:nsid w:val="7C3DBD3D"/>
    <w:multiLevelType w:val="hybridMultilevel"/>
    <w:lvl w:ilvl="0">
      <w:lvlJc w:val="left"/>
      <w:lvlText w:val="%1."/>
      <w:numFmt w:val="decimal"/>
      <w:start w:val="3"/>
    </w:lvl>
    <w:lvl w:ilvl="1">
      <w:lvlJc w:val="left"/>
      <w:lvlText w:val="(%2)"/>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3"/>
    </w:lvl>
  </w:abstractNum>
  <w:abstractNum w:abstractNumId="20">
    <w:nsid w:val="22221A70"/>
    <w:multiLevelType w:val="hybridMultilevel"/>
    <w:lvl w:ilvl="0">
      <w:lvlJc w:val="left"/>
      <w:lvlText w:val="(%1)"/>
      <w:numFmt w:val="lowerLetter"/>
      <w:start w:val="6"/>
    </w:lvl>
  </w:abstractNum>
  <w:abstractNum w:abstractNumId="21">
    <w:nsid w:val="4516DDE9"/>
    <w:multiLevelType w:val="hybridMultilevel"/>
    <w:lvl w:ilvl="0">
      <w:lvlJc w:val="left"/>
      <w:lvlText w:val="(%1)"/>
      <w:numFmt w:val="lowerLetter"/>
      <w:start w:val="10"/>
    </w:lvl>
  </w:abstractNum>
  <w:abstractNum w:abstractNumId="22">
    <w:nsid w:val="3006C83E"/>
    <w:multiLevelType w:val="hybridMultilevel"/>
    <w:lvl w:ilvl="0">
      <w:lvlJc w:val="left"/>
      <w:lvlText w:val="%1"/>
      <w:numFmt w:val="decimal"/>
      <w:start w:val="1"/>
    </w:lvl>
    <w:lvl w:ilvl="1">
      <w:lvlJc w:val="left"/>
      <w:lvlText w:val="(%2)"/>
      <w:numFmt w:val="lowerLetter"/>
      <w:start w:val="15"/>
    </w:lvl>
  </w:abstractNum>
  <w:abstractNum w:abstractNumId="23">
    <w:nsid w:val="614FD4A1"/>
    <w:multiLevelType w:val="hybridMultilevel"/>
    <w:lvl w:ilvl="0">
      <w:lvlJc w:val="left"/>
      <w:lvlText w:val="%1."/>
      <w:numFmt w:val="decimal"/>
      <w:start w:val="5"/>
    </w:lvl>
    <w:lvl w:ilvl="1">
      <w:lvlJc w:val="left"/>
      <w:lvlText w:val="%2"/>
      <w:numFmt w:val="lowerLetter"/>
      <w:start w:val="1"/>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abstractNum>
  <w:abstractNum w:abstractNumId="27">
    <w:nsid w:val="507236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abstractNum>
  <w:abstractNum w:abstractNumId="28">
    <w:nsid w:val="3804823E"/>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abstractNum>
  <w:abstractNum w:abstractNumId="29">
    <w:nsid w:val="77465F01"/>
    <w:multiLevelType w:val="hybridMultilevel"/>
    <w:lvl w:ilvl="0">
      <w:lvlJc w:val="left"/>
      <w:lvlText w:val="%1"/>
      <w:numFmt w:val="lowerLetter"/>
      <w:start w:val="1"/>
    </w:lvl>
    <w:lvl w:ilvl="1">
      <w:lvlJc w:val="left"/>
      <w:lvlText w:val="(%2)"/>
      <w:numFmt w:val="lowerRoman"/>
      <w:start w:val="7"/>
    </w:lvl>
  </w:abstractNum>
  <w:abstractNum w:abstractNumId="30">
    <w:nsid w:val="7724C67E"/>
    <w:multiLevelType w:val="hybridMultilevel"/>
    <w:lvl w:ilvl="0">
      <w:lvlJc w:val="left"/>
      <w:lvlText w:val="(%1)"/>
      <w:numFmt w:val="lowerLetter"/>
      <w:start w:val="9"/>
    </w:lvl>
    <w:lvl w:ilvl="1">
      <w:lvlJc w:val="left"/>
      <w:lvlText w:val="%2"/>
      <w:numFmt w:val="lowerRoman"/>
      <w:start w:val="1"/>
    </w:lvl>
  </w:abstractNum>
  <w:abstractNum w:abstractNumId="31">
    <w:nsid w:val="5C482A97"/>
    <w:multiLevelType w:val="hybridMultilevel"/>
    <w:lvl w:ilvl="0">
      <w:lvlJc w:val="left"/>
      <w:lvlText w:val="%1."/>
      <w:numFmt w:val="decimal"/>
      <w:start w:val="7"/>
    </w:lvl>
  </w:abstractNum>
  <w:abstractNum w:abstractNumId="32">
    <w:nsid w:val="2463B9EA"/>
    <w:multiLevelType w:val="hybridMultilevel"/>
    <w:lvl w:ilvl="0">
      <w:lvlJc w:val="left"/>
      <w:lvlText w:val="%1."/>
      <w:numFmt w:val="decimal"/>
      <w:start w:val="8"/>
    </w:lvl>
    <w:lvl w:ilvl="1">
      <w:lvlJc w:val="left"/>
      <w:lvlText w:val="(%2)"/>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36">
    <w:nsid w:val="580BD78F"/>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1"/>
    </w:lvl>
  </w:abstractNum>
  <w:abstractNum w:abstractNumId="39">
    <w:nsid w:val="70A64E2A"/>
    <w:multiLevelType w:val="hybridMultilevel"/>
    <w:lvl w:ilvl="0">
      <w:lvlJc w:val="left"/>
      <w:lvlText w:val="%1."/>
      <w:numFmt w:val="decimal"/>
      <w:start w:val="12"/>
    </w:lvl>
  </w:abstractNum>
  <w:abstractNum w:abstractNumId="40">
    <w:nsid w:val="6A2342EC"/>
    <w:multiLevelType w:val="hybridMultilevel"/>
    <w:lvl w:ilvl="0">
      <w:lvlJc w:val="left"/>
      <w:lvlText w:val="%1."/>
      <w:numFmt w:val="decimal"/>
      <w:start w:val="13"/>
    </w:lvl>
  </w:abstractNum>
  <w:abstractNum w:abstractNumId="41">
    <w:nsid w:val="2A487CB0"/>
    <w:multiLevelType w:val="hybridMultilevel"/>
    <w:lvl w:ilvl="0">
      <w:lvlJc w:val="left"/>
      <w:lvlText w:val="%1."/>
      <w:numFmt w:val="decimal"/>
      <w:start w:val="14"/>
    </w:lvl>
  </w:abstractNum>
  <w:abstractNum w:abstractNumId="42">
    <w:nsid w:val="1D4ED43B"/>
    <w:multiLevelType w:val="hybridMultilevel"/>
    <w:lvl w:ilvl="0">
      <w:lvlJc w:val="left"/>
      <w:lvlText w:val="%1."/>
      <w:numFmt w:val="decimal"/>
      <w:start w:val="15"/>
    </w:lvl>
  </w:abstractNum>
  <w:abstractNum w:abstractNumId="43">
    <w:nsid w:val="725A06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2019-12-15T07:56:52Z</dcterms:created>
  <dcterms:modified xsi:type="dcterms:W3CDTF">2019-12-15T07:56:52Z</dcterms:modified>
</cp:coreProperties>
</file>