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333-146360</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Proposed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Proposed</w:t>
            </w:r>
          </w:p>
        </w:tc>
        <w:tc>
          <w:tcPr>
            <w:tcW w:w="1120" w:type="dxa"/>
            <w:vAlign w:val="bottom"/>
          </w:tcPr>
          <w:p>
            <w:pPr>
              <w:spacing w:after="0"/>
              <w:rPr>
                <w:sz w:val="14"/>
                <w:szCs w:val="14"/>
                <w:color w:val="auto"/>
              </w:rPr>
            </w:pPr>
          </w:p>
        </w:tc>
      </w:tr>
      <w:tr>
        <w:trPr>
          <w:trHeight w:val="149"/>
        </w:trPr>
        <w:tc>
          <w:tcPr>
            <w:tcW w:w="4960" w:type="dxa"/>
            <w:vAlign w:val="bottom"/>
          </w:tcPr>
          <w:p>
            <w:pPr>
              <w:jc w:val="center"/>
              <w:ind w:left="847"/>
              <w:spacing w:after="0" w:line="149" w:lineRule="exact"/>
              <w:rPr>
                <w:sz w:val="20"/>
                <w:szCs w:val="20"/>
                <w:color w:val="auto"/>
              </w:rPr>
            </w:pPr>
            <w:r>
              <w:rPr>
                <w:rFonts w:ascii="Arial" w:cs="Arial" w:eastAsia="Arial" w:hAnsi="Arial"/>
                <w:sz w:val="14"/>
                <w:szCs w:val="14"/>
                <w:b w:val="1"/>
                <w:bCs w:val="1"/>
                <w:color w:val="auto"/>
                <w:w w:val="96"/>
              </w:rPr>
              <w:t>Title of Each Class of</w:t>
            </w:r>
          </w:p>
        </w:tc>
        <w:tc>
          <w:tcPr>
            <w:tcW w:w="24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120" w:type="dxa"/>
            <w:vAlign w:val="bottom"/>
          </w:tcPr>
          <w:p>
            <w:pPr>
              <w:jc w:val="center"/>
              <w:ind w:left="167"/>
              <w:spacing w:after="0" w:line="149" w:lineRule="exact"/>
              <w:rPr>
                <w:sz w:val="20"/>
                <w:szCs w:val="20"/>
                <w:color w:val="auto"/>
              </w:rPr>
            </w:pPr>
            <w:r>
              <w:rPr>
                <w:rFonts w:ascii="Arial" w:cs="Arial" w:eastAsia="Arial" w:hAnsi="Arial"/>
                <w:sz w:val="14"/>
                <w:szCs w:val="14"/>
                <w:b w:val="1"/>
                <w:bCs w:val="1"/>
                <w:color w:val="auto"/>
                <w:w w:val="97"/>
              </w:rPr>
              <w:t>Amount of</w:t>
            </w:r>
          </w:p>
        </w:tc>
      </w:tr>
      <w:tr>
        <w:trPr>
          <w:trHeight w:val="149"/>
        </w:trPr>
        <w:tc>
          <w:tcPr>
            <w:tcW w:w="4960" w:type="dxa"/>
            <w:vAlign w:val="bottom"/>
          </w:tcPr>
          <w:p>
            <w:pPr>
              <w:jc w:val="center"/>
              <w:ind w:left="847"/>
              <w:spacing w:after="0" w:line="149" w:lineRule="exact"/>
              <w:rPr>
                <w:sz w:val="20"/>
                <w:szCs w:val="20"/>
                <w:color w:val="auto"/>
              </w:rPr>
            </w:pPr>
            <w:r>
              <w:rPr>
                <w:rFonts w:ascii="Arial" w:cs="Arial" w:eastAsia="Arial" w:hAnsi="Arial"/>
                <w:sz w:val="14"/>
                <w:szCs w:val="14"/>
                <w:b w:val="1"/>
                <w:bCs w:val="1"/>
                <w:color w:val="auto"/>
                <w:w w:val="95"/>
              </w:rPr>
              <w:t>Securities to be</w:t>
            </w:r>
          </w:p>
        </w:tc>
        <w:tc>
          <w:tcPr>
            <w:tcW w:w="2480" w:type="dxa"/>
            <w:vAlign w:val="bottom"/>
          </w:tcPr>
          <w:p>
            <w:pPr>
              <w:ind w:left="1360"/>
              <w:spacing w:after="0" w:line="149" w:lineRule="exact"/>
              <w:rPr>
                <w:sz w:val="20"/>
                <w:szCs w:val="20"/>
                <w:color w:val="auto"/>
              </w:rPr>
            </w:pPr>
            <w:r>
              <w:rPr>
                <w:rFonts w:ascii="Arial" w:cs="Arial" w:eastAsia="Arial" w:hAnsi="Arial"/>
                <w:sz w:val="14"/>
                <w:szCs w:val="14"/>
                <w:b w:val="1"/>
                <w:bCs w:val="1"/>
                <w:color w:val="auto"/>
              </w:rPr>
              <w:t>Amount to be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Aggregate</w:t>
            </w:r>
          </w:p>
        </w:tc>
        <w:tc>
          <w:tcPr>
            <w:tcW w:w="1120" w:type="dxa"/>
            <w:vAlign w:val="bottom"/>
          </w:tcPr>
          <w:p>
            <w:pPr>
              <w:jc w:val="center"/>
              <w:ind w:left="147"/>
              <w:spacing w:after="0" w:line="149" w:lineRule="exact"/>
              <w:rPr>
                <w:sz w:val="20"/>
                <w:szCs w:val="20"/>
                <w:color w:val="auto"/>
              </w:rPr>
            </w:pPr>
            <w:r>
              <w:rPr>
                <w:rFonts w:ascii="Arial" w:cs="Arial" w:eastAsia="Arial" w:hAnsi="Arial"/>
                <w:sz w:val="14"/>
                <w:szCs w:val="14"/>
                <w:b w:val="1"/>
                <w:bCs w:val="1"/>
                <w:color w:val="auto"/>
                <w:w w:val="95"/>
              </w:rPr>
              <w:t>Registration</w:t>
            </w:r>
          </w:p>
        </w:tc>
      </w:tr>
      <w:tr>
        <w:trPr>
          <w:trHeight w:val="178"/>
        </w:trPr>
        <w:tc>
          <w:tcPr>
            <w:tcW w:w="4960" w:type="dxa"/>
            <w:vAlign w:val="bottom"/>
            <w:tcBorders>
              <w:bottom w:val="single" w:sz="8" w:color="auto"/>
            </w:tcBorders>
          </w:tcPr>
          <w:p>
            <w:pPr>
              <w:jc w:val="center"/>
              <w:ind w:left="827"/>
              <w:spacing w:after="0"/>
              <w:rPr>
                <w:sz w:val="20"/>
                <w:szCs w:val="20"/>
                <w:color w:val="auto"/>
              </w:rPr>
            </w:pPr>
            <w:r>
              <w:rPr>
                <w:rFonts w:ascii="Arial" w:cs="Arial" w:eastAsia="Arial" w:hAnsi="Arial"/>
                <w:sz w:val="14"/>
                <w:szCs w:val="14"/>
                <w:b w:val="1"/>
                <w:bCs w:val="1"/>
                <w:color w:val="auto"/>
                <w:w w:val="96"/>
              </w:rPr>
              <w:t>Registered</w:t>
            </w:r>
          </w:p>
        </w:tc>
        <w:tc>
          <w:tcPr>
            <w:tcW w:w="248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Registered (1)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Share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120" w:type="dxa"/>
            <w:vAlign w:val="bottom"/>
            <w:tcBorders>
              <w:bottom w:val="single" w:sz="8" w:color="auto"/>
            </w:tcBorders>
          </w:tcPr>
          <w:p>
            <w:pPr>
              <w:jc w:val="center"/>
              <w:ind w:left="167"/>
              <w:spacing w:after="0"/>
              <w:rPr>
                <w:sz w:val="20"/>
                <w:szCs w:val="20"/>
                <w:color w:val="auto"/>
              </w:rPr>
            </w:pPr>
            <w:r>
              <w:rPr>
                <w:rFonts w:ascii="Arial" w:cs="Arial" w:eastAsia="Arial" w:hAnsi="Arial"/>
                <w:sz w:val="14"/>
                <w:szCs w:val="14"/>
                <w:b w:val="1"/>
                <w:bCs w:val="1"/>
                <w:color w:val="auto"/>
                <w:w w:val="99"/>
              </w:rPr>
              <w:t>Fee</w:t>
            </w: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Common Stock, par value $.01 per share</w:t>
            </w:r>
          </w:p>
        </w:tc>
        <w:tc>
          <w:tcPr>
            <w:tcW w:w="2480" w:type="dxa"/>
            <w:vAlign w:val="bottom"/>
            <w:shd w:val="clear" w:color="auto" w:fill="CCEEFF"/>
          </w:tcPr>
          <w:p>
            <w:pPr>
              <w:ind w:left="1360"/>
              <w:spacing w:after="0" w:line="196" w:lineRule="exact"/>
              <w:rPr>
                <w:sz w:val="20"/>
                <w:szCs w:val="20"/>
                <w:color w:val="auto"/>
              </w:rPr>
            </w:pPr>
            <w:r>
              <w:rPr>
                <w:rFonts w:ascii="Arial" w:cs="Arial" w:eastAsia="Arial" w:hAnsi="Arial"/>
                <w:sz w:val="18"/>
                <w:szCs w:val="18"/>
                <w:color w:val="auto"/>
              </w:rPr>
              <w:t>11,040,000</w:t>
            </w:r>
          </w:p>
        </w:tc>
        <w:tc>
          <w:tcPr>
            <w:tcW w:w="13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$19.00</w:t>
            </w:r>
          </w:p>
        </w:tc>
        <w:tc>
          <w:tcPr>
            <w:tcW w:w="1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$209,760,000</w:t>
            </w:r>
          </w:p>
        </w:tc>
        <w:tc>
          <w:tcPr>
            <w:tcW w:w="1120" w:type="dxa"/>
            <w:vAlign w:val="bottom"/>
            <w:shd w:val="clear" w:color="auto" w:fill="CCEEFF"/>
          </w:tcPr>
          <w:p>
            <w:pPr>
              <w:jc w:val="center"/>
              <w:ind w:left="167"/>
              <w:spacing w:after="0" w:line="196" w:lineRule="exact"/>
              <w:rPr>
                <w:sz w:val="20"/>
                <w:szCs w:val="20"/>
                <w:color w:val="auto"/>
              </w:rPr>
            </w:pPr>
            <w:r>
              <w:rPr>
                <w:rFonts w:ascii="Arial" w:cs="Arial" w:eastAsia="Arial" w:hAnsi="Arial"/>
                <w:sz w:val="18"/>
                <w:szCs w:val="18"/>
                <w:color w:val="auto"/>
                <w:w w:val="97"/>
              </w:rPr>
              <w:t>$11,704.61</w:t>
            </w:r>
          </w:p>
        </w:tc>
      </w:tr>
      <w:tr>
        <w:trPr>
          <w:trHeight w:val="61"/>
        </w:trPr>
        <w:tc>
          <w:tcPr>
            <w:tcW w:w="496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bl>
    <w:p>
      <w:pPr>
        <w:spacing w:after="0" w:line="3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Reflects the potential issuance of additional shares of common stock pursuant to an over-allotment option.</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992755" cy="128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9,600,000 Shares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239"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This is a public offering of common stock of Wynn Resorts, Limited. We are offering 9,600,000 shares of our common stock. Our common stock is quoted on the Nasdaq Global Select Market under the symbol “WYNN.” On March 17, 2009, the last reported sale price of our common stock was $20.72 per share.</w:t>
      </w:r>
    </w:p>
    <w:p>
      <w:pPr>
        <w:spacing w:after="0" w:line="118" w:lineRule="exact"/>
        <w:rPr>
          <w:sz w:val="20"/>
          <w:szCs w:val="20"/>
          <w:color w:val="auto"/>
        </w:rPr>
      </w:pPr>
    </w:p>
    <w:p>
      <w:pPr>
        <w:ind w:right="420"/>
        <w:spacing w:after="0" w:line="261" w:lineRule="auto"/>
        <w:rPr>
          <w:sz w:val="20"/>
          <w:szCs w:val="20"/>
          <w:color w:val="auto"/>
        </w:rPr>
      </w:pPr>
      <w:r>
        <w:rPr>
          <w:rFonts w:ascii="Arial" w:cs="Arial" w:eastAsia="Arial" w:hAnsi="Arial"/>
          <w:sz w:val="22"/>
          <w:szCs w:val="22"/>
          <w:b w:val="1"/>
          <w:bCs w:val="1"/>
          <w:color w:val="auto"/>
        </w:rPr>
        <w:t>Investing in our common stock involves risks that are described beginning on page S-2 and in our periodic reports filed with the Securities and Exchange Commission.</w:t>
      </w:r>
    </w:p>
    <w:p>
      <w:pPr>
        <w:spacing w:after="0" w:line="112"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None of the Securities and Exchange Commission, the Nevada Gaming Commission, the Nevada State Gaming Control Board,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spacing w:after="0"/>
              <w:rPr>
                <w:sz w:val="14"/>
                <w:szCs w:val="14"/>
                <w:color w:val="auto"/>
              </w:rPr>
            </w:pPr>
          </w:p>
        </w:tc>
        <w:tc>
          <w:tcPr>
            <w:tcW w:w="1640" w:type="dxa"/>
            <w:vAlign w:val="bottom"/>
            <w:gridSpan w:val="3"/>
          </w:tcPr>
          <w:p>
            <w:pPr>
              <w:ind w:left="400"/>
              <w:spacing w:after="0"/>
              <w:rPr>
                <w:sz w:val="20"/>
                <w:szCs w:val="20"/>
                <w:color w:val="auto"/>
              </w:rPr>
            </w:pPr>
            <w:r>
              <w:rPr>
                <w:rFonts w:ascii="Arial" w:cs="Arial" w:eastAsia="Arial" w:hAnsi="Arial"/>
                <w:sz w:val="14"/>
                <w:szCs w:val="14"/>
                <w:b w:val="1"/>
                <w:bCs w:val="1"/>
                <w:color w:val="auto"/>
              </w:rPr>
              <w:t>Total</w:t>
            </w:r>
          </w:p>
        </w:tc>
      </w:tr>
      <w:tr>
        <w:trPr>
          <w:trHeight w:val="20"/>
        </w:trPr>
        <w:tc>
          <w:tcPr>
            <w:tcW w:w="8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67"/>
        </w:trPr>
        <w:tc>
          <w:tcPr>
            <w:tcW w:w="8560" w:type="dxa"/>
            <w:vAlign w:val="bottom"/>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19.00</w:t>
            </w:r>
          </w:p>
        </w:tc>
        <w:tc>
          <w:tcPr>
            <w:tcW w:w="400" w:type="dxa"/>
            <w:vAlign w:val="bottom"/>
          </w:tcPr>
          <w:p>
            <w:pPr>
              <w:spacing w:after="0"/>
              <w:rPr>
                <w:sz w:val="23"/>
                <w:szCs w:val="23"/>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182,400,000</w:t>
            </w: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0.6878</w:t>
            </w:r>
          </w:p>
        </w:tc>
        <w:tc>
          <w:tcPr>
            <w:tcW w:w="5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6,603,000</w:t>
            </w:r>
          </w:p>
        </w:tc>
      </w:tr>
      <w:tr>
        <w:trPr>
          <w:trHeight w:val="211"/>
        </w:trPr>
        <w:tc>
          <w:tcPr>
            <w:tcW w:w="8560" w:type="dxa"/>
            <w:vAlign w:val="bottom"/>
          </w:tcPr>
          <w:p>
            <w:pPr>
              <w:spacing w:after="0"/>
              <w:rPr>
                <w:sz w:val="20"/>
                <w:szCs w:val="20"/>
                <w:color w:val="auto"/>
              </w:rPr>
            </w:pPr>
            <w:r>
              <w:rPr>
                <w:rFonts w:ascii="Arial" w:cs="Arial" w:eastAsia="Arial" w:hAnsi="Arial"/>
                <w:sz w:val="18"/>
                <w:szCs w:val="18"/>
                <w:color w:val="auto"/>
              </w:rPr>
              <w:t>Proceeds to Wynn Resorts, Limited (before expenses)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18.3122</w:t>
            </w:r>
          </w:p>
        </w:tc>
        <w:tc>
          <w:tcPr>
            <w:tcW w:w="40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175,797,000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23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agreed to sell the shares of our common stock to the underwriters at a price of $18.3825 per share, reflecting an underwriting discount per share of $0.6175. In addition, we have agreed to pay Moelis &amp; Company, our financial advisor in connection with this transaction, a fee of $675,000, which we have included in the underwriting discounts and commissions.</w:t>
      </w:r>
    </w:p>
    <w:p>
      <w:pPr>
        <w:spacing w:after="0" w:line="15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granted to the underwriters an option to purchase up to 1,440,000 additional shares of common stock at a price of $18.3825 per share if the underwriters sell more than 9,600,000 shares of common stock in this offering. The underwriters can exercise this right at any time and from time to time, in whole or in part, within 30 days after the offering. The underwriters expect to deliver the shares of common stock to investors on or about March 20, 2009.</w:t>
      </w:r>
    </w:p>
    <w:p>
      <w:pPr>
        <w:spacing w:after="0" w:line="155"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In connection with this offering, we have agreed to pay the underwriters aggregate fees of $6,603,000, including $675,000 we have agreed to pay to Moelis &amp; Company, our financial advisor in connection with this transaction, plus up to an additional $889,200 if the underwriters exercise their option to purchase additional shares.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0" w:type="dxa"/>
            <w:vAlign w:val="bottom"/>
            <w:gridSpan w:val="2"/>
          </w:tcPr>
          <w:p>
            <w:pPr>
              <w:ind w:left="20"/>
              <w:spacing w:after="0"/>
              <w:rPr>
                <w:sz w:val="20"/>
                <w:szCs w:val="20"/>
                <w:color w:val="auto"/>
              </w:rPr>
            </w:pPr>
            <w:r>
              <w:rPr>
                <w:rFonts w:ascii="Arial" w:cs="Arial" w:eastAsia="Arial" w:hAnsi="Arial"/>
                <w:sz w:val="18"/>
                <w:szCs w:val="18"/>
                <w:i w:val="1"/>
                <w:iCs w:val="1"/>
                <w:color w:val="auto"/>
              </w:rPr>
              <w:t>Joint Book-Running Managers</w:t>
            </w:r>
          </w:p>
        </w:tc>
        <w:tc>
          <w:tcPr>
            <w:tcW w:w="3500" w:type="dxa"/>
            <w:vAlign w:val="bottom"/>
          </w:tcPr>
          <w:p>
            <w:pPr>
              <w:spacing w:after="0"/>
              <w:rPr>
                <w:sz w:val="19"/>
                <w:szCs w:val="19"/>
                <w:color w:val="auto"/>
              </w:rPr>
            </w:pPr>
          </w:p>
        </w:tc>
      </w:tr>
      <w:tr>
        <w:trPr>
          <w:trHeight w:val="584"/>
        </w:trPr>
        <w:tc>
          <w:tcPr>
            <w:tcW w:w="4100" w:type="dxa"/>
            <w:vAlign w:val="bottom"/>
          </w:tcPr>
          <w:p>
            <w:pPr>
              <w:spacing w:after="0"/>
              <w:rPr>
                <w:sz w:val="20"/>
                <w:szCs w:val="20"/>
                <w:color w:val="auto"/>
              </w:rPr>
            </w:pPr>
            <w:r>
              <w:rPr>
                <w:rFonts w:ascii="Arial" w:cs="Arial" w:eastAsia="Arial" w:hAnsi="Arial"/>
                <w:sz w:val="32"/>
                <w:szCs w:val="32"/>
                <w:b w:val="1"/>
                <w:bCs w:val="1"/>
                <w:color w:val="auto"/>
              </w:rPr>
              <w:t>Deutsche Bank Securities</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jc w:val="right"/>
              <w:spacing w:after="0"/>
              <w:rPr>
                <w:sz w:val="20"/>
                <w:szCs w:val="20"/>
                <w:color w:val="auto"/>
              </w:rPr>
            </w:pPr>
            <w:r>
              <w:rPr>
                <w:rFonts w:ascii="Arial" w:cs="Arial" w:eastAsia="Arial" w:hAnsi="Arial"/>
                <w:sz w:val="32"/>
                <w:szCs w:val="32"/>
                <w:b w:val="1"/>
                <w:bCs w:val="1"/>
                <w:color w:val="auto"/>
              </w:rPr>
              <w:t>Merrill Lynch &amp; Co.</w:t>
            </w:r>
          </w:p>
        </w:tc>
      </w:tr>
      <w:tr>
        <w:trPr>
          <w:trHeight w:val="161"/>
        </w:trPr>
        <w:tc>
          <w:tcPr>
            <w:tcW w:w="4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495"/>
        </w:trPr>
        <w:tc>
          <w:tcPr>
            <w:tcW w:w="4100" w:type="dxa"/>
            <w:vAlign w:val="bottom"/>
          </w:tcPr>
          <w:p>
            <w:pPr>
              <w:spacing w:after="0"/>
              <w:rPr>
                <w:sz w:val="20"/>
                <w:szCs w:val="20"/>
                <w:color w:val="auto"/>
              </w:rPr>
            </w:pPr>
            <w:r>
              <w:rPr>
                <w:rFonts w:ascii="Arial" w:cs="Arial" w:eastAsia="Arial" w:hAnsi="Arial"/>
                <w:sz w:val="32"/>
                <w:szCs w:val="32"/>
                <w:b w:val="1"/>
                <w:bCs w:val="1"/>
                <w:color w:val="auto"/>
              </w:rPr>
              <w:t>J.P.Morgan</w:t>
            </w:r>
          </w:p>
        </w:tc>
        <w:tc>
          <w:tcPr>
            <w:tcW w:w="3820" w:type="dxa"/>
            <w:vAlign w:val="bottom"/>
            <w:gridSpan w:val="3"/>
          </w:tcPr>
          <w:p>
            <w:pPr>
              <w:ind w:left="120"/>
              <w:spacing w:after="0"/>
              <w:rPr>
                <w:sz w:val="20"/>
                <w:szCs w:val="20"/>
                <w:color w:val="auto"/>
              </w:rPr>
            </w:pPr>
            <w:r>
              <w:rPr>
                <w:rFonts w:ascii="Arial" w:cs="Arial" w:eastAsia="Arial" w:hAnsi="Arial"/>
                <w:sz w:val="32"/>
                <w:szCs w:val="32"/>
                <w:b w:val="1"/>
                <w:bCs w:val="1"/>
                <w:color w:val="auto"/>
              </w:rPr>
              <w:t>Wachovia Securities</w:t>
            </w:r>
          </w:p>
        </w:tc>
        <w:tc>
          <w:tcPr>
            <w:tcW w:w="3500" w:type="dxa"/>
            <w:vAlign w:val="bottom"/>
          </w:tcPr>
          <w:p>
            <w:pPr>
              <w:jc w:val="right"/>
              <w:spacing w:after="0"/>
              <w:rPr>
                <w:sz w:val="20"/>
                <w:szCs w:val="20"/>
                <w:color w:val="auto"/>
              </w:rPr>
            </w:pPr>
            <w:r>
              <w:rPr>
                <w:rFonts w:ascii="Arial" w:cs="Arial" w:eastAsia="Arial" w:hAnsi="Arial"/>
                <w:sz w:val="32"/>
                <w:szCs w:val="32"/>
                <w:b w:val="1"/>
                <w:bCs w:val="1"/>
                <w:color w:val="auto"/>
              </w:rPr>
              <w:t>Moelis &amp; Company</w:t>
            </w:r>
          </w:p>
        </w:tc>
      </w:tr>
      <w:tr>
        <w:trPr>
          <w:trHeight w:val="469"/>
        </w:trPr>
        <w:tc>
          <w:tcPr>
            <w:tcW w:w="7920" w:type="dxa"/>
            <w:vAlign w:val="bottom"/>
            <w:gridSpan w:val="4"/>
          </w:tcPr>
          <w:p>
            <w:pPr>
              <w:ind w:left="20"/>
              <w:spacing w:after="0"/>
              <w:rPr>
                <w:sz w:val="20"/>
                <w:szCs w:val="20"/>
                <w:color w:val="auto"/>
              </w:rPr>
            </w:pPr>
            <w:r>
              <w:rPr>
                <w:rFonts w:ascii="Arial" w:cs="Arial" w:eastAsia="Arial" w:hAnsi="Arial"/>
                <w:sz w:val="18"/>
                <w:szCs w:val="18"/>
                <w:color w:val="auto"/>
              </w:rPr>
              <w:t>The date of this prospectus supplement is March 17, 2009</w:t>
            </w:r>
          </w:p>
        </w:tc>
        <w:tc>
          <w:tcPr>
            <w:tcW w:w="3500" w:type="dxa"/>
            <w:vAlign w:val="bottom"/>
          </w:tcPr>
          <w:p>
            <w:pPr>
              <w:spacing w:after="0"/>
              <w:rPr>
                <w:sz w:val="24"/>
                <w:szCs w:val="24"/>
                <w:color w:val="auto"/>
              </w:rPr>
            </w:pPr>
          </w:p>
        </w:tc>
      </w:tr>
    </w:tbl>
    <w:p>
      <w:pPr>
        <w:sectPr>
          <w:pgSz w:w="11900" w:h="16838" w:orient="portrait"/>
          <w:cols w:equalWidth="0" w:num="1">
            <w:col w:w="11420"/>
          </w:cols>
          <w:pgMar w:left="240" w:top="418" w:right="239" w:bottom="1440" w:gutter="0" w:footer="0" w:header="0"/>
        </w:sectPr>
      </w:pPr>
    </w:p>
    <w:bookmarkStart w:id="2" w:name="page3"/>
    <w:bookmarkEnd w:id="2"/>
    <w:p>
      <w:pPr>
        <w:ind w:right="26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prospectus supplement is a supplement to the accompanying prospectus that is also a part of this document. The accompanying prospectus is part of a registration statement that we filed with the Securities and Exchange Commission (the “SEC”) using a shelf registration process. Under the shelf registration process, from time to time, we may offer shares of common stock. In the accompanying prospectus, we provide you with a general description of the shares of our common stock that we may offer under the prospectus. In this prospectus supplement, we provide you with specific information about the terms of this offering. Both this prospectus supplement and the prospectus include, or incorporate by reference, important information about us, our common stock and other information you should know before investing. This prospectus supplement also adds to, updates and changes information contained in the prospectus. If any specific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prospectus, as well as the additional information described under “Where You Can Find More Information” in the accompanying prospectus before investing in our common stock.</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80"/>
          </w:cols>
          <w:pgMar w:left="240" w:top="291"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62"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Before deciding to invest in our common stock, you should carefully consider each of the following risk factors and all of the other information set forth in this prospectus supplement and in the accompanying prospectus and incorporated in this prospectus supplement and in the accompanying prospectus by reference, including in Item 1A and the section entitled “Management’s Discussion and Analysis of Financial Condition and Results of Operations” in our Annual Report on Form 10-K for the year ended December 31, 2008.</w:t>
      </w:r>
    </w:p>
    <w:p>
      <w:pPr>
        <w:spacing w:after="0" w:line="134"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The risks and uncertainties described below and incorporated by reference herein are not the only ones we face. Additional risks and uncertainties not presently known to us or that we currently deem immaterial may also impair our business operations. If any of these risks actually occurs, our business, financial condition, cash flow and results of operations could be materially adversely affected. In that case, the value of our common stock could decline substantially.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Offering</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The price of our common stock may fluctuate significantly, which may make it difficult for you to resell the common stock issuable when you want or at prices you find attractive.</w:t>
      </w:r>
    </w:p>
    <w:p>
      <w:pPr>
        <w:spacing w:after="0" w:line="134"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The price of shares of our common stock on the Nasdaq Global Select Market constantly changes. We expect that the market price of our common stock will continue to fluctuate. Holders of our common stock will be subject to the risk of volatility and depressed prices of our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76" w:lineRule="exact"/>
        <w:rPr>
          <w:rFonts w:ascii="Arial" w:cs="Arial" w:eastAsia="Arial" w:hAnsi="Arial"/>
          <w:sz w:val="18"/>
          <w:szCs w:val="18"/>
          <w:color w:val="auto"/>
        </w:rPr>
      </w:pPr>
    </w:p>
    <w:p>
      <w:pPr>
        <w:ind w:left="780" w:right="56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 reaction to adverse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76" w:lineRule="exact"/>
        <w:rPr>
          <w:rFonts w:ascii="Arial" w:cs="Arial" w:eastAsia="Arial" w:hAnsi="Arial"/>
          <w:sz w:val="18"/>
          <w:szCs w:val="18"/>
          <w:color w:val="auto"/>
        </w:rPr>
      </w:pPr>
    </w:p>
    <w:p>
      <w:pPr>
        <w:ind w:left="780" w:right="36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Macau with anticipated cash flows generated at Wynn Macau;</w:t>
      </w:r>
    </w:p>
    <w:p>
      <w:pPr>
        <w:spacing w:after="0" w:line="73"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 and travel-related visa restrictions);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269" w:right="259" w:bottom="1440" w:gutter="0" w:footer="0" w:header="0"/>
        </w:sectPr>
      </w:pPr>
    </w:p>
    <w:bookmarkStart w:id="4" w:name="page5"/>
    <w:bookmarkEnd w:id="4"/>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may have on the travel and leisure industry;</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legal proceedings; and</w:t>
      </w:r>
    </w:p>
    <w:p>
      <w:pPr>
        <w:spacing w:after="0" w:line="76"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described under “Risk Factors,” “Forward-Looking Statements” and “Management’s Discussion and Analysis of Financial Condition and Results of Operations” in our Annual Report on Form 10-K and otherwise in our filings with the SEC.</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154"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Recently, the volatility has reached unprecedented levels. In some cases, the markets have produced downward pressure on stock prices and credit availability for certain issuers without regard to those issuers’ underlying financial strength. Such continued volatility could materially and adversely affect our ability to access capital, as well as our business, financial condition and results of operations, and the market price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cause the market price of our common stock to decline.</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 of the date of this prospectus, our officers and directors beneficially own 50.6 million shares of common stock. We and Stephen A. Wynn, our Chairman of the Board and Chief Executive Officer and one of our principal stockholders, and Aruze USA, Inc., another of our principal stockholders, have agreed with the underwriters, subject to certain exceptions, not to directly or indirectly offer, sell, pledge, contract to sell, sell any option or contract to purchase, purchase any option or contract to sell, grant any option, right or warrant to purchase, lend or otherwise transfer or dispose of any shares of our common stock or securities convertible into or exchangeable for shares of our common stock, or enter into any hedging transaction relating to the common stock, during the period from the date of this prospectus until 45 days after the date of this prospectus, except with the prior written consent of Deutsche Bank Securities Inc. and Merrill Lynch, Pierce, Fenner &amp; Smith Incorporated, as representatives of the several underwriters. Upon the expiration of the 45-day lockup period, Stephen A. Wynn and Aruze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291" w:right="259" w:bottom="1440" w:gutter="0" w:footer="0" w:header="0"/>
        </w:sectPr>
      </w:pPr>
    </w:p>
    <w:bookmarkStart w:id="5" w:name="page6"/>
    <w:bookmarkEnd w:id="5"/>
    <w:p>
      <w:pPr>
        <w:jc w:val="both"/>
        <w:ind w:right="1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USA, Inc. will be able to sell these shares into the public market. In addition, as of March 15, 2009, there were 2.8 million shares of our common stock reserved and subject to issuance upon exercise of outstanding vested and unvested options and 918,500 unvested restricted shares had been issued.</w:t>
      </w:r>
    </w:p>
    <w:p>
      <w:pPr>
        <w:spacing w:after="0" w:line="154"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cannot predict the effect, if any, that the future issuance or market sales of shares of our common stock will have on the market price of our common stock prevailing from time to time. Sales of substantial amounts of our common stock, or the perception that such sales are likely to occur, could materially adversely affect the prevailing market price for our common stock and could impair our future ability to raise capital through an offering of equity or equity-linked securities.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20"/>
          </w:cols>
          <w:pgMar w:left="240" w:top="291"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8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intend to use the proceeds from the sale of the common stock in this offering for general corporate purposes, including repayment of any of our debt or debt of our subsidiaries.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60"/>
          </w:cols>
          <w:pgMar w:left="240" w:top="269" w:right="29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RANGE OF COMMON STOCK AND DIVIDEND POLICY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9"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Our common stock began trading on the Nasdaq under the symbol “WYNN” on October 25, 2002, at a price of $13.00 per share. Our common stock currently trades on the Nasdaq Global Select Market. The following table sets forth the high and low sale prices for the indicated periods as reported on the Nasdaq Global Select Market.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jc w:val="right"/>
              <w:ind w:right="5592"/>
              <w:spacing w:after="0" w:line="202" w:lineRule="exact"/>
              <w:rPr>
                <w:sz w:val="20"/>
                <w:szCs w:val="20"/>
                <w:color w:val="auto"/>
              </w:rPr>
            </w:pPr>
            <w:r>
              <w:rPr>
                <w:rFonts w:ascii="Arial" w:cs="Arial" w:eastAsia="Arial" w:hAnsi="Arial"/>
                <w:sz w:val="18"/>
                <w:szCs w:val="18"/>
                <w:b w:val="1"/>
                <w:bCs w:val="1"/>
                <w:color w:val="auto"/>
                <w:w w:val="89"/>
              </w:rPr>
              <w:t>2007</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114.60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107.98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168.80</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Fourth Quarter</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176.14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110.50</w:t>
            </w:r>
          </w:p>
        </w:tc>
        <w:tc>
          <w:tcPr>
            <w:tcW w:w="0" w:type="dxa"/>
            <w:vAlign w:val="bottom"/>
          </w:tcPr>
          <w:p>
            <w:pPr>
              <w:spacing w:after="0"/>
              <w:rPr>
                <w:sz w:val="1"/>
                <w:szCs w:val="1"/>
                <w:color w:val="auto"/>
              </w:rPr>
            </w:pPr>
          </w:p>
        </w:tc>
      </w:tr>
      <w:tr>
        <w:trPr>
          <w:trHeight w:val="311"/>
        </w:trPr>
        <w:tc>
          <w:tcPr>
            <w:tcW w:w="6080" w:type="dxa"/>
            <w:vAlign w:val="bottom"/>
            <w:gridSpan w:val="2"/>
          </w:tcPr>
          <w:p>
            <w:pPr>
              <w:jc w:val="right"/>
              <w:ind w:right="5592"/>
              <w:spacing w:after="0"/>
              <w:rPr>
                <w:sz w:val="20"/>
                <w:szCs w:val="20"/>
                <w:color w:val="auto"/>
              </w:rPr>
            </w:pPr>
            <w:r>
              <w:rPr>
                <w:rFonts w:ascii="Arial" w:cs="Arial" w:eastAsia="Arial" w:hAnsi="Arial"/>
                <w:sz w:val="18"/>
                <w:szCs w:val="18"/>
                <w:b w:val="1"/>
                <w:bCs w:val="1"/>
                <w:color w:val="auto"/>
                <w:w w:val="94"/>
              </w:rPr>
              <w:t>2008</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124.77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116.54</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119.74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Fourth Quarter</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83.69</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jc w:val="right"/>
              <w:ind w:right="5592"/>
              <w:spacing w:after="0" w:line="202" w:lineRule="exact"/>
              <w:rPr>
                <w:sz w:val="20"/>
                <w:szCs w:val="20"/>
                <w:color w:val="auto"/>
              </w:rPr>
            </w:pPr>
            <w:r>
              <w:rPr>
                <w:rFonts w:ascii="Arial" w:cs="Arial" w:eastAsia="Arial" w:hAnsi="Arial"/>
                <w:sz w:val="18"/>
                <w:szCs w:val="18"/>
                <w:b w:val="1"/>
                <w:bCs w:val="1"/>
                <w:color w:val="auto"/>
                <w:w w:val="89"/>
              </w:rPr>
              <w:t>2009</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First Quarter (through March 17, 2009)</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55.41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17, 2009, the last sales price of our common stock, as reported on the Nasdaq Global Select Market, was $20.72 per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205 holders of record of our common stock as of March 13, 2009.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13, 2006, our Board of Directors declared a cash distribution of $6.00 per common share, which was paid on December 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2006. On November 20, 2007 our Board of Directors declared a cash distribution of $6.00 per common share, which was paid on December 10,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a holding company and, as a result, our ability to pay dividends is dependent on our subsidiaries’ ability to provide funds to us. Additionally, we are the borrower under an aggregate $1.0 billion delayed-draw term loan credit facility dated as of June 21, 2007, as amended, that imposes (i) restrictions on our ability to make “restricted payments,” as defined in the facility, or to incur obligations to make such restricted payments and (ii) restrictions and prepayment obligations with respect to dispositions and distributions of equity interests and other funds from our subsidiaries.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our first mortgage notes from making certain “restricted payments,” as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20"/>
          </w:cols>
          <w:pgMar w:left="240" w:top="269" w:right="339" w:bottom="1440" w:gutter="0" w:footer="0" w:header="0"/>
        </w:sectPr>
      </w:pPr>
    </w:p>
    <w:bookmarkStart w:id="8" w:name="page9"/>
    <w:bookmarkEnd w:id="8"/>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60"/>
          </w:cols>
          <w:pgMar w:left="240" w:top="291" w:right="6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UNDERWRITING</w:t>
      </w:r>
    </w:p>
    <w:p>
      <w:pPr>
        <w:spacing w:after="0" w:line="180"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Subject to the terms and conditions of the underwriting agreement, Deutsche Bank Securities Inc., Merrill Lynch, Pierce, Fenner &amp; Smith Incorporated, J.P. Morgan Securities Inc., Wachovia Capital Markets, LLC and Moelis &amp; Company have severally agreed to purchase from us the number of shares of common stock set forth opposite the underwriter’s name on the terms and conditions set forth on the cover page of this prospectus supplement.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40" w:type="dxa"/>
            <w:vAlign w:val="bottom"/>
          </w:tcPr>
          <w:p>
            <w:pPr>
              <w:jc w:val="right"/>
              <w:ind w:right="98"/>
              <w:spacing w:after="0"/>
              <w:rPr>
                <w:sz w:val="20"/>
                <w:szCs w:val="20"/>
                <w:color w:val="auto"/>
              </w:rPr>
            </w:pPr>
            <w:r>
              <w:rPr>
                <w:rFonts w:ascii="Arial" w:cs="Arial" w:eastAsia="Arial" w:hAnsi="Arial"/>
                <w:sz w:val="14"/>
                <w:szCs w:val="14"/>
                <w:b w:val="1"/>
                <w:bCs w:val="1"/>
                <w:color w:val="auto"/>
              </w:rPr>
              <w:t>Number of</w:t>
            </w:r>
          </w:p>
        </w:tc>
      </w:tr>
      <w:tr>
        <w:trPr>
          <w:trHeight w:val="165"/>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9540" w:type="dxa"/>
            <w:vAlign w:val="bottom"/>
          </w:tcPr>
          <w:p>
            <w:pPr>
              <w:spacing w:after="0"/>
              <w:rPr>
                <w:sz w:val="14"/>
                <w:szCs w:val="14"/>
                <w:color w:val="auto"/>
              </w:rPr>
            </w:pP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r>
      <w:tr>
        <w:trPr>
          <w:trHeight w:val="196"/>
        </w:trPr>
        <w:tc>
          <w:tcPr>
            <w:tcW w:w="10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Deutsche Bank Securities Inc.</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3,360,000</w:t>
            </w:r>
          </w:p>
        </w:tc>
      </w:tr>
      <w:tr>
        <w:trPr>
          <w:trHeight w:val="206"/>
        </w:trPr>
        <w:tc>
          <w:tcPr>
            <w:tcW w:w="10380" w:type="dxa"/>
            <w:vAlign w:val="bottom"/>
            <w:gridSpan w:val="2"/>
          </w:tcPr>
          <w:p>
            <w:pPr>
              <w:spacing w:after="0" w:line="206" w:lineRule="exact"/>
              <w:rPr>
                <w:sz w:val="20"/>
                <w:szCs w:val="20"/>
                <w:color w:val="auto"/>
              </w:rPr>
            </w:pPr>
            <w:r>
              <w:rPr>
                <w:rFonts w:ascii="Arial" w:cs="Arial" w:eastAsia="Arial" w:hAnsi="Arial"/>
                <w:sz w:val="18"/>
                <w:szCs w:val="18"/>
                <w:color w:val="auto"/>
              </w:rPr>
              <w:t>Merrill Lynch, Pierce, Fenner &amp; Smith</w:t>
            </w:r>
          </w:p>
        </w:tc>
        <w:tc>
          <w:tcPr>
            <w:tcW w:w="1040" w:type="dxa"/>
            <w:vAlign w:val="bottom"/>
          </w:tcPr>
          <w:p>
            <w:pPr>
              <w:spacing w:after="0"/>
              <w:rPr>
                <w:sz w:val="17"/>
                <w:szCs w:val="17"/>
                <w:color w:val="auto"/>
              </w:rPr>
            </w:pPr>
          </w:p>
        </w:tc>
      </w:tr>
      <w:tr>
        <w:trPr>
          <w:trHeight w:val="213"/>
        </w:trPr>
        <w:tc>
          <w:tcPr>
            <w:tcW w:w="840" w:type="dxa"/>
            <w:vAlign w:val="bottom"/>
          </w:tcPr>
          <w:p>
            <w:pPr>
              <w:spacing w:after="0"/>
              <w:rPr>
                <w:sz w:val="18"/>
                <w:szCs w:val="18"/>
                <w:color w:val="auto"/>
              </w:rPr>
            </w:pPr>
          </w:p>
        </w:tc>
        <w:tc>
          <w:tcPr>
            <w:tcW w:w="9540" w:type="dxa"/>
            <w:vAlign w:val="bottom"/>
          </w:tcPr>
          <w:p>
            <w:pPr>
              <w:ind w:left="480"/>
              <w:spacing w:after="0"/>
              <w:rPr>
                <w:sz w:val="20"/>
                <w:szCs w:val="20"/>
                <w:color w:val="auto"/>
              </w:rPr>
            </w:pPr>
            <w:r>
              <w:rPr>
                <w:rFonts w:ascii="Arial" w:cs="Arial" w:eastAsia="Arial" w:hAnsi="Arial"/>
                <w:sz w:val="18"/>
                <w:szCs w:val="18"/>
                <w:color w:val="auto"/>
              </w:rPr>
              <w:t>Incorporated</w:t>
            </w:r>
          </w:p>
        </w:tc>
        <w:tc>
          <w:tcPr>
            <w:tcW w:w="1040" w:type="dxa"/>
            <w:vAlign w:val="bottom"/>
          </w:tcPr>
          <w:p>
            <w:pPr>
              <w:jc w:val="right"/>
              <w:spacing w:after="0"/>
              <w:rPr>
                <w:sz w:val="20"/>
                <w:szCs w:val="20"/>
                <w:color w:val="auto"/>
              </w:rPr>
            </w:pPr>
            <w:r>
              <w:rPr>
                <w:rFonts w:ascii="Arial" w:cs="Arial" w:eastAsia="Arial" w:hAnsi="Arial"/>
                <w:sz w:val="18"/>
                <w:szCs w:val="18"/>
                <w:color w:val="auto"/>
              </w:rPr>
              <w:t>3,360,000</w:t>
            </w:r>
          </w:p>
        </w:tc>
      </w:tr>
      <w:tr>
        <w:trPr>
          <w:trHeight w:val="203"/>
        </w:trPr>
        <w:tc>
          <w:tcPr>
            <w:tcW w:w="10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Inc.</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1,440,000</w:t>
            </w:r>
          </w:p>
        </w:tc>
      </w:tr>
      <w:tr>
        <w:trPr>
          <w:trHeight w:val="203"/>
        </w:trPr>
        <w:tc>
          <w:tcPr>
            <w:tcW w:w="10380" w:type="dxa"/>
            <w:vAlign w:val="bottom"/>
            <w:gridSpan w:val="2"/>
          </w:tcPr>
          <w:p>
            <w:pPr>
              <w:spacing w:after="0" w:line="202" w:lineRule="exact"/>
              <w:rPr>
                <w:sz w:val="20"/>
                <w:szCs w:val="20"/>
                <w:color w:val="auto"/>
              </w:rPr>
            </w:pPr>
            <w:r>
              <w:rPr>
                <w:rFonts w:ascii="Arial" w:cs="Arial" w:eastAsia="Arial" w:hAnsi="Arial"/>
                <w:sz w:val="18"/>
                <w:szCs w:val="18"/>
                <w:color w:val="auto"/>
              </w:rPr>
              <w:t>Wachovia Capital Markets, LLC</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768,000</w:t>
            </w:r>
          </w:p>
        </w:tc>
      </w:tr>
      <w:tr>
        <w:trPr>
          <w:trHeight w:val="203"/>
        </w:trPr>
        <w:tc>
          <w:tcPr>
            <w:tcW w:w="10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Moelis &amp; Company</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672,000</w:t>
            </w:r>
          </w:p>
        </w:tc>
      </w:tr>
    </w:tbl>
    <w:p>
      <w:pPr>
        <w:spacing w:after="0" w:line="16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of common stock offered hereby are subject to certain conditions precedent. The underwriting agreement also provides that the underwriters will purchase all of the shares of common stock offered by this prospectus supplement, other than those covered by the option to purchase additional shares described below.</w:t>
      </w:r>
    </w:p>
    <w:p>
      <w:pPr>
        <w:spacing w:after="0" w:line="154" w:lineRule="exact"/>
        <w:rPr>
          <w:sz w:val="20"/>
          <w:szCs w:val="20"/>
          <w:color w:val="auto"/>
        </w:rPr>
      </w:pPr>
    </w:p>
    <w:p>
      <w:pPr>
        <w:jc w:val="both"/>
        <w:ind w:right="60" w:firstLine="456"/>
        <w:spacing w:after="0" w:line="299" w:lineRule="auto"/>
        <w:rPr>
          <w:sz w:val="20"/>
          <w:szCs w:val="20"/>
          <w:color w:val="auto"/>
        </w:rPr>
      </w:pPr>
      <w:r>
        <w:rPr>
          <w:rFonts w:ascii="Arial" w:cs="Arial" w:eastAsia="Arial" w:hAnsi="Arial"/>
          <w:sz w:val="16"/>
          <w:szCs w:val="16"/>
          <w:color w:val="auto"/>
        </w:rPr>
        <w:t>We have been advised by the underwriters that they propose to offer the shares of common stock to the public at the public offering price set forth on the cover of this prospectus. After the initial offering of the shares of common stock, the underwriters may change the public offering price.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“WYNN.”</w:t>
      </w:r>
    </w:p>
    <w:p>
      <w:pPr>
        <w:spacing w:after="0" w:line="15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We have granted to the underwriters an option to purchase up to 1,440,000 additional shares of our common stock at the same price per share as they are paying for the shares shown below. These additional shares would cover sales by the underwriters which exceed the total number of shares shown in the table above. The underwriters may exercise this option at any time and from time to time, in whole or in part, within 30 days after the date of this prospectus supplement. To the extent that the underwriters exercise this option, each underwriter will purchase additional shares from us in approximately the same proportion as it purchased the shares shown in the table above. We will pay the expenses associated with the exercise of this option.</w:t>
      </w:r>
    </w:p>
    <w:p>
      <w:pPr>
        <w:spacing w:after="0" w:line="15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the underwriters to us per share of common stock after giving effect on a per share basis to the financial advisory fee paid by us in connection with this transaction. We have agreed to pay the underwriters the following discounts and commissions, assuming either no exercise or full exercise by the underwriters of the option to purchase additional shares described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Total Fees</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49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4"/>
              </w:rPr>
              <w:t>Without Exercise of</w:t>
            </w:r>
          </w:p>
        </w:tc>
        <w:tc>
          <w:tcPr>
            <w:tcW w:w="760" w:type="dxa"/>
            <w:vAlign w:val="bottom"/>
          </w:tcPr>
          <w:p>
            <w:pPr>
              <w:spacing w:after="0"/>
              <w:rPr>
                <w:sz w:val="10"/>
                <w:szCs w:val="10"/>
                <w:color w:val="auto"/>
              </w:rPr>
            </w:pPr>
          </w:p>
        </w:tc>
        <w:tc>
          <w:tcPr>
            <w:tcW w:w="13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7"/>
              </w:rPr>
              <w:t>With Full Exercise of</w:t>
            </w:r>
          </w:p>
        </w:tc>
        <w:tc>
          <w:tcPr>
            <w:tcW w:w="20" w:type="dxa"/>
            <w:vAlign w:val="bottom"/>
          </w:tcPr>
          <w:p>
            <w:pPr>
              <w:spacing w:after="0"/>
              <w:rPr>
                <w:sz w:val="10"/>
                <w:szCs w:val="10"/>
                <w:color w:val="auto"/>
              </w:rPr>
            </w:pPr>
          </w:p>
        </w:tc>
      </w:tr>
      <w:tr>
        <w:trPr>
          <w:trHeight w:val="149"/>
        </w:trPr>
        <w:tc>
          <w:tcPr>
            <w:tcW w:w="4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Fee per</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Option to Purchase</w:t>
            </w:r>
          </w:p>
        </w:tc>
        <w:tc>
          <w:tcPr>
            <w:tcW w:w="760" w:type="dxa"/>
            <w:vAlign w:val="bottom"/>
          </w:tcPr>
          <w:p>
            <w:pPr>
              <w:spacing w:after="0"/>
              <w:rPr>
                <w:sz w:val="12"/>
                <w:szCs w:val="12"/>
                <w:color w:val="auto"/>
              </w:rPr>
            </w:pP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Option to Purchase</w:t>
            </w:r>
          </w:p>
        </w:tc>
      </w:tr>
      <w:tr>
        <w:trPr>
          <w:trHeight w:val="165"/>
        </w:trPr>
        <w:tc>
          <w:tcPr>
            <w:tcW w:w="4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Share</w:t>
            </w:r>
          </w:p>
        </w:tc>
        <w:tc>
          <w:tcPr>
            <w:tcW w:w="76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Additional Shares</w:t>
            </w:r>
          </w:p>
        </w:tc>
        <w:tc>
          <w:tcPr>
            <w:tcW w:w="760" w:type="dxa"/>
            <w:vAlign w:val="bottom"/>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Additional Shares</w:t>
            </w:r>
          </w:p>
        </w:tc>
        <w:tc>
          <w:tcPr>
            <w:tcW w:w="20" w:type="dxa"/>
            <w:vAlign w:val="bottom"/>
          </w:tcPr>
          <w:p>
            <w:pPr>
              <w:spacing w:after="0"/>
              <w:rPr>
                <w:sz w:val="14"/>
                <w:szCs w:val="14"/>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Discounts and commissions paid by us(1)</w:t>
            </w:r>
          </w:p>
        </w:tc>
        <w:tc>
          <w:tcPr>
            <w:tcW w:w="3120" w:type="dxa"/>
            <w:vAlign w:val="bottom"/>
            <w:gridSpan w:val="3"/>
            <w:shd w:val="clear" w:color="auto" w:fill="CCEEFF"/>
          </w:tcPr>
          <w:p>
            <w:pPr>
              <w:jc w:val="center"/>
              <w:ind w:left="872"/>
              <w:spacing w:after="0" w:line="196" w:lineRule="exact"/>
              <w:rPr>
                <w:sz w:val="20"/>
                <w:szCs w:val="20"/>
                <w:color w:val="auto"/>
              </w:rPr>
            </w:pPr>
            <w:r>
              <w:rPr>
                <w:rFonts w:ascii="Arial" w:cs="Arial" w:eastAsia="Arial" w:hAnsi="Arial"/>
                <w:sz w:val="18"/>
                <w:szCs w:val="18"/>
                <w:color w:val="auto"/>
                <w:w w:val="98"/>
              </w:rPr>
              <w:t>$0.6878</w:t>
            </w:r>
          </w:p>
        </w:tc>
        <w:tc>
          <w:tcPr>
            <w:tcW w:w="300" w:type="dxa"/>
            <w:vAlign w:val="bottom"/>
            <w:shd w:val="clear" w:color="auto" w:fill="CCEEFF"/>
          </w:tcPr>
          <w:p>
            <w:pPr>
              <w:jc w:val="right"/>
              <w:ind w:right="127"/>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6,603,000</w:t>
            </w:r>
          </w:p>
        </w:tc>
        <w:tc>
          <w:tcPr>
            <w:tcW w:w="1080" w:type="dxa"/>
            <w:vAlign w:val="bottom"/>
            <w:gridSpan w:val="2"/>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7,492,200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520" w:hanging="452"/>
        <w:spacing w:after="0" w:line="23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agreed to sell the shares of our common stock to the underwriters at a price of $18.3825 per share, reflecting an underwriting discount per share of $0.6175. In addition, we have agreed to pay Moelis &amp; Company, our financial advisor in connection with this transaction, a fee of $675,000, which we have included in the underwriting discounts and commissions.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269"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estimate that our share of the total expenses of this offering will be approximately $250,000.</w:t>
      </w:r>
    </w:p>
    <w:p>
      <w:pPr>
        <w:spacing w:after="0" w:line="158"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of 1933, as amended, and to contribute to payments the underwriters may be required to make in respect of any of these liabilities.</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Stephen A. Wynn, our Chairman of the Board and Chief Executive Officer and one of our principal stockholders, and Aruze USA, Inc., another of our principal stockholders, have agreed, subject to certain exceptions, not to directly or indirectly offer, sell, pledge, contract to sell, sell any option or contract to purchase, purchase any option or contract to sell, grant any option, right or warrant to purchase, lend or otherwise transfer or dispose of any shares of common stock, shares of common stock which may be issued upon exercise of a stock option or warrant and any other security convertible into or exchangeable for common stock, or enter into any hedging transaction relating to the common stock for a period of 45 days after the date of this prospectus supplement without the prior written consent of Deutsche Bank Securities Inc. and Merrill Lynch, Pierce, Fenner &amp; Smith Incorporated, as representatives of the several underwriters. This consent may be given at any time without public notice. Transfers or dispositions can be made during the lock-up period in the case of gifts, for estate planning purposes or other specified transactions where the donee signs a lock-up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do not intend to confirm sales to any account over which they exercise discretionary authority.</w:t>
      </w:r>
    </w:p>
    <w:p>
      <w:pPr>
        <w:spacing w:after="0" w:line="181"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55" w:lineRule="exact"/>
        <w:rPr>
          <w:sz w:val="20"/>
          <w:szCs w:val="20"/>
          <w:color w:val="auto"/>
        </w:rPr>
      </w:pPr>
    </w:p>
    <w:p>
      <w:pPr>
        <w:jc w:val="both"/>
        <w:ind w:right="240" w:firstLine="456"/>
        <w:spacing w:after="0" w:line="237" w:lineRule="auto"/>
        <w:rPr>
          <w:sz w:val="20"/>
          <w:szCs w:val="20"/>
          <w:color w:val="auto"/>
        </w:rPr>
      </w:pPr>
      <w:r>
        <w:rPr>
          <w:rFonts w:ascii="Arial" w:cs="Arial" w:eastAsia="Arial" w:hAnsi="Arial"/>
          <w:sz w:val="18"/>
          <w:szCs w:val="18"/>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w:t>
      </w:r>
    </w:p>
    <w:p>
      <w:pPr>
        <w:spacing w:after="0" w:line="15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Naked short sales are any sales in excess of the option to purchase additional shares. The underwriters must close out any naked short position by purchasing shares in the open market. A naked short position is more likely to be created if the underwriters are concerned that there may be downward pressure on the price of the shares in the open market prior to the completion of the offering.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55" w:lineRule="exact"/>
        <w:rPr>
          <w:sz w:val="20"/>
          <w:szCs w:val="20"/>
          <w:color w:val="auto"/>
        </w:rPr>
      </w:pPr>
    </w:p>
    <w:p>
      <w:pPr>
        <w:ind w:right="120" w:firstLine="456"/>
        <w:spacing w:after="0" w:line="299" w:lineRule="auto"/>
        <w:rPr>
          <w:sz w:val="20"/>
          <w:szCs w:val="20"/>
          <w:color w:val="auto"/>
        </w:rPr>
      </w:pPr>
      <w:r>
        <w:rPr>
          <w:rFonts w:ascii="Arial" w:cs="Arial" w:eastAsia="Arial" w:hAnsi="Arial"/>
          <w:sz w:val="16"/>
          <w:szCs w:val="16"/>
          <w:color w:val="auto"/>
        </w:rPr>
        <w:t>Purchases to cover a short position and stabilizing transactions may have the effect of preventing or slowing a decline in the market price of our common stock. Additionally, these purchases may stabilize, maintain or otherwise affect the market price of our common stock. As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291" w:right="259" w:bottom="1440" w:gutter="0" w:footer="0" w:header="0"/>
        </w:sectPr>
      </w:pPr>
    </w:p>
    <w:bookmarkStart w:id="11" w:name="page12"/>
    <w:bookmarkEnd w:id="11"/>
    <w:p>
      <w:pPr>
        <w:ind w:right="3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result, the price of our common stock may be higher than the price that might otherwise exist in the open market. These transactions may be effected on the Nasdaq Global Select Market, in the over-the-counter market or otherwise.</w:t>
      </w:r>
    </w:p>
    <w:p>
      <w:pPr>
        <w:spacing w:after="0" w:line="15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A prospectus in electronic format may be made available on the Internet web site maintained by Deutsche Bank Securities Inc. (“DBSI”). Other than the prospectus in electronic format, the information on DBSI’s web site and any information contained in any other web site maintained by DBSI is not part of the prospectus supplement or the registration statement of which the prospectus supplement forms a part. The underwriters and certain of their affiliates have performed investment banking, commercial lending and advisory services for us and our affiliates, from time to time, for which they have received customary fees and expenses.</w:t>
      </w:r>
    </w:p>
    <w:p>
      <w:pPr>
        <w:spacing w:after="0" w:line="157"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Deutsche Bank Securities Inc. acted as joint lead arranger and joint book-running manager, Deutsche Bank Trust Company Americas, an affiliate of Deutsche Bank Securities Inc., acted as administrative agent, Banc of America Securities LLC, an affiliate of Merrill Lynch, Pierce, Fenner &amp; Smith Incorporated, acted as joint lead arranger and joint book-running manager, Bank of America, N.A., an affiliate of Merrill Lynch, Pierce, Fenner &amp; Smith Incorporated, acted as syndication agent, and certain of the foregoing entities or affiliates of the foregoing entities have made extensions of credit to the Company in connection with a credit facility, dated as of June 21, 2007, as amended, providing for a delayed-draw term loan facility to us in the aggregate principal amount of $1.0 billion.</w:t>
      </w:r>
    </w:p>
    <w:p>
      <w:pPr>
        <w:spacing w:after="0" w:line="156"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Deutsche Bank Securities Inc. acted as lead arranger and joint book-running manager, Deutsche Bank Trust Company Americas, an affiliate of Deutsche Bank Securities, Inc., acted as administrative agent, issuing lender and swing line lender, Banc of America Securities LLC , an affiliate of Merrill Lynch, Pierce, Fenner &amp; Smith Incorporated, acted as lead arranger and joint book running manager, Bank of America, N.A., an affiliate of Merrill Lynch, Pierce, Fenner &amp; Smith Incorporated, acted as syndication agent, J.P. Morgan Securities Inc. acted as arranger and joint book-running manager, JPMorgan Chase Bank, N.A., an affiliate of J.P. Morgan Securities Inc., acted as joint documentation agent, Wachovia Bank, National Association, an affiliate of Wachovia Capital Markets, LLC, acted as managing agent, and certain of the foregoing entities or affiliates of the foregoing entities have made extensions of credit to the Company in connection with the amended and restated credit agreement, dated as of August 15, 2006, as amended, providing for revolving credit and term loan borrowings to Wynn Las Vegas, LLC in the aggregate principal amount of $1.125 billion, which may be increased to an aggregate principal amount of $1.425 billion under certain circumstances and upon the satisfaction of certain conditions.</w:t>
      </w:r>
    </w:p>
    <w:p>
      <w:pPr>
        <w:spacing w:after="0" w:line="16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Deutsche Bank AG, Hong Kong Branch, an affiliate of Deutsche Bank Securities Inc. and Banc of America Securities Asia Limited, an affiliate of Merrill Lynch, Pierce, Fenner &amp; Smith Incorporated, each acted as a global coordinating lead arranger, and JPMorgan Chase Bank, N.A., an affiliate of J.P. Morgan Securities Inc., and Wachovia Bank, National Association, an affiliate of Wachovia Capital Markets, LLC, each acted as a senior mandated arranger, and certain of the foregoing entities or affiliates of the foregoing entities have made extensions of credit under a $1.550 billion amended credit agreement executed on June 27, 2007 by one of our affiliates.</w:t>
      </w:r>
    </w:p>
    <w:p>
      <w:pPr>
        <w:spacing w:after="0" w:line="157" w:lineRule="exact"/>
        <w:rPr>
          <w:sz w:val="20"/>
          <w:szCs w:val="20"/>
          <w:color w:val="auto"/>
        </w:rPr>
      </w:pPr>
    </w:p>
    <w:p>
      <w:pPr>
        <w:ind w:right="160" w:firstLine="456"/>
        <w:spacing w:after="0" w:line="237" w:lineRule="auto"/>
        <w:rPr>
          <w:sz w:val="20"/>
          <w:szCs w:val="20"/>
          <w:color w:val="auto"/>
        </w:rPr>
      </w:pPr>
      <w:r>
        <w:rPr>
          <w:rFonts w:ascii="Arial" w:cs="Arial" w:eastAsia="Arial" w:hAnsi="Arial"/>
          <w:sz w:val="18"/>
          <w:szCs w:val="18"/>
          <w:color w:val="auto"/>
        </w:rPr>
        <w:t>The underwriters have represented and agreed that (i) they have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291" w:right="239" w:bottom="1440" w:gutter="0" w:footer="0" w:header="0"/>
        </w:sectPr>
      </w:pPr>
    </w:p>
    <w:bookmarkStart w:id="12" w:name="page13"/>
    <w:bookmarkEnd w:id="12"/>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Kingdom within the meaning of the Public Offers of Securities Regulations 1995; (ii) they have complied with and will comply with all applicable provisions of the Financial Services Act 1986 with respect to anything done by it in relation to the shares of our common stock in, form or otherwise involving the United Kingdom; and (iii) they have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Certain legal matters regarding the securities being offered hereby will be passed upon for us by Skadden, Arps, Slate, Meagher &amp; Flom LLP, Los Angeles, California. Certain matters of Nevada law, including the validity of the shares of common stock offered hereby, will be passed upon for us by Brownstein Hyatt Farber Schreck, LLP, Las Vegas, Nevada. Certain legal matters in connection with this offering will be passed upon for the underwriters by Latham &amp; Watkins LLP, Los Angeles, California.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consolidated financial statements of Wynn Resorts, Limited appearing in Wynn Resorts, Limited’s Annual Report (Form 10-K) for the year ended December 31, 2008 (including schedules appearing therein), and the effectiveness of Wynn Resorts, Limited’s internal control over financial reporting as of December 31, 2008, have been audited by Ernst &amp; Young LLP, independent registered public accounting firm, as set forth in their reports thereon, and included therein, and incorporated herein by reference. Such consolidated financial statements are incorporated herein by reference in reliance upon such reports given on the authority of such firm as experts in accounting and auditing.</w:t>
      </w:r>
    </w:p>
    <w:p>
      <w:pPr>
        <w:spacing w:after="0" w:line="29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filed on February 5, 2009, March 9, 2009 and March 12, 2009;</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4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291" w:right="259" w:bottom="1440" w:gutter="0" w:footer="0" w:header="0"/>
        </w:sectPr>
      </w:pPr>
    </w:p>
    <w:bookmarkStart w:id="13" w:name="page14"/>
    <w:bookmarkEnd w:id="13"/>
    <w:p>
      <w:pPr>
        <w:ind w:right="36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 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ind w:left="460"/>
        <w:spacing w:after="0" w:line="234" w:lineRule="auto"/>
        <w:rPr>
          <w:sz w:val="20"/>
          <w:szCs w:val="20"/>
          <w:color w:val="auto"/>
        </w:rPr>
      </w:pPr>
      <w:r>
        <w:rPr>
          <w:rFonts w:ascii="Arial" w:cs="Arial" w:eastAsia="Arial" w:hAnsi="Arial"/>
          <w:sz w:val="18"/>
          <w:szCs w:val="18"/>
          <w:color w:val="auto"/>
        </w:rPr>
        <w:t>Las Vegas, Nevada 89109</w:t>
      </w:r>
    </w:p>
    <w:p>
      <w:pPr>
        <w:ind w:left="46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Vice President—Investor Relations</w:t>
      </w:r>
    </w:p>
    <w:p>
      <w:pPr>
        <w:spacing w:after="0" w:line="7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29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992755" cy="128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Under this prospectus, we may offer from time to time shares of our common stock to the public.</w:t>
      </w:r>
    </w:p>
    <w:p>
      <w:pPr>
        <w:spacing w:after="0" w:line="26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shares of our common stock.</w:t>
      </w:r>
    </w:p>
    <w:p>
      <w:pPr>
        <w:spacing w:after="0" w:line="26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w:t>
      </w:r>
    </w:p>
    <w:p>
      <w:pPr>
        <w:spacing w:after="0" w:line="24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We urge you to read carefully this prospectus and any prospectus supplement and any other offering material filed or provided by us before you make your investment decision.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risks. See “Risk Factors” on page 1.</w:t>
      </w:r>
    </w:p>
    <w:p>
      <w:pPr>
        <w:spacing w:after="0" w:line="27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is September 27, 2007.</w:t>
      </w:r>
    </w:p>
    <w:p>
      <w:pPr>
        <w:sectPr>
          <w:pgSz w:w="11900" w:h="16838" w:orient="portrait"/>
          <w:cols w:equalWidth="0" w:num="1">
            <w:col w:w="11420"/>
          </w:cols>
          <w:pgMar w:left="240" w:top="26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3"/>
        </w:trPr>
        <w:tc>
          <w:tcPr>
            <w:tcW w:w="4300" w:type="dxa"/>
            <w:vAlign w:val="bottom"/>
          </w:tcPr>
          <w:p>
            <w:pPr>
              <w:spacing w:after="0"/>
              <w:rPr>
                <w:sz w:val="20"/>
                <w:szCs w:val="20"/>
                <w:color w:val="auto"/>
              </w:rPr>
            </w:pPr>
          </w:p>
        </w:tc>
        <w:tc>
          <w:tcPr>
            <w:tcW w:w="712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97"/>
        </w:trPr>
        <w:tc>
          <w:tcPr>
            <w:tcW w:w="4300" w:type="dxa"/>
            <w:vAlign w:val="bottom"/>
          </w:tcPr>
          <w:p>
            <w:pPr>
              <w:spacing w:after="0"/>
              <w:rPr>
                <w:sz w:val="20"/>
                <w:szCs w:val="20"/>
                <w:color w:val="auto"/>
              </w:rPr>
            </w:pPr>
            <w:r>
              <w:rPr>
                <w:rFonts w:ascii="Arial" w:cs="Arial" w:eastAsia="Arial" w:hAnsi="Arial"/>
                <w:sz w:val="18"/>
                <w:szCs w:val="18"/>
                <w:color w:val="auto"/>
              </w:rPr>
              <w:t>ABOUT THIS PROSPECTUS</w:t>
            </w:r>
          </w:p>
        </w:tc>
        <w:tc>
          <w:tcPr>
            <w:tcW w:w="7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RISK FACTORS</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WHERE YOU CAN FIND MORE INFORMATION</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INCORPORATION BY REFERENCE</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FORWARD-LOOKING STATEMENTS</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THE COMPANY</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USE OF PROCEEDS</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LEGAL MATTERS</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11"/>
        </w:trPr>
        <w:tc>
          <w:tcPr>
            <w:tcW w:w="4300" w:type="dxa"/>
            <w:vAlign w:val="bottom"/>
          </w:tcPr>
          <w:p>
            <w:pPr>
              <w:spacing w:after="0"/>
              <w:rPr>
                <w:sz w:val="20"/>
                <w:szCs w:val="20"/>
                <w:color w:val="auto"/>
              </w:rPr>
            </w:pPr>
            <w:r>
              <w:rPr>
                <w:rFonts w:ascii="Arial" w:cs="Arial" w:eastAsia="Arial" w:hAnsi="Arial"/>
                <w:sz w:val="18"/>
                <w:szCs w:val="18"/>
                <w:color w:val="auto"/>
              </w:rPr>
              <w:t>EXPERTS</w:t>
            </w:r>
          </w:p>
        </w:tc>
        <w:tc>
          <w:tcPr>
            <w:tcW w:w="71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0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process, we may sell the common stock described in this prospectus in one or more offerings. This prospectus provides you with a general description of the common stock we may offer. Each time we sell common stock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common stock involves risks. You are urged to read and carefully consider the information under the heading “Risk Factors” in our Annual Report on Form 10-K for the year ended December 31, 2006,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 this prospectus. The risks and uncertainties that we have described are not the only ones facing us. The prospectus supplement applicable to each offering of common stock will contain additional information about risks applicable to an investment in us and shares of our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SEC’s Public Reference Room at 100 F Street, N.E., Washington, D.C. 20549. You may obtain information on the operation of the Public Reference Room by calling the SEC at 1-800-SEC-0330. The SEC also maintains 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9" w:right="239" w:bottom="1440" w:gutter="0" w:footer="0" w:header="0"/>
        </w:sectPr>
      </w:pPr>
    </w:p>
    <w:bookmarkStart w:id="16" w:name="page17"/>
    <w:bookmarkEnd w:id="16"/>
    <w:p>
      <w:pPr>
        <w:ind w:right="26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(not an active hyperlink) that contains reports, proxy and information statements, and other information regarding issuers, like Wynn Resorts, that file electronically with the SEC. Our filings with the SEC also may be accessed through our Internet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(not an active hyperlink). Our website, and the information contained in, accessible from or connected to our website, shall not be deemed to be incorporated into, or otherwise constitute a part of, this prospectus.</w:t>
      </w:r>
    </w:p>
    <w:p>
      <w:pPr>
        <w:spacing w:after="0" w:line="29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2007 and June 30, 2007;</w:t>
      </w:r>
    </w:p>
    <w:p>
      <w:pPr>
        <w:spacing w:after="0" w:line="76"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reports on Form 8-K filed on January 11, 2007, February 1, 2007, April 13, 2007, June 7, 2007, June 15, 2007, June 21, 2007, June 29, 2007 and July 5, 2007;</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17" w:name="page18"/>
    <w:bookmarkEnd w:id="17"/>
    <w:p>
      <w:pPr>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ind w:left="900"/>
        <w:spacing w:after="0" w:line="234" w:lineRule="auto"/>
        <w:rPr>
          <w:sz w:val="20"/>
          <w:szCs w:val="20"/>
          <w:color w:val="auto"/>
        </w:rPr>
      </w:pPr>
      <w:r>
        <w:rPr>
          <w:rFonts w:ascii="Arial" w:cs="Arial" w:eastAsia="Arial" w:hAnsi="Arial"/>
          <w:sz w:val="18"/>
          <w:szCs w:val="18"/>
          <w:color w:val="auto"/>
        </w:rPr>
        <w:t>3131 Las Vegas Boulevard South</w:t>
      </w:r>
    </w:p>
    <w:p>
      <w:pPr>
        <w:ind w:left="900"/>
        <w:spacing w:after="0" w:line="235" w:lineRule="auto"/>
        <w:rPr>
          <w:sz w:val="20"/>
          <w:szCs w:val="20"/>
          <w:color w:val="auto"/>
        </w:rPr>
      </w:pPr>
      <w:r>
        <w:rPr>
          <w:rFonts w:ascii="Arial" w:cs="Arial" w:eastAsia="Arial" w:hAnsi="Arial"/>
          <w:sz w:val="18"/>
          <w:szCs w:val="18"/>
          <w:color w:val="auto"/>
        </w:rPr>
        <w:t>Las Vegas, Nevada 89109</w:t>
      </w:r>
    </w:p>
    <w:p>
      <w:pPr>
        <w:ind w:left="90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91" w:right="35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This prospectus, including the documents incorporated by reference in this prospectus, contain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prospectus, including the documents incorporated by reference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55" w:lineRule="exact"/>
        <w:rPr>
          <w:sz w:val="20"/>
          <w:szCs w:val="20"/>
          <w:color w:val="auto"/>
        </w:rPr>
      </w:pPr>
    </w:p>
    <w:p>
      <w:pPr>
        <w:ind w:left="780" w:right="36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73" w:lineRule="exact"/>
        <w:rPr>
          <w:rFonts w:ascii="Arial" w:cs="Arial" w:eastAsia="Arial" w:hAnsi="Arial"/>
          <w:sz w:val="18"/>
          <w:szCs w:val="18"/>
          <w:color w:val="auto"/>
        </w:rPr>
      </w:pPr>
    </w:p>
    <w:p>
      <w:pPr>
        <w:ind w:left="780" w:right="84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developing gaming regulatory framework);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69" w:right="319" w:bottom="1440" w:gutter="0" w:footer="0" w:header="0"/>
        </w:sectPr>
      </w:pPr>
    </w:p>
    <w:bookmarkStart w:id="19" w:name="page20"/>
    <w:bookmarkEnd w:id="19"/>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consequences of the war in Iraq and other military conflicts in the Middle East and any future security alerts and/or terrorist attacks.</w:t>
      </w:r>
    </w:p>
    <w:p>
      <w:pPr>
        <w:spacing w:after="0" w:line="18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the sections entitled “Risk Factors” in our Annual Report on Form 10-K for the year ended December 31, 2006,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91" w:right="29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which opened on September 6, 2006. In addition, on April 28, 2006, we commenced construction of Encore at Wynn Las Vegas,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July 2007:</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Approximate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Hotel</w:t>
            </w:r>
          </w:p>
        </w:tc>
        <w:tc>
          <w:tcPr>
            <w:tcW w:w="620" w:type="dxa"/>
            <w:vAlign w:val="bottom"/>
          </w:tcPr>
          <w:p>
            <w:pPr>
              <w:spacing w:after="0"/>
              <w:rPr>
                <w:sz w:val="12"/>
                <w:szCs w:val="12"/>
                <w:color w:val="auto"/>
              </w:rPr>
            </w:pP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Casino</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Rooms &amp;</w:t>
            </w:r>
          </w:p>
        </w:tc>
        <w:tc>
          <w:tcPr>
            <w:tcW w:w="6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Square</w:t>
            </w: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65"/>
        </w:trPr>
        <w:tc>
          <w:tcPr>
            <w:tcW w:w="59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Suites</w:t>
            </w:r>
          </w:p>
        </w:tc>
        <w:tc>
          <w:tcPr>
            <w:tcW w:w="6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Footage</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Games</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Slots</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Wynn Las Vegas</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2,716</w:t>
            </w:r>
          </w:p>
        </w:tc>
        <w:tc>
          <w:tcPr>
            <w:tcW w:w="2060" w:type="dxa"/>
            <w:vAlign w:val="bottom"/>
            <w:gridSpan w:val="3"/>
            <w:shd w:val="clear" w:color="auto" w:fill="CCEEFF"/>
          </w:tcPr>
          <w:p>
            <w:pPr>
              <w:ind w:left="820"/>
              <w:spacing w:after="0" w:line="196" w:lineRule="exact"/>
              <w:rPr>
                <w:sz w:val="20"/>
                <w:szCs w:val="20"/>
                <w:color w:val="auto"/>
              </w:rPr>
            </w:pPr>
            <w:r>
              <w:rPr>
                <w:rFonts w:ascii="Arial" w:cs="Arial" w:eastAsia="Arial" w:hAnsi="Arial"/>
                <w:sz w:val="18"/>
                <w:szCs w:val="18"/>
                <w:color w:val="auto"/>
              </w:rPr>
              <w:t>111,000</w:t>
            </w:r>
          </w:p>
        </w:tc>
        <w:tc>
          <w:tcPr>
            <w:tcW w:w="128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146</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w:t>
            </w: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Wynn Macau</w:t>
            </w: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3"/>
          </w:tcPr>
          <w:p>
            <w:pPr>
              <w:ind w:left="820"/>
              <w:spacing w:after="0"/>
              <w:rPr>
                <w:sz w:val="20"/>
                <w:szCs w:val="20"/>
                <w:color w:val="auto"/>
              </w:rPr>
            </w:pPr>
            <w:r>
              <w:rPr>
                <w:rFonts w:ascii="Arial" w:cs="Arial" w:eastAsia="Arial" w:hAnsi="Arial"/>
                <w:sz w:val="18"/>
                <w:szCs w:val="18"/>
                <w:color w:val="auto"/>
              </w:rPr>
              <w:t>130,000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283</w:t>
            </w:r>
          </w:p>
        </w:tc>
        <w:tc>
          <w:tcPr>
            <w:tcW w:w="680" w:type="dxa"/>
            <w:vAlign w:val="bottom"/>
          </w:tcPr>
          <w:p>
            <w:pPr>
              <w:jc w:val="right"/>
              <w:spacing w:after="0"/>
              <w:rPr>
                <w:sz w:val="20"/>
                <w:szCs w:val="20"/>
                <w:color w:val="auto"/>
              </w:rPr>
            </w:pPr>
            <w:r>
              <w:rPr>
                <w:rFonts w:ascii="Arial" w:cs="Arial" w:eastAsia="Arial" w:hAnsi="Arial"/>
                <w:sz w:val="18"/>
                <w:szCs w:val="18"/>
                <w:color w:val="auto"/>
              </w:rPr>
              <w:t>708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0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73"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and Mobil Five Star award-winning restaurant, Alex;</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76"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Jean-Paul Gaultier, Louis Vuitton and Manolo Blahnik;</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five swimming pools, private cabanas and full service spa and salon;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58"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69"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Encore at Wynn Las Vegas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is located on 11 acres of a total site area of 16 acres of land and features:</w:t>
      </w:r>
    </w:p>
    <w:p>
      <w:pPr>
        <w:spacing w:after="0" w:line="7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approximately 130,000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Bulgari, Chanel, Dior, Fendi, Giorgio Armani, Louis Vuitton, Piaget, Prada, Tiffany, and others;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Construction and development continues on the second phase. This phase includes additional gaming space, a dramatic front feature attraction, a theater showroom and additional food, beverage and retail amenities. In September 2007, we opened approximately 20,000 square feet of additional gaming space and one restaurant at Wynn Macau in this second phase. The remaining portion of the expansion is expected to open by Chinese New Year, 2008. After the completion of the expansion, Wynn Macau is expected to have a total of approximately 380 table games and 1,200 slot machines.</w:t>
      </w:r>
    </w:p>
    <w:p>
      <w:pPr>
        <w:spacing w:after="0" w:line="15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In July 2007, Wynn Macau S.A. issued a notice to proceed to the general contractor with respect to approximately $347.8 million of construction costs relating to the construction of Wynn Diamond Suites. While the complete project budget is still being finalized, we expect the costs to be in the range of $550 to $600 million. We expect Wynn Diamond Suites to open to the public in the first half of 2010. First announced in November 2006, Wynn Diamond Suites will be fully integrated into Wynn Macau and is expected to have 400 luxury suites and villas.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Development</w:t>
      </w:r>
    </w:p>
    <w:p>
      <w:pPr>
        <w:spacing w:after="0" w:line="9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69"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8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Unless otherwise specified in connection with the particular offering of common stock, certain legal matters regarding the offering of the common stock pursuant to this prospectus will be passed upon for us by Brownstein Hyatt Farber Schreck, P.C., Las Vegas, Nevada.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6"/>
          <w:szCs w:val="16"/>
          <w:color w:val="auto"/>
        </w:rPr>
        <w:t>The consolidated financial statements of Wynn Resorts, Limited appearing in Wynn Resorts, Limited’s Annual Report on Form 10-K for the year ended December 31, 2006 (including financial statement schedules appearing therein) and Wynn Resorts, Limited’s management’s assessment of the effectiveness of internal control over financial reporting as of December 31, 2006 included therein, have been audited by Ernst</w:t>
      </w:r>
    </w:p>
    <w:p>
      <w:pPr>
        <w:spacing w:after="0" w:line="1" w:lineRule="exact"/>
        <w:rPr>
          <w:sz w:val="20"/>
          <w:szCs w:val="20"/>
          <w:color w:val="auto"/>
        </w:rPr>
      </w:pPr>
    </w:p>
    <w:p>
      <w:pPr>
        <w:jc w:val="both"/>
        <w:ind w:right="420" w:firstLine="8"/>
        <w:spacing w:after="0" w:line="238" w:lineRule="auto"/>
        <w:tabs>
          <w:tab w:leader="none" w:pos="1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and related financial statement schedules, of Wynn Resorts, Limited as of the year ended</w:t>
      </w:r>
    </w:p>
    <w:p>
      <w:pPr>
        <w:spacing w:after="0"/>
        <w:rPr>
          <w:sz w:val="20"/>
          <w:szCs w:val="20"/>
          <w:color w:val="auto"/>
        </w:rPr>
      </w:pPr>
      <w:r>
        <w:rPr>
          <w:rFonts w:ascii="Arial" w:cs="Arial" w:eastAsia="Arial" w:hAnsi="Arial"/>
          <w:sz w:val="16"/>
          <w:szCs w:val="16"/>
          <w:color w:val="auto"/>
        </w:rPr>
        <w:t>December 31, 2005 and for each of the two years in the period ended December 31, 2005, incorporated in this prospectus by reference from Wynn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Resorts’ Annual Report on Form 10-K for the year ended December 31, 2006, have been audited by Deloitte &amp; Touche LLP, an independent</w:t>
      </w:r>
    </w:p>
    <w:p>
      <w:pPr>
        <w:spacing w:after="0"/>
        <w:rPr>
          <w:sz w:val="20"/>
          <w:szCs w:val="20"/>
          <w:color w:val="auto"/>
        </w:rPr>
      </w:pPr>
      <w:r>
        <w:rPr>
          <w:rFonts w:ascii="Arial" w:cs="Arial" w:eastAsia="Arial" w:hAnsi="Arial"/>
          <w:sz w:val="16"/>
          <w:szCs w:val="16"/>
          <w:color w:val="auto"/>
        </w:rPr>
        <w:t>registered public accounting firm, as stated in their report, which is incorporated herein by reference and has been so incorporated in reliance upon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report of such firm given upon their authority as experts in accounting and auditing.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23" w:name="page24"/>
    <w:bookmarkEnd w:id="23"/>
    <w:p>
      <w:pPr>
        <w:ind w:right="40"/>
        <w:spacing w:after="0" w:line="28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should rely only on the information contained in or incorporated by reference in this prospectus supplement and the accompanying prospectus. We have not authorized anyone to provide you with different information. We are offering to sell, and seeking offers to buy, shares of common stock only in jurisdictions where offers and sales are permitted. The information contained in this prospectus supplement and the accompanying prospectus is accurate only as of the date of this prospectus supplement, regardless of the time of delivery of this prospectus supplement or the accompanying prospectus or of any sale of our common stock.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7060" w:type="dxa"/>
            <w:vAlign w:val="bottom"/>
            <w:gridSpan w:val="2"/>
          </w:tcPr>
          <w:p>
            <w:pPr>
              <w:jc w:val="right"/>
              <w:ind w:right="4674"/>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4360" w:type="dxa"/>
            <w:vAlign w:val="bottom"/>
          </w:tcPr>
          <w:p>
            <w:pPr>
              <w:spacing w:after="0"/>
              <w:rPr>
                <w:sz w:val="24"/>
                <w:szCs w:val="24"/>
                <w:color w:val="auto"/>
              </w:rPr>
            </w:pPr>
          </w:p>
        </w:tc>
        <w:tc>
          <w:tcPr>
            <w:tcW w:w="7060" w:type="dxa"/>
            <w:vAlign w:val="bottom"/>
            <w:gridSpan w:val="2"/>
          </w:tcPr>
          <w:p>
            <w:pPr>
              <w:jc w:val="right"/>
              <w:ind w:right="4614"/>
              <w:spacing w:after="0"/>
              <w:rPr>
                <w:sz w:val="20"/>
                <w:szCs w:val="20"/>
                <w:color w:val="auto"/>
              </w:rPr>
            </w:pPr>
            <w:r>
              <w:rPr>
                <w:rFonts w:ascii="Arial" w:cs="Arial" w:eastAsia="Arial" w:hAnsi="Arial"/>
                <w:sz w:val="18"/>
                <w:szCs w:val="18"/>
                <w:b w:val="1"/>
                <w:bCs w:val="1"/>
                <w:color w:val="auto"/>
              </w:rPr>
              <w:t>Prospectus Supplement</w:t>
            </w:r>
          </w:p>
        </w:tc>
      </w:tr>
      <w:tr>
        <w:trPr>
          <w:trHeight w:val="340"/>
        </w:trPr>
        <w:tc>
          <w:tcPr>
            <w:tcW w:w="43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Page</w:t>
            </w: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About This Prospectus Supplement</w:t>
            </w:r>
          </w:p>
        </w:tc>
        <w:tc>
          <w:tcPr>
            <w:tcW w:w="60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S-1</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Risk Factors</w:t>
            </w:r>
          </w:p>
        </w:tc>
        <w:tc>
          <w:tcPr>
            <w:tcW w:w="60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S-2</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 of Proceeds</w:t>
            </w:r>
          </w:p>
        </w:tc>
        <w:tc>
          <w:tcPr>
            <w:tcW w:w="60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S-5</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Price Range of Common Stock and Dividend Policy</w:t>
            </w:r>
          </w:p>
        </w:tc>
        <w:tc>
          <w:tcPr>
            <w:tcW w:w="60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S-6</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Underwriting</w:t>
            </w:r>
          </w:p>
        </w:tc>
        <w:tc>
          <w:tcPr>
            <w:tcW w:w="60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S-8</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Legal Matters</w:t>
            </w:r>
          </w:p>
        </w:tc>
        <w:tc>
          <w:tcPr>
            <w:tcW w:w="60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S-11</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Experts</w:t>
            </w:r>
          </w:p>
        </w:tc>
        <w:tc>
          <w:tcPr>
            <w:tcW w:w="60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S-11</w:t>
            </w:r>
          </w:p>
        </w:tc>
      </w:tr>
      <w:tr>
        <w:trPr>
          <w:trHeight w:val="214"/>
        </w:trPr>
        <w:tc>
          <w:tcPr>
            <w:tcW w:w="4360" w:type="dxa"/>
            <w:vAlign w:val="bottom"/>
          </w:tcPr>
          <w:p>
            <w:pPr>
              <w:spacing w:after="0"/>
              <w:rPr>
                <w:sz w:val="20"/>
                <w:szCs w:val="20"/>
                <w:color w:val="auto"/>
              </w:rPr>
            </w:pPr>
            <w:r>
              <w:rPr>
                <w:rFonts w:ascii="Arial" w:cs="Arial" w:eastAsia="Arial" w:hAnsi="Arial"/>
                <w:sz w:val="18"/>
                <w:szCs w:val="18"/>
                <w:color w:val="auto"/>
              </w:rPr>
              <w:t>Incorporation by Reference</w:t>
            </w:r>
          </w:p>
        </w:tc>
        <w:tc>
          <w:tcPr>
            <w:tcW w:w="6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S-11</w:t>
            </w: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p>
        </w:tc>
        <w:tc>
          <w:tcPr>
            <w:tcW w:w="690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Prospectus</w:t>
            </w:r>
          </w:p>
        </w:tc>
      </w:tr>
      <w:tr>
        <w:trPr>
          <w:trHeight w:val="340"/>
        </w:trPr>
        <w:tc>
          <w:tcPr>
            <w:tcW w:w="45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ABOUT THIS PROSPECTUS</w:t>
            </w:r>
          </w:p>
        </w:tc>
        <w:tc>
          <w:tcPr>
            <w:tcW w:w="6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RISK FACTORS</w:t>
            </w:r>
          </w:p>
        </w:tc>
        <w:tc>
          <w:tcPr>
            <w:tcW w:w="6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WHERE YOU CAN FIND MORE INFORMATION</w:t>
            </w:r>
          </w:p>
        </w:tc>
        <w:tc>
          <w:tcPr>
            <w:tcW w:w="6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INCORPORATION BY REFERENCE</w:t>
            </w:r>
          </w:p>
        </w:tc>
        <w:tc>
          <w:tcPr>
            <w:tcW w:w="6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FORWARD-LOOKING STATEMENTS</w:t>
            </w:r>
          </w:p>
        </w:tc>
        <w:tc>
          <w:tcPr>
            <w:tcW w:w="6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THE COMPANY</w:t>
            </w:r>
          </w:p>
        </w:tc>
        <w:tc>
          <w:tcPr>
            <w:tcW w:w="6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 OF PROCEEDS</w:t>
            </w:r>
          </w:p>
        </w:tc>
        <w:tc>
          <w:tcPr>
            <w:tcW w:w="6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LEGAL MATTERS</w:t>
            </w:r>
          </w:p>
        </w:tc>
        <w:tc>
          <w:tcPr>
            <w:tcW w:w="6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EXPERTS</w:t>
            </w:r>
          </w:p>
        </w:tc>
        <w:tc>
          <w:tcPr>
            <w:tcW w:w="6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2992755" cy="128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9,600,000 Shares</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Deutsche Bank Securities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Merrill Lynch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J.P.Morgan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Wachovia Securities</w:t>
      </w:r>
    </w:p>
    <w:p>
      <w:pPr>
        <w:jc w:val="center"/>
        <w:spacing w:after="0"/>
        <w:rPr>
          <w:sz w:val="20"/>
          <w:szCs w:val="20"/>
          <w:color w:val="auto"/>
        </w:rPr>
      </w:pPr>
      <w:r>
        <w:rPr>
          <w:rFonts w:ascii="Arial" w:cs="Arial" w:eastAsia="Arial" w:hAnsi="Arial"/>
          <w:sz w:val="22"/>
          <w:szCs w:val="22"/>
          <w:b w:val="1"/>
          <w:bCs w:val="1"/>
          <w:color w:val="auto"/>
        </w:rPr>
        <w:t>Moelis &amp; Company</w:t>
      </w:r>
    </w:p>
    <w:p>
      <w:pPr>
        <w:sectPr>
          <w:pgSz w:w="11900" w:h="16838" w:orient="portrait"/>
          <w:cols w:equalWidth="0" w:num="1">
            <w:col w:w="11420"/>
          </w:cols>
          <w:pgMar w:left="240" w:top="80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Prospectus dated September 27, 2007)</w:t>
      </w:r>
    </w:p>
    <w:p>
      <w:pPr>
        <w:sectPr>
          <w:pgSz w:w="11900" w:h="16838" w:orient="portrait"/>
          <w:cols w:equalWidth="0" w:num="1">
            <w:col w:w="11420"/>
          </w:cols>
          <w:pgMar w:left="240" w:top="809" w:right="239" w:bottom="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March 17, 2009</w:t>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2019-12-10T21:45:29Z</dcterms:created>
  <dcterms:modified xsi:type="dcterms:W3CDTF">2019-12-10T21:45:29Z</dcterms:modified>
</cp:coreProperties>
</file>