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-220345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8" w:lineRule="exact"/>
        <w:rPr>
          <w:sz w:val="24"/>
          <w:szCs w:val="24"/>
          <w:color w:val="auto"/>
        </w:rPr>
      </w:pPr>
    </w:p>
    <w:p>
      <w:pPr>
        <w:ind w:left="720" w:right="200" w:hanging="685"/>
        <w:spacing w:after="0" w:line="251"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2016</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4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-297815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9"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59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46-0484987</w:t>
            </w:r>
          </w:p>
        </w:tc>
      </w:tr>
      <w:tr>
        <w:trPr>
          <w:trHeight w:val="178"/>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right="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 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660" w:space="680"/>
            <w:col w:w="5220" w:space="720"/>
            <w:col w:w="2000" w:space="720"/>
            <w:col w:w="420"/>
          </w:cols>
          <w:pgMar w:left="240" w:top="225"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4">
            <w:col w:w="1620" w:space="720"/>
            <w:col w:w="5220" w:space="720"/>
            <w:col w:w="2000" w:space="720"/>
            <w:col w:w="420"/>
          </w:cols>
          <w:pgMar w:left="240" w:top="225" w:right="239" w:bottom="1440" w:gutter="0" w:footer="0" w:header="0"/>
          <w:type w:val="continuous"/>
        </w:sectPr>
      </w:pPr>
    </w:p>
    <w:p>
      <w:pPr>
        <w:spacing w:after="0" w:line="2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63" w:lineRule="exact"/>
        <w:rPr>
          <w:sz w:val="24"/>
          <w:szCs w:val="24"/>
          <w:color w:val="auto"/>
        </w:rPr>
      </w:pPr>
    </w:p>
    <w:p>
      <w:pPr>
        <w:sectPr>
          <w:pgSz w:w="11900" w:h="16838" w:orient="portrait"/>
          <w:cols w:equalWidth="0" w:num="4">
            <w:col w:w="8620" w:space="180"/>
            <w:col w:w="260" w:space="80"/>
            <w:col w:w="160" w:space="180"/>
            <w:col w:w="1940"/>
          </w:cols>
          <w:pgMar w:left="240" w:top="225" w:right="2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7560" w:type="dxa"/>
            <w:vAlign w:val="bottom"/>
          </w:tcPr>
          <w:p>
            <w:pPr>
              <w:spacing w:after="0"/>
              <w:rPr>
                <w:sz w:val="13"/>
                <w:szCs w:val="1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July 31, 2016</w:t>
            </w:r>
          </w:p>
        </w:tc>
        <w:tc>
          <w:tcPr>
            <w:tcW w:w="420" w:type="dxa"/>
            <w:vAlign w:val="bottom"/>
          </w:tcPr>
          <w:p>
            <w:pPr>
              <w:spacing w:after="0"/>
              <w:rPr>
                <w:sz w:val="13"/>
                <w:szCs w:val="13"/>
                <w:color w:val="auto"/>
              </w:rPr>
            </w:pPr>
          </w:p>
        </w:tc>
      </w:tr>
      <w:tr>
        <w:trPr>
          <w:trHeight w:val="264"/>
        </w:trPr>
        <w:tc>
          <w:tcPr>
            <w:tcW w:w="9220" w:type="dxa"/>
            <w:vAlign w:val="bottom"/>
            <w:gridSpan w:val="3"/>
          </w:tcPr>
          <w:p>
            <w:pPr>
              <w:jc w:val="center"/>
              <w:ind w:right="62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78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101,790,911</w:t>
            </w:r>
          </w:p>
        </w:tc>
        <w:tc>
          <w:tcPr>
            <w:tcW w:w="4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44"/>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June 30, 2016 (unaudited) and December 31, 2015</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(unaudited) – Three and Six Months Ended June 30, 2016 and 2015</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(unaudited) – Three and Six Months Ended June 30,</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2016 and 2015</w:t>
              </w:r>
            </w:hyperlink>
          </w:p>
        </w:tc>
        <w:tc>
          <w:tcPr>
            <w:tcW w:w="7320" w:type="dxa"/>
            <w:vAlign w:val="bottom"/>
            <w:tcBorders>
              <w:top w:val="single" w:sz="8" w:color="0000EE"/>
            </w:tcBorders>
            <w:gridSpan w:val="11"/>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Stockholders' Equity (unaudited) – Six Months Ended June 30, 2016</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(unaudited) – Six Months Ended June 30, 2016 and 2015</w:t>
              </w:r>
            </w:hyperlink>
          </w:p>
        </w:tc>
        <w:tc>
          <w:tcPr>
            <w:tcW w:w="12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 (unaudited)</w:t>
              </w:r>
            </w:hyperlink>
          </w:p>
        </w:tc>
        <w:tc>
          <w:tcPr>
            <w:tcW w:w="458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Item 2.</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30</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47</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588"/>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1A.</w:t>
              </w:r>
            </w:hyperlink>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Item 6.</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51</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ind w:left="39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09"/>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20"/>
        </w:trPr>
        <w:tc>
          <w:tcPr>
            <w:tcW w:w="8340" w:type="dxa"/>
            <w:vAlign w:val="bottom"/>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1,902,323</w:t>
            </w:r>
          </w:p>
        </w:tc>
        <w:tc>
          <w:tcPr>
            <w:tcW w:w="120" w:type="dxa"/>
            <w:vAlign w:val="bottom"/>
          </w:tcPr>
          <w:p>
            <w:pPr>
              <w:spacing w:after="0"/>
              <w:rPr>
                <w:sz w:val="22"/>
                <w:szCs w:val="22"/>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2,080,089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210,470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115,297</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173,550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187,887</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74,790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74,493</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53,410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48,012</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2,414,543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2,505,778</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7,775,244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7,477,478</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2,060</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92,821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136,256</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114,780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110,972</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210,113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225,888</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727</w:t>
            </w:r>
          </w:p>
        </w:tc>
      </w:tr>
      <w:tr>
        <w:trPr>
          <w:trHeight w:val="270"/>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10,610,351</w:t>
            </w: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10,459,159</w:t>
            </w:r>
          </w:p>
        </w:tc>
      </w:tr>
      <w:tr>
        <w:trPr>
          <w:trHeight w:val="190"/>
        </w:trPr>
        <w:tc>
          <w:tcPr>
            <w:tcW w:w="8340" w:type="dxa"/>
            <w:vAlign w:val="bottom"/>
            <w:shd w:val="clear" w:color="auto" w:fill="CCEEFF"/>
          </w:tcPr>
          <w:p>
            <w:pPr>
              <w:ind w:left="4000"/>
              <w:spacing w:after="0" w:line="17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0"/>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173,459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210,372</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land concession obligation</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16,000</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420,582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436,409</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Gaming taxes payable</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97,544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98,559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146,481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129,697</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78,633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98,129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75,238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121,005</w:t>
            </w:r>
          </w:p>
        </w:tc>
      </w:tr>
      <w:tr>
        <w:trPr>
          <w:trHeight w:val="24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991,937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1,110,171</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9,457,016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9,149,665</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123,387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141,121</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36,316</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36,357</w:t>
            </w:r>
          </w:p>
        </w:tc>
      </w:tr>
      <w:tr>
        <w:trPr>
          <w:trHeight w:val="244"/>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10,608,656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10,437,314</w:t>
            </w:r>
          </w:p>
        </w:tc>
      </w:tr>
      <w:tr>
        <w:trPr>
          <w:trHeight w:val="197"/>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0"/>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8340" w:type="dxa"/>
            <w:vAlign w:val="bottom"/>
          </w:tcPr>
          <w:p>
            <w:pPr>
              <w:ind w:left="380"/>
              <w:spacing w:after="0" w:line="179" w:lineRule="exact"/>
              <w:rPr>
                <w:sz w:val="20"/>
                <w:szCs w:val="20"/>
                <w:color w:val="auto"/>
              </w:rPr>
            </w:pPr>
            <w:r>
              <w:rPr>
                <w:rFonts w:ascii="Times New Roman" w:cs="Times New Roman" w:eastAsia="Times New Roman" w:hAnsi="Times New Roman"/>
                <w:sz w:val="16"/>
                <w:szCs w:val="16"/>
                <w:color w:val="auto"/>
              </w:rPr>
              <w:t>Common stock, par value $0.01; 400,000,000 shares authorized; 114,949,209 and 114,610,441 shares issued; 101,790,911</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101,571,909 shares outstanding, respectively</w:t>
            </w:r>
          </w:p>
        </w:tc>
        <w:tc>
          <w:tcPr>
            <w:tcW w:w="24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1,146</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at cost; 13,158,298 and 13,038,532 shares, respectively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(1,158,971)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(1,152,680)</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986,761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983,131</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1,092</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99,379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55,332</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Wynn Resorts, Limited stockholders' deficit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(111,979)</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71,280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133,824</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21,845</w:t>
            </w:r>
          </w:p>
        </w:tc>
      </w:tr>
      <w:tr>
        <w:trPr>
          <w:trHeight w:val="23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10,610,351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10,459,159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742,659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714,208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1,475,389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1,540,307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271,967</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170,631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301,075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317,029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82,031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164,026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177,835</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1,138,168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1,122,595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2,218,929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2,307,138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(174,442)</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1,058,364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1,040,458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2,056,042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2,132,696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990,588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74,270</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105,727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187,358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79,291</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119,505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236,950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235,907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10,381</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32,966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164,779</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910,825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1,750,205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1,778,516</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147,539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169,121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305,837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354,180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(153,219)</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interest rate swap fair value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 Redemption Note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(274,384)</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86,549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90,501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196,259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79,796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89,442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195,234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63,301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(51,442)</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70,391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56,460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145,612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11,859</w:t>
            </w: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and diluted income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r>
      <w:tr>
        <w:trPr>
          <w:trHeight w:val="243"/>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101,146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101,881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101,795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97"/>
        </w:trPr>
        <w:tc>
          <w:tcPr>
            <w:tcW w:w="10060" w:type="dxa"/>
            <w:vAlign w:val="bottom"/>
            <w:gridSpan w:val="10"/>
          </w:tcPr>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63,301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investment securities, before and after tax</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196,146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62,634</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Wynn Resorts, Limited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70,561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56,470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146,617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8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8"/>
        </w:trPr>
        <w:tc>
          <w:tcPr>
            <w:tcW w:w="19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19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76"/>
        </w:trPr>
        <w:tc>
          <w:tcPr>
            <w:tcW w:w="19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equity</w:t>
            </w:r>
          </w:p>
        </w:tc>
      </w:tr>
      <w:tr>
        <w:trPr>
          <w:trHeight w:val="249"/>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Balances, January 1, 2016</w:t>
            </w:r>
          </w:p>
        </w:tc>
        <w:tc>
          <w:tcPr>
            <w:tcW w:w="9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101,571,909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1,146</w:t>
            </w:r>
          </w:p>
        </w:tc>
        <w:tc>
          <w:tcPr>
            <w:tcW w:w="1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(1,152,680)</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983,131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1,092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55,332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(111,979)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133,824</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21,845</w:t>
            </w:r>
          </w:p>
        </w:tc>
      </w:tr>
      <w:tr>
        <w:trPr>
          <w:trHeight w:val="2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145,612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145,612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49,622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195,234</w:t>
            </w:r>
          </w:p>
        </w:tc>
      </w:tr>
      <w:tr>
        <w:trPr>
          <w:trHeight w:val="26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r>
      <w:tr>
        <w:trPr>
          <w:trHeight w:val="15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unrealized gain on investment</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securities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1,246</w:t>
            </w:r>
          </w:p>
        </w:tc>
      </w:tr>
      <w:tr>
        <w:trPr>
          <w:trHeight w:val="144"/>
        </w:trPr>
        <w:tc>
          <w:tcPr>
            <w:tcW w:w="1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Shares repurchased by the Company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and held as treasury shares</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(119,766)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(6,291)</w:t>
            </w:r>
          </w:p>
        </w:tc>
      </w:tr>
      <w:tr>
        <w:trPr>
          <w:trHeight w:val="2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338,768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Shares of subsidiary repurchased for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 award plan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w:t>
            </w:r>
          </w:p>
        </w:tc>
      </w:tr>
      <w:tr>
        <w:trPr>
          <w:trHeight w:val="2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Cash dividends declared</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(101,565)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(213,304)</w:t>
            </w:r>
          </w:p>
        </w:tc>
      </w:tr>
      <w:tr>
        <w:trPr>
          <w:trHeight w:val="144"/>
        </w:trPr>
        <w:tc>
          <w:tcPr>
            <w:tcW w:w="1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8"/>
              </w:rPr>
              <w:t>Excess tax benefits from stock-based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compensation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w:t>
            </w:r>
          </w:p>
        </w:tc>
      </w:tr>
      <w:tr>
        <w:trPr>
          <w:trHeight w:val="27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9,058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9,058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1,775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10,833</w:t>
            </w:r>
          </w:p>
        </w:tc>
      </w:tr>
      <w:tr>
        <w:trPr>
          <w:trHeight w:val="24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Balances, June 30, 2016</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101,790,911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1,149</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(1,158,971)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986,761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2,097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99,379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(69,585)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71,280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1,695</w:t>
            </w: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0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195,234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63,301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157,720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164,779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15,251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21,068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 and other</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11,248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120,033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10,381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income of unconsolidated affiliates, net of distributions</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interest rate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Decrease in Redemption Note fair value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Receivables, net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Inventories and prepaid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5,141</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Customer deposits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(151,534)</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369,946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186,330</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(967,843)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Return of investment in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or maturity of investment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35,550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140,791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intangible assets and 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4,105</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(605,771)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(964,499)</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(396,925)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305,796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2,211,747</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(1,493,511)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Shares of subsidiary repurchased for share award plan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 on long-term land concession obligation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(127,589)</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59,163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84,136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(693,944)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2,080,089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2,182,164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Balance, end of period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1,902,323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1,488,220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cash flow disclosures: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121,629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166,465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capitalized into construction</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accounts and construction payables related to property and equipment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(96,858)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9,086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dividends payable on unvested restricted stock included in accrued liabilities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1,458</w:t>
            </w:r>
          </w:p>
        </w:tc>
      </w:tr>
      <w:tr>
        <w:trPr>
          <w:trHeight w:val="33"/>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1">
            <w:col w:w="11420"/>
          </w:cols>
          <w:pgMar w:left="240" w:top="118" w:right="239"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0" w:gutter="0" w:footer="0" w:header="0"/>
          <w:type w:val="continuous"/>
        </w:sectPr>
      </w:pPr>
    </w:p>
    <w:bookmarkStart w:id="7" w:name="page8"/>
    <w:bookmarkEnd w:id="7"/>
    <w:p>
      <w:pPr>
        <w:jc w:val="center"/>
        <w:ind w:right="-14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48" w:right="1440"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1 -</w:t>
        <w:tab/>
        <w:t>Organization and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72% of Wynn Macau, Limited ("WML") and operates the integrated Wynn Macau and Encore at Wynn Macau resort. In Las Vegas, Nevada, the Company owns 100% of and operates the integrated Wynn Las Vegas and Encore at Wynn Las Vegas resort.</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Macau resort of Wynn Macau and Encore at Wynn Macau features two luxury hotel towers with a total of 1,008 guest rooms and suites, approximately 284,000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resort as its Macau Operations.</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Las Vegas resort of Wynn Las Vegas and Encore at Wynn Las Vegas features two luxury hotel towers with a total of 4,748 guest rooms, suites and villas, approximately 194,000 square feet of casino space, 33 food and beverage outlets, an on-site 18-hole golf course, approximately 290,000 square feet of meeting and convention space, approximately 99,000 square feet of retail space, as well as two showrooms, three nightclubs and a beach club. The Company refers to this resort as its Las Vegas Operations.</w:t>
      </w:r>
    </w:p>
    <w:p>
      <w:pPr>
        <w:spacing w:after="0" w:line="180" w:lineRule="exact"/>
        <w:rPr>
          <w:sz w:val="20"/>
          <w:szCs w:val="20"/>
          <w:color w:val="auto"/>
        </w:rPr>
      </w:pPr>
    </w:p>
    <w:p>
      <w:pPr>
        <w:ind w:firstLine="405"/>
        <w:spacing w:after="0" w:line="313" w:lineRule="auto"/>
        <w:rPr>
          <w:sz w:val="20"/>
          <w:szCs w:val="20"/>
          <w:color w:val="auto"/>
        </w:rPr>
      </w:pPr>
      <w:r>
        <w:rPr>
          <w:rFonts w:ascii="Times New Roman" w:cs="Times New Roman" w:eastAsia="Times New Roman" w:hAnsi="Times New Roman"/>
          <w:sz w:val="17"/>
          <w:szCs w:val="17"/>
          <w:color w:val="auto"/>
        </w:rPr>
        <w:t>The Company is currently constructing Wynn Palace, an integrated resort containing a 1,700-room hotel, a performance lake, and a wide range of amenities, including meeting, retail, food and beverage, and casino spaces, in the Cotai area of Macau. Wynn Palace is scheduled to open on August 22, 2016.</w:t>
      </w:r>
    </w:p>
    <w:p>
      <w:pPr>
        <w:spacing w:after="0" w:line="138" w:lineRule="exact"/>
        <w:rPr>
          <w:sz w:val="20"/>
          <w:szCs w:val="20"/>
          <w:color w:val="auto"/>
        </w:rPr>
      </w:pPr>
    </w:p>
    <w:p>
      <w:pPr>
        <w:jc w:val="both"/>
        <w:ind w:right="560" w:firstLine="405"/>
        <w:spacing w:after="0" w:line="261" w:lineRule="auto"/>
        <w:rPr>
          <w:sz w:val="20"/>
          <w:szCs w:val="20"/>
          <w:color w:val="auto"/>
        </w:rPr>
      </w:pPr>
      <w:r>
        <w:rPr>
          <w:rFonts w:ascii="Times New Roman" w:cs="Times New Roman" w:eastAsia="Times New Roman" w:hAnsi="Times New Roman"/>
          <w:sz w:val="18"/>
          <w:szCs w:val="18"/>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The Company remains engaged in site remediation, site preparation and pre-construction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except as disclosed in Note 2 under "Summary of Significant Accounting Policies: Prior Period Adjustments") necessary for a fair presentation of the results for the interim periods have been made. The results for the three and six months ended June 30, 2016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2015.</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right="360" w:firstLine="432"/>
        <w:spacing w:after="0" w:line="289"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majority-owned subsidiaries. In April 2016, the Company dissolved its 50%-owned joint venture operating the Ferrari and Maserati automobile dealership inside Wynn Las Vegas, which was closed in October 2015 and was accounted for under the equity method. All significant intercompany accounts and transactions have been eliminated.</w:t>
      </w:r>
    </w:p>
    <w:p>
      <w:pPr>
        <w:spacing w:after="0" w:line="158"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Certain amounts in the Condensed Consolidated Statements of Cash Flows for the previous year have been reclassified to be consistent with the current year presentation. The payment of deposits on property and equipment, previously presented in purchase of other assets in investing activities, is now presented in capital expenditures in investing activities. The amount of</w:t>
      </w: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300" w:right="258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deposits on property and equipment that have been reclassified for the six months ended June 30, 2015 was $57.9 million. The reclassification had no effect on the previously reported net cash used in investing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and include both U.S. dollar denominated and foreign currency denominated securities. Cash equivalents are carried at cost, which approximates fair value. Cash equivalents of $684.7 million and $846.3 million at June 30, 2016 and December 31, 2015, respectively, were invested in bank time deposits, money market funds and commercial paper. In addition, the Company held bank deposits and cash on hand of approximately $1.22 billion and $1.23 billion as of June 30, 2016 and December 31, 2015,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At June 30, 2016 and December 31, 2015, the Company's non-current restricted cash consisted of cash held in trust in accordance with the Company's majority owned subsidiary's share award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jc w:val="both"/>
        <w:ind w:right="20" w:firstLine="405"/>
        <w:spacing w:after="0" w:line="255" w:lineRule="auto"/>
        <w:rPr>
          <w:sz w:val="20"/>
          <w:szCs w:val="20"/>
          <w:color w:val="auto"/>
        </w:rPr>
      </w:pPr>
      <w:r>
        <w:rPr>
          <w:rFonts w:ascii="Times New Roman" w:cs="Times New Roman" w:eastAsia="Times New Roman" w:hAnsi="Times New Roman"/>
          <w:sz w:val="18"/>
          <w:szCs w:val="18"/>
          <w:color w:val="auto"/>
        </w:rPr>
        <w:t>Investment securities consist of domestic and foreign short-term and long-term investments in corporate bonds, commercial paper and U.S. government agency bonds reported at fair value, with unrealized gains and losses, net of tax, reported in other comprehensive income (loss).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w:t>
      </w:r>
    </w:p>
    <w:p>
      <w:pPr>
        <w:spacing w:after="0" w:line="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2016 and December 31, 2015, approximately 87.1% and 85.1%,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227"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Direct and incremental costs incurred and original issue discounts and premiums in connection with the issuance of long-term debt are deferred and amortized to interest expense using the effective interest method or, if the amounts approximate the effective interest method, on a straight-line basis. Deferred financing costs incurred in connection with the issuance of the Company's revolving credit facilities are presented in noncurrent assets on the Condensed Consolidated Balance Sheets. All other deferred financing costs are presented as a direct reduction of long-term debt on the Condensed Consolidated Balance Sheets. See the Recently Issued and Adopted Accounting Standards section below for details on the presentation change of deferred financing costs.</w:t>
      </w:r>
    </w:p>
    <w:p>
      <w:pPr>
        <w:spacing w:after="0" w:line="3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118" w:right="29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Company records the Redemption Price Promissory Note (the "Redemption Note") at fair value in accordance with applicable accounting guidance. As of June 30, 2016 and December 31, 2015, the fair value of the Redemption Note was $1.88 billion.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13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games promoters to customers are recorded as a reduction to casino revenues. Rooms,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88"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 consequently, the Company's casino revenues are reduced by discounts, commissions and points earned by customers from the Company's loyalty programs.</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are as follows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86,434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91,569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28,450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61,870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70,206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14,583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12,667</w:t>
            </w:r>
          </w:p>
        </w:tc>
      </w:tr>
      <w:tr>
        <w:trPr>
          <w:trHeight w:val="237"/>
        </w:trPr>
        <w:tc>
          <w:tcPr>
            <w:tcW w:w="56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79,804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82,137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162,887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174,442</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cost of providing such promotional allowances, which is included primarily in casino expenses,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12,461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25,401</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23,970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25,993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51,579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55,487</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7,630</w:t>
            </w:r>
          </w:p>
        </w:tc>
      </w:tr>
      <w:tr>
        <w:trPr>
          <w:trHeight w:val="237"/>
        </w:trPr>
        <w:tc>
          <w:tcPr>
            <w:tcW w:w="55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39,545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41,212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83,215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88,518</w:t>
            </w:r>
          </w:p>
        </w:tc>
      </w:tr>
      <w:tr>
        <w:trPr>
          <w:trHeight w:val="27"/>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an assessment on the Company's gross gaming revenues and are recorded as casino expenses in the accompanying Condensed Consolidated Statements of Income. These taxes were $301.0 million and $290.1 million for the three months ended June 30, 2016 and 2015, respectively, and $579.7 million and $620.2 million for the six months ended June 30, 2016 and 2015,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such as cash equivalents, restricted cash, available-for-sale securities, interest rate swaps and the Redemption Note,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684,742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683,696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303,291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303,291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1,881,422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1,881,422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shd w:val="clear" w:color="auto" w:fill="CCEEFF"/>
          </w:tcPr>
          <w:p>
            <w:pPr>
              <w:spacing w:after="0"/>
              <w:rPr>
                <w:sz w:val="12"/>
                <w:szCs w:val="12"/>
                <w:color w:val="auto"/>
              </w:rPr>
            </w:pPr>
          </w:p>
        </w:tc>
        <w:tc>
          <w:tcPr>
            <w:tcW w:w="1560" w:type="dxa"/>
            <w:vAlign w:val="bottom"/>
            <w:gridSpan w:val="3"/>
            <w:vMerge w:val="restart"/>
            <w:shd w:val="clear" w:color="auto" w:fill="CCEEFF"/>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shd w:val="clear" w:color="auto" w:fill="CCEEFF"/>
          </w:tcPr>
          <w:p>
            <w:pPr>
              <w:spacing w:after="0"/>
              <w:rPr>
                <w:sz w:val="12"/>
                <w:szCs w:val="12"/>
                <w:color w:val="auto"/>
              </w:rPr>
            </w:pPr>
          </w:p>
        </w:tc>
        <w:tc>
          <w:tcPr>
            <w:tcW w:w="1560" w:type="dxa"/>
            <w:vAlign w:val="bottom"/>
            <w:gridSpan w:val="3"/>
            <w:vMerge w:val="continue"/>
            <w:shd w:val="clear" w:color="auto" w:fill="CCEEFF"/>
          </w:tcPr>
          <w:p>
            <w:pPr>
              <w:spacing w:after="0"/>
              <w:rPr>
                <w:sz w:val="12"/>
                <w:szCs w:val="12"/>
                <w:color w:val="auto"/>
              </w:rPr>
            </w:pPr>
          </w:p>
        </w:tc>
        <w:tc>
          <w:tcPr>
            <w:tcW w:w="1240" w:type="dxa"/>
            <w:vAlign w:val="bottom"/>
            <w:vMerge w:val="restart"/>
            <w:shd w:val="clear" w:color="auto" w:fill="CCEEFF"/>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shd w:val="clear" w:color="auto" w:fill="CCEEFF"/>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846,281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846,095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251,553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251,553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1,884,402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1,884,402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Standards</w:t>
      </w:r>
    </w:p>
    <w:p>
      <w:pPr>
        <w:spacing w:after="0" w:line="22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March 2016, the Financial Accounting Standards Board ("FASB") issued an accounting standards update that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regards to forfeitures, the entity may make an entity-wide accounting policy election to either estimate the number of awards that are expected to vest or account for forfeitures when they occur. The effective date for this guidance is for financial statements for fiscal years beginning after December 15, 2016, and interim periods within those fiscal periods and early application is permitted. The Company is currently assessing the impact the adoption of this guidance will have on its consolidated financial statements.</w:t>
      </w:r>
    </w:p>
    <w:p>
      <w:pPr>
        <w:spacing w:after="0" w:line="18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w:t>
      </w:r>
    </w:p>
    <w:p>
      <w:pPr>
        <w:sectPr>
          <w:pgSz w:w="11900" w:h="16838" w:orient="portrait"/>
          <w:cols w:equalWidth="0" w:num="1">
            <w:col w:w="11420"/>
          </w:cols>
          <w:pgMar w:left="240" w:top="118" w:right="239" w:bottom="1440" w:gutter="0" w:footer="0" w:header="0"/>
        </w:sect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effective date for this guidance is for financial statements issued for fiscal years beginning after December 15, 2017. Early application is permitted as of the beginning of the fiscal year of adoption. The Company is currently assessing the impact the adoption of this standard will have on its consolidated financial statements.</w:t>
      </w:r>
    </w:p>
    <w:p>
      <w:pPr>
        <w:spacing w:after="0" w:line="185" w:lineRule="exact"/>
        <w:rPr>
          <w:sz w:val="20"/>
          <w:szCs w:val="20"/>
          <w:color w:val="auto"/>
        </w:rPr>
      </w:pPr>
    </w:p>
    <w:p>
      <w:pPr>
        <w:ind w:right="140" w:firstLine="432"/>
        <w:spacing w:after="0" w:line="253" w:lineRule="auto"/>
        <w:rPr>
          <w:sz w:val="20"/>
          <w:szCs w:val="20"/>
          <w:color w:val="auto"/>
        </w:rPr>
      </w:pPr>
      <w:r>
        <w:rPr>
          <w:rFonts w:ascii="Times New Roman" w:cs="Times New Roman" w:eastAsia="Times New Roman" w:hAnsi="Times New Roman"/>
          <w:sz w:val="18"/>
          <w:szCs w:val="18"/>
          <w:color w:val="auto"/>
        </w:rPr>
        <w:t>In April 2015, the FASB issued an accounting standards update that requires deferred financing costs related to a recognized debt liability to be presented on the balance sheet as a direct reduction from the carrying amount of that debt liability, consistent with debt discounts. The recognition and measurement guidance for deferred financing costs are not affected by the amendments in this update. In August 2015, the FASB issued an accounting standards update that clarifies that the guidance issued in April 2015 does not apply to line-of-credit arrangements. According to the additional guidance, deferred financing 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Condensed Consolidated Balance Sheet at December 31, 2015. This change in accounting principle resulted in net deferred financing costs of $63.1 million incurred in connection with the issuance of the Company's long-term debt (excluding revolving credit facilities) being reclassified from noncurrent assets to a direct reduction of the long-term debt balance. The presentation of the $41.3 million of net deferred financing costs incurred in connection with the issuance of the Company's revolving credit facilities as of December 31, 2015, are not affected by the adoption of this new accounting guidance and are included in other assets on the Condensed Consolidated Balance Sheet.</w:t>
      </w:r>
    </w:p>
    <w:p>
      <w:pPr>
        <w:spacing w:after="0" w:line="191"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Period Adjustments</w:t>
      </w:r>
    </w:p>
    <w:p>
      <w:pPr>
        <w:spacing w:after="0" w:line="22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2016, the Company identified $21.9 million and $3.7 million of additional interest that should have been capitalized instead of being expensed during the years ended December 31, 2015 and 2014, respectively. Considering both quantitative and qualitative factors, the Company has determined the amounts were immaterial to any previously issued financial statements and would be immaterial to the expected full year results for 2016. Accordingly, the Company corrected these immaterial amounts during the first quarter of the six months ended June 30, 2016, resulting in a decrease to interest expense of $25.6 million and increases to net income attributable to Wynn Resorts, Limited of $18.5 million and basic and diluted net income per common share of $0.18. Had these amounts been corrected in the appropriate periods, it would have resulted in a decrease to interest expense of $6.0 million and increases to net income attributable to Wynn Resorts, Limited of $4.3 million and basic and diluted net income per common share of $0.04, for the three months ended June 30, 2015, and it would have resulted in a decrease to interest expense of $11.1 million and increases to net income attributable to Wynn Resorts, Limited of $8.0 million and basic and diluted net income per common share of $0.08, for the six months ended June 30, 2015.</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Earnings Per Share</w:t>
      </w:r>
    </w:p>
    <w:p>
      <w:pPr>
        <w:spacing w:after="0" w:line="229" w:lineRule="exact"/>
        <w:rPr>
          <w:sz w:val="20"/>
          <w:szCs w:val="20"/>
          <w:color w:val="auto"/>
        </w:rPr>
      </w:pPr>
    </w:p>
    <w:p>
      <w:pPr>
        <w:ind w:right="60" w:firstLine="432"/>
        <w:spacing w:after="0" w:line="281" w:lineRule="auto"/>
        <w:rPr>
          <w:sz w:val="20"/>
          <w:szCs w:val="20"/>
          <w:color w:val="auto"/>
        </w:rPr>
      </w:pPr>
      <w:r>
        <w:rPr>
          <w:rFonts w:ascii="Times New Roman" w:cs="Times New Roman" w:eastAsia="Times New Roman" w:hAnsi="Times New Roman"/>
          <w:sz w:val="17"/>
          <w:szCs w:val="17"/>
          <w:color w:val="auto"/>
        </w:rPr>
        <w:t>Basic earnings per share ("EPS") is computed by dividing net income attributable to Wynn Resorts, Limited by the weighted average number of common shares outstanding during the period. Diluted EPS is computed by dividing net income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6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70,391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56,460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145,612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11,859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101,146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Potential dilutive effect of stock options and restricted stock</w:t>
            </w:r>
          </w:p>
        </w:tc>
        <w:tc>
          <w:tcPr>
            <w:tcW w:w="3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101,881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101,710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101,792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101,795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w:t>
            </w: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620" w:type="dxa"/>
            <w:vAlign w:val="bottom"/>
            <w:vMerge w:val="continue"/>
          </w:tcPr>
          <w:p>
            <w:pPr>
              <w:spacing w:after="0"/>
              <w:rPr>
                <w:sz w:val="16"/>
                <w:szCs w:val="16"/>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81"/>
        </w:trPr>
        <w:tc>
          <w:tcPr>
            <w:tcW w:w="5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Anti-dilutive stock options and restricted stock excluded from the</w:t>
            </w:r>
          </w:p>
        </w:tc>
        <w:tc>
          <w:tcPr>
            <w:tcW w:w="380" w:type="dxa"/>
            <w:vAlign w:val="bottom"/>
          </w:tcPr>
          <w:p>
            <w:pPr>
              <w:spacing w:after="0"/>
              <w:rPr>
                <w:sz w:val="19"/>
                <w:szCs w:val="19"/>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1"/>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calculation of diluted earnings per share</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62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by component, net of tax and noncontrolling interest, in accumulated other comprehensive income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5 -</w:t>
        <w:tab/>
        <w:t>Investment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securities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8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252,420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252,444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243,857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242,614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40,744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40,712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303,296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303,291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252,804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251,553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432"/>
        <w:spacing w:after="0" w:line="313" w:lineRule="auto"/>
        <w:rPr>
          <w:sz w:val="20"/>
          <w:szCs w:val="20"/>
          <w:color w:val="auto"/>
        </w:rPr>
      </w:pPr>
      <w:r>
        <w:rPr>
          <w:rFonts w:ascii="Times New Roman" w:cs="Times New Roman" w:eastAsia="Times New Roman" w:hAnsi="Times New Roman"/>
          <w:sz w:val="18"/>
          <w:szCs w:val="18"/>
          <w:color w:val="auto"/>
        </w:rPr>
        <w:t>For investments with unrealized losses as of June 30, 2016 and December 31, 2015, the Company has determined that it does not have the intent to sell any of these investments and it is not likely that the Company will be required to sell these investments prior to the recovery of the amortized cost. Accordingly, the Company has determined that no other-than-temporary impairments exist at the reporting dates.</w:t>
      </w:r>
    </w:p>
    <w:p>
      <w:pPr>
        <w:spacing w:after="0" w:line="14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these investment securities at June 30, 2016, by contractual maturity,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5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5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210,470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5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72,126</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two years through three years</w:t>
            </w:r>
          </w:p>
        </w:tc>
        <w:tc>
          <w:tcPr>
            <w:tcW w:w="5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20,695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5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303,291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8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tab/>
        <w:t>Receivables,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173,728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190,294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leases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36,450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43,989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228,467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254,944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173,550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187,887</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820,691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804,512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3,990,905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3,975,419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1,842,355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1,809,938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interests in land</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316,681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Airplanes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3,567,642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3,217,117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10,732,378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10,318,079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(2,840,601)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7,775,244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7,477,478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Construction in progress consists primarily of costs capitalized, including interest, for the construction of Wynn Palace and Wynn Boston Harbor.</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8 -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Macau Credit Facilities: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Term Loan Facility (as amended September 2015), due September 2021; interest at LIBOR or HIBOR</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1.50%—2.25% (2.50% and 2.08% at June 30, 2016 and December 31, 2015), net of debt issuance costs and</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issue discount of $31,574 at June 30, 2016 and $35,112 at December 31,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2,274,736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2,272,200</w:t>
            </w: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Revolving Credit Facility (as amended September 2015), due September 2020; interest at LIBOR or</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HIBOR plus 1.50%—2.25% (2.49% and 2.07% at June 30, 2016 and December 31, 2015)</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581,329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431,172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1/4% Senior Notes, due October 15, 2021, net of debt issuance costs and original issue premium of $7,311 at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 and $7,896 at December 31, 2015</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1,342,689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1,342,104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Wynn America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Term Loan Facility, due November 2020; interest at base rate plus 0.75% or LIBOR plus 1.75% (2.21%</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1.99% at June 30, 2016 and December 31, 2015), net of debt issuance costs of $15,699 at June 30, 2016 and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$15,712 at December 31, 2015</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209,634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54,288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 net of debt issuance costs of $7,257 at June 30, 2016 and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$7,791 at December 31, 2015</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892,743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892,209</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 1/4% Senior Notes, due May 30, 2023, net of debt issuance costs of $3,003 at June 30, 2016 and $3,183 at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496,997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496,817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 net of debt issuance costs of $22,534 at June 30, 2016 and $23,527 at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1,777,466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1,776,473</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Price Promissory Note with former stockholder and related party, due February 18, 2022; interest at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 net of fair value adjustment of $55,021 at June 30, 2016 and $52,041 at December 31, 2015</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1,881,422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1,884,402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9,457,016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9,149,665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9,457,016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9,149,665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227"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Company's credit facilities include a $2.27 billion equivalent fully funded senior secured term loan facility and a $750 million equivalent senior secured revolving credit facility (the "Wynn Macau Senior Revolving Credit Facility"). As of June 30, 2016, the Company had $168.7 million of available borrowing capacity under the Wynn Macau Senior Revolving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of June 30, 2016, the Company's credit facilities include an $875 million senior secured term loan facility (the "WA Senior Term Loan Facility I") and a $375 million senior secured revolving credit facility (the "WA Senior Revolving Credit Facility" and together with the WA Senior Term Loan Facility I, the "Wynn America Credit Facilities"). On June 21, 2016, the Company amended the Wynn America Credit Facilities to extend the available borrowing period of the WA Senior Term Loan Facility I for $649.7 million from June 30, 2016 to December 31, 2016. The available borrowing period for $55 million of the WA Senior Term Loan Facility I was not extended. The Company paid customary fees and expenses in connection with the amendment.</w:t>
      </w:r>
    </w:p>
    <w:p>
      <w:pPr>
        <w:spacing w:after="0" w:line="18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the Company has drawn $225.3 million under the Wynn America Credit Facilities with available borrowing capacity of $1.02 billion, net of $8.2 million in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9"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On July 1, 2016, the Company amended the Wynn America Credit Facilities to increase the WA Senior Term Loan Facility I by a principal amount of $125 million with the available borrowing period ending on December 31, 2016 (such increase, the "WA Senior Term Loan Facility II"). Once drawn, borrowings under the WA Senior Term Loan Facility II have no required scheduled repayments until maturity in November 2020. The Company expects to use the additional proceeds primarily to fund the development, construction and pre-opening expenses of Wynn Boston Harbor and for general corporate purposes. Except as described above or otherwise set forth in the amendment, the WA Senior Term Loan Facility II has substantially similar terms as the WA Senior Term Loan Facility I. The Company paid customary fees and expenses in connection with the amendment. As of July 1, 2016, as a result of the amendment, the available borrowing capacity under the Wynn America Credit Facilities increased to $1.14 billion, net of $8.2 million in outstanding letters of credit.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Mortgage Notes due 2020</w:t>
      </w:r>
    </w:p>
    <w:p>
      <w:pPr>
        <w:spacing w:after="0" w:line="187" w:lineRule="exact"/>
        <w:rPr>
          <w:sz w:val="20"/>
          <w:szCs w:val="20"/>
          <w:color w:val="auto"/>
        </w:rPr>
      </w:pPr>
    </w:p>
    <w:p>
      <w:pPr>
        <w:ind w:right="120" w:firstLine="392"/>
        <w:spacing w:after="0" w:line="256" w:lineRule="auto"/>
        <w:rPr>
          <w:sz w:val="20"/>
          <w:szCs w:val="20"/>
          <w:color w:val="auto"/>
        </w:rPr>
      </w:pPr>
      <w:r>
        <w:rPr>
          <w:rFonts w:ascii="Times New Roman" w:cs="Times New Roman" w:eastAsia="Times New Roman" w:hAnsi="Times New Roman"/>
          <w:sz w:val="18"/>
          <w:szCs w:val="18"/>
          <w:color w:val="auto"/>
        </w:rPr>
        <w:t>On February 10, 2015, Wynn Las Vegas, LLC and Wynn Las Vegas Capital Corp., an indirect wholly owned subsidiary of Wynn Resorts, Limited (together, the "Issuers") commenced a cash tender offer for any and all of the outstanding aggregate principal amounts of the 7 7/8% First Mortgage Notes due May 1, 2020 and the 7 3/4% First Mortgage Notes due August 15, 2020 (the "2020 Notes"). The premium portion of the aggregate total consideration was $98.9 million and was recorded as a loss on extinguishment of debt in the accompanying Condensed Consolidated Statements of Income. In connection with the cash tender, the Company expensed $17.2 million of unamortized deferred financing costs and original issue discount related to the 2020 Notes and incurred other fees of $0.1 million that are included in loss on extinguishment of debt in the accompanying Condensed Consolidated Statements of Income.</w:t>
      </w:r>
    </w:p>
    <w:p>
      <w:pPr>
        <w:spacing w:after="0" w:line="188"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8"/>
          <w:szCs w:val="18"/>
          <w:color w:val="auto"/>
        </w:rPr>
        <w:t>On May 1, 2015, the Company redeemed the remaining $71.1 million principal amount of the untendered 7 7/8% First Mortgage Notes due May 1, 2020. The Company recorded a loss for the premium portion of the consideration of $2.8 million and expensed $1.0 million of unamortized deferred financing costs and original discount that are included in loss on extinguishment of debt in the accompanying Condensed Consolidated Statements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2016, management believes the Company was in compliance with all debt covenants.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Company's long-term debt, excluding the Redemption Note, as of June 30, 2016 and December 31, 2015 of $7.18 billion and $6.86 billion, respectively, compared to its carrying value, excluding debt issuance costs and original issue discount and premium, was $7.66 billion and $7.36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Interest Rate Swaps</w:t>
      </w:r>
    </w:p>
    <w:p>
      <w:pPr>
        <w:spacing w:after="0" w:line="229"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Company seeks to manage its market risk, including interest rate risk associated with variable rate borrowings, through balancing fixed-rate and variable-rate borrowings with the use of derivative financial instruments. The Company currently has three interest rate swap agreements that convert a portion of its variable rate borrowings under the Wynn Macau Senior Term Loan Facility to a fixed rate. Under the agreements, the Company pays a fixed interest rate on notional amounts corresponding to borrowings in exchange for receipts on the same amount at a variable interest rate based on the applicable LIBOR or HIBOR at the time of payment. The fair value of the interest rate swaps are recognized as assets or liabilities at each balance sheet date, with changes in fair value affecting net income as these agreements do not qualify for hedge accounting. Accordingly, changes in the fair value of the interest rate swaps are presented in the accompanying Condensed Consolidated Statements of Income.</w:t>
      </w:r>
    </w:p>
    <w:p>
      <w:pPr>
        <w:spacing w:after="0" w:line="18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utilized Level 2 inputs as described in Note 2 "Summary of Significant Accounting Policies" to determine fair value. The fair value approximates the amount the Company would receive or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w:t>
      </w: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counterparties or the Company, as applicable. These adjustments resulted in a reduction in the fair values as compared to their settlement values.</w:t>
      </w:r>
    </w:p>
    <w:p>
      <w:pPr>
        <w:spacing w:after="0" w:line="225"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As of June 30, 2016, interest rate swaps of $2.2 million were included in other long-term liabilities in the accompanying Condensed Consolidated Balance Sheet. As of December 31, 2015, interest rate swaps of $0.7 million were included in other assets and $0.1 million were included in other long-term liabilities in the accompanying Condensed Consolidated Balance Sheet. These interest rate swaps mature in July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for which the officers and directors reimburse the Company. Mr. Wynn also reimburses the Company for personal usage of aircraft (subject to a $250,000 credit per calendar year) pursuant to a time sharing agreement. Mr. Wynn and other officers and directors have deposits with the Company to prepay any such items, which are replenished on an ongoing basis as needed. Mr. Wynn and the other officers and directors had a net deposit balance with the Company of $0.4 million and $1.0 million as of June 30, 2016 and December 31, 2015,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compensation cost relating both to stock options and nonvested stock is allocated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0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5,627</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14,692</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Pre-opening costs</w:t>
            </w:r>
          </w:p>
        </w:tc>
        <w:tc>
          <w:tcPr>
            <w:tcW w:w="2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21,068</w:t>
            </w: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2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w:t>
      </w:r>
    </w:p>
    <w:p>
      <w:pPr>
        <w:spacing w:after="0" w:line="22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On April 27, 2016, WML paid a dividend of HK$0.60 per share for a total of $401.9 million. The Company's share of this dividend was $290.1 million with a reduction of $111.8 million to noncontrolling interest in the accompanying Condensed Consolidated Balance Sheet.</w:t>
      </w:r>
    </w:p>
    <w:p>
      <w:pPr>
        <w:spacing w:after="0" w:line="162"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On March 31, 2015, WML paid a dividend of HK$1.05 per share for a total of $702.6 million. The Company's share of this dividend was $507.1 million with a reduction of $195.5 million to noncontrolling interest in the accompanying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Cotai Development and Land Concession Contract</w:t>
      </w:r>
    </w:p>
    <w:p>
      <w:pPr>
        <w:spacing w:after="0" w:line="227" w:lineRule="exact"/>
        <w:rPr>
          <w:sz w:val="20"/>
          <w:szCs w:val="20"/>
          <w:color w:val="auto"/>
        </w:rPr>
      </w:pPr>
    </w:p>
    <w:p>
      <w:pPr>
        <w:jc w:val="both"/>
        <w:ind w:firstLine="432"/>
        <w:spacing w:after="0" w:line="313" w:lineRule="auto"/>
        <w:rPr>
          <w:sz w:val="20"/>
          <w:szCs w:val="20"/>
          <w:color w:val="auto"/>
        </w:rPr>
      </w:pPr>
      <w:r>
        <w:rPr>
          <w:rFonts w:ascii="Times New Roman" w:cs="Times New Roman" w:eastAsia="Times New Roman" w:hAnsi="Times New Roman"/>
          <w:sz w:val="17"/>
          <w:szCs w:val="17"/>
          <w:color w:val="auto"/>
        </w:rPr>
        <w:t>The Company is currently constructing Wynn Palace, an integrated resort containing a 1,700-room hotel, a performance lake, and a wide range of amenities, including meeting, retail, food and beverage, and casino spaces, in the Cotai area of Macau. Wynn Palace is scheduled to open on August 22, 2016.</w:t>
      </w:r>
    </w:p>
    <w:p>
      <w:pPr>
        <w:spacing w:after="0" w:line="13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September 2011, Wynn Resorts (Macau) S.A. ("Wynn Macau SA"), an indirect subsidiary of WML, and Palo Real Estate Company Limited ("Palo"), a subsidiary of Wynn Macau SA, formally accepted the terms and conditions of a land concession contract from the Macau government for approximately 51 acres of land in the Cotai area of Macau. On May 2,</w:t>
      </w: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In April 2016, the Company made the final semi-annual payment. The Company also is required to make annual lease payments of $0.8 million during the resort construction period and annual payments of approximately $1.1 million once the development is completed.</w:t>
      </w:r>
    </w:p>
    <w:p>
      <w:pPr>
        <w:spacing w:after="0" w:line="18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July 29, 2013, Wynn Macau SA and Palo,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HK$20.6 billion (approximately $2.7 billion). The performance of the general contractor is backed by a full completion guarantee given by CIMIC Group Limited (formerly Leighton Holdings Limited), the parent company of the general contractor, as well as a performance bond for 5% of the guaranteed maximum price. We have assessed certain liquidated damages for the general contractor’s failure to complete certain milestones in accordance with the time prescribed in the GMP contract. The general contractor has requested the reversal of liquidated damages, additional compensation and extensions of time. We view our assessment of liquidated damages as fully supported by the terms of the GMP contract and we view the general contractor’s requests as unfounded and intend to adhere to the terms of the GMP contract as agreed with the general contractor.</w:t>
      </w:r>
    </w:p>
    <w:p>
      <w:pPr>
        <w:spacing w:after="0" w:line="18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As of June 30, 2016, the Company has incurred approximately $3.9 billion of the approximately $4.2 billion total project budget costs. The total project budget includes all construction costs, capitalized interest, pre-opening expenses, land costs and financing fees.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and Affiliates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88"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WML. On February 18, 2012, Mr. Okada was removed from the Board of Directors of Wynn Las Vegas Capital Corp., an indirect wholly owned subsidiary of Wynn Resorts. On February 24, 2012, Mr. Okada was removed from the Board of Directors of WML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80" w:right="260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ind w:right="20"/>
        <w:spacing w:after="0" w:line="252" w:lineRule="auto"/>
        <w:rPr>
          <w:sz w:val="20"/>
          <w:szCs w:val="20"/>
          <w:color w:val="auto"/>
        </w:rPr>
      </w:pPr>
      <w:r>
        <w:rPr>
          <w:rFonts w:ascii="Times New Roman" w:cs="Times New Roman" w:eastAsia="Times New Roman" w:hAnsi="Times New Roman"/>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0"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the Company’s directors. In addition to continuing to seek</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18" w:right="27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w:t>
      </w:r>
    </w:p>
    <w:p>
      <w:pPr>
        <w:spacing w:after="0" w:line="188"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93"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the Company's Complaint. On November 13, 2014, the court denied the motion.</w:t>
      </w:r>
    </w:p>
    <w:p>
      <w:pPr>
        <w:spacing w:after="0" w:line="19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and February 12, 2016, the Company issued a check for the interest payment due at those times to the clerk of the court for deposit into the clerk's trust account.</w:t>
      </w:r>
    </w:p>
    <w:p>
      <w:pPr>
        <w:spacing w:after="0" w:line="18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8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May 2016, Wynn Resorts filed a motion to disqualify one of Ms. Wynn's law firms and sought an injunction related to Ms. Wynn providing her attorneys with confidential and privileged information that belongs to Wynn Resorts. On June 23, 2016, the court stayed discovery as to both Ms. Wynn and the Okada Parties, pending an evidentiary hearing to be set by the court. New discovery deadlines and trial-related dates will be set after the stay is lifted. The Company will continue to vigorously pursue its claims against the Okada Parties, and the Company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the Company's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the Company directors) in February 2016 and as to Wynn Resorts in March 2016, thus upholding the motion for dismissal of the Okada Japan Parties' defamation action against the Wynn Parties.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7"/>
          <w:szCs w:val="17"/>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ind w:left="240" w:right="3060" w:hanging="232"/>
        <w:spacing w:after="0" w:line="490"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stayed the claims asserted by the Company against Mr. Okada pending the resolution of the Redemption Action. </w:t>
      </w:r>
      <w:r>
        <w:rPr>
          <w:rFonts w:ascii="Times New Roman" w:cs="Times New Roman" w:eastAsia="Times New Roman" w:hAnsi="Times New Roman"/>
          <w:sz w:val="18"/>
          <w:szCs w:val="18"/>
          <w:u w:val="single" w:color="auto"/>
          <w:color w:val="auto"/>
        </w:rPr>
        <w:t>Macau Action:</w:t>
      </w:r>
    </w:p>
    <w:p>
      <w:pPr>
        <w:spacing w:after="0" w:line="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Resorts is building Wynn Palace was unlawful and that the previously disclosed donation by Wynn</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Resorts to the University of Macau Development Foundation was unlawful. The plaintiffs seek dissolution of Wynn Macau SA and compensatory damages. The Okada Parties recently released one of the defendants from the lawsuit. The Macau Court has served the complaint on all of the remaining defendants and the Wynn Macau Parties filed their response on May 17, 2016.</w:t>
      </w:r>
    </w:p>
    <w:p>
      <w:pPr>
        <w:spacing w:after="0" w:line="17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right="20" w:firstLine="8"/>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Development Foundation;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9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also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 (3) gross mismanagement;</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7"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Actions</w:t>
      </w:r>
    </w:p>
    <w:p>
      <w:pPr>
        <w:spacing w:after="0" w:line="2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On September 17, 2014, the Massachusetts Gaming Commission ("MGC") designated Wynn MA, LLC ("Wynn MA"), an indirect wholly owned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subsidiary of the Company, the award winner of the Greater Boston (Region A) gaming license. On November 7, 2014, the gaming license became effective.</w:t>
      </w:r>
    </w:p>
    <w:p>
      <w:pPr>
        <w:spacing w:after="0" w:line="218"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Revere Action: 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 On July 1, 2015, the MGC filed motions to dismiss Mohegan's and the City of Revere's complaints. Oral argument on these motions was heard on September 22, 2015.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On April 22, 2016 the MGC filed an appeal to the Massachusetts Supreme Judicial Court ("SJC"). On May 11, 2016, the SJC granted the application and oral arguments are expected to be scheduled for the fall of 2016.</w:t>
      </w:r>
    </w:p>
    <w:p>
      <w:pPr>
        <w:spacing w:after="0" w:line="19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Somerville Action: On December 4, 2014, the City of Somerville filed a complaint similar to the one in the Revere Action against the MGC and each of the five gaming commissioners in Suffolk Superior Court. The case was previously stayed at the City of Somerville's request, pending the results of the Massachusetts Department of Environmental Protection's review of Wynn MA's proposed project and the required mitigation actions. However, on July 12, 2016, the City of Somerville filed an amended complaint to add information about certain environmental filings and events over the last year. The MGC plans on filing a motion to dismiss.</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Boston Action: 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Wynn Boston Harbor. On May 20, 2015, the City of Boston filed an amended complaint requesting the court to nullify and vacate all decisions made by the MGC leading to and resulting in the MGC's license award to Wynn MA; to declare invalid the MGC's regulations regarding the arbitration of surrounding community agreements; and to issue a declaration disqualifying all gaming commissioners from further participating in the gaming licensing process for Region A. The MGC filed a motion to dismiss Boston's amended complaint. Oral argument was heard on September 22, 2015. On December 3, 2015, the court granted the MGC's motion and dismissed the City of Boston's amended complaint. In January 2016, all actions among the City of Boston, Wynn MA and the MGC were resolved through a settlement set forth in a Surrounding Community Agreement.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MA is not named in the above complaints. The MGC has retained private legal representation at its own nontaxpayer-funded expense.</w:t>
      </w:r>
    </w:p>
    <w:p>
      <w:pPr>
        <w:spacing w:after="0" w:line="23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On August 28, 2015, the Secretary of Energy and Environmental Affairs issued a certificate determining that Wynn MA's Second Supplemental Final Environmental Impact Report ("Report") submitted with respect to the project "adequately and properly complies" with the Massachusetts environmental and implementing regulations. On September 29, 2015, following the issuance of this certificate, the City of Boston filed a complaint against Wynn MA in Suffolk Superior Court seeking declaratory judgment that the certificate issued to Wynn MA is invalid due to an alleged failure to comply with certain provisions of the state environmental regulations and seeking to restrain Wynn MA from causing damage to the environment. All City of Boston claims have been resolved by settlement between Wynn MA and the City of Boston. In addition, on September 29, 2015, the City of Somerville filed a complaint against Wynn MA and the MGC in Suffolk Superior Court alleging that Wynn MA's Report failed to comply with certain provisions of the state environmental regulations and seeking declaratory relief with respect to the effect of the issuance of Wynn MA's gaming license. Wynn MA responded to the complaint in June 2016. Oral arguments on the City of Somerville’s motion for judgment on the pleadings are expected to be scheduled for the fall of 2016.</w:t>
      </w:r>
    </w:p>
    <w:p>
      <w:pPr>
        <w:spacing w:after="0" w:line="18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February 11, 2016, City of Somerville filed an appeal challenging the draft waterways license ("Chapter 91 License") issued by the Massachusetts Department of Environmental Protection ("MassDEP") on January 22, 2016. The Chapter 91 License authorized Wynn MA's proposed remediation and redevelopment of the project site. The City of Somerville challenges the Chapter 91 License contending that it fails to conform to the Waterways Regulations and that certain prerequisites to its issuance are "...flawed and based on legally untenable grounds and are the subject of pending appeals." An administrative hearing was held on June 2, 2016. On July 15, 2016, MassDEP's Office of Appeals and Dispute Resolution issued a recommended final decision approving Wynn MA’s Chapter 91 License, subject to certain conditions. The recommended final decision was adopted by MassDEP’s Commissioner on July 22, 2016, with minor modifications. On August 3, 2016, MassDEP issued the final Chapter 91 License to Wynn MA. As a result of the final issuance, Wynn MA has commenced construction activities.</w:t>
      </w:r>
    </w:p>
    <w:p>
      <w:pPr>
        <w:spacing w:after="0" w:line="18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Company will vigorously defend Wynn MA against the claims. Management has determined that based on proceedings to date, it is currently unable to determine the probability of the outcome of this action or the range of reasonably possible loss,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2016 and 2015, the Company recorded a tax benefit of $2.9 million and a tax expense of $13.3 million, respectively. For the six months ended June 30, 2016 and 2015, the Company recorded a tax expense of $1.0 million and $16.5 million, respectively. The Company's income tax benefit and expense for the three and six months ended June 30, 2016 and 2015 is primarily related to changes in the domestic valuation allowance for U.S. foreign tax credits ("FTCs").</w:t>
      </w:r>
    </w:p>
    <w:p>
      <w:pPr>
        <w:spacing w:after="0" w:line="180"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8"/>
          <w:szCs w:val="18"/>
          <w:color w:val="auto"/>
        </w:rPr>
        <w:t>Since June 30, 2010, the Company no longer considers its portion of the tax earnings and profits of WML to be permanently invested. The Company has not provided deferred U.S. income taxes or foreign withholding taxes on temporary differences as U.S. FTCs should be sufficient to eliminate any U.S. federal income tax in the event of repatriation. The Company recognized minimal income tax benefits related to excess tax deductions associated with stock compensation costs for the six months ended June 30, 2016 and $0.5 million for the same period of 2015.</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relies solely on the reversal of net taxable temporary differences. The valuation allowance for FTCs was determined by scheduling the existing U.S. taxable temporary differences that are expected to reverse and result in foreign source income during the 10-year FTC carryover period.</w:t>
      </w:r>
    </w:p>
    <w:p>
      <w:pPr>
        <w:spacing w:after="0" w:line="176"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Wynn Macau SA has received a 5-year exemption from Macau's Complementary Tax on casino gaming profits through December 31, 2020. For the three months ended June 30, 2016 and 2015, the Company was exempt from the payment of $9.6 million and $10.1 million, respectively, in such taxes. For the six months ended June 30, 2016 and 2015, the Company was exempt from the payment of such taxes totaling $20.9 million and $23.9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18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2011, Wynn Macau SA entered into an agreement with the Macau Special Administrative Region that provides for an annual payment of 15.5 million Macau patacas (approximately $1.9 million) to the Macau Special Administrative Region as complementary tax due by shareholders on dividend distributions. This agreement on dividends was effective through December 31, 2015. In August 2016, Wynn Macau SA received an extension of the agreement for an additional five years applicable to tax years 2016 through 2020. The extension agreement provides for an annual payment of 12.8 million Macau patacas (approximately $1.6 million).</w:t>
      </w:r>
    </w:p>
    <w:p>
      <w:pPr>
        <w:spacing w:after="0" w:line="184"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Company has participated in the Internal Revenue Service ("IRS") Compliance Assurance Program ("CAP") for the 2013 through 2015 tax years and will continue to participate in the IRS CAP for the 2016 tax year. In February 2016, the IRS completed an examination of the 2014 U.S. tax return and had no changes.</w:t>
      </w:r>
    </w:p>
    <w:p>
      <w:pPr>
        <w:spacing w:after="0" w:line="17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In April 2016, the Financial Services Bureau commenced an examination of the 2011 and 2012 Macau income tax returns of Palo. In June 2016, the Financial Services Bureau concluded its examination with no changes.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reviews the results of operations for each of its operating segments. Wynn Macau and Encore at Wynn Macau are managed as a single integrated resort and have been aggregated as one reportable segment ("Macau Operations"). Wynn Las Vegas and Encore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 The Company also reviews construction and development activities for each of its projects under development, in addition to its reportable segments.</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projects under development are Wynn Palace and Wynn Boston Harbor. In the following tables, the assets of Wynn Boston Harbor are included in Corporate and Other. Other Macau primarily represents cash and cash equivalents held at the Company's Macau holding company. The following tables present the Company's segment information (in thousands):</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639,315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616,952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1,247,558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1,322,309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419,049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423,506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808,484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810,387</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1,058,364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1,040,458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2,056,042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2,132,696</w:t>
            </w: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Adjusted Property EBITDA (1)</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190,389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173,391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381,634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385,733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122,290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122,037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231,314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232,714</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312,679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295,428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612,948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618,447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32,966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164,779</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42,480</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20,996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operating costs and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165,140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126,307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307,111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264,267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147,539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169,121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305,837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354,180</w:t>
            </w:r>
          </w:p>
        </w:tc>
      </w:tr>
      <w:tr>
        <w:trPr>
          <w:trHeight w:val="22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3,190</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interest rate swap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Redemption Note fair value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(120,033)</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1,331</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non-operating income and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(274,384)</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86,549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79,796</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63,301</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70,391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56,460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145,612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11,859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hanging="652"/>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w:t>
      </w:r>
    </w:p>
    <w:p>
      <w:pPr>
        <w:sectPr>
          <w:pgSz w:w="11900" w:h="16838" w:orient="portrait"/>
          <w:cols w:equalWidth="0" w:num="1">
            <w:col w:w="11420"/>
          </w:cols>
          <w:pgMar w:left="240" w:top="118" w:right="239" w:bottom="1440" w:gutter="0" w:footer="0" w:header="0"/>
        </w:sectPr>
      </w:pP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3" w:lineRule="exact"/>
        <w:rPr>
          <w:sz w:val="20"/>
          <w:szCs w:val="20"/>
          <w:color w:val="auto"/>
        </w:rPr>
      </w:pPr>
    </w:p>
    <w:p>
      <w:pPr>
        <w:jc w:val="both"/>
        <w:ind w:left="660"/>
        <w:spacing w:after="0" w:line="303" w:lineRule="auto"/>
        <w:rPr>
          <w:sz w:val="20"/>
          <w:szCs w:val="20"/>
          <w:color w:val="auto"/>
        </w:rPr>
      </w:pPr>
      <w:r>
        <w:rPr>
          <w:rFonts w:ascii="Times New Roman" w:cs="Times New Roman" w:eastAsia="Times New Roman" w:hAnsi="Times New Roman"/>
          <w:sz w:val="18"/>
          <w:szCs w:val="18"/>
          <w:color w:val="auto"/>
        </w:rPr>
        <w:t>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1,263,997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1,331,312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3,771,740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3,439,041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Macau</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121,766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570,959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Macau</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5,157,503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5,341,312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3,172,846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3,145,713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2,280,002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1,972,134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10,610,351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10,459,159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28, 2016, the Company announced a cash dividend of $0.50 per share, payable on August 23, 2016 to stockholders of record as of August 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87"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On July 18, 2016, the Company entered into a $198.5 million cash-collateralized revolving credit facility (“WML Finance Credit Facility”) under which WML Finance I, Limited, an indirect subsidiary of WML, is the borrower. Borrowings under the WML Finance Credit Facility will be in Hong Kong dollars and will be used for working capital requirements and general corporate purposes.</w:t>
      </w:r>
    </w:p>
    <w:p>
      <w:pPr>
        <w:spacing w:after="0" w:line="136"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WML Finance Credit Facility matures in July 2018, at which time any outstanding borrowings must be repaid. The WML Finance Credit Facility will bear interest initially at 1.50% per annum, such rate calculated as the interest rate paid by the lender as the deposit bank for the cash collateral deposited and pledged with the lender plus a margin of 0.40%. Under terms of the agreement, mandatory repayment is required upon a Change in Control or Material Adverse Effect, as defined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2015.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In the Macau Special Administrative Region of the People's Republic of China ("Macau"), we own 72% of Wynn Macau, Limited ("WML") and operate Wynn Macau and Encore at Wynn Macau, which we refer to as Wynn Macau | Encore or as our Macau Operations. In Las Vegas, Nevada, we own 100% of and operate Wynn Las Vegas and Encore at Wynn Las Vegas, which we refer to as Wynn Las Vegas | Encore or our Las Vegas Operations. We are developing Wynn Palace, an integrated casino resort in the Cotai area of Macau, as well as Wynn Boston Harbor, an integrated casino resort in Everett, Massachusetts.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We operate Wynn Macau | Encore under a 20-year casino concession agreement granted by the Macau government in June 2002. We lease from the Macau government approximately 16 acres of land in downtown Macau's inner harbor where Wynn Macau | Encore is located.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Macau | Encore features the following as of July 15, 2016:</w:t>
      </w:r>
    </w:p>
    <w:p>
      <w:pPr>
        <w:spacing w:after="0" w:line="279" w:lineRule="exact"/>
        <w:rPr>
          <w:sz w:val="20"/>
          <w:szCs w:val="20"/>
          <w:color w:val="auto"/>
        </w:rPr>
      </w:pPr>
    </w:p>
    <w:p>
      <w:pPr>
        <w:ind w:left="1300" w:right="18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casino space offering 24-hour gaming and a full range of games with 428 table games and 826 slot machines, private gaming salons, sky casinos and a poker pit;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1,008 guest rooms and suites;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and fine dining in eight restaurants;</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9" w:lineRule="auto"/>
        <w:tabs>
          <w:tab w:leader="none" w:pos="1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57,000 square feet of high-end, brand-name retail shopping, including stores and boutiques by Bvlgari, Cartier, Chanel, Dior, Dunhill, Ermenegildo Zegna, Ferrari, Giorgio Armani, Graff, Gucci, Hermes, Hugo Boss, Jaegar-LeCoultre, Loro Piana, Louis Vuitton, Miu Miu, Piaget, Prada, Roger Dubuis, Rolex, Tiffany, Vacheron Constantin, Van Cleef &amp; Arpels, Versace, Vertu, and others;</w:t>
      </w:r>
    </w:p>
    <w:p>
      <w:pPr>
        <w:spacing w:after="0" w:line="50"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31,000 square feet of space for lounges and meeting facilities;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two health clubs, spas, a salon and a pool;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rotunda show featuring a Chinese zodiac-inspired ceiling along with gold "prosperity tree" and "dragon of fortune" attractions.</w:t>
      </w:r>
    </w:p>
    <w:p>
      <w:pPr>
        <w:spacing w:after="0" w:line="279"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Macau Operations and our commitment to creating a unique customer experience, we have made and expect to continue to make enhancements and refinements to this resort.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on which an office building is located.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Las Vegas | Encore features the following as of July 15, 2016:</w:t>
      </w:r>
    </w:p>
    <w:p>
      <w:pPr>
        <w:spacing w:after="0" w:line="387"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194,000 square feet of casino space, offering 24-hour gaming and a full range of games with 233 table games and 1,893 slot machines, private gaming salons, a sky casino, a poker room, and a race and sports book;</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guest rooms, suites and villas;</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food and beverage outlets featuring signature chefs;</w:t>
      </w:r>
    </w:p>
    <w:p>
      <w:pPr>
        <w:spacing w:after="0" w:line="11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Moncler, Nicholas Kirkwood, Piaget, Prada, Rolex, Vertu and others;</w:t>
      </w:r>
    </w:p>
    <w:p>
      <w:pPr>
        <w:spacing w:after="0" w:line="6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specially designed theater presenting "Le Rêve-The Dream," a water-based theatrical production and a theater presenting "Steve Wynn's ShowStoppers," a Broadway-style entertainment production; and</w:t>
      </w:r>
    </w:p>
    <w:p>
      <w:pPr>
        <w:spacing w:after="0" w:line="53"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two full service spas and salons, and a wedding chapel.</w:t>
      </w:r>
    </w:p>
    <w:p>
      <w:pPr>
        <w:spacing w:after="0" w:line="21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In October 2015, we closed the Ferrari and Maserati automobile dealership inside Wynn Las Vegas. We are in the process of replacing the dealership and adjacent space with more than 75,000 square feet of additional high-end retail space.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27"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are currently constructing Wynn Palace, an integrated resort containing a 1,700-room hotel, a performance lake, and a wide range of amenities, including meeting, retail, food and beverage, and casino spaces, in the Cotai area of Macau. We have a $2.7 billion guaranteed maximum price ("GMP") contract for the project's construction costs. The total project budget, including construction costs, capitalized interest, pre-opening expenses, land costs and financing fees, is approximately $4.2 billion. As of June 30, 2016, we have invested approximately $3.9 billion in the project. Wynn Palace is scheduled to open on August 22, 2016.</w:t>
      </w:r>
    </w:p>
    <w:p>
      <w:pPr>
        <w:spacing w:after="0" w:line="18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The total project budget, including construction costs, capitalized interest, pre-opening expenses and land costs, is estimated to be between $1.9 billion and $2.1 billion. We remain engaged in site remediation, site preparation and pre-construction activities.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 are presented. Below are definitions of these key operating measures discussed:</w:t>
      </w:r>
    </w:p>
    <w:p>
      <w:pPr>
        <w:spacing w:after="0" w:line="207" w:lineRule="exact"/>
        <w:rPr>
          <w:sz w:val="20"/>
          <w:szCs w:val="20"/>
          <w:color w:val="auto"/>
        </w:rPr>
      </w:pPr>
    </w:p>
    <w:p>
      <w:pPr>
        <w:ind w:left="1300" w:right="18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Macau Operations is the amount of cash that is deposited in a gaming table's drop box plus cash chips purchased at the casino cage.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turnover for purposes of calculating incentives.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the retail value of promotional allowances (less service charges, if any), by total rooms occupied including complimentary rooms.</w:t>
      </w:r>
    </w:p>
    <w:p>
      <w:pPr>
        <w:ind w:left="1300" w:right="76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the retail value of promotional allowances (less service charges, if any), by total rooms available.</w:t>
      </w:r>
    </w:p>
    <w:p>
      <w:pPr>
        <w:spacing w:after="0" w:line="3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18" w:right="27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40" w:right="1400" w:firstLine="216"/>
        <w:spacing w:after="0" w:line="501" w:lineRule="auto"/>
        <w:tabs>
          <w:tab w:leader="none" w:pos="1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 Below is a discussion of the methodologies used to calculate win percentage at our resorts.</w:t>
      </w: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in this segment to be within the range of 2.7% to 3.0%. In our mass market casino in Macau, customers may purchase cash chips at either the gaming tables or at the casino cage.</w:t>
      </w:r>
    </w:p>
    <w:p>
      <w:pPr>
        <w:spacing w:after="0" w:line="18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measurements in our VIP casino and the mass market casino are not comparable as the mass market casino tracks the initial purchase of chips at the table while the measurement method in our VIP casino tracks the sum of all losing wagers. Accordingly, the base measurement in the VIP casino is much larger than the base measurement in the mass market casino. As a result, the expected win percentage with the same amount of gaming win is smaller in the VIP casino when compared to the mass market casino.</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second quarter 2016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6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284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476"/>
              <w:spacing w:after="0" w:line="127"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74"/>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020" w:type="dxa"/>
            <w:vAlign w:val="bottom"/>
            <w:gridSpan w:val="2"/>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1"/>
                <w:szCs w:val="11"/>
                <w:color w:val="auto"/>
              </w:rPr>
            </w:pPr>
          </w:p>
        </w:tc>
        <w:tc>
          <w:tcPr>
            <w:tcW w:w="1040" w:type="dxa"/>
            <w:vAlign w:val="bottom"/>
          </w:tcPr>
          <w:p>
            <w:pPr>
              <w:jc w:val="right"/>
              <w:ind w:right="456"/>
              <w:spacing w:after="0" w:line="127"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900" w:type="dxa"/>
            <w:vAlign w:val="bottom"/>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1,058,364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1,040,458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2,056,042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2,132,696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5"/>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70,391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56,460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145,612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11,859</w:t>
            </w:r>
          </w:p>
        </w:tc>
        <w:tc>
          <w:tcPr>
            <w:tcW w:w="12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Adjusted Property 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312,679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295,428</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612,948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618,447</w:t>
            </w:r>
          </w:p>
        </w:tc>
        <w:tc>
          <w:tcPr>
            <w:tcW w:w="12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2016, our net income attributable to Wynn Resorts, Limited was $70.4 million, an increase of 24.7% over the same period of 2015, resulting in diluted net income per share of $0.69. Adjusted Property EBITDA increased by 5.8% for the three months ended June 30, 2016 when compared to the same period of 2015, largely due to casino revenue performance from our Macau Operations. Our Macau Operations experienced year-over-year increases in mass market table games win percentage and VIP win as a percentage of turnover, partially offset by a decrease in slot machine win.</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2016, our net income attributable to Wynn Resorts, Limited was $145.6 million, resulting in diluted net income per share of $1.43. During the six months ended June 30, 2015, our net income attributable to Wynn Results, Limited of $11.9 million and $0.12 on a diluted per share basis was significantly impacted by $120.0 million in losses from extinguishment of debt. Adjusted Property EBITDA decreased by 0.9% for the six months ended June 30, 2016 when compared to the same period in 2015.</w:t>
      </w:r>
    </w:p>
    <w:p>
      <w:pPr>
        <w:spacing w:after="0" w:line="18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Our results for the six months ended June 30, 2016 reflect continued year-over-year decline in table games volume from our Macau Operations, with decreases in VIP turnover of 22.5% and mass market table drop of 3.7%, when compared to the same period in 2015. VIP turnover continues to be impacted from the current economic and political conditions in Macau and China as well as the effect of regional economic factors on gaming promoters and our premium customers.</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June 30, 2016 compared to the three months ended June 30, 2015.</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639,315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616,952</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419,049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423,506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1,058,364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1,040,458</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Net revenues increased 1.7%, or $17.9 million, for the three months ended June 30, 2016 when compared to the same period in 2015. The increase is primarily due to a $30.2 million increase in casino revenues from our Macau Operations, partially offset by a $10.0 million decrease in non-casino revenues from our Macau Operations and a $4.5 million decrease in net revenues from our Las Vegas Operations.</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742,659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714,208</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315,705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326,250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1,058,364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1,040,458</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Casino revenues were 70.2% of total net revenues for the three months ended June 30, 2016, compared to 68.6% for the same period of 2015, while non-casino revenues were 29.8% of total net revenues, compared to 31.4% for the same period of 2015.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Casino revenues increased 4.0%, or $28.5 million, for the three months ended June 30, 2016 when compared to the same period in 2015. The increase is primarily due to our Macau Operations, which experienced a year-over-year increase in casino revenues of 5.2% from $579.5 million to $609.8 million, primarily due to increased win percentages in both our mass market gaming operations and VIP gaming operations, partially offset by a decrease in slot machine win. Mass market table game win percentage increased from 17.5% for the three months ended June 30, 2015 to 20.0% for the same period of 2016 and VIP win as a percentage of turnover increased from 2.92% to 3.98%.</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1"/>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609,755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579,519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30,236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11,841,200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15,537,003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(3,695,803)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470,976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453,203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28,239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1,173,234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1,193,916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235,197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208,620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806,453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1,027,557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(221,104)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132,904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134,689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427,418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509,309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96,138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99,313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750,380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712,147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48,742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51,010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decreased 3.2%, or $10.5 million, to $315.7 million for the three months ended June 30, 2016, from $326.3 million for the same period of 2015, primarily due to decreases in food and beverage revenues and entertainment, retail and other revenues of 5.7% and 6.2%,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Room revenues increased 2.1% or $2.9 million, to $142.8 million for the three months ended June 30, 2016, from $139.9 million for the same period of</w:t>
      </w:r>
    </w:p>
    <w:p>
      <w:pPr>
        <w:spacing w:after="0" w:line="2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2015. Our Las Vegas Operations experienced an increase of $4.7 million driven by an ADR increase of 6.6%, partially offset by a 3.1 percentage point decrease in occupancy. In addition, our Macau Operations decreased $1.8 million mainly due to a 4.9 percentage point decrease in occupancy.</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Percent Change (a)</w:t>
            </w:r>
          </w:p>
        </w:tc>
      </w:tr>
      <w:tr>
        <w:trPr>
          <w:trHeight w:val="249"/>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29,278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31,078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113,569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108,834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93"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Food and beverage revenues decreased 5.7%, or $10.4 million, to $170.6 million for the three months ended June 30, 2016, from $181.0 million for the same period of 2015. We experienced decreases from our Las Vegas Operations and Macau Operations of $8.2 million and $2.2 million, respectively. Our Las Vegas Operations decreased primarily due to a decline in revenues from our nightclubs, while our Macau Operations was mainly from a decline in revenues at our restaurants.</w:t>
      </w:r>
    </w:p>
    <w:p>
      <w:pPr>
        <w:spacing w:after="0" w:line="180"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decreased 6.2%, or $5.4 million, to $82.0 million for the three months ended June 30, 2016, from $87.5 million for the same period of 2015. The decrease is primarily due to a decline in revenue from retail shops at our Macau Operations.</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Promotional allowances decreased 2.8%, or $2.3 million, to $79.8 million for the three months ended June 30, 2016, from $82.1 million for the same period of 2015. As a percentage of total casino revenues, promotional allowances were 10.7% for the three months ended June 30, 2016, compared to 11.5% for the same period of 2015.</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increased 4.5%, or $39.5 million, to $910.8 million for the three months ended June 30, 2016, from $871.3 million for the same period of 2015, largely due to an increase in pre-opening costs and property charges and other.</w:t>
      </w:r>
    </w:p>
    <w:p>
      <w:pPr>
        <w:spacing w:after="0" w:line="16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Casino expenses were relatively flat with $470.4 million for the three months ended June 30, 2016 when compared to $466.5 million in same period of 2015. The change was primarily due to higher gaming taxes from the 39.0% gross win tax incurred at our Macau Operations, partially offset by a decrease in payroll related expenses.</w:t>
      </w:r>
    </w:p>
    <w:p>
      <w:pPr>
        <w:spacing w:after="0" w:line="176"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Room expenses increased 1.2%, or $0.5 million, to $38.0 million for the three months ended June 30, 2016, from $37.6 million for the same period of 2015. The increase was commensurate with the 2.1% increase in room revenues for the three months ended June 30, 2016.</w:t>
      </w:r>
    </w:p>
    <w:p>
      <w:pPr>
        <w:spacing w:after="0" w:line="16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decreased 4.7%, or $5.2 million, to $105.7 million for the three months ended June 30, 2016, from $111.0 million for the same period of 2015. The decrease was commensurate with the 5.7% decrease in food and beverage revenues for the three months ended June 30, 2016.</w:t>
      </w:r>
    </w:p>
    <w:p>
      <w:pPr>
        <w:spacing w:after="0" w:line="16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Entertainment, retail, and other expenses decreased 3.4%, or $1.3 million, to $37.7 million for the three months ended June 30, 2016, from $39.0 million for the same period of 2015. The decrease was primarily attributable to the reduction in merchandise cost at our Macau Operations associated with the decline in retail shop revenues.</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5.1%, or $5.8 million, to $119.5 million for the three months ended June 30, 2016, from $113.7 million for the same period of 2015. The increase was due to $2.6 million and $1.8 million increases at our Las Vegas Operations and our Macau Operations, respectively, as well as a $1.4 million increase in corporate related expenses.</w:t>
      </w:r>
    </w:p>
    <w:p>
      <w:pPr>
        <w:spacing w:after="0" w:line="176"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decreased 42.4%, or $1.8 million, to $2.5 million for the three months ended June 30, 2016, from $4.3 million for the same period of 2015. The change in the provision was primarily due to the impact of historical collection patterns and current collection trends, as well as specific review of customer accounts, on our estimated allowance for the respective periods.</w:t>
      </w:r>
    </w:p>
    <w:p>
      <w:pPr>
        <w:spacing w:after="0" w:line="17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Pre-opening costs were $45.9 million for the three months ended June 30, 2016, compared to $16.9 million for the same period of 2015. During the three months ended June 30, 2016, we incurred pre-opening costs of $39.3 million related to Wynn Palace, $5.3 million related to Wynn Boston Harbor and $1.4 million at Wynn Las Vegas. During the three months ended June 30, 2015, we incurred pre-opening costs of $10.6 million and $5.8 million related to Wynn Palace and Wynn Boston Harbor, respectively.</w:t>
      </w:r>
    </w:p>
    <w:p>
      <w:pPr>
        <w:spacing w:after="0" w:line="180"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2.6%, or $2.2 million, to $79.7 million for the three months ended June 30, 2016, from $81.9 million for the same period of 2015. The decrease is primarily due to a change in estimated useful lives of buildings and improvements for Wynn Macau, which was effective September 1, 2015, to more accurately reflect the estimated periods during which these assets are expected to remain in service.</w:t>
      </w:r>
    </w:p>
    <w:p>
      <w:pPr>
        <w:spacing w:after="0" w:line="176"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Property charges and other were $11.3 million for the three months ended June 30, 2016, compared to $0.5 million for the same period of 2015. During the three months ended June 30, 2016, our Las Vegas Operations incurred $7.5 million in asset abandonment charges primarily associated with the current construction of more than 75,000 square feet of additional high-end retail space and $2.6 million of losses from the sale of assets.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amounts capitalized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6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cost, including amortization of deferred financing costs and original issue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and premium</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96,059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86,990</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(26,802)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(11,754)</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69,257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75,236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11"/>
        </w:trPr>
        <w:tc>
          <w:tcPr>
            <w:tcW w:w="6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9,549,534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8,051,863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Interest expense decreased 7.9%, or $6.0 million for the three months ended June 30, 2016 when compared to the same period of 2015, primarily due to an increase in capitalized interest of $15.0 million, partially offset by a $9.1 million increase in interest cost to $96.1 million. During the first quarter of 2016, we corrected immaterial amounts of additional interest that should have been capitalized instead of being expensed during the years ended December 31, 2015 and 2014. Had these amounts been corrected in the appropriate periods, the capitalized interest for the three months ended June 30, 2015, would have been $6.0 million higher. For further information, see Item 1—"Notes to Condensed Consolidated Financial Statements," Note 2 "Summary of Significant Accounting Policies." Our interest cost increased due to an increase in our weighted average total debt balance for the three months ended June 30, 2016, when compared to the same period of 2015, partially offset by a decrease in our weighted average interest rate.</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2016, we recognized a gain of $8.0 million from the change in fair value of the Redemption Note as a result of changes in certain variables to calculate the estimated fair value. No change was recognized in</w:t>
      </w: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same period of 2015. For further information on the fair value of the Redemption Note, see Item 1—"Notes to Condensed Consolidated Financial Statements," Note 2 "Summary of Significant Accounting Policies."</w:t>
      </w:r>
    </w:p>
    <w:p>
      <w:pPr>
        <w:spacing w:after="0" w:line="12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incurred a loss of $3.8 million on the extinguishment of debt for the three months ended June 30, 2015. In connection with the redemption of the remaining $71.1 million principal amount of the untendered 7 7/8% 2020 Notes, we recorded a loss for the premium portion of the consideration of $2.8 million and expensed $1.0 million of unamortized deferred financing costs and original discount. We incurred no loss on extinguishment of debt for the three months ended June 30, 2016.</w:t>
      </w:r>
    </w:p>
    <w:p>
      <w:pPr>
        <w:spacing w:after="0" w:line="140" w:lineRule="exact"/>
        <w:rPr>
          <w:sz w:val="20"/>
          <w:szCs w:val="20"/>
          <w:color w:val="auto"/>
        </w:rPr>
      </w:pPr>
    </w:p>
    <w:p>
      <w:pPr>
        <w:ind w:right="160" w:firstLine="432"/>
        <w:spacing w:after="0" w:line="313" w:lineRule="auto"/>
        <w:rPr>
          <w:sz w:val="20"/>
          <w:szCs w:val="20"/>
          <w:color w:val="auto"/>
        </w:rPr>
      </w:pPr>
      <w:r>
        <w:rPr>
          <w:rFonts w:ascii="Times New Roman" w:cs="Times New Roman" w:eastAsia="Times New Roman" w:hAnsi="Times New Roman"/>
          <w:sz w:val="17"/>
          <w:szCs w:val="17"/>
          <w:color w:val="auto"/>
        </w:rPr>
        <w:t>We incurred losses of $1.0 million and $1.1 million for the three months ended June 30, 2016 and 2015, respectively, from the change in the fair value of our interest rate swaps. For further information on our interest rate swaps, see Item 3 — "Quantitative and Qualitative Disclosures about Market Risk."</w:t>
      </w:r>
    </w:p>
    <w:p>
      <w:pPr>
        <w:spacing w:after="0" w:line="13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Interest income was $2.8 million for the three months ended June 30, 2016, compared to $1.5 million for the three months ended June 30, 2015. During 2016 and 2015,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2016 and 2015, we recorded a tax benefit of $2.9 million and a tax expense of $13.3 million, respectively. Our income tax benefit and expense for the three months ended June 30, 2016 and 2015 is primarily related to changes in the domestic valuation allowance for U.S. foreign tax credits ("FTCs").</w:t>
      </w:r>
    </w:p>
    <w:p>
      <w:pPr>
        <w:spacing w:after="0" w:line="122"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Since June 30, 2010, we have no longer considered our portion of the tax earnings and profits of WML to be permanently invested. We have not provided deferred U.S. income taxes or foreign withholding taxes on temporary differences as U.S. foreign tax credits should be sufficient to eliminate any U.S. federal income tax in the event of repatriation. We recognized minimal income tax benefits related to excess tax deductions associated with stock compensation costs for the three months ended June 30, 2016 and $0.1 million for the same period of 2015.</w:t>
      </w:r>
    </w:p>
    <w:p>
      <w:pPr>
        <w:spacing w:after="0" w:line="12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Wynn Resorts (Macau) S.A. ("Wynn Macau SA") has received a 5-year exemption from Macau's Complementary Tax on casino gaming profits through December 31, 2020. During the three months ended June 30, 2016 and 2015, we were exempt from the payment of $9.6 million and $10.1 million in such taxes respectively. Our non-gaming profits remain subject to the Macau Complementary Tax and casino winnings remain subject to the Macau Special Gaming tax and other levies together totaling 39% in accordance with our concession agreement.</w:t>
      </w:r>
    </w:p>
    <w:p>
      <w:pPr>
        <w:spacing w:after="0" w:line="18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2011, Wynn Macau SA entered into an agreement with the Macau Special Administrative Region that provides for an annual payment of 15.5 million Macau patacas (approximately $1.9 million) to the Macau Special Administrative Region as complementary tax due by shareholders on dividend distributions. This agreement on dividends was effective through December 31, 2015. In August 2016, Wynn Macau SA received an extension of the agreement for an additional five years applicable to tax years 2016 through 2020. The extension agreement provides for an annual payment of 12.8 million Macau patacas (approximately $1.6 million).</w:t>
      </w:r>
    </w:p>
    <w:p>
      <w:pPr>
        <w:spacing w:after="0" w:line="184"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We have participated in the Internal Revenue Service ("IRS") Compliance Assurance Program ("CAP") for the 2013 through 2015 tax years and will continue to participate in the IRS CAP for the 2016 tax year. In February 2016, the IRS completed an examination of the 2014 U.S. tax return and had no changes.</w:t>
      </w:r>
    </w:p>
    <w:p>
      <w:pPr>
        <w:spacing w:after="0" w:line="17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April 2016, the Financial Services Bureau commenced an examination of the 2011 and 2012 Macau income tax returns of Palo Real Estate Company Limited. In June 2016, the Financial Services Bureau concluded its examination with no changes.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p>
    <w:p>
      <w:pPr>
        <w:spacing w:after="0" w:line="227"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was $19.1 million for the three months ended June 30, 2016, compared to $20.7 million for the three months ended June 30, 2015. These amounts represent the noncontrolling interest's share of net income from WML.</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six months ended June 30, 2016 compared to the six months ended June 30, 2015.</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1,247,558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1,322,309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808,484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810,387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2,056,042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2,132,696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Net revenues decreased 3.6%, or $76.7 million for the six months ended June 30, 2016, when compared to the same period in 2015. The decline is primarily due to a $62.3 million decrease in casino revenues from our Macau Operations.</w:t>
      </w:r>
    </w:p>
    <w:p>
      <w:pPr>
        <w:spacing w:after="0" w:line="16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1,475,389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1,540,307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580,653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592,389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2,056,042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2,132,696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Casino revenues were 71.8% of total net revenues for the six months ended June 30, 2016, compared to 72.2% for the same period of 2015, while non-casino revenues were 28.2% of total net revenues, compared to 27.8% for the same period of 2015.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jc w:val="both"/>
        <w:ind w:right="220" w:firstLine="432"/>
        <w:spacing w:after="0" w:line="255" w:lineRule="auto"/>
        <w:rPr>
          <w:sz w:val="20"/>
          <w:szCs w:val="20"/>
          <w:color w:val="auto"/>
        </w:rPr>
      </w:pPr>
      <w:r>
        <w:rPr>
          <w:rFonts w:ascii="Times New Roman" w:cs="Times New Roman" w:eastAsia="Times New Roman" w:hAnsi="Times New Roman"/>
          <w:sz w:val="18"/>
          <w:szCs w:val="18"/>
          <w:color w:val="auto"/>
        </w:rPr>
        <w:t>Casino revenues decreased 4.2%, or $64.9 million, to $1.48 billion for the six months ended June 30, 2016, from $1.54 billion for the same period of 2015. The decline is primarily due to our Macau Operations, which experienced a year-over-year decrease in casino revenues of 5.0% from $1.24 billion to $1.18 billion. Our VIP gaming operations drove the Macau Operations casino revenues reduction, with $25.31 billion in VIP turnover for the six months ended June 30, 2016, compared to $32.66 billion for the same period of 2015, partially offset by an increase in VIP win as a percentage of turnover from</w:t>
      </w:r>
    </w:p>
    <w:p>
      <w:pPr>
        <w:spacing w:after="0" w:line="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2.86% for the six months ended June 30, 2015 to 3.36% for the same period of 2016. In addition, our slot machine performance contributed to the decline in casino revenues from our Macau Operations with a 15.3% decrease in slot machine win driven by an 8.0% decrease in slot machine handle.</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1"/>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1,181,525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1,243,839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25,311,139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32,664,669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(7,353,530)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849,628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933,568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2,383,334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2,474,260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482,697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488,180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1,902,790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2,067,172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83,771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98,916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293,864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296,468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902,580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1,082,921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221,184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234,992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1,467,840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1,474,331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98,327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99,427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360" w:firstLine="432"/>
        <w:spacing w:after="0" w:line="313" w:lineRule="auto"/>
        <w:rPr>
          <w:sz w:val="20"/>
          <w:szCs w:val="20"/>
          <w:color w:val="auto"/>
        </w:rPr>
      </w:pPr>
      <w:r>
        <w:rPr>
          <w:rFonts w:ascii="Times New Roman" w:cs="Times New Roman" w:eastAsia="Times New Roman" w:hAnsi="Times New Roman"/>
          <w:sz w:val="17"/>
          <w:szCs w:val="17"/>
          <w:color w:val="auto"/>
        </w:rPr>
        <w:t>Non-casino revenues decreased 2.0%, or $11.7 million, to $580.7 million for the six months ended June 30, 2016, from $592.4 million for the same period of 2015, primarily due to decreases in food and beverage revenues and entertainment, retail and other revenues of 5.0% and 7.8%, respectively.</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Room revenues increased 2.4%, or $6.5 million, to $278.4 million for the six months ended June 30, 2016, from $272.0 million for the same period of</w:t>
      </w:r>
    </w:p>
    <w:p>
      <w:pPr>
        <w:spacing w:after="0" w:line="27"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2015. Our Las Vegas Operations experienced an increase of $10.2 million driven by an ADR increase of 5.9%, partially offset by a 2.2 percentage point decrease in occupancy. In addition, our Macau Operations decreased $3.8 million mainly due to a 3.8 percentage point decrease in occupancy.</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3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Percent Change (a)</w:t>
            </w:r>
          </w:p>
        </w:tc>
      </w:tr>
      <w:tr>
        <w:trPr>
          <w:trHeight w:val="249"/>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59,731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63,493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218,708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208,474</w:t>
            </w:r>
          </w:p>
        </w:tc>
        <w:tc>
          <w:tcPr>
            <w:tcW w:w="1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93"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Food and beverage revenues decreased 5.0%, or $16.0 million, to $301.1 million for the six months ended June 30, 2016, from $317.0 million for the same period of 2015. We experienced decreases from our Las Vegas Operations and Macau Operations of $11.7 million and $4.3 million, respectively. Our Las Vegas Operations decreased primarily due to a decline in revenues at our nightclubs and the decrease from Macau Operations was mainly from a decline in revenues at our restaurants.</w:t>
      </w:r>
    </w:p>
    <w:p>
      <w:pPr>
        <w:spacing w:after="0" w:line="180"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decreased 7.8%, or $13.8 million, to $164.0 million for the six months ended June 30, 2016, from $177.8 million for the same period of 2015. The decrease is primarily due to a decline in revenue from retail shops at our Macau Operations.</w:t>
      </w:r>
    </w:p>
    <w:p>
      <w:pPr>
        <w:spacing w:after="0" w:line="16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Promotional allowances decreased 6.6%, or $11.6 million, to $162.9 million for the six months ended June 30, 2016, from $174.4 million for the same period of 2015. As a percentage of total casino revenues, promotional allowances were 11.0% for the six months ended June 30, 2016, compared to 11.3% for the same period of 2015.</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decreased 1.6%, or $28.3 million, to $1.75 billion for the six months ended June 30, 2016, from $1.78 billion for the same period of 2015, primarily due to a decrease in casino expenses partially offset by an increase in pre-opening costs.</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Casino expenses decreased 6.8%, or $67.7 million, to $922.9 million for the six months ended June 30, 2016, from $990.6 million for the same period of 2015, primarily due to lower gaming taxes from the 39.0% gross win tax incurred at our Macau Operations. The decline in gaming taxes was commensurate with the 5.0% decrease in casino revenues at our Macau Operations.</w:t>
      </w:r>
    </w:p>
    <w:p>
      <w:pPr>
        <w:spacing w:after="0" w:line="176"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Room expenses increased 2.0%, or $1.5 million, to $75.7 million for the six months ended June 30, 2016, from $74.3 million for the same period of 2015, primarily due to an increase in payroll related expenses from our Las Vegas Operations.</w:t>
      </w:r>
    </w:p>
    <w:p>
      <w:pPr>
        <w:spacing w:after="0" w:line="16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Food and beverage expenses decreased 1.2%, or $2.2 million, to $185.1 million for the six months ended June 30, 2016, from $187.4 million for the same period of 2015. The decrease is primarily due to lower costs in the current period for entertainment at our Las Vegas nightclubs and a reduction in costs associated with the decrease in food and beverage revenues.</w:t>
      </w:r>
    </w:p>
    <w:p>
      <w:pPr>
        <w:spacing w:after="0" w:line="176"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Entertainment, retail, and other expenses decreased 4.2%, or $3.3 million, to $76.0 million for the six months ended June 30, 2016, from $79.3 million for the same period of 2015. The decrease is primarily attributable to the reduction in merchandise cost at our Macau Operations associated with the decline in retail shop revenues.</w:t>
      </w: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relatively flat at $237.0 million for the six months ended June 30, 2016, compared to $235.9 million for the same period of 2015.</w:t>
      </w:r>
    </w:p>
    <w:p>
      <w:pPr>
        <w:spacing w:after="0" w:line="162"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decreased $7.2 million to $3.2 million for the six months ended June 30, 2016, compared to $10.4 million for the same period of 2015. The change in the provision was primarily due to the collection of an account in Macau that resulted in a $6.7 million reversal of the previously recorded allowance for doubtful accounts.</w:t>
      </w:r>
    </w:p>
    <w:p>
      <w:pPr>
        <w:spacing w:after="0" w:line="176"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Pre-opening costs were $79.7 million for the six months ended June 30, 2016, compared to $33.0 million for the same period of 2015. During the six months ended June 30, 2016, we incurred pre-opening costs of $65.6 million related to Wynn Palace, $12.0 million related to Wynn Boston Harbor and $2.1 million at Wynn Las Vegas. During the six months ended June 30, 2015, we incurred pre-opening costs of $20.5 million and $12.4 million related to Wynn Palace and Wynn Boston Harbor, respectively.</w:t>
      </w:r>
    </w:p>
    <w:p>
      <w:pPr>
        <w:spacing w:after="0" w:line="180"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4.3%, or $7.1 million, to $157.7 million for the six months ended June 30, 2016, from $164.8 million for the same period of 2015. The decrease is primarily due to a change in estimated useful lives of buildings and improvements for Wynn Macau, which was effective September 1, 2015, to more accurately reflect the estimated periods during which these assets are expected to remain in service.</w:t>
      </w:r>
    </w:p>
    <w:p>
      <w:pPr>
        <w:spacing w:after="0" w:line="176"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Property charges and other were $12.9 million for the six months ended June 30, 2016, compared to $3.0 million for the same period of 2015. During the six months ended June 30, 2016, our Las Vegas Operations incurred $7.5 million in asset abandonment charges primarily associated with the current construction of more than 75,000 square feet of additional high-end retail space and $2.6 million of losses from the sale of assets.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amounts capitalized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6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cost, including amortization of deferred financing costs and original issue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and premium</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189,231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175,831</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(75,202)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(22,612)</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114,029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153,219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311"/>
        </w:trPr>
        <w:tc>
          <w:tcPr>
            <w:tcW w:w="6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9,476,120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7,788,540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Interest expense decreased 25.6%, or $39.2 million for the six months ended June 30, 2016 when compared to the same period of 2015, primarily due to an increase in capitalized interest of $52.6 million. During the first quarter of 2016, we corrected immaterial amounts of additional interest of $25.6 million that should have been capitalized instead of being expensed during the years ended December 31, 2015 and 2014. Had these amounts been corrected in the appropriate periods, the capitalized interest for the six months ended June 30, 2015, would have been $11.1 million higher. For further information, see Item 1 —"Notes to Condensed Consolidated Financial Statements," Note 2 "Summary of Significant Accounting Policies." Interest cost increased $13.4 million for the six months ended June 30, 2016 when compared to the same period of 2015. The increase was due to an increase in our weighted average total debt balance, partially offset by a decrease in our weighted average interest rate.</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right="60" w:firstLine="405"/>
        <w:spacing w:after="0" w:line="289" w:lineRule="auto"/>
        <w:rPr>
          <w:sz w:val="20"/>
          <w:szCs w:val="20"/>
          <w:color w:val="auto"/>
        </w:rPr>
      </w:pPr>
      <w:r>
        <w:rPr>
          <w:rFonts w:ascii="Times New Roman" w:cs="Times New Roman" w:eastAsia="Times New Roman" w:hAnsi="Times New Roman"/>
          <w:sz w:val="17"/>
          <w:szCs w:val="17"/>
          <w:color w:val="auto"/>
        </w:rPr>
        <w:t>During the six months ended June 30, 2016, we recognized a gain of $3.0 million from the change in fair value of the Redemption Note as a result of changes in certain variables to calculate the estimated fair value. No change was recognized in the same period of 2015. For further information on the fair value of the Redemption Note, see Item 1—"Notes to Condensed Consolidated Financial Statements," Note 2 "Summary of Significant Accounting Policies."</w:t>
      </w: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incurred a loss of $120.0 million on the extinguishment of debt for the six months ended June 30, 2015, in connection with the cash tender offer of the 2020 Notes and redemption of the untendered 7 7/8% 2020 Notes. We expensed $98.9 million for the consideration to holders who tendered, $17.2 million of unamortized deferred financing costs and original issue discount, and $0.1 million in other fees incurred related to the cash tender offer. In connection with the redemption of the remaining $71.1 million principal amount of the untendered 7 7/8% 2020 Notes, we recorded a loss for the premium portion of the consideration of $2.8 million and expensed $1.0 million of unamortized deferred financing costs and original discount. We incurred no loss on extinguishment of debt for the six months ended June 30, 2016.</w:t>
      </w:r>
    </w:p>
    <w:p>
      <w:pPr>
        <w:spacing w:after="0" w:line="14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We incurred losses of $2.9 million and $5.7 million for the six months ended June 30, 2016 and 2015, respectively, from the change in the fair value of our interest rate swaps. For further information on our interest rate swaps, see Item 3 — "Quantitative and Qualitative Disclosures about Market Risk."</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Interest income was $6.3 million for the six months ended June 30, 2016, compared to $3.2 million for the same period of 2015. During 2016 and 2015,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2016 and 2015, we recorded a tax expense of $1.0 million and $16.5 million, respectively. Our income tax expense for the six months ended June 30, 2016 and 2015 is primarily related to an increase in the domestic valuation allowance for FTCs that are expected to provide a U.S. tax benefit in future years.</w:t>
      </w:r>
    </w:p>
    <w:p>
      <w:pPr>
        <w:spacing w:after="0" w:line="122"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Since June 30, 2010, we have no longer considered our portion of the tax earnings and profits of WML to be permanently invested. We have not provided deferred U.S. income taxes or foreign withholding taxes on temporary differences as U.S. foreign tax credits should be sufficient to eliminate any U.S. federal income tax in the event of repatriation. We recognized minimal income tax benefits related to excess tax deductions associated with stock compensation costs for the six months ended June 30, 2016 and $0.5 million for the same period of 2015.</w:t>
      </w:r>
    </w:p>
    <w:p>
      <w:pPr>
        <w:spacing w:after="0" w:line="12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Wynn Macau SA has received a 5-year exemption from Macau's Complementary Tax on casino gaming profits through December 31, 2020. During the six months ended June 30, 2016 and 2015, we were exempt from the payment of $20.9 million and $23.9 million in such taxes respectively. Our non-gaming profits remain subject to the Macau Complementary Tax and casino winnings remain subject to the Macau Special Gaming tax and other levies together totaling 39% in accordance with our concession agreement.</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p>
    <w:p>
      <w:pPr>
        <w:spacing w:after="0" w:line="227"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was $49.6 million for the six months ended June 30, 2016, compared to $51.4 million for the six months ended June 30, 2015. These amounts represent the noncontrolling interest's share of net income from WML.</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118" w:right="27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5"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 (in thousands) for our Macau and Las Vegas Operations as reviewed by management and summarized in Item 1—"Notes to Condensed Consolidated Financial Statements," Note 15 "Segment Information." That footnote also presents a reconciliation of Adjusted Property EBITDA to net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190,389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381,634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385,733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122,290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231,314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232,714</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312,679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295,428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612,948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618,447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Adjusted Property EBITDA at our Macau Operations increased 9.8% for the three months ended June 30, 2016 when compared to the same period of 2015, primarily due to casino revenue performance with year-over-year increases in VIP win as a percentage of turnover and mass market table games win percentage, partially offset by a decrease in slot machine win. Adjusted Property EBITDA at our Macau Operations decreased 1.1% for the six months ended June 30, 2016, compared to the same period in 2015, primarily due to the decline in casino revenues from VIP turnover.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Adjusted Property EBITDA at our Las Vegas Operations was relatively flat for the three and six months ended June 30, 2016.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discussion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provided by operations for the six months ended June 30, 2016 was $369.9 million, compared to $186.3 million for the same period in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the change in ordinary working capital accounts.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2016 was $605.8 million, compared to $964.5 million for the same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Capital expenditures, net of construction payables and retention, were $548.9 million and $967.8 million for the six months ended June 30, 2016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respectively, primarily associated with Wynn Palace construction.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2016 was $59.2 million, compared to $84.1 million for the same the period of 2015. During the six months ended June 30, 2016, our net cash provided by financing activities was mainly due to borrowings of $150.1 million under the Wynn Macau's $750 million equivalent senior secured revolving credit facility and $155.3 million under Wynn America's $875 million senior secured term loan facility, primarily offset by dividends paid of $212.8 million. Net cash provided by financing activities for the six months ended June 30, 2015 consisted primarily of $1.8 billion provided upon issuance of 5 1/2% Senior Notes due 2025, offset by the purchase of $1.49 billion of our 2020 Notes pursuant to a cash tender offer and subsequent redemption of the untendered 7 7/8% 2020 Notes, dividends paid of $396.9 million, and payments of $127.6 million in financing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As of June 30, 2016, we had $1.90 billion of cash and cash equivalents and $303.3 million of available-for-sale investments in corporate bonds, commercial paper and U.S. governmental agency bonds. Cash and cash equivalents include cash on hand, cash in bank and fixed deposits, investments in money market funds, domestic and foreign bank time deposits and commercial paper, all with original maturities of less than 90 days. Our cash is available for operations, debt service and retirement, development activities, general corporate purposes and enhancements to our resorts. Of these amounts, WML (of which we own 72%) and its subsidiaries held $385.6 million in cash. If our portion of this cash was repatriated to the U.S. on June 30, 2016, it would be subject to minimal U.S. taxes in the year of repatriation. Wynn Las Vegas, LLC held cash balances of $177.7 million. Wynn Resorts, Limited (including its subsidiaries other than Wynn Las Vegas, LLC and WML), which is not a guarantor of the debt of its subsidiaries, held $1.34 billion and $303.3 million of cash and available-for-sale investments, respectively.</w:t>
      </w:r>
    </w:p>
    <w:p>
      <w:pPr>
        <w:spacing w:after="0" w:line="185" w:lineRule="exact"/>
        <w:rPr>
          <w:sz w:val="20"/>
          <w:szCs w:val="20"/>
          <w:color w:val="auto"/>
        </w:rPr>
      </w:pPr>
    </w:p>
    <w:p>
      <w:pPr>
        <w:ind w:firstLine="432"/>
        <w:spacing w:after="0" w:line="281" w:lineRule="auto"/>
        <w:rPr>
          <w:sz w:val="20"/>
          <w:szCs w:val="20"/>
          <w:color w:val="auto"/>
        </w:rPr>
      </w:pPr>
      <w:r>
        <w:rPr>
          <w:rFonts w:ascii="Times New Roman" w:cs="Times New Roman" w:eastAsia="Times New Roman" w:hAnsi="Times New Roman"/>
          <w:sz w:val="17"/>
          <w:szCs w:val="17"/>
          <w:color w:val="auto"/>
        </w:rPr>
        <w:t>The Wynn Macau credit facilities consist of a $2.27 billion equivalent fully funded senior secured term loan facility and a $750 million equivalent senior secured revolving credit facility. Borrowings under the Wynn Macau credit facilities consist of both United States dollar and Hong Kong dollar tranches and were used to refinance Wynn Macau SA's existing indebtedness, and will be used to fund the construction and development of Wynn Palace and for general corporate purposes. As of June 30, 2016, we had $168.7 million of available borrowing capacity under the senior secured revolving credit facility.</w:t>
      </w:r>
    </w:p>
    <w:p>
      <w:pPr>
        <w:spacing w:after="0" w:line="16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Wynn America credit facilities consist of a $375 million senior secured revolving credit facility and an $875 million delay draw senior secured term loan facility (together, the "Wynn America Credit Facilities"). Borrowings under the Wynn America Credit Facilities will be used to fund the design, development, construction and pre-opening expenses of Wynn Boston Harbor and for general corporate purposes. On June 21, 2016, we amended the Wynn America Credit Facilities to extend the available borrowing period of the delay draw senior secured term loan facility for $649.7 million from June 30, 2016 to December 31, 2016. On July 1, 2016, we amended the Wynn America Credit Facilities to increase the original delay draw senior secured term loan facility by a principal amount of $125 million with the available borrowing period ending on December 31, 2016. As of July 1, 2016, as a result of the amendment to increase the principal amount of the delay draw senior secured term loan facility, the available borrowing capacity under the Wynn America Credit Facilities increased to $1.14 billion, net of $8.2 million in outstanding letters of credit.</w:t>
      </w:r>
    </w:p>
    <w:p>
      <w:pPr>
        <w:spacing w:after="0" w:line="185"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On July 18, 2016, we entered into a $198.5 million cash-collateralized revolving credit facility ("WML Finance Credit Facility") under which WML Finance I, Limited, an indirect subsidiary of WML, is the borrower. The WML Finance Credit Facility matures in July 2018 at which time any outstanding borrowings must be repaid.</w:t>
      </w:r>
    </w:p>
    <w:p>
      <w:pPr>
        <w:spacing w:after="0" w:line="176"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w:t>
      </w: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118" w:right="29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facilities and our existing cash balances. We intend to primarily fund our current development projects, Wynn Palace and Wynn Boston Harbor, with the available borrowing capacity under our bank credit facilities.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2016, we had outstanding letters of credit totaling $8.2 million.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during the six months ended June 30, 2016 to our contractual obligations or off balance sheet arrangements as disclosed in our Annual Report on Form 10-K for the year ended December 31, 2015.</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27" w:lineRule="exact"/>
        <w:rPr>
          <w:sz w:val="20"/>
          <w:szCs w:val="20"/>
          <w:color w:val="auto"/>
        </w:rPr>
      </w:pPr>
    </w:p>
    <w:p>
      <w:pPr>
        <w:jc w:val="both"/>
        <w:ind w:right="80" w:firstLine="432"/>
        <w:spacing w:after="0" w:line="289" w:lineRule="auto"/>
        <w:rPr>
          <w:sz w:val="20"/>
          <w:szCs w:val="20"/>
          <w:color w:val="auto"/>
        </w:rPr>
      </w:pPr>
      <w:r>
        <w:rPr>
          <w:rFonts w:ascii="Times New Roman" w:cs="Times New Roman" w:eastAsia="Times New Roman" w:hAnsi="Times New Roman"/>
          <w:sz w:val="17"/>
          <w:szCs w:val="17"/>
          <w:color w:val="auto"/>
        </w:rPr>
        <w:t>Wynn Resorts is a holding company and, as a result, our ability to pay dividends is highly dependent on our ability to obtain funds and our subsidiaries' ability to provide funds to us. Wynn Las Vegas, LLC,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5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88"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13 "Commitments and Contingencies."</w:t>
      </w:r>
    </w:p>
    <w:p>
      <w:pPr>
        <w:spacing w:after="0" w:line="17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7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a result of an increase in repurchase authority from the Board of Directors on April 14, 2016, we currently have authorization to repurchase up to $1 billion of the Company's outstanding shares.</w:t>
      </w:r>
    </w:p>
    <w:p>
      <w:pPr>
        <w:spacing w:after="0" w:line="180"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2015. There have been no significant changes to these policies for the six months ended June 30, 2016.</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related disclosure at Item 1—"Notes to Condensed Consolidated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2015 and other factors we describe from time to time in our periodic filings with the Securities and Exchange Commission ("SEC"), such as:</w:t>
      </w:r>
    </w:p>
    <w:p>
      <w:pPr>
        <w:spacing w:after="0" w:line="180" w:lineRule="exact"/>
        <w:rPr>
          <w:sz w:val="20"/>
          <w:szCs w:val="20"/>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1960" w:right="22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particularly in China, which may impact levels of travel, leisure and consumer spending;</w:t>
      </w:r>
    </w:p>
    <w:p>
      <w:pPr>
        <w:ind w:left="1960" w:right="400" w:hanging="655"/>
        <w:spacing w:after="0" w:line="265" w:lineRule="auto"/>
        <w:tabs>
          <w:tab w:leader="none" w:pos="19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960" w:right="2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(including limited labor resources in Macau and government labor and gaming policies, unexpected cost increases, environmental regulation and our ability to secure federal, state and local permits and approvals necessary for our construction projects);</w:t>
      </w:r>
    </w:p>
    <w:p>
      <w:pPr>
        <w:spacing w:after="0" w:line="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the promissory note we issued in connection with the redemption of Mr. Okada's shares;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 regulatory or enforcement actions or probity investigations;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1960" w:right="64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Macau gaming promoters;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960" w:right="54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(including the Chinese government's ongoing anti-corruption campaign) and the cost of compliance or failure to comply with applicable laws and regulations;</w:t>
      </w: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 w:lineRule="exact"/>
        <w:rPr>
          <w:rFonts w:ascii="Times New Roman" w:cs="Times New Roman" w:eastAsia="Times New Roman" w:hAnsi="Times New Roman"/>
          <w:sz w:val="18"/>
          <w:szCs w:val="18"/>
          <w:color w:val="auto"/>
        </w:rPr>
      </w:pPr>
    </w:p>
    <w:p>
      <w:pPr>
        <w:ind w:left="1960" w:right="10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ability to pay us dividends and distributions;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of gaming in certain jurisdictions; and</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w:t>
      </w:r>
    </w:p>
    <w:p>
      <w:pPr>
        <w:spacing w:after="0" w:line="22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227"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Swap Information</w:t>
      </w:r>
    </w:p>
    <w:p>
      <w:pPr>
        <w:spacing w:after="0" w:line="22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are, and will continue to be, recognized as a change in interest rate swap fair value in our Condensed Consolidated Statements of Income, as the swaps do not qualify for hedge accounting.</w:t>
      </w:r>
    </w:p>
    <w:p>
      <w:pPr>
        <w:spacing w:after="0" w:line="180"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Facility in exchange for receipts on the same amount at a variable interest rate based on the applicable HIBOR at the time of payment. These interest rate swaps fix the all-in interest rate on such amounts at 2.23% to 2.98%. These interest rate swap agreements mature in July 2017.</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Under the third swap agreement, we pay a fixed interest rate (excluding the applicable interest margin) of 0.68% on notional amounts corresponding to borrowings of $243.8 million incurred under the Wynn Macau Senior Term Loan Facility in exchange for receipts on the same amount at a variable-rate based on the applicable LIBOR at the time of payment. This interest rate swap fixes the all-in interest rate on such amounts at 2.18% to 2.93%. This interest rate swap agreement matures in July 2017.</w:t>
      </w:r>
    </w:p>
    <w:p>
      <w:pPr>
        <w:spacing w:after="0" w:line="180"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As of June 30, 2016, interest rate swaps of $2.2 million were included in other long-term liabilities in the accompanying Condensed Consolidated Balance Sheet. As of December 31, 2015, interest rate swaps of $0.7 million were included in other assets and $0.1 million were included in other long-term liabilities in the accompanying Condensed Consolidated Balance Sheet.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As of June 30, 2016, approximately 75% of our long-term debt was based on fixed rates, including the notional amounts related to interest rate swaps. Based on our borrowings as of June 30, 2016, an assumed 100 basis point change in the variable rates would cause our annual interest cost to change by $23.6 million.</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Risks</w:t>
      </w:r>
    </w:p>
    <w:p>
      <w:pPr>
        <w:spacing w:after="0" w:line="2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76"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Based on our balances at June 30, 2016, an assumed 1% change in the dollar/Hong Kong dollar exchange rate would cause a foreign currency transaction gain/loss of approximately $28.9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40" w:firstLine="440"/>
        <w:spacing w:after="0" w:line="253" w:lineRule="auto"/>
        <w:tabs>
          <w:tab w:leader="none" w:pos="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92" w:lineRule="exact"/>
        <w:rPr>
          <w:rFonts w:ascii="Times New Roman" w:cs="Times New Roman" w:eastAsia="Times New Roman" w:hAnsi="Times New Roman"/>
          <w:sz w:val="18"/>
          <w:szCs w:val="18"/>
          <w:color w:val="auto"/>
        </w:rPr>
      </w:pPr>
    </w:p>
    <w:p>
      <w:pPr>
        <w:jc w:val="both"/>
        <w:ind w:right="100" w:firstLine="440"/>
        <w:spacing w:after="0" w:line="267"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r>
        <w:rPr>
          <w:rFonts w:ascii="Times New Roman" w:cs="Times New Roman" w:eastAsia="Times New Roman" w:hAnsi="Times New Roman"/>
          <w:sz w:val="18"/>
          <w:szCs w:val="18"/>
          <w:color w:val="auto"/>
        </w:rPr>
        <w:t>. There were no changes in our internal control over financial reporting (as such term is defined in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13 "Commitments and Contingencies" of Part I in this Quarterly Report on Form 10-Q.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CCAC Information Request</w:t>
      </w:r>
    </w:p>
    <w:p>
      <w:pPr>
        <w:spacing w:after="0" w:line="227"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is cooperating with CCAC's request.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jc w:val="both"/>
        <w:ind w:right="14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of our Annual Report on Form 10-K for the year ended December 31, 2015. There were no material changes to those risk factors during the six months ended June 30, 2016.</w:t>
      </w:r>
    </w:p>
    <w:p>
      <w:pPr>
        <w:spacing w:after="0" w:line="2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second quarter of 2016, we had no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80"/>
          </w:cols>
          <w:pgMar w:left="240" w:top="118" w:right="37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ind w:left="1080" w:right="8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w:t>
        <w:tab/>
        <w:t>Third Amended and Restated Articles of Incorporation of the Registrant. (Incorporated by reference from the Quarterly Report on Form 10-Q filed by the Registrant on May 8, 2015.)</w:t>
      </w:r>
    </w:p>
    <w:p>
      <w:pPr>
        <w:spacing w:after="0" w:line="2" w:lineRule="exact"/>
        <w:rPr>
          <w:sz w:val="20"/>
          <w:szCs w:val="20"/>
          <w:color w:val="auto"/>
        </w:rPr>
      </w:pPr>
    </w:p>
    <w:p>
      <w:pPr>
        <w:ind w:left="1080" w:right="38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3.2</w:t>
        <w:tab/>
        <w:t>Eighth Amended and Restated Bylaws of the Registrant. (Incorporated by reference from the Quarterly Report on Form 10-Q filed by the Registrant on November 6, 2015.)</w:t>
      </w:r>
    </w:p>
    <w:p>
      <w:pPr>
        <w:spacing w:after="0" w:line="2" w:lineRule="exact"/>
        <w:rPr>
          <w:sz w:val="20"/>
          <w:szCs w:val="20"/>
          <w:color w:val="auto"/>
        </w:rPr>
      </w:pPr>
    </w:p>
    <w:p>
      <w:pPr>
        <w:ind w:left="1080" w:hanging="580"/>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Third Amendment to Credit Agreement, dated as of June 21, 2016,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14" w:lineRule="exact"/>
        <w:rPr>
          <w:sz w:val="20"/>
          <w:szCs w:val="20"/>
          <w:color w:val="auto"/>
        </w:rPr>
      </w:pPr>
    </w:p>
    <w:p>
      <w:pPr>
        <w:ind w:left="1080" w:hanging="580"/>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*10.2</w:t>
        <w:tab/>
        <w:t>Fourth Amendment to Credit Agreement, dated as of July 1, 2016,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14" w:lineRule="exact"/>
        <w:rPr>
          <w:sz w:val="20"/>
          <w:szCs w:val="20"/>
          <w:color w:val="auto"/>
        </w:rPr>
      </w:pPr>
    </w:p>
    <w:p>
      <w:pPr>
        <w:ind w:left="1080" w:right="362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*31.1</w:t>
        <w:tab/>
        <w:t>Certification of Chief Executive Officer of Periodic Report Pursuant to Rule 13a – 14(a) and Rule 15d – 14(a).</w:t>
      </w:r>
    </w:p>
    <w:p>
      <w:pPr>
        <w:spacing w:after="0" w:line="2" w:lineRule="exact"/>
        <w:rPr>
          <w:sz w:val="20"/>
          <w:szCs w:val="20"/>
          <w:color w:val="auto"/>
        </w:rPr>
      </w:pPr>
    </w:p>
    <w:p>
      <w:pPr>
        <w:ind w:left="1080" w:right="368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*31.2</w:t>
        <w:tab/>
        <w:t>Certification of Chief Financial Officer of Periodic Report Pursuant to Rule 13a – 14(a) and Rule 15d – 14(a).</w:t>
      </w:r>
    </w:p>
    <w:p>
      <w:pPr>
        <w:spacing w:after="0" w:line="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Certification of CEO and CFO Pursuant to 18 U.S.C. Section 1350.</w:t>
      </w:r>
    </w:p>
    <w:p>
      <w:pPr>
        <w:spacing w:after="0" w:line="63" w:lineRule="exact"/>
        <w:rPr>
          <w:sz w:val="20"/>
          <w:szCs w:val="20"/>
          <w:color w:val="auto"/>
        </w:rPr>
      </w:pPr>
    </w:p>
    <w:p>
      <w:pPr>
        <w:ind w:left="1080" w:right="80" w:hanging="539"/>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The following financial information from the Company's Quarterly Report on Form 10-Q for the quarter ended June 30, 2016, filed with the SEC on August 9, 2016 formatted in Extensible Business Reporting Language (XBRL): (i) the Condensed Consolidated Balance Sheets at June 30, 2016 and December 31, 2015, (ii) the Condensed Consolidated Statements of Income for the three and six months ended June 30, 2016 and 2015, (iii) the Condensed Consolidated Statements of Comprehensive Income for the three and six months ended June 30, 2016 and 2015, (iv) the Condensed Consolidated Statement of Stockholders' Equity at June 30, 2016, (v) the Condensed Consolidated Statements of Cash Flows for the six months ended June 30, 2016 and 2015, and (vi) Notes to Condensed Consolidated Financial Statements.</w:t>
      </w:r>
    </w:p>
    <w:p>
      <w:pPr>
        <w:spacing w:after="0" w:line="21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0"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60"/>
          </w:cols>
          <w:pgMar w:left="240" w:top="118" w:right="29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August 9,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80"/>
          </w:cols>
          <w:pgMar w:left="240" w:top="118" w:right="87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THIRD AMENDMENT TO CREDIT AGREEMENT</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Third Amendment to Credit Agreement, dated as of June 21, 2016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by and among Wynn America, LLC, a Nevada limited liability company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the Guarantors (as defined in the Amended Credit Agreement referred to below) party hereto, Deutsche Bank AG New York Branch, as administrative agent (in such capacity,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for (and on behalf of) the Lenders under the Existing Credit Agreement referred to below and, after giving effect hereto, the Amended Credit Agreement and as collateral agent (in such capacity,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for the Secured Parties (as defined under the Existing Credit Agreement and, after giving effect hereto, the Amended Credit Agreement), and the Consenting Lenders (as defined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reference is hereby made to the Credit Agreement, dated as of November 20, 2014 (as amended by the First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Credit Agreement, dated as of November 5, 2015, the Second Amendment to Credit Agreement, dated as of December 21, 2015 and as it may be further amended, restated, replaced, supplemented or otherwise modified and as in effect immediately prior to giving effect to the amendments contemplated by this Agreement,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the Existing Credit Agreement as modified by this Agreement, the “</w:t>
      </w:r>
      <w:r>
        <w:rPr>
          <w:rFonts w:ascii="Times New Roman" w:cs="Times New Roman" w:eastAsia="Times New Roman" w:hAnsi="Times New Roman"/>
          <w:sz w:val="20"/>
          <w:szCs w:val="20"/>
          <w:b w:val="1"/>
          <w:bCs w:val="1"/>
          <w:color w:val="auto"/>
        </w:rPr>
        <w:t>Amended Credit Agreement</w:t>
      </w:r>
      <w:r>
        <w:rPr>
          <w:rFonts w:ascii="Times New Roman" w:cs="Times New Roman" w:eastAsia="Times New Roman" w:hAnsi="Times New Roman"/>
          <w:sz w:val="20"/>
          <w:szCs w:val="20"/>
          <w:color w:val="auto"/>
        </w:rPr>
        <w:t>”; capitalized terms defined in the Amended Credit Agreement and not otherwise defined herein being used herein as therein defined), among Borrower, the Guarantors party thereto, the Lenders party thereto from time to time, the L/C Lenders party thereto from time to time, Administrative Agent, Collateral Agent and the other parties thereto;</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each Lender holding a Tranche C Term Facility Commitment that has executed this Agreement (collectively,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avoidance of doubt, each Lender holding a Tranche C Term Facility Commitment that has executed this Agreement after the date hereof in accordance with the terms of this Agreement, the “</w:t>
      </w:r>
      <w:r>
        <w:rPr>
          <w:rFonts w:ascii="Times New Roman" w:cs="Times New Roman" w:eastAsia="Times New Roman" w:hAnsi="Times New Roman"/>
          <w:sz w:val="20"/>
          <w:szCs w:val="20"/>
          <w:b w:val="1"/>
          <w:bCs w:val="1"/>
          <w:color w:val="auto"/>
        </w:rPr>
        <w:t>Consenting Lenders</w:t>
      </w:r>
      <w:r>
        <w:rPr>
          <w:rFonts w:ascii="Times New Roman" w:cs="Times New Roman" w:eastAsia="Times New Roman" w:hAnsi="Times New Roman"/>
          <w:sz w:val="20"/>
          <w:szCs w:val="20"/>
          <w:color w:val="auto"/>
        </w:rPr>
        <w:t>”) has agreed to extend the Term Facility Availability Period applicable to its Tranche C Term Facility Commitments as in effect immediately prior to the Agreement Effective Date (as defined below) on the terms and subject to the conditions set forth in this Agreement; and</w:t>
      </w:r>
    </w:p>
    <w:p>
      <w:pPr>
        <w:spacing w:after="0" w:line="39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the Guarantors, the Consenting Lenders, Administrative Agent and Collateral Agent will make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amendments to the Existing Credit Agreement and Exhibit B thereto, in each case, as set forth herein;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agreements, provisions and covenants herein contained and other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valuable consideration, the receipt and sufficiency of which are hereby acknowledged, the parties hereto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 TO EXISTING CREDIT DOCUMENTS</w:t>
      </w:r>
    </w:p>
    <w:p>
      <w:pPr>
        <w:spacing w:after="0" w:line="23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9"/>
          <w:szCs w:val="19"/>
          <w:u w:val="single" w:color="auto"/>
          <w:color w:val="auto"/>
        </w:rPr>
        <w:t>Consent of Consenting Lenders</w:t>
      </w:r>
      <w:r>
        <w:rPr>
          <w:rFonts w:ascii="Times New Roman" w:cs="Times New Roman" w:eastAsia="Times New Roman" w:hAnsi="Times New Roman"/>
          <w:sz w:val="19"/>
          <w:szCs w:val="19"/>
          <w:color w:val="auto"/>
        </w:rPr>
        <w:t>. Subject to the terms and conditions of this Agreement, each Consenting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Lender that executes and delivers a signature page to this Agreement irrevocably agrees to the amendments to, and waivers and consents under, the Existing Credit Agreement provided for herein with respect to all of such Lender’s Tranche C Term Facility Commitments as in effect immediately prior to the Agreement Effective Date (or, if expressly indicated on such signature page so delivered, such partial amount of such Lender’s Tranche C Term Facility Commitments so indicated), which shall from and after the Agreement Effective Date be designated as Tranche</w:t>
      </w:r>
    </w:p>
    <w:p>
      <w:pPr>
        <w:sectPr>
          <w:pgSz w:w="11900" w:h="16838" w:orient="portrait"/>
          <w:cols w:equalWidth="0" w:num="1">
            <w:col w:w="11420"/>
          </w:cols>
          <w:pgMar w:left="240" w:top="576" w:right="239" w:bottom="1440" w:gutter="0" w:footer="0" w:header="0"/>
        </w:sectPr>
      </w:pPr>
    </w:p>
    <w:bookmarkStart w:id="53" w:name="page54"/>
    <w:bookmarkEnd w:id="53"/>
    <w:p>
      <w:pPr>
        <w:spacing w:after="0" w:line="297" w:lineRule="auto"/>
        <w:rPr>
          <w:sz w:val="20"/>
          <w:szCs w:val="20"/>
          <w:color w:val="auto"/>
        </w:rPr>
      </w:pPr>
      <w:r>
        <w:rPr>
          <w:rFonts w:ascii="Times New Roman" w:cs="Times New Roman" w:eastAsia="Times New Roman" w:hAnsi="Times New Roman"/>
          <w:sz w:val="20"/>
          <w:szCs w:val="20"/>
          <w:color w:val="auto"/>
        </w:rPr>
        <w:t>D Term Facility Commitments under the Amended Credit Agreement. Such agreement shall be irrevocably binding on any subsequent assignees, transferees, participants, successors and assigns with respect to such Commitments.</w:t>
      </w:r>
    </w:p>
    <w:p>
      <w:pPr>
        <w:spacing w:after="0" w:line="17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Subject to the satisfaction of the conditions set forth in Article III of this Agreement,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 Agreement Effective Date the terms and provisions of the Existing Credit Agreement are hereby amended as follows:</w:t>
      </w:r>
    </w:p>
    <w:p>
      <w:pPr>
        <w:spacing w:after="0" w:line="2" w:lineRule="exact"/>
        <w:rPr>
          <w:sz w:val="20"/>
          <w:szCs w:val="20"/>
          <w:color w:val="auto"/>
        </w:rPr>
      </w:pPr>
    </w:p>
    <w:p>
      <w:pPr>
        <w:ind w:left="2160" w:hanging="855"/>
        <w:spacing w:after="0"/>
        <w:tabs>
          <w:tab w:leader="none" w:pos="21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following new definitions are hereby inserted into Section 1.01 of the Existing Credit Agreement in appropriate</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alphabetical order:</w:t>
      </w:r>
    </w:p>
    <w:p>
      <w:pPr>
        <w:spacing w:after="0" w:line="26" w:lineRule="exact"/>
        <w:rPr>
          <w:rFonts w:ascii="Times New Roman" w:cs="Times New Roman" w:eastAsia="Times New Roman" w:hAnsi="Times New Roman"/>
          <w:sz w:val="17"/>
          <w:szCs w:val="17"/>
          <w:color w:val="auto"/>
        </w:rPr>
      </w:pPr>
    </w:p>
    <w:p>
      <w:pPr>
        <w:ind w:left="130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w:t>
      </w:r>
      <w:r>
        <w:rPr>
          <w:rFonts w:ascii="Times New Roman" w:cs="Times New Roman" w:eastAsia="Times New Roman" w:hAnsi="Times New Roman"/>
          <w:sz w:val="20"/>
          <w:szCs w:val="20"/>
          <w:color w:val="auto"/>
        </w:rPr>
        <w:t>” shall mean that certain Third Amendment to Credit Agreement, dated as of June 21, 2016, by and among Borrower, the Guarantors party thereto, Administrative Agent, Collateral Agent and the other parties party thereto.</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 Effective Date</w:t>
      </w:r>
      <w:r>
        <w:rPr>
          <w:rFonts w:ascii="Times New Roman" w:cs="Times New Roman" w:eastAsia="Times New Roman" w:hAnsi="Times New Roman"/>
          <w:sz w:val="20"/>
          <w:szCs w:val="20"/>
          <w:color w:val="auto"/>
        </w:rPr>
        <w:t>” shall mean the “Agreement Effective Date” as defined in the Third Amendment.</w:t>
      </w:r>
    </w:p>
    <w:p>
      <w:pPr>
        <w:spacing w:after="0" w:line="216" w:lineRule="exact"/>
        <w:rPr>
          <w:sz w:val="20"/>
          <w:szCs w:val="20"/>
          <w:color w:val="auto"/>
        </w:rPr>
      </w:pPr>
    </w:p>
    <w:p>
      <w:pPr>
        <w:jc w:val="both"/>
        <w:ind w:left="130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D Term Facility Commitment”</w:t>
      </w:r>
      <w:r>
        <w:rPr>
          <w:rFonts w:ascii="Times New Roman" w:cs="Times New Roman" w:eastAsia="Times New Roman" w:hAnsi="Times New Roman"/>
          <w:sz w:val="20"/>
          <w:szCs w:val="20"/>
          <w:color w:val="auto"/>
        </w:rPr>
        <w:t xml:space="preserve"> shall mean, for each Tranche D Term Facility Lender, the obligation of such Lender to make Term Facility Loans pursuant to Section 2.01(b)(iv) hereof during the applicable Term Facility Availability Period in a principal amount not to exceed the amount of such Tranche D Term Facility Lender’s Tranche C Term Facility Commitments (as defined in the Existing Credit Agreement) immediately prior to the Third Amendment Effective Date (or, in a principal amount not to exceed the partial amount of such Tranche D Term Facility Lender’s Tranche C Term Facility Commitments (as defined in the Existing Credit Agreement) immediately prior to the Third Amendment Effective Date as expressly indicated on such Lender’s signature page delivered in connection with and in accordance with the terms of the Third Amendment (the aggregate amount of all such partially extended Tranche C Term Facility Commitments, the “</w:t>
      </w:r>
      <w:r>
        <w:rPr>
          <w:rFonts w:ascii="Times New Roman" w:cs="Times New Roman" w:eastAsia="Times New Roman" w:hAnsi="Times New Roman"/>
          <w:sz w:val="20"/>
          <w:szCs w:val="20"/>
          <w:b w:val="1"/>
          <w:bCs w:val="1"/>
          <w:color w:val="auto"/>
        </w:rPr>
        <w:t>Partial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Tranche D Term Facility Commitment Amount</w:t>
      </w:r>
      <w:r>
        <w:rPr>
          <w:rFonts w:ascii="Times New Roman" w:cs="Times New Roman" w:eastAsia="Times New Roman" w:hAnsi="Times New Roman"/>
          <w:sz w:val="20"/>
          <w:szCs w:val="20"/>
          <w:color w:val="auto"/>
        </w:rPr>
        <w:t>”)) or as set forth in the Assignment Agreement pursuant to which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 assumed its Tranche D Term Facility Commitment, as applicable, as the same may be (a) changed pursuant to Section 13.05(b) or (b) reduced or terminated from time to time pursuant to Section 2.04 or Section 11.01. The aggregate principal amount of the Tranche D Term Facility Commitments of all Tranche D Term Facility Lenders as of the Third Amendment Effective Date is $569,333,333.33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if provided after the Third Amendment Effective Date in accordance with the terms of the Third Amendment, any Partial Tranche D Term Facility Commitment Amount.</w:t>
      </w:r>
    </w:p>
    <w:p>
      <w:pPr>
        <w:spacing w:after="0" w:line="184"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D Term Facility Lenders</w:t>
      </w:r>
      <w:r>
        <w:rPr>
          <w:rFonts w:ascii="Times New Roman" w:cs="Times New Roman" w:eastAsia="Times New Roman" w:hAnsi="Times New Roman"/>
          <w:sz w:val="20"/>
          <w:szCs w:val="20"/>
          <w:color w:val="auto"/>
        </w:rPr>
        <w:t>” shall mean (a) as of the Third Amendment Effective Date, the Consenting Lenders (as defined in the Third Amendment) and (b) thereafter, the Lenders from time to time holding any unutilized Tranche D Term Facility Commitments after giving effect to any assignments thereof permitted by Section 13.05(b).</w:t>
      </w:r>
    </w:p>
    <w:p>
      <w:pPr>
        <w:spacing w:after="0" w:line="186" w:lineRule="exact"/>
        <w:rPr>
          <w:sz w:val="20"/>
          <w:szCs w:val="20"/>
          <w:color w:val="auto"/>
        </w:rPr>
      </w:pPr>
    </w:p>
    <w:p>
      <w:pPr>
        <w:jc w:val="both"/>
        <w:ind w:left="660" w:firstLine="645"/>
        <w:spacing w:after="0" w:line="282" w:lineRule="auto"/>
        <w:tabs>
          <w:tab w:leader="none" w:pos="21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of the definitions of “Existing Credit Agreement”, “Required Tranche Lenders”, “Term Facility Availability Period”, “Term Facility Commitment”, “Term Facility Lenders”, “Tranche”, “Tranche C Term Facility Commitment” and “Tranche C Term Facility Lenders” are hereby deleted from Section 1.01 of the Existing Credit Agreement and replaced by the following:</w:t>
      </w:r>
    </w:p>
    <w:p>
      <w:pPr>
        <w:spacing w:after="0" w:line="171"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shall, except as used in the definition of “Tranche C Term Facility Commitment,” “Tranche C Term Facility Lenders” and “Tranche D Term Facility Commitment,” have the meaning provided in the First Amendment. As used in the definitions of “Tranche C Term Facility Commitment,” “Tranche C Term Facility Lenders” and “Tranche D Term Facility Commitment,” “Existing Credit Agreement” shall have the meaning provided in the Third Amendment.</w:t>
      </w:r>
    </w:p>
    <w:p>
      <w:pPr>
        <w:spacing w:after="0" w:line="392" w:lineRule="exact"/>
        <w:rPr>
          <w:sz w:val="20"/>
          <w:szCs w:val="20"/>
          <w:color w:val="auto"/>
        </w:rPr>
      </w:pPr>
    </w:p>
    <w:p>
      <w:pPr>
        <w:jc w:val="both"/>
        <w:ind w:left="13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Tranche Lenders</w:t>
      </w:r>
      <w:r>
        <w:rPr>
          <w:rFonts w:ascii="Times New Roman" w:cs="Times New Roman" w:eastAsia="Times New Roman" w:hAnsi="Times New Roman"/>
          <w:sz w:val="20"/>
          <w:szCs w:val="20"/>
          <w:color w:val="auto"/>
        </w:rPr>
        <w:t>” shall mean: (a) with respect to Revolving Commitments or Revolving Loans of any particular Tranche, Non-Defaulting Lenders having more than 50%</w:t>
      </w:r>
    </w:p>
    <w:p>
      <w:pPr>
        <w:sectPr>
          <w:pgSz w:w="11900" w:h="16838" w:orient="portrait"/>
          <w:cols w:equalWidth="0" w:num="1">
            <w:col w:w="11420"/>
          </w:cols>
          <w:pgMar w:left="240" w:top="589" w:right="239" w:bottom="1440" w:gutter="0" w:footer="0" w:header="0"/>
        </w:sectPr>
      </w:pPr>
    </w:p>
    <w:bookmarkStart w:id="54" w:name="page55"/>
    <w:bookmarkEnd w:id="54"/>
    <w:p>
      <w:pPr>
        <w:jc w:val="both"/>
        <w:ind w:left="100"/>
        <w:spacing w:after="0" w:line="241" w:lineRule="auto"/>
        <w:rPr>
          <w:sz w:val="20"/>
          <w:szCs w:val="20"/>
          <w:color w:val="auto"/>
        </w:rPr>
      </w:pPr>
      <w:r>
        <w:rPr>
          <w:rFonts w:ascii="Times New Roman" w:cs="Times New Roman" w:eastAsia="Times New Roman" w:hAnsi="Times New Roman"/>
          <w:sz w:val="20"/>
          <w:szCs w:val="20"/>
          <w:color w:val="auto"/>
        </w:rPr>
        <w:t>of the aggregate sum of the Unutilized R/C Commitments, Revolving Loans and L/C Liabilities of all Non-Defaulting Lenders, in each case, in respect of such Tranche and then outstanding; (b) with respect to Term Facility Loans, Non-Defaulting Lenders having more than 50% of the aggregate sum of the Term Facility Loans and unutilized Term Facility Commitments of all Non-Defaulting Lenders then outstanding; (c) with respect to Tranche A Term Facility Commitments, Non-Defaulting Lenders having more than 50% of the aggregate sum of the unutilized Tranche A Term Facility Commitments of all Non-Defaulting Lenders then outstanding; (d) with respect to Tranche B Term Facility Commitments, Non-Defaulting Lenders having more than 50% of the aggregate sum of the unutilized Tranche B Term Facility Commitments of all Non-Defaulting Lenders then outstanding; (e) with respect to Tranche C Term Facility Commitments, Non-Defaulting Lenders having more than 50% of the aggregate sum of the unutilized Tranche C Term Facility Commitments of all Non-Defaulting Lenders then outstanding; (f) with respect to Tranche D Term Facility Commitments, Non-Defaulting Lenders having more than 50% of the aggregate sum of the unutilized Tranche D Term Facility Commitments of all Non-Defaulting Lenders then outstanding; (g) for each Extension Tranche, if applicable, with respect to Lenders having Extended Revolving Loans or 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and (h) for each Tranche of Other Term Loans, Non-Defaulting Lenders having more than 50% of the aggregate sum of such Other Term Loans and unutilized Other Term Loan Commitments of all Non-Defaulting Lenders then outstanding.</w:t>
      </w:r>
    </w:p>
    <w:p>
      <w:pPr>
        <w:spacing w:after="0" w:line="200" w:lineRule="exact"/>
        <w:rPr>
          <w:sz w:val="20"/>
          <w:szCs w:val="20"/>
          <w:color w:val="auto"/>
        </w:rPr>
      </w:pPr>
    </w:p>
    <w:p>
      <w:pPr>
        <w:spacing w:after="0" w:line="204" w:lineRule="exact"/>
        <w:rPr>
          <w:sz w:val="20"/>
          <w:szCs w:val="20"/>
          <w:color w:val="auto"/>
        </w:rPr>
      </w:pPr>
    </w:p>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Facility Availability Period</w:t>
      </w:r>
      <w:r>
        <w:rPr>
          <w:rFonts w:ascii="Times New Roman" w:cs="Times New Roman" w:eastAsia="Times New Roman" w:hAnsi="Times New Roman"/>
          <w:sz w:val="20"/>
          <w:szCs w:val="20"/>
          <w:color w:val="auto"/>
        </w:rPr>
        <w:t>” shall mean (a) with respect to the Tranche A Term Facility Commitments, the period from and including the Closing Date through but excluding the earlier of November 21, 2015 and the date of termination of the Tranche A Term Facility Commitments, (b) with respect to the Tranche B Term Facility Commitments, the period from and including the Closing Date through but excluding the earlier of March 30, 2016 and the date of termination of the Tranche B Term Facility Commitments, (c) with respect to the Tranche C Term Facility Commitments, the period from and including the Closing Date through but excluding the earlier of June 30, 2016 and the date of termination of the Tranche C Term Facility Commitments and (d) with respect to the Tranche D Term Facility Commitments, the period from and including the Closing Date through but excluding the earlier of December 31, 2016 and the date of termination of the Tranche D Term Facility Commitments.</w:t>
      </w:r>
    </w:p>
    <w:p>
      <w:pPr>
        <w:spacing w:after="0" w:line="200" w:lineRule="exact"/>
        <w:rPr>
          <w:sz w:val="20"/>
          <w:szCs w:val="20"/>
          <w:color w:val="auto"/>
        </w:rPr>
      </w:pPr>
    </w:p>
    <w:p>
      <w:pPr>
        <w:spacing w:after="0" w:line="203"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Facility Commitment</w:t>
      </w:r>
      <w:r>
        <w:rPr>
          <w:rFonts w:ascii="Times New Roman" w:cs="Times New Roman" w:eastAsia="Times New Roman" w:hAnsi="Times New Roman"/>
          <w:sz w:val="20"/>
          <w:szCs w:val="20"/>
          <w:color w:val="auto"/>
        </w:rPr>
        <w:t>” shall mean, for each Term Facility Lender, its Tranche A Term Facility Commitment, Tranche B Term Facility Commitment, Tranche C Term Facility Commitment and/or Tranche D Term Facility Commitment, as applicable. The aggregate principal amount of the Term Facility Commitments of all Term Facility Lenders on the Third Amendment Effective Date is $875.0 million.</w:t>
      </w:r>
    </w:p>
    <w:p>
      <w:pPr>
        <w:spacing w:after="0" w:line="392"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Facility Lenders</w:t>
      </w:r>
      <w:r>
        <w:rPr>
          <w:rFonts w:ascii="Times New Roman" w:cs="Times New Roman" w:eastAsia="Times New Roman" w:hAnsi="Times New Roman"/>
          <w:sz w:val="20"/>
          <w:szCs w:val="20"/>
          <w:color w:val="auto"/>
        </w:rPr>
        <w:t>” shall mean (a) in respect of any unutilized Term Facility Commitments, the Tranche A Term Facility Lenders, the Tranche B Term Facility Lenders, the Tranche C Term Facility Lenders and/or the Tranche D Term Facility Lenders, as applicable, and (b) in respect of any Term Facility Loans, the Lenders from time to time holding any Term Facility Loans after giving effect to any assignments thereof permitted by Section 13.05(b).</w:t>
      </w:r>
    </w:p>
    <w:p>
      <w:pPr>
        <w:spacing w:after="0" w:line="392"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w:t>
      </w:r>
      <w:r>
        <w:rPr>
          <w:rFonts w:ascii="Times New Roman" w:cs="Times New Roman" w:eastAsia="Times New Roman" w:hAnsi="Times New Roman"/>
          <w:sz w:val="20"/>
          <w:szCs w:val="20"/>
          <w:color w:val="auto"/>
        </w:rPr>
        <w:t>” shall mean (i) when used with respect to the Lenders, each of the following classes of Lenders: (a) Lenders having Revolving Loans incurred pursuant to the Closing Date Revolving Commitment or Closing Date Revolving Commitments, (b) Lenders having such</w:t>
      </w:r>
    </w:p>
    <w:p>
      <w:pPr>
        <w:sectPr>
          <w:pgSz w:w="11900" w:h="16838" w:orient="portrait"/>
          <w:cols w:equalWidth="0" w:num="1">
            <w:col w:w="10220"/>
          </w:cols>
          <w:pgMar w:left="1440" w:top="792" w:right="239" w:bottom="1440" w:gutter="0" w:footer="0" w:header="0"/>
        </w:sectPr>
      </w:pPr>
    </w:p>
    <w:bookmarkStart w:id="55" w:name="page56"/>
    <w:bookmarkEnd w:id="55"/>
    <w:p>
      <w:pPr>
        <w:jc w:val="both"/>
        <w:ind w:left="100"/>
        <w:spacing w:after="0" w:line="242" w:lineRule="auto"/>
        <w:rPr>
          <w:sz w:val="20"/>
          <w:szCs w:val="20"/>
          <w:color w:val="auto"/>
        </w:rPr>
      </w:pPr>
      <w:r>
        <w:rPr>
          <w:rFonts w:ascii="Times New Roman" w:cs="Times New Roman" w:eastAsia="Times New Roman" w:hAnsi="Times New Roman"/>
          <w:sz w:val="20"/>
          <w:szCs w:val="20"/>
          <w:color w:val="auto"/>
        </w:rPr>
        <w:t>other Tranche of Revolving Loans or Revolving Commitments created pursuant to an Extension Amendment, (c) Lenders having Term Facility Loans, (d) Lenders having Tranche A Term Facility Commitments, (e) Lenders having Tranche B Term Facility Commitments, (f) Lenders having Tranche C Term Facility Commitments, (g) Lenders having Tranche D Term Facility Commitments and (h) Lenders having such other Tranche of Term Loans or Term Loan Commitments created pursuant to an Extension Amendment or Refinancing Amendment, and (ii) when used with respect to Loans or Commitments, each of the following classes of Loans or Commitments: (a) Revolving Loans incurred pursuant to the Closing Date Revolving Commitment or Closing Date Revolving Commitments, (b) such other Tranche of Revolving Loans or Revolving Commitments created pursuant to an Extension Amendment, (c) Term Facility Loans, (d) Tranche A Term Facility Commitments, (e) Tranche B Term Facility Commitments, (f) Tranche C Term Facility Commitments, (g) Tranche D Term Facility Commitments and (h) such other Tranche of Term Loans or Term Loan Commitments created pursuant to an Extension Amendment or Refinancing Amendment.</w:t>
      </w:r>
    </w:p>
    <w:p>
      <w:pPr>
        <w:spacing w:after="0" w:line="187" w:lineRule="exact"/>
        <w:rPr>
          <w:sz w:val="20"/>
          <w:szCs w:val="20"/>
          <w:color w:val="auto"/>
        </w:rPr>
      </w:pPr>
    </w:p>
    <w:p>
      <w:pPr>
        <w:jc w:val="both"/>
        <w:ind w:left="10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C Term Facility Commitment”</w:t>
      </w:r>
      <w:r>
        <w:rPr>
          <w:rFonts w:ascii="Times New Roman" w:cs="Times New Roman" w:eastAsia="Times New Roman" w:hAnsi="Times New Roman"/>
          <w:sz w:val="20"/>
          <w:szCs w:val="20"/>
          <w:color w:val="auto"/>
        </w:rPr>
        <w:t xml:space="preserve"> shall mean, for each Tranche C Term Facility Lender, the obligation of such Lender to make Term Facility Loans pursuant to Section 2.01(b)(iii) hereof during the applicable Term Facility Availability Period in a principal amount not to exceed the amount of such Tranche C Term Facility Lender’s Tranche C Term Facility Commitments (as defined in the Existing Credit Agreement) immediately prior to the Third Amendment Effective Date (or, in a principal amount not to exceed the amount of such Tranche C Term Facility Lender’s Tranche C Term Facility Commitments (as defined in the Existing Credit Agreement) immediately prior to the Third Amendment Effective Date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such Lender’s Partial Tranche D Term Facility Commitment Amount) or as set forth in the Assignment Agreement pursuant to which such Lender assumed its Tranche C Term Facility Commitment, as applicable, as the same may be (a) changed pursuant to Section 13.05(b) or (b) reduced or terminated from time to time pursuant to Section 2.04 or Section 11.01. The aggregate principal amount of the Tranche C Term Facility Commitments of all Tranche C Term Facility Lenders as of the Third Amendment Effective Date is $135,333,333.33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if provided after the Third Amendment Effective Date in accordance with the terms of the Third Amendment, any Partial Tranche D Term Facility Commitment Amount.</w:t>
      </w:r>
    </w:p>
    <w:p>
      <w:pPr>
        <w:spacing w:after="0" w:line="200" w:lineRule="exact"/>
        <w:rPr>
          <w:sz w:val="20"/>
          <w:szCs w:val="20"/>
          <w:color w:val="auto"/>
        </w:rPr>
      </w:pPr>
    </w:p>
    <w:p>
      <w:pPr>
        <w:spacing w:after="0" w:line="204"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C Term Facility Lenders</w:t>
      </w:r>
      <w:r>
        <w:rPr>
          <w:rFonts w:ascii="Times New Roman" w:cs="Times New Roman" w:eastAsia="Times New Roman" w:hAnsi="Times New Roman"/>
          <w:sz w:val="20"/>
          <w:szCs w:val="20"/>
          <w:color w:val="auto"/>
        </w:rPr>
        <w:t>” shall mean (a) as of the Third Amendment Effective Date, the Tranche C Term Facility Lenders (as defined in the Existing Credit Agreement) that were not Consenting Lenders (as defined in the Third Amendment) and (b) thereafter, the Lenders from time to time holding any unutilized Tranche C Term Facility Commitments after giving effect to any assignments thereof permitted by Section 13.05(b).</w:t>
      </w:r>
    </w:p>
    <w:p>
      <w:pPr>
        <w:spacing w:after="0" w:line="194" w:lineRule="exact"/>
        <w:rPr>
          <w:sz w:val="20"/>
          <w:szCs w:val="20"/>
          <w:color w:val="auto"/>
        </w:rPr>
      </w:pPr>
    </w:p>
    <w:p>
      <w:pPr>
        <w:ind w:left="960" w:hanging="855"/>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1.03 of the Existing Credit Agreement is hereby deleted and replaced by the following:</w:t>
      </w:r>
    </w:p>
    <w:p>
      <w:pPr>
        <w:spacing w:after="0" w:line="225"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20"/>
          <w:szCs w:val="20"/>
          <w:b w:val="1"/>
          <w:bCs w:val="1"/>
          <w:color w:val="auto"/>
        </w:rPr>
        <w:t>SECTION 1.03. Classes and Types of Loans</w:t>
      </w:r>
      <w:r>
        <w:rPr>
          <w:rFonts w:ascii="Times New Roman" w:cs="Times New Roman" w:eastAsia="Times New Roman" w:hAnsi="Times New Roman"/>
          <w:sz w:val="20"/>
          <w:szCs w:val="20"/>
          <w:color w:val="auto"/>
        </w:rPr>
        <w:t>. Loans hereunder are distinguished by “Class” and by “Type.” The “Class”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(or of a Commitment to make a Loan) refers to whether such Loan is a Revolving Loan of any particular Tranche, a Term Facility Loan (or, in the case of a commitment to make a Term Facility Loan, a Tranche A Term Facility Commitment, a Tranche B Term Facility Commitment, a Tranche C Term Facility Commitment or a Tranche D Term Facility Commitment, as applicable), or a Term Loan of any particular Tranche of Term Loans created pursuant to an Extension Amendment or a Refinancing Amendment, each of which constitutes a Class. The “Type” of a Loan refers to whether such Loan is an ABR Loan or a LIBOR Loan, each of which constitutes a Type. Loans may be identified by both Class and Type.</w:t>
      </w:r>
    </w:p>
    <w:p>
      <w:pPr>
        <w:spacing w:after="0" w:line="197" w:lineRule="exact"/>
        <w:rPr>
          <w:sz w:val="20"/>
          <w:szCs w:val="20"/>
          <w:color w:val="auto"/>
        </w:rPr>
      </w:pPr>
    </w:p>
    <w:p>
      <w:pPr>
        <w:ind w:left="960" w:hanging="85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new Section 2.01(b)(iv) is added to the Existing Credit Agreement as follows:</w:t>
      </w:r>
    </w:p>
    <w:p>
      <w:pPr>
        <w:sectPr>
          <w:pgSz w:w="11900" w:h="16838" w:orient="portrait"/>
          <w:cols w:equalWidth="0" w:num="1">
            <w:col w:w="10220"/>
          </w:cols>
          <w:pgMar w:left="1440" w:top="792" w:right="239" w:bottom="1440" w:gutter="0" w:footer="0" w:header="0"/>
        </w:sectPr>
      </w:pPr>
    </w:p>
    <w:bookmarkStart w:id="56" w:name="page57"/>
    <w:bookmarkEnd w:id="56"/>
    <w:p>
      <w:pPr>
        <w:jc w:val="both"/>
        <w:ind w:left="1300" w:firstLine="5"/>
        <w:spacing w:after="0" w:line="249" w:lineRule="auto"/>
        <w:tabs>
          <w:tab w:leader="none" w:pos="179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with a Tranche D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D Term Facility Commitment of such Term Facility Lender as in effect from time to time.</w:t>
      </w:r>
    </w:p>
    <w:p>
      <w:pPr>
        <w:spacing w:after="0" w:line="194" w:lineRule="exact"/>
        <w:rPr>
          <w:sz w:val="20"/>
          <w:szCs w:val="20"/>
          <w:color w:val="auto"/>
        </w:rPr>
      </w:pPr>
    </w:p>
    <w:p>
      <w:pPr>
        <w:ind w:left="2160" w:hanging="855"/>
        <w:spacing w:after="0"/>
        <w:tabs>
          <w:tab w:leader="none" w:pos="2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2.04(a)(i) of the Existing Credit Agreement is hereby deleted and replaced by the following:</w:t>
      </w:r>
    </w:p>
    <w:p>
      <w:pPr>
        <w:spacing w:after="0" w:line="229" w:lineRule="exact"/>
        <w:rPr>
          <w:sz w:val="20"/>
          <w:szCs w:val="20"/>
          <w:color w:val="auto"/>
        </w:rPr>
      </w:pPr>
    </w:p>
    <w:p>
      <w:pPr>
        <w:jc w:val="both"/>
        <w:ind w:left="1300" w:firstLine="5"/>
        <w:spacing w:after="0" w:line="242" w:lineRule="auto"/>
        <w:tabs>
          <w:tab w:leader="none" w:pos="16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other mandatory commitment reductions pursuant to this Section 2.04, (A) the aggregate amount of the Tranche A Term Facility Commitments shall be automatically and permanently reduced by the amount of Term Facility Loans made in respect thereof from time to time, (B) the aggregate amount of the Tranche B Term Facility Commitments shall be automatically and permanently reduced by the amount of Term Facility Loans made in respect thereof from time to time, (C) the aggregate amount of the Tranche C Term Facility Commitments shall be automatically and permanently reduced by the amount of Term Facility Loans made in respect thereof from time to time and (D) the aggregate amount of the Tranche D Term Facility Commitments shall be automatically and permanently reduced by the amount of Term Facility Loans made in respect thereof from time to time. Notwithstanding any other provision of this Agreement, any outstanding Term Facility Commitments shall automatically terminate upon the earlier of (x) such Term Facility Commitments being fully funded pursuant to Section 2.01(b) and (y) at 5:00 p.m., New York City time, on the last Business Day of the applicable Term Facility Availability Period.</w:t>
      </w:r>
    </w:p>
    <w:p>
      <w:pPr>
        <w:spacing w:after="0" w:line="204" w:lineRule="exact"/>
        <w:rPr>
          <w:sz w:val="20"/>
          <w:szCs w:val="20"/>
          <w:color w:val="auto"/>
        </w:rPr>
      </w:pPr>
    </w:p>
    <w:p>
      <w:pPr>
        <w:ind w:left="2140" w:hanging="835"/>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2.04(b) of the Existing Credit Agreement is hereby deleted and replaced by the following:</w:t>
      </w:r>
    </w:p>
    <w:p>
      <w:pPr>
        <w:spacing w:after="0" w:line="229" w:lineRule="exact"/>
        <w:rPr>
          <w:sz w:val="20"/>
          <w:szCs w:val="20"/>
          <w:color w:val="auto"/>
        </w:rPr>
      </w:pPr>
    </w:p>
    <w:p>
      <w:pPr>
        <w:jc w:val="both"/>
        <w:ind w:left="1300" w:firstLine="5"/>
        <w:spacing w:after="0" w:line="255" w:lineRule="auto"/>
        <w:tabs>
          <w:tab w:leader="none" w:pos="171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shall have the right at any time or from time to time (without premium or penalty except breakage costs (if any) pursuant to Section 5.05)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among the Revolving Lenders), (iii) to reduce (w) the aggregate amount of the unutilized Tranche A Term Facility Commitments (which shall be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rata </w:t>
      </w:r>
      <w:r>
        <w:rPr>
          <w:rFonts w:ascii="Times New Roman" w:cs="Times New Roman" w:eastAsia="Times New Roman" w:hAnsi="Times New Roman"/>
          <w:sz w:val="19"/>
          <w:szCs w:val="19"/>
          <w:color w:val="auto"/>
        </w:rPr>
        <w:t>among the Tranche A Term Facility Lenders), (x) to reduce the aggregate amount of the unutilized Tranche B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Facility Commitments (which shall be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among the Tranche B Term Facility Lenders), (y) to reduce the aggregate amount of the unutilized Tranche C Term Facility Commitments (which shall be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among the Tranche C Term Facility Lenders), and (z) to reduce the aggregate amount of the unutilized Tranche D Term Facility Commitments (which shall be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rata </w:t>
      </w:r>
      <w:r>
        <w:rPr>
          <w:rFonts w:ascii="Times New Roman" w:cs="Times New Roman" w:eastAsia="Times New Roman" w:hAnsi="Times New Roman"/>
          <w:sz w:val="19"/>
          <w:szCs w:val="19"/>
          <w:color w:val="auto"/>
        </w:rPr>
        <w:t>among the Tranche D Term Facility Lenders), and (iv) so long as the remaining Total Revolving Commitments will equal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exceed the aggregate amount of outstanding Revolving Loans and L/C Liabilities, to reduce the aggregate amount of the Revolving Commitments (which shall be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among the Revolving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or unutilized Term Facility Commitments of the applicable Tranche, as applicable.</w:t>
      </w:r>
    </w:p>
    <w:p>
      <w:pPr>
        <w:spacing w:after="0" w:line="39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Subject to the satisfaction of the conditions set forth in Article III of this Agreement, as of the Agreement Effective Date, Exhibit B to the Existing Credit Agreement is hereby amended to add the following language immediately prior to clause (A)(iv):</w:t>
      </w:r>
    </w:p>
    <w:p>
      <w:pPr>
        <w:sectPr>
          <w:pgSz w:w="11900" w:h="16838" w:orient="portrait"/>
          <w:cols w:equalWidth="0" w:num="1">
            <w:col w:w="11420"/>
          </w:cols>
          <w:pgMar w:left="240" w:top="792" w:right="2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9"/>
          <w:szCs w:val="19"/>
          <w:color w:val="auto"/>
        </w:rPr>
        <w:t>[a $[__________] Term Facility Loan made from the Tranche D Term Facility Commitments, which shall initially be [an ABR</w:t>
      </w:r>
    </w:p>
    <w:p>
      <w:pPr>
        <w:spacing w:after="0" w:line="33" w:lineRule="exact"/>
        <w:rPr>
          <w:sz w:val="20"/>
          <w:szCs w:val="20"/>
          <w:color w:val="auto"/>
        </w:rPr>
      </w:pPr>
    </w:p>
    <w:p>
      <w:pPr>
        <w:ind w:left="1300" w:right="500"/>
        <w:spacing w:after="0" w:line="246" w:lineRule="auto"/>
        <w:rPr>
          <w:sz w:val="20"/>
          <w:szCs w:val="20"/>
          <w:color w:val="auto"/>
        </w:rPr>
      </w:pPr>
      <w:r>
        <w:rPr>
          <w:rFonts w:ascii="Times New Roman" w:cs="Times New Roman" w:eastAsia="Times New Roman" w:hAnsi="Times New Roman"/>
          <w:sz w:val="20"/>
          <w:szCs w:val="20"/>
          <w:color w:val="auto"/>
        </w:rPr>
        <w:t>Loan][a LIBOR Loan], [The amount of such Term Loans that are requested to be LIBOR Loans are requested to have the following Interest Period(s): [ ]]; 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 AND WARRANTIES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To induce the Lenders party hereto to agree to this Agreement, the Credit Parties represent to Administrative Agent and the Lenders that, as of the Agreement Effective Date:</w:t>
      </w:r>
    </w:p>
    <w:p>
      <w:pPr>
        <w:spacing w:after="0" w:line="17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9"/>
          <w:szCs w:val="19"/>
          <w:u w:val="single" w:color="auto"/>
          <w:color w:val="auto"/>
        </w:rPr>
        <w:t>Corporate Existence</w:t>
      </w:r>
      <w:r>
        <w:rPr>
          <w:rFonts w:ascii="Times New Roman" w:cs="Times New Roman" w:eastAsia="Times New Roman" w:hAnsi="Times New Roman"/>
          <w:sz w:val="19"/>
          <w:szCs w:val="19"/>
          <w:color w:val="auto"/>
        </w:rPr>
        <w:t>. Each Credit Party (a) is a corporation, partnership, limited liability company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85"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9"/>
          <w:szCs w:val="19"/>
          <w:u w:val="single" w:color="auto"/>
          <w:color w:val="auto"/>
        </w:rPr>
        <w:t>Action; Enforceability</w:t>
      </w:r>
      <w:r>
        <w:rPr>
          <w:rFonts w:ascii="Times New Roman" w:cs="Times New Roman" w:eastAsia="Times New Roman" w:hAnsi="Times New Roman"/>
          <w:sz w:val="19"/>
          <w:szCs w:val="19"/>
          <w:color w:val="auto"/>
        </w:rPr>
        <w:t>. Each Credit Party has all necessary corporate or other organizational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42" w:lineRule="exact"/>
        <w:rPr>
          <w:sz w:val="20"/>
          <w:szCs w:val="20"/>
          <w:color w:val="auto"/>
        </w:rPr>
      </w:pPr>
    </w:p>
    <w:p>
      <w:pPr>
        <w:ind w:left="660"/>
        <w:spacing w:after="0"/>
        <w:tabs>
          <w:tab w:leader="none" w:pos="28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9"/>
          <w:szCs w:val="19"/>
          <w:u w:val="single" w:color="auto"/>
          <w:color w:val="auto"/>
        </w:rPr>
        <w:t>No Breach; No Default</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jc w:val="both"/>
        <w:ind w:firstLine="656"/>
        <w:spacing w:after="0" w:line="267" w:lineRule="auto"/>
        <w:tabs>
          <w:tab w:leader="none" w:pos="14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 and</w:t>
      </w:r>
    </w:p>
    <w:p>
      <w:pPr>
        <w:spacing w:after="0" w:line="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Default or Event of Default has occurred and is continuing.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THE AGREEMENT EFFECTIVE DATE</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This Agreement and the Amended Credit Agreement shall become effective on the date (the “</w:t>
      </w:r>
      <w:r>
        <w:rPr>
          <w:rFonts w:ascii="Times New Roman" w:cs="Times New Roman" w:eastAsia="Times New Roman" w:hAnsi="Times New Roman"/>
          <w:sz w:val="20"/>
          <w:szCs w:val="20"/>
          <w:b w:val="1"/>
          <w:bCs w:val="1"/>
          <w:color w:val="auto"/>
        </w:rPr>
        <w:t>Agreement Effective Date</w:t>
      </w:r>
      <w:r>
        <w:rPr>
          <w:rFonts w:ascii="Times New Roman" w:cs="Times New Roman" w:eastAsia="Times New Roman" w:hAnsi="Times New Roman"/>
          <w:sz w:val="20"/>
          <w:szCs w:val="20"/>
          <w:color w:val="auto"/>
        </w:rPr>
        <w:t>”) on which each of the following conditions is satisfied or waived:</w:t>
      </w:r>
    </w:p>
    <w:p>
      <w:pPr>
        <w:spacing w:after="0" w:line="170" w:lineRule="exact"/>
        <w:rPr>
          <w:sz w:val="20"/>
          <w:szCs w:val="20"/>
          <w:color w:val="auto"/>
        </w:rPr>
      </w:pPr>
    </w:p>
    <w:p>
      <w:pPr>
        <w:ind w:right="20" w:firstLine="648"/>
        <w:spacing w:after="0" w:line="32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9"/>
          <w:szCs w:val="19"/>
          <w:u w:val="single" w:color="auto"/>
          <w:color w:val="auto"/>
        </w:rPr>
        <w:t>Execution of Counterparts</w:t>
      </w:r>
      <w:r>
        <w:rPr>
          <w:rFonts w:ascii="Times New Roman" w:cs="Times New Roman" w:eastAsia="Times New Roman" w:hAnsi="Times New Roman"/>
          <w:sz w:val="19"/>
          <w:szCs w:val="19"/>
          <w:color w:val="auto"/>
        </w:rPr>
        <w:t>. Administrative Agent shall have received executed counterparts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Agreement from each Credit Party, Administrative Agent, Collateral Agent and Consenting Lender.</w:t>
      </w:r>
    </w:p>
    <w:p>
      <w:pPr>
        <w:sectPr>
          <w:pgSz w:w="11900" w:h="16838" w:orient="portrait"/>
          <w:cols w:equalWidth="0" w:num="1">
            <w:col w:w="11420"/>
          </w:cols>
          <w:pgMar w:left="240" w:top="576" w:right="239" w:bottom="1440" w:gutter="0" w:footer="0" w:header="0"/>
        </w:sectPr>
      </w:pPr>
    </w:p>
    <w:bookmarkStart w:id="58" w:name="page59"/>
    <w:bookmarkEnd w:id="58"/>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To the extent invoiced on or prior to the Agreement Effective Date, all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w:t>
      </w:r>
    </w:p>
    <w:p>
      <w:pPr>
        <w:spacing w:after="0" w:line="200" w:lineRule="exact"/>
        <w:rPr>
          <w:sz w:val="20"/>
          <w:szCs w:val="20"/>
          <w:color w:val="auto"/>
        </w:rPr>
      </w:pPr>
    </w:p>
    <w:p>
      <w:pPr>
        <w:spacing w:after="0" w:line="229" w:lineRule="exact"/>
        <w:rPr>
          <w:sz w:val="20"/>
          <w:szCs w:val="20"/>
          <w:color w:val="auto"/>
        </w:rPr>
      </w:pPr>
    </w:p>
    <w:p>
      <w:pPr>
        <w:ind w:left="66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20"/>
          <w:szCs w:val="20"/>
          <w:u w:val="single" w:color="auto"/>
          <w:color w:val="auto"/>
        </w:rPr>
        <w:t>No Default or Event of Default; Representations and Warranties True</w:t>
      </w:r>
      <w:r>
        <w:rPr>
          <w:rFonts w:ascii="Times New Roman" w:cs="Times New Roman" w:eastAsia="Times New Roman" w:hAnsi="Times New Roman"/>
          <w:sz w:val="20"/>
          <w:szCs w:val="20"/>
          <w:color w:val="auto"/>
        </w:rPr>
        <w:t>. Both immediately prior to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immediately after giving effect to this Agreement:</w:t>
      </w:r>
    </w:p>
    <w:p>
      <w:pPr>
        <w:spacing w:after="0" w:line="254" w:lineRule="exact"/>
        <w:rPr>
          <w:sz w:val="20"/>
          <w:szCs w:val="20"/>
          <w:color w:val="auto"/>
        </w:rPr>
      </w:pPr>
    </w:p>
    <w:p>
      <w:pPr>
        <w:ind w:left="1560" w:hanging="904"/>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Default or Event of Default shall have occurred and be continuing; and</w:t>
      </w:r>
    </w:p>
    <w:p>
      <w:pPr>
        <w:spacing w:after="0" w:line="256" w:lineRule="exact"/>
        <w:rPr>
          <w:rFonts w:ascii="Times New Roman" w:cs="Times New Roman" w:eastAsia="Times New Roman" w:hAnsi="Times New Roman"/>
          <w:sz w:val="18"/>
          <w:szCs w:val="18"/>
          <w:color w:val="auto"/>
        </w:rPr>
      </w:pPr>
    </w:p>
    <w:p>
      <w:pPr>
        <w:jc w:val="both"/>
        <w:ind w:firstLine="656"/>
        <w:spacing w:after="0" w:line="275" w:lineRule="auto"/>
        <w:tabs>
          <w:tab w:leader="none" w:pos="15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each of the representations and warranties made by the Credit Parties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hereof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195"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9"/>
          <w:szCs w:val="19"/>
          <w:u w:val="single" w:color="auto"/>
          <w:color w:val="auto"/>
        </w:rPr>
        <w:t>Payment of Fees to Consenting Lenders</w:t>
      </w:r>
      <w:r>
        <w:rPr>
          <w:rFonts w:ascii="Times New Roman" w:cs="Times New Roman" w:eastAsia="Times New Roman" w:hAnsi="Times New Roman"/>
          <w:sz w:val="19"/>
          <w:szCs w:val="19"/>
          <w:color w:val="auto"/>
        </w:rPr>
        <w:t>. Borrower shall have paid to Administrative Agent, for the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of each Consenting Lender that has executed this Agreement prior to 5:00 p.m., New York time on June 17, 2016, a consent fee equal to 0.250% of the amount of such Lender’s Tranche C Term Facility Commitments as in effect immediately prior to the Agreement Effective Date (or, to the extent so reflected on the signature page to this Agreement delivered to Administrative Agent, such lesser amount of such Lender’s Tranche C Term Facility Commitments as reflected thereon).</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Notwithstanding anything contained in this Agreement to the contrary, from and after the Agreement Effective Date but prior to the expiration of the Term Facility Availability Period with respect to the Tranche C Term Facility Commitments, any Lender then holding a Tranche C Term Facility Commitment may execute and deliver a counterpart of this Agreement to Administrative Agent (it being understood and agreed, for the avoidance of doubt and without extending the foregoing additional period during which such Lender may so execute and deliver such counterpart, that the foregoing shall also occur during the Term Facility Availability Period with respect to the Tranche D Term Facility Commitments). Upon such delivery and after receipt of payment of fees in accordance with Section 4 above (assuming for purposes of such fee payment that such Lender delivered its counterpart to this Agreement prior to the time and date set forth in Section 4 above), such Lender shall be deemed a Consenting Lender for purposes of this Agreement with respect to such Lender’s Tranche C Term Facility Commitments as in effect at such time (or, to the extent so reflected on the signature page to this Agreement delivered to Administrative Agent, such lesser amount of such Lender’s Tranche C Term Facility Commitments as reflected thereon).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VALIDITY OF OBLIGATIONS AND LIENS</w:t>
      </w:r>
    </w:p>
    <w:p>
      <w:pPr>
        <w:spacing w:after="0" w:line="23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9"/>
          <w:szCs w:val="19"/>
          <w:u w:val="single" w:color="auto"/>
          <w:color w:val="auto"/>
        </w:rPr>
        <w:t>Validity of Obligations</w:t>
      </w:r>
      <w:r>
        <w:rPr>
          <w:rFonts w:ascii="Times New Roman" w:cs="Times New Roman" w:eastAsia="Times New Roman" w:hAnsi="Times New Roman"/>
          <w:sz w:val="19"/>
          <w:szCs w:val="19"/>
          <w:color w:val="auto"/>
        </w:rPr>
        <w:t>. Each Credit Party hereby ratifies and reaffirms the validity, enforceability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binding nature of the Obligations both before and after giving effect to this Agreement and the Amended Credit Agreement (except as the enforceability thereof may be limited by bankruptcy, insolvency or similar laws affecting creditors’ rights generally and subject to general principles of equity).</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9"/>
          <w:szCs w:val="19"/>
          <w:u w:val="single" w:color="auto"/>
          <w:color w:val="auto"/>
        </w:rPr>
        <w:t>Validity of Liens and Credit Documents</w:t>
      </w:r>
      <w:r>
        <w:rPr>
          <w:rFonts w:ascii="Times New Roman" w:cs="Times New Roman" w:eastAsia="Times New Roman" w:hAnsi="Times New Roman"/>
          <w:sz w:val="19"/>
          <w:szCs w:val="19"/>
          <w:color w:val="auto"/>
        </w:rPr>
        <w:t>. Each Credit Party hereby ratifies and reaffirms the validity,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w:t>
      </w:r>
    </w:p>
    <w:p>
      <w:pPr>
        <w:sectPr>
          <w:pgSz w:w="11900" w:h="16838" w:orient="portrait"/>
          <w:cols w:equalWidth="0" w:num="1">
            <w:col w:w="11420"/>
          </w:cols>
          <w:pgMar w:left="240" w:top="589" w:right="239" w:bottom="1440" w:gutter="0" w:footer="0" w:header="0"/>
        </w:sectPr>
      </w:pPr>
    </w:p>
    <w:bookmarkStart w:id="59" w:name="page60"/>
    <w:bookmarkEnd w:id="59"/>
    <w:p>
      <w:pPr>
        <w:jc w:val="both"/>
        <w:spacing w:after="0" w:line="272" w:lineRule="auto"/>
        <w:rPr>
          <w:sz w:val="20"/>
          <w:szCs w:val="20"/>
          <w:color w:val="auto"/>
        </w:rPr>
      </w:pPr>
      <w:r>
        <w:rPr>
          <w:rFonts w:ascii="Times New Roman" w:cs="Times New Roman" w:eastAsia="Times New Roman" w:hAnsi="Times New Roman"/>
          <w:sz w:val="20"/>
          <w:szCs w:val="20"/>
          <w:color w:val="auto"/>
        </w:rPr>
        <w:t>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0" w:type="dxa"/>
            <w:vAlign w:val="bottom"/>
            <w:gridSpan w:val="2"/>
          </w:tcPr>
          <w:p>
            <w:pPr>
              <w:jc w:val="center"/>
              <w:ind w:right="3400"/>
              <w:spacing w:after="0"/>
              <w:rPr>
                <w:sz w:val="20"/>
                <w:szCs w:val="20"/>
                <w:color w:val="auto"/>
              </w:rPr>
            </w:pPr>
            <w:r>
              <w:rPr>
                <w:rFonts w:ascii="Times New Roman" w:cs="Times New Roman" w:eastAsia="Times New Roman" w:hAnsi="Times New Roman"/>
                <w:sz w:val="20"/>
                <w:szCs w:val="20"/>
                <w:b w:val="1"/>
                <w:bCs w:val="1"/>
                <w:color w:val="auto"/>
                <w:w w:val="97"/>
              </w:rPr>
              <w:t>ARTICLE V</w:t>
            </w:r>
          </w:p>
        </w:tc>
      </w:tr>
      <w:tr>
        <w:trPr>
          <w:trHeight w:val="446"/>
        </w:trPr>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gridSpan w:val="2"/>
          </w:tcPr>
          <w:p>
            <w:pPr>
              <w:jc w:val="center"/>
              <w:ind w:right="3420"/>
              <w:spacing w:after="0"/>
              <w:rPr>
                <w:sz w:val="20"/>
                <w:szCs w:val="20"/>
                <w:color w:val="auto"/>
              </w:rPr>
            </w:pPr>
            <w:r>
              <w:rPr>
                <w:rFonts w:ascii="Times New Roman" w:cs="Times New Roman" w:eastAsia="Times New Roman" w:hAnsi="Times New Roman"/>
                <w:sz w:val="20"/>
                <w:szCs w:val="20"/>
                <w:b w:val="1"/>
                <w:bCs w:val="1"/>
                <w:color w:val="auto"/>
                <w:w w:val="99"/>
              </w:rPr>
              <w:t>MISCELLANEOUS</w:t>
            </w:r>
          </w:p>
        </w:tc>
      </w:tr>
      <w:tr>
        <w:trPr>
          <w:trHeight w:val="413"/>
        </w:trPr>
        <w:tc>
          <w:tcPr>
            <w:tcW w:w="2900" w:type="dxa"/>
            <w:vAlign w:val="bottom"/>
          </w:tcPr>
          <w:p>
            <w:pPr>
              <w:jc w:val="center"/>
              <w:ind w:right="547"/>
              <w:spacing w:after="0"/>
              <w:rPr>
                <w:sz w:val="20"/>
                <w:szCs w:val="20"/>
                <w:color w:val="auto"/>
              </w:rPr>
            </w:pPr>
            <w:r>
              <w:rPr>
                <w:rFonts w:ascii="Times New Roman" w:cs="Times New Roman" w:eastAsia="Times New Roman" w:hAnsi="Times New Roman"/>
                <w:sz w:val="18"/>
                <w:szCs w:val="18"/>
                <w:color w:val="auto"/>
                <w:w w:val="99"/>
              </w:rPr>
              <w:t>SECTION 1.</w:t>
            </w:r>
          </w:p>
        </w:tc>
        <w:tc>
          <w:tcPr>
            <w:tcW w:w="8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Notice. For purposes of this Agreement, the notice address of each party hereto shall be as set forth in the</w:t>
            </w:r>
          </w:p>
        </w:tc>
      </w:tr>
      <w:tr>
        <w:trPr>
          <w:trHeight w:val="283"/>
        </w:trPr>
        <w:tc>
          <w:tcPr>
            <w:tcW w:w="2900" w:type="dxa"/>
            <w:vAlign w:val="bottom"/>
          </w:tcPr>
          <w:p>
            <w:pPr>
              <w:jc w:val="center"/>
              <w:ind w:right="607"/>
              <w:spacing w:after="0"/>
              <w:rPr>
                <w:sz w:val="20"/>
                <w:szCs w:val="20"/>
                <w:color w:val="auto"/>
              </w:rPr>
            </w:pPr>
            <w:r>
              <w:rPr>
                <w:rFonts w:ascii="Times New Roman" w:cs="Times New Roman" w:eastAsia="Times New Roman" w:hAnsi="Times New Roman"/>
                <w:sz w:val="20"/>
                <w:szCs w:val="20"/>
                <w:color w:val="auto"/>
                <w:w w:val="99"/>
              </w:rPr>
              <w:t>Existing Credit Agreement.</w:t>
            </w:r>
          </w:p>
        </w:tc>
        <w:tc>
          <w:tcPr>
            <w:tcW w:w="52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40"/>
        </w:trPr>
        <w:tc>
          <w:tcPr>
            <w:tcW w:w="2900" w:type="dxa"/>
            <w:vAlign w:val="bottom"/>
          </w:tcPr>
          <w:p>
            <w:pPr>
              <w:jc w:val="center"/>
              <w:ind w:right="547"/>
              <w:spacing w:after="0"/>
              <w:rPr>
                <w:sz w:val="20"/>
                <w:szCs w:val="20"/>
                <w:color w:val="auto"/>
              </w:rPr>
            </w:pPr>
            <w:r>
              <w:rPr>
                <w:rFonts w:ascii="Times New Roman" w:cs="Times New Roman" w:eastAsia="Times New Roman" w:hAnsi="Times New Roman"/>
                <w:sz w:val="18"/>
                <w:szCs w:val="18"/>
                <w:color w:val="auto"/>
                <w:w w:val="99"/>
              </w:rPr>
              <w:t>SECTION 2.</w:t>
            </w:r>
          </w:p>
        </w:tc>
        <w:tc>
          <w:tcPr>
            <w:tcW w:w="8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Amendment, Modification and Waiver. This Agreement may not be amended, modified or waived except</w:t>
            </w:r>
          </w:p>
        </w:tc>
      </w:tr>
      <w:tr>
        <w:trPr>
          <w:trHeight w:val="20"/>
        </w:trPr>
        <w:tc>
          <w:tcPr>
            <w:tcW w:w="2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pacing w:after="0" w:line="189"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the Amended Credit Agreement and the other Credit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7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ANY CLAIMS, CONTROVERSIES, DISPUTES,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EACH PARTY HERETO AGREES THAT SECTION 13.09(b)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EXISTING CREDIT AGREEMENT (OR, AFTER GIVING EFFECT TO THE AMENDMENTS CONTEMPLATED HEREBY, THE AMENDED CREDIT AGREEMENT) SHALL APPLY TO THIS AGREEMENT MUTATIS MUTANDIS.</w:t>
      </w:r>
    </w:p>
    <w:p>
      <w:pPr>
        <w:spacing w:after="0" w:line="17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Wherever possible, each provision of this Agreement shall be interpreted in such manner as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78"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different parties hereto on different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w:t>
            </w:r>
          </w:p>
        </w:tc>
        <w:tc>
          <w:tcPr>
            <w:tcW w:w="91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Credit Document. This Agreement shall constitute a “Credit Document” as defined in the Existing Credit</w:t>
            </w:r>
          </w:p>
        </w:tc>
      </w:t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Agreement.</w:t>
            </w:r>
          </w:p>
        </w:tc>
        <w:tc>
          <w:tcPr>
            <w:tcW w:w="6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120" w:type="dxa"/>
            <w:vAlign w:val="bottom"/>
          </w:tcPr>
          <w:p>
            <w:pPr>
              <w:spacing w:after="0"/>
              <w:rPr>
                <w:sz w:val="24"/>
                <w:szCs w:val="24"/>
                <w:color w:val="auto"/>
              </w:rPr>
            </w:pPr>
          </w:p>
        </w:tc>
      </w:tr>
    </w:tbl>
    <w:p>
      <w:pPr>
        <w:sectPr>
          <w:pgSz w:w="11900" w:h="16838" w:orient="portrait"/>
          <w:cols w:equalWidth="0" w:num="1">
            <w:col w:w="11420"/>
          </w:cols>
          <w:pgMar w:left="240" w:top="589" w:right="239" w:bottom="1440" w:gutter="0" w:footer="0" w:header="0"/>
        </w:sectPr>
      </w:pPr>
    </w:p>
    <w:bookmarkStart w:id="60" w:name="page61"/>
    <w:bookmarkEnd w:id="60"/>
    <w:p>
      <w:pPr>
        <w:jc w:val="both"/>
        <w:ind w:firstLine="648"/>
        <w:spacing w:after="0" w:line="290"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9"/>
          <w:szCs w:val="19"/>
          <w:u w:val="single" w:color="auto"/>
          <w:color w:val="auto"/>
        </w:rPr>
        <w:t>No Novation</w:t>
      </w:r>
      <w:r>
        <w:rPr>
          <w:rFonts w:ascii="Times New Roman" w:cs="Times New Roman" w:eastAsia="Times New Roman" w:hAnsi="Times New Roman"/>
          <w:sz w:val="19"/>
          <w:szCs w:val="19"/>
          <w:color w:val="auto"/>
        </w:rPr>
        <w:t>. This Agreement shall not extinguish the obligations for the payment of money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185"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The execution, delivery and effectiveness of this Amendment shall not, except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expressly provided herein, operate as a waiver of any right, power or remedy of any Lender or the Agent under any of the Credit Documents, nor, except as expressly provided herein, constitute a waiver or amendment of any provision of any of the Credit Documents.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1420"/>
          </w:cols>
          <w:pgMar w:left="240" w:top="589" w:right="239" w:bottom="1440" w:gutter="0" w:footer="0" w:header="0"/>
        </w:sectPr>
      </w:pPr>
    </w:p>
    <w:bookmarkStart w:id="61" w:name="page62"/>
    <w:bookmarkEnd w:id="61"/>
    <w:p>
      <w:pPr>
        <w:spacing w:after="0" w:line="10"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each of the undersigned has caused its duly authorized officer to execute and deliver this Agreement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first written above.</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WYNN AMERICA, LLC,</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200" w:lineRule="exact"/>
        <w:rPr>
          <w:sz w:val="20"/>
          <w:szCs w:val="20"/>
          <w:color w:val="auto"/>
        </w:rPr>
      </w:pPr>
    </w:p>
    <w:p>
      <w:pPr>
        <w:spacing w:after="0" w:line="232"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32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Nevada corporation,</w:t>
      </w:r>
    </w:p>
    <w:p>
      <w:pPr>
        <w:ind w:left="39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Stephen Cootey</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Stephen Cootey</w:t>
      </w:r>
    </w:p>
    <w:p>
      <w:pPr>
        <w:ind w:left="4540"/>
        <w:spacing w:after="0"/>
        <w:rPr>
          <w:sz w:val="20"/>
          <w:szCs w:val="20"/>
          <w:color w:val="auto"/>
        </w:rPr>
      </w:pPr>
      <w:r>
        <w:rPr>
          <w:rFonts w:ascii="Times New Roman" w:cs="Times New Roman" w:eastAsia="Times New Roman" w:hAnsi="Times New Roman"/>
          <w:sz w:val="20"/>
          <w:szCs w:val="20"/>
          <w:color w:val="auto"/>
        </w:rPr>
        <w:t>Title: CFO,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11420"/>
          </w:cols>
          <w:pgMar w:left="240" w:top="1440" w:right="239" w:bottom="1440" w:gutter="0" w:footer="0" w:header="0"/>
        </w:sectPr>
      </w:pPr>
    </w:p>
    <w:bookmarkStart w:id="62" w:name="page63"/>
    <w:bookmarkEnd w:id="62"/>
    <w:p>
      <w:pPr>
        <w:ind w:left="2700"/>
        <w:spacing w:after="0"/>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WYNN LAS VEGAS HOLDINGS, LLC,</w:t>
      </w:r>
    </w:p>
    <w:p>
      <w:pPr>
        <w:spacing w:after="0" w:line="2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194" w:lineRule="exact"/>
        <w:rPr>
          <w:sz w:val="20"/>
          <w:szCs w:val="20"/>
          <w:color w:val="auto"/>
        </w:rPr>
      </w:pPr>
    </w:p>
    <w:p>
      <w:pPr>
        <w:ind w:left="2040"/>
        <w:spacing w:after="0"/>
        <w:tabs>
          <w:tab w:leader="none" w:pos="2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America, LLC,</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0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194" w:lineRule="exact"/>
        <w:rPr>
          <w:sz w:val="20"/>
          <w:szCs w:val="20"/>
          <w:color w:val="auto"/>
        </w:rPr>
      </w:pPr>
    </w:p>
    <w:p>
      <w:pPr>
        <w:ind w:left="2700"/>
        <w:spacing w:after="0"/>
        <w:tabs>
          <w:tab w:leader="none" w:pos="3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7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19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a Nevada corporation,</w:t>
      </w:r>
    </w:p>
    <w:p>
      <w:pPr>
        <w:ind w:left="33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By: /</w:t>
      </w:r>
      <w:r>
        <w:rPr>
          <w:rFonts w:ascii="Times New Roman" w:cs="Times New Roman" w:eastAsia="Times New Roman" w:hAnsi="Times New Roman"/>
          <w:sz w:val="20"/>
          <w:szCs w:val="20"/>
          <w:u w:val="single" w:color="auto"/>
          <w:color w:val="auto"/>
        </w:rPr>
        <w:t>s/ Stephen Cootey</w:t>
      </w:r>
    </w:p>
    <w:p>
      <w:pPr>
        <w:spacing w:after="0" w:line="2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Stephen Cootey</w:t>
      </w:r>
    </w:p>
    <w:p>
      <w:pPr>
        <w:jc w:val="right"/>
        <w:ind w:right="2579"/>
        <w:spacing w:after="0"/>
        <w:rPr>
          <w:sz w:val="20"/>
          <w:szCs w:val="20"/>
          <w:color w:val="auto"/>
        </w:rPr>
      </w:pPr>
      <w:r>
        <w:rPr>
          <w:rFonts w:ascii="Times New Roman" w:cs="Times New Roman" w:eastAsia="Times New Roman" w:hAnsi="Times New Roman"/>
          <w:sz w:val="20"/>
          <w:szCs w:val="20"/>
          <w:color w:val="auto"/>
        </w:rPr>
        <w:t>Title: CFO, SVP and Treasurer</w:t>
      </w:r>
    </w:p>
    <w:p>
      <w:pPr>
        <w:spacing w:after="0" w:line="200" w:lineRule="exact"/>
        <w:rPr>
          <w:sz w:val="20"/>
          <w:szCs w:val="20"/>
          <w:color w:val="auto"/>
        </w:rPr>
      </w:pPr>
    </w:p>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WYNN MA, LLC,</w:t>
      </w:r>
    </w:p>
    <w:p>
      <w:pPr>
        <w:spacing w:after="0" w:line="2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194" w:lineRule="exact"/>
        <w:rPr>
          <w:sz w:val="20"/>
          <w:szCs w:val="20"/>
          <w:color w:val="auto"/>
        </w:rPr>
      </w:pPr>
    </w:p>
    <w:p>
      <w:pPr>
        <w:ind w:left="2040"/>
        <w:spacing w:after="0"/>
        <w:tabs>
          <w:tab w:leader="none" w:pos="2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America, LLC,</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0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194" w:lineRule="exact"/>
        <w:rPr>
          <w:sz w:val="20"/>
          <w:szCs w:val="20"/>
          <w:color w:val="auto"/>
        </w:rPr>
      </w:pPr>
    </w:p>
    <w:p>
      <w:pPr>
        <w:ind w:left="2700"/>
        <w:spacing w:after="0"/>
        <w:tabs>
          <w:tab w:leader="none" w:pos="3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7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19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a Nevada corporation,</w:t>
      </w:r>
    </w:p>
    <w:p>
      <w:pPr>
        <w:ind w:left="33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Stephen Cootey</w:t>
      </w:r>
    </w:p>
    <w:p>
      <w:pPr>
        <w:spacing w:after="0" w:line="2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Stephen Cootey</w:t>
      </w:r>
    </w:p>
    <w:p>
      <w:pPr>
        <w:jc w:val="right"/>
        <w:ind w:right="2579"/>
        <w:spacing w:after="0"/>
        <w:rPr>
          <w:sz w:val="20"/>
          <w:szCs w:val="20"/>
          <w:color w:val="auto"/>
        </w:rPr>
      </w:pPr>
      <w:r>
        <w:rPr>
          <w:rFonts w:ascii="Times New Roman" w:cs="Times New Roman" w:eastAsia="Times New Roman" w:hAnsi="Times New Roman"/>
          <w:sz w:val="20"/>
          <w:szCs w:val="20"/>
          <w:color w:val="auto"/>
        </w:rPr>
        <w:t>Title: CFO,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9019"/>
          </w:cols>
          <w:pgMar w:left="1440" w:top="576" w:right="1440" w:bottom="1440" w:gutter="0" w:footer="0" w:header="0"/>
        </w:sectPr>
      </w:pPr>
    </w:p>
    <w:bookmarkStart w:id="63" w:name="page64"/>
    <w:bookmarkEnd w:id="63"/>
    <w:p>
      <w:pPr>
        <w:ind w:left="2380"/>
        <w:spacing w:after="0"/>
        <w:rPr>
          <w:sz w:val="20"/>
          <w:szCs w:val="20"/>
          <w:color w:val="auto"/>
        </w:rPr>
      </w:pPr>
      <w:r>
        <w:rPr>
          <w:rFonts w:ascii="Times New Roman" w:cs="Times New Roman" w:eastAsia="Times New Roman" w:hAnsi="Times New Roman"/>
          <w:sz w:val="20"/>
          <w:szCs w:val="20"/>
          <w:b w:val="1"/>
          <w:bCs w:val="1"/>
          <w:color w:val="auto"/>
        </w:rPr>
        <w:t>EVERETT PROPERTY, LLC,</w:t>
      </w:r>
    </w:p>
    <w:p>
      <w:pPr>
        <w:spacing w:after="0" w:line="2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a Massachusetts limited liability company</w:t>
      </w:r>
    </w:p>
    <w:p>
      <w:pPr>
        <w:spacing w:after="0" w:line="19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By: Wynn America, LLC,</w:t>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33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194" w:lineRule="exact"/>
        <w:rPr>
          <w:sz w:val="20"/>
          <w:szCs w:val="20"/>
          <w:color w:val="auto"/>
        </w:rPr>
      </w:pPr>
    </w:p>
    <w:p>
      <w:pPr>
        <w:ind w:left="3340"/>
        <w:spacing w:after="0"/>
        <w:tabs>
          <w:tab w:leader="none" w:pos="3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a Nevada limited liability company,</w:t>
      </w:r>
    </w:p>
    <w:p>
      <w:pPr>
        <w:spacing w:after="0" w:line="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a Nevada corporation,</w:t>
      </w:r>
    </w:p>
    <w:p>
      <w:pPr>
        <w:ind w:left="33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Stephen Cootey</w:t>
      </w:r>
    </w:p>
    <w:p>
      <w:pPr>
        <w:spacing w:after="0" w:line="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Stephen Cootey</w:t>
      </w:r>
    </w:p>
    <w:p>
      <w:pPr>
        <w:ind w:left="3740"/>
        <w:spacing w:after="0"/>
        <w:rPr>
          <w:sz w:val="20"/>
          <w:szCs w:val="20"/>
          <w:color w:val="auto"/>
        </w:rPr>
      </w:pPr>
      <w:r>
        <w:rPr>
          <w:rFonts w:ascii="Times New Roman" w:cs="Times New Roman" w:eastAsia="Times New Roman" w:hAnsi="Times New Roman"/>
          <w:sz w:val="20"/>
          <w:szCs w:val="20"/>
          <w:color w:val="auto"/>
        </w:rPr>
        <w:t>Title: CFO,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9019"/>
          </w:cols>
          <w:pgMar w:left="1440" w:top="100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9"/>
          <w:szCs w:val="19"/>
          <w:b w:val="1"/>
          <w:bCs w:val="1"/>
          <w:color w:val="auto"/>
        </w:rPr>
        <w:t>DEUTSCHE BANK AG NEW YORK BRANCH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 and as Collateral Agent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Mary Kay Coyle</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Mary Kay Coyle</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Anca Trifan</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Anca Trifan</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10219"/>
          </w:cols>
          <w:pgMar w:left="240" w:top="572"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SunTrust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Tranche C Term Facility Lender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Tesha Winslow</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Tesha Winslow</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10219"/>
          </w:cols>
          <w:pgMar w:left="240" w:top="101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Tranche C Term Facility Lender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Duane Helkowski</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Duane Helkowski</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Kwang Kyun Choi</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Kwang Kyun Choi</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10219"/>
          </w:cols>
          <w:pgMar w:left="240" w:top="122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Tranche C Term Facility Lender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Brian D. Corum</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Brian D. Corum</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10219"/>
          </w:cols>
          <w:pgMar w:left="240" w:top="78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BANK OF NOVA SCOTIA,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Tranche C Term Facility Lender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Winston Lua</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Winston Lua</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FIFTH THIRD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Tranche C Term Facility Lender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Knight Kieffer</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Knight Kieffer</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10219"/>
          </w:cols>
          <w:pgMar w:left="240" w:top="78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SUMITOMO MITSUI BANKING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Tranche C Term Facility Lender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Keith Connolly</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Keith Connolly</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10219"/>
          </w:cols>
          <w:pgMar w:left="240" w:top="78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of China, Los Angeles Branch,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Tranche C Term Facility Lender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Lixin Guo</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Lixin Guo</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Senior Vice President &amp; Branch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10219"/>
          </w:cols>
          <w:pgMar w:left="240" w:top="1220"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Agricole Corporate and Investment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Tranche C Term Facility Lender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Jonassen</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Steven Jonassen</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Joseph A. Asciolla</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Joseph A. Asciolla</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$80,333,333.33 of principal amount of such Lender’s Tranche C Term Facility Commitments shall be designated as Tranche D Term Facility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[Signature Page to Wynn Third Amendment]</w:t>
      </w:r>
    </w:p>
    <w:p>
      <w:pPr>
        <w:sectPr>
          <w:pgSz w:w="11900" w:h="16838" w:orient="portrait"/>
          <w:cols w:equalWidth="0" w:num="1">
            <w:col w:w="11160"/>
          </w:cols>
          <w:pgMar w:left="240" w:top="1004" w:right="4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FOURTH AMENDMENT TO CREDIT AGREEMENT</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This Fourth Amendment to Credit Agreement, dated as of July 1, 2016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by and among Wynn America, LLC, a Nevada limited liability company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the Guarantors (as defined in the Amended Credit Agreement referred to below) party hereto, Deutsche Bank AG New York Branch, as administrative agent (in such capacity,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for (and on behalf of) the Lenders under the Existing Credit Agreement referred to below and, after giving effect hereto, the Amended Credit Agreement and as collateral agent (in such capacity,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for the Secured Parties (as defined under the Existing Credit Agreement and, after giving effect hereto, the Amended Credit Agreement), the Required Lenders (as defined in the Existing Credit Agreement) and the Term Facility II Lenders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reference is hereby made to the Credit Agreement, dated as of November 20, 2014 (as amended by the First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Credit Agreement, dated as of November 5, 2015, the Second Amendment to Credit Agreement, dated as of December 21, 2015, the Third Amendment to Credit Agreement, dated as of June 21, 2016 and as it may be further amended, restated, replaced, supplemented or otherwise modified and as in effect immediately prior to giving effect to the amendments contemplated by this Agreement, the “</w:t>
      </w:r>
      <w:r>
        <w:rPr>
          <w:rFonts w:ascii="Times New Roman" w:cs="Times New Roman" w:eastAsia="Times New Roman" w:hAnsi="Times New Roman"/>
          <w:sz w:val="20"/>
          <w:szCs w:val="20"/>
          <w:b w:val="1"/>
          <w:bCs w:val="1"/>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 the Existing Credit Agreement as modified by this Agreement, the “</w:t>
      </w:r>
      <w:r>
        <w:rPr>
          <w:rFonts w:ascii="Times New Roman" w:cs="Times New Roman" w:eastAsia="Times New Roman" w:hAnsi="Times New Roman"/>
          <w:sz w:val="20"/>
          <w:szCs w:val="20"/>
          <w:b w:val="1"/>
          <w:bCs w:val="1"/>
          <w:color w:val="auto"/>
        </w:rPr>
        <w:t>Amended Credit Agreement</w:t>
      </w:r>
      <w:r>
        <w:rPr>
          <w:rFonts w:ascii="Times New Roman" w:cs="Times New Roman" w:eastAsia="Times New Roman" w:hAnsi="Times New Roman"/>
          <w:sz w:val="20"/>
          <w:szCs w:val="20"/>
          <w:color w:val="auto"/>
        </w:rPr>
        <w:t>”; capitalized terms defined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Amended Credit Agreement and not otherwise defined herein being used herein as therein defined), among Borrower, the Guarantors party thereto, the Lenders party thereto from time to time, the L/C Lenders party thereto from time to time, Administrative Agent, Collateral Agent and the other parties thereto;</w:t>
      </w:r>
    </w:p>
    <w:p>
      <w:pPr>
        <w:spacing w:after="0" w:line="18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the terms hereof, Borrower will obtain $125,000,000 in Term Facility II Commitments (as defined below)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from the Persons party hereto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b w:val="1"/>
          <w:bCs w:val="1"/>
          <w:color w:val="auto"/>
        </w:rPr>
        <w:t>Term Facility II Lenders</w:t>
      </w:r>
      <w:r>
        <w:rPr>
          <w:rFonts w:ascii="Times New Roman" w:cs="Times New Roman" w:eastAsia="Times New Roman" w:hAnsi="Times New Roman"/>
          <w:sz w:val="20"/>
          <w:szCs w:val="20"/>
          <w:color w:val="auto"/>
        </w:rPr>
        <w:t>”); and</w:t>
      </w:r>
    </w:p>
    <w:p>
      <w:pPr>
        <w:spacing w:after="0" w:line="36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furtherance thereof, Borrower, the Guarantors, the Required Lenders (as defined in the Existing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and Collateral Agent will make certain amendments to the Existing Credit Agreement, in each case, as set forth herein;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agreements, provisions and covenants herein contained and other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valuable consideration, the receipt and sufficiency of which are hereby acknowledged, the parties hereto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 TO EXISTING CREDIT DOCUMENTS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Consent of Required Lenders</w:t>
      </w:r>
      <w:r>
        <w:rPr>
          <w:rFonts w:ascii="Times New Roman" w:cs="Times New Roman" w:eastAsia="Times New Roman" w:hAnsi="Times New Roman"/>
          <w:sz w:val="20"/>
          <w:szCs w:val="20"/>
          <w:color w:val="auto"/>
        </w:rPr>
        <w:t>. Subject to the terms and conditions of this Agreement, each Lender that executes and delivers a signature page to this Agreement irrevocably agrees to the amendments to, and waivers and consents under, the Existing Credit Agreement and the other Credit Documents provided for herein with respect to all of such Lender’s Commitments and Loans as in effect immediately prior to the Agreement Effective Date. Such agreement shall be irrevocably binding on any</w:t>
      </w:r>
    </w:p>
    <w:p>
      <w:pPr>
        <w:sectPr>
          <w:pgSz w:w="11900" w:h="16838" w:orient="portrait"/>
          <w:cols w:equalWidth="0" w:num="1">
            <w:col w:w="11420"/>
          </w:cols>
          <w:pgMar w:left="240" w:top="617"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subsequent assignees, transferees, participants, successors and assigns with respect to such Commitments and Loans.</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Consent of Term Facility II Lenders</w:t>
      </w:r>
      <w:r>
        <w:rPr>
          <w:rFonts w:ascii="Times New Roman" w:cs="Times New Roman" w:eastAsia="Times New Roman" w:hAnsi="Times New Roman"/>
          <w:sz w:val="20"/>
          <w:szCs w:val="20"/>
          <w:color w:val="auto"/>
        </w:rPr>
        <w:t>. Subject to the terms and conditions of this Agreement, each Term Facility II Lender irrevocably agrees to the amendments to, and waivers and consents under, the Existing Credit Agreement and the other Credit Documents provided for herein with respect to all of such Person’s Term Facility II Commitments. Such agreement shall be irrevocably binding on any subsequent assignees, transferees, participants, successors and assigns with respect to such Term Facility II Commitments.</w:t>
      </w:r>
    </w:p>
    <w:p>
      <w:pPr>
        <w:spacing w:after="0" w:line="39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xml:space="preserve">. The terms and provisions of the Existing Credit Agreement are hereby amended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such that all of the newly inserted and underscored provisions and any formatting changes reflected therein shall be deemed inserted or made, as applicable, and all of the stricken provisions shall be deemed to be deleted therefrom, immediately and automatically upon the Agreement Effective Date. Schedules and Exhibits to the Credit Agreement shall remain as in effect under the Existing Credit Agreement, except with respect to Exhibits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each of which shall replace the respective Exhibit to the Existing Credit Agreement in its entirety, immediately and automatically upon the Agreement Effective Date.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Amendments to Credit Documents</w:t>
      </w:r>
      <w:r>
        <w:rPr>
          <w:rFonts w:ascii="Times New Roman" w:cs="Times New Roman" w:eastAsia="Times New Roman" w:hAnsi="Times New Roman"/>
          <w:sz w:val="20"/>
          <w:szCs w:val="20"/>
          <w:color w:val="auto"/>
        </w:rPr>
        <w:t>. Each Lender, by executing this Agreement consents to, and authorizes Borrower, each Subsidiary Guarantor, Administrative Agent and Collateral Agent to enter into such amendments, restatements, amendment and restatements, supplements and modifications to the Security Documents and other Credit Documents as Administrative Agent deems reasonably necessary or desirable in connection with this Agreement and the transactions contemplated hereby.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 TO PROVIDE TERM FACILITY II COMMITMENTS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Agreement to Provide Term Facility II Commitments</w:t>
      </w:r>
      <w:r>
        <w:rPr>
          <w:rFonts w:ascii="Times New Roman" w:cs="Times New Roman" w:eastAsia="Times New Roman" w:hAnsi="Times New Roman"/>
          <w:sz w:val="20"/>
          <w:szCs w:val="20"/>
          <w:color w:val="auto"/>
        </w:rPr>
        <w:t xml:space="preserve">. Each Term Facility II Lender that executes and delivers this Agreement agrees in connection therewith to provide its respective commitment to make loans as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on the terms set forth in this Agreement and the Amended Credit Agreement (each such commitment, a “</w:t>
      </w:r>
      <w:r>
        <w:rPr>
          <w:rFonts w:ascii="Times New Roman" w:cs="Times New Roman" w:eastAsia="Times New Roman" w:hAnsi="Times New Roman"/>
          <w:sz w:val="20"/>
          <w:szCs w:val="20"/>
          <w:b w:val="1"/>
          <w:bCs w:val="1"/>
          <w:color w:val="auto"/>
        </w:rPr>
        <w:t>Term Facility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and any loans made thereunder, “</w:t>
      </w:r>
      <w:r>
        <w:rPr>
          <w:rFonts w:ascii="Times New Roman" w:cs="Times New Roman" w:eastAsia="Times New Roman" w:hAnsi="Times New Roman"/>
          <w:sz w:val="20"/>
          <w:szCs w:val="20"/>
          <w:b w:val="1"/>
          <w:bCs w:val="1"/>
          <w:color w:val="auto"/>
        </w:rPr>
        <w:t>Term Facility II Loans</w:t>
      </w:r>
      <w:r>
        <w:rPr>
          <w:rFonts w:ascii="Times New Roman" w:cs="Times New Roman" w:eastAsia="Times New Roman" w:hAnsi="Times New Roman"/>
          <w:sz w:val="20"/>
          <w:szCs w:val="20"/>
          <w:color w:val="auto"/>
        </w:rPr>
        <w:t>”), and its commitment to provide such Term Facility II Commitment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irrevocably binding as of the Agreement Effective Date.</w:t>
      </w:r>
    </w:p>
    <w:p>
      <w:pPr>
        <w:spacing w:after="0" w:line="39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New Lenders</w:t>
      </w:r>
      <w:r>
        <w:rPr>
          <w:rFonts w:ascii="Times New Roman" w:cs="Times New Roman" w:eastAsia="Times New Roman" w:hAnsi="Times New Roman"/>
          <w:sz w:val="20"/>
          <w:szCs w:val="20"/>
          <w:color w:val="auto"/>
        </w:rPr>
        <w:t>. Each Term Facility II Lender acknowledges and agrees that (a) upon the occurrence of the Agreement Effective Date, it shall be bound under this Agreement and (b) upon the occurrence of the Agreement Effective Date with respect to the Term Facility II Commitments it shall be bound under the Amended Credit Agreement as a Term Facility II Lender (as defined in the Amended Credit Agreement) holding Term Facility II Commitments (as defined in the Amended Credit Agreement), and shall perform all the obligations of and shall have all rights of a Term Facility II Lender thereunder.</w:t>
      </w:r>
    </w:p>
    <w:p>
      <w:pPr>
        <w:spacing w:after="0" w:line="39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executing this Agreement each Term Facility II Lender (i) 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Agreement;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Amended Credit Agreement; (iii)</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589" w:right="239" w:bottom="1440" w:gutter="0" w:footer="0" w:header="0"/>
        </w:sectPr>
      </w:pPr>
    </w:p>
    <w:bookmarkStart w:id="74" w:name="page75"/>
    <w:bookmarkEnd w:id="74"/>
    <w:p>
      <w:pPr>
        <w:jc w:val="both"/>
        <w:spacing w:after="0" w:line="275" w:lineRule="auto"/>
        <w:rPr>
          <w:sz w:val="20"/>
          <w:szCs w:val="20"/>
          <w:color w:val="auto"/>
        </w:rPr>
      </w:pPr>
      <w:r>
        <w:rPr>
          <w:rFonts w:ascii="Times New Roman" w:cs="Times New Roman" w:eastAsia="Times New Roman" w:hAnsi="Times New Roman"/>
          <w:sz w:val="20"/>
          <w:szCs w:val="20"/>
          <w:color w:val="auto"/>
        </w:rPr>
        <w:t>appoints and authorizes Administrative Agent and each other Agent to take such action as agent on its behalf and to exercise such powers under the Amended Credit Agreement and the other Credit Documents as are delegated to Administrative Agent or such other Agent, as the case may be, by the terms thereof, together with such powers as are reasonably incidental thereto; and (iv) agrees that it will perform in accordance with their terms all of the obligations which by the terms of the Amended Credit Agreement are required to be performed by it as a Term Facility II Lender thereunder.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 AND WARRANTIES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To induce the Lenders party hereto to agree to this Agreement and the Term Facility II Lenders to provide the Term Facility II Commitments, the Credit Parties represent to Administrative Agent, the Lenders and the Term Facility II Lenders that, as of the Agreement Effective Date:</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Corporate Existence</w:t>
      </w:r>
      <w:r>
        <w:rPr>
          <w:rFonts w:ascii="Times New Roman" w:cs="Times New Roman" w:eastAsia="Times New Roman" w:hAnsi="Times New Roman"/>
          <w:sz w:val="20"/>
          <w:szCs w:val="20"/>
          <w:color w:val="auto"/>
        </w:rPr>
        <w:t>. Each Credit Party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Action; Enforceability</w:t>
      </w:r>
      <w:r>
        <w:rPr>
          <w:rFonts w:ascii="Times New Roman" w:cs="Times New Roman" w:eastAsia="Times New Roman" w:hAnsi="Times New Roman"/>
          <w:sz w:val="20"/>
          <w:szCs w:val="20"/>
          <w:color w:val="auto"/>
        </w:rPr>
        <w:t>. Each Credit Party has all necessary corporate or other organizational power, 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No Breach; No Default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9" w:lineRule="exact"/>
        <w:rPr>
          <w:sz w:val="20"/>
          <w:szCs w:val="20"/>
          <w:color w:val="auto"/>
        </w:rPr>
      </w:pPr>
    </w:p>
    <w:p>
      <w:pPr>
        <w:jc w:val="both"/>
        <w:ind w:left="660" w:firstLine="645"/>
        <w:spacing w:after="0" w:line="271" w:lineRule="auto"/>
        <w:tabs>
          <w:tab w:leader="none" w:pos="217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20"/>
          </w:cols>
          <w:pgMar w:left="240" w:top="589" w:right="239" w:bottom="1440" w:gutter="0" w:footer="0" w:header="0"/>
        </w:sectPr>
      </w:pPr>
    </w:p>
    <w:bookmarkStart w:id="75" w:name="page76"/>
    <w:bookmarkEnd w:id="75"/>
    <w:p>
      <w:pPr>
        <w:ind w:left="2180" w:hanging="875"/>
        <w:spacing w:after="0"/>
        <w:tabs>
          <w:tab w:leader="none" w:pos="21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THE AGREEMENT EFFECTIVE DATE</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and the Amended Credit Agreement, and the obligations of the Term Facility II Lenders to make the Term Facility II Loans, shall become effective on the date (the “</w:t>
      </w:r>
      <w:r>
        <w:rPr>
          <w:rFonts w:ascii="Times New Roman" w:cs="Times New Roman" w:eastAsia="Times New Roman" w:hAnsi="Times New Roman"/>
          <w:sz w:val="20"/>
          <w:szCs w:val="20"/>
          <w:b w:val="1"/>
          <w:bCs w:val="1"/>
          <w:color w:val="auto"/>
        </w:rPr>
        <w:t>Agreement Effective Date</w:t>
      </w:r>
      <w:r>
        <w:rPr>
          <w:rFonts w:ascii="Times New Roman" w:cs="Times New Roman" w:eastAsia="Times New Roman" w:hAnsi="Times New Roman"/>
          <w:sz w:val="20"/>
          <w:szCs w:val="20"/>
          <w:color w:val="auto"/>
        </w:rPr>
        <w:t>”) on which each of the following conditions is satisfied or waived:</w:t>
      </w:r>
    </w:p>
    <w:p>
      <w:pPr>
        <w:spacing w:after="0" w:line="3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Execution of Counterparts</w:t>
      </w:r>
      <w:r>
        <w:rPr>
          <w:rFonts w:ascii="Times New Roman" w:cs="Times New Roman" w:eastAsia="Times New Roman" w:hAnsi="Times New Roman"/>
          <w:sz w:val="20"/>
          <w:szCs w:val="20"/>
          <w:color w:val="auto"/>
        </w:rPr>
        <w:t>. Administrative Agent shall have received executed counterparts of this Agreement from each Credit Party, Administrative Agent, Collateral Agent, the Required Lenders (as defined in the Existing Credit Agreement) and each Term Facility II Lender.</w:t>
      </w:r>
    </w:p>
    <w:p>
      <w:pPr>
        <w:spacing w:after="0" w:line="39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To the extent invoiced at least three (3) Business Days prior to the Agreement Effective Date, all of the 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 including all reasonable and documented out-of-pocket fees, costs and expenses incurred in connection with the preparation, execution, filing and recordation of the Mortgage Amendments (as defined below) and the delivery of the title endorsements described below.</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No Default or Event of Default; Representations and Warranties True</w:t>
      </w:r>
      <w:r>
        <w:rPr>
          <w:rFonts w:ascii="Times New Roman" w:cs="Times New Roman" w:eastAsia="Times New Roman" w:hAnsi="Times New Roman"/>
          <w:sz w:val="20"/>
          <w:szCs w:val="20"/>
          <w:color w:val="auto"/>
        </w:rPr>
        <w:t>. Both immediately prior to and immediately after giving effect to this Agreement:</w:t>
      </w:r>
    </w:p>
    <w:p>
      <w:pPr>
        <w:spacing w:after="0" w:line="376" w:lineRule="exact"/>
        <w:rPr>
          <w:sz w:val="20"/>
          <w:szCs w:val="20"/>
          <w:color w:val="auto"/>
        </w:rPr>
      </w:pPr>
    </w:p>
    <w:p>
      <w:pPr>
        <w:ind w:left="2220" w:hanging="915"/>
        <w:spacing w:after="0"/>
        <w:tabs>
          <w:tab w:leader="none" w:pos="22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and</w:t>
      </w:r>
    </w:p>
    <w:p>
      <w:pPr>
        <w:spacing w:after="0" w:line="200" w:lineRule="exact"/>
        <w:rPr>
          <w:rFonts w:ascii="Times New Roman" w:cs="Times New Roman" w:eastAsia="Times New Roman" w:hAnsi="Times New Roman"/>
          <w:sz w:val="20"/>
          <w:szCs w:val="20"/>
          <w:color w:val="auto"/>
        </w:rPr>
      </w:pPr>
    </w:p>
    <w:p>
      <w:pPr>
        <w:spacing w:after="0" w:line="258" w:lineRule="exact"/>
        <w:rPr>
          <w:rFonts w:ascii="Times New Roman" w:cs="Times New Roman" w:eastAsia="Times New Roman" w:hAnsi="Times New Roman"/>
          <w:sz w:val="20"/>
          <w:szCs w:val="20"/>
          <w:color w:val="auto"/>
        </w:rPr>
      </w:pPr>
    </w:p>
    <w:p>
      <w:pPr>
        <w:jc w:val="both"/>
        <w:ind w:left="660" w:firstLine="645"/>
        <w:spacing w:after="0" w:line="275" w:lineRule="auto"/>
        <w:tabs>
          <w:tab w:leader="none" w:pos="218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made by the Credit Parties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hereof and in the other Credit Documents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39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Authorizations</w:t>
      </w:r>
      <w:r>
        <w:rPr>
          <w:rFonts w:ascii="Times New Roman" w:cs="Times New Roman" w:eastAsia="Times New Roman" w:hAnsi="Times New Roman"/>
          <w:sz w:val="20"/>
          <w:szCs w:val="20"/>
          <w:color w:val="auto"/>
        </w:rPr>
        <w:t>. All authorizations, approvals or consents of, and filings or registrations with, any Governmental Authority (including, without limitation, all Gaming Approvals) or any securities exchange necessary for the execution, delivery or performance by any Credit Party of this Agreement or for the legality, validity or enforceability hereof or for the consummation of this Agreement (including the Amended Credit Agreement) and the incurrence of the Term Facility II Commitments shall have been received.</w:t>
      </w:r>
    </w:p>
    <w:p>
      <w:pPr>
        <w:spacing w:after="0" w:line="39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Term Facility II Lender Commitment Fees</w:t>
      </w:r>
      <w:r>
        <w:rPr>
          <w:rFonts w:ascii="Times New Roman" w:cs="Times New Roman" w:eastAsia="Times New Roman" w:hAnsi="Times New Roman"/>
          <w:sz w:val="20"/>
          <w:szCs w:val="20"/>
          <w:color w:val="auto"/>
        </w:rPr>
        <w:t xml:space="preserve">. On the Agreement Effective Date, Borrower shall pay to the Administrative Agent, for the account of each Term Facility II Lender holding Term Facility II Commitments on the Agreement Effective Date, a non-refundable commitment fee equal to (x) the percentage set forth next to such Term Facility II Lender’s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multiplied by (y) such Term Facility II Lender’s Term Facility II Commitment on such date.</w:t>
      </w:r>
    </w:p>
    <w:p>
      <w:pPr>
        <w:spacing w:after="0" w:line="39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Pro Forma Compliance</w:t>
      </w:r>
      <w:r>
        <w:rPr>
          <w:rFonts w:ascii="Times New Roman" w:cs="Times New Roman" w:eastAsia="Times New Roman" w:hAnsi="Times New Roman"/>
          <w:sz w:val="20"/>
          <w:szCs w:val="20"/>
          <w:color w:val="auto"/>
        </w:rPr>
        <w:t>. Immediately after giving effect to the incurrence of the Term Facility II Commitments, the Consolidated Senior Secured Net Leverage Ratio shall not exceed 2.50</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589" w:right="239" w:bottom="1440" w:gutter="0" w:footer="0" w:header="0"/>
        </w:sectPr>
      </w:pPr>
    </w:p>
    <w:bookmarkStart w:id="76" w:name="page77"/>
    <w:bookmarkEnd w:id="76"/>
    <w:p>
      <w:pPr>
        <w:ind w:right="20"/>
        <w:spacing w:after="0" w:line="297" w:lineRule="auto"/>
        <w:rPr>
          <w:sz w:val="20"/>
          <w:szCs w:val="20"/>
          <w:color w:val="auto"/>
        </w:rPr>
      </w:pPr>
      <w:r>
        <w:rPr>
          <w:rFonts w:ascii="Times New Roman" w:cs="Times New Roman" w:eastAsia="Times New Roman" w:hAnsi="Times New Roman"/>
          <w:sz w:val="20"/>
          <w:szCs w:val="20"/>
          <w:color w:val="auto"/>
        </w:rPr>
        <w:t xml:space="preserve">to 1.00 on a Pro Forma Basis as of the most recent Calculation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such purpose, all Term Facility II Commitments shall be treated as drawn on such date.</w:t>
      </w:r>
    </w:p>
    <w:p>
      <w:pPr>
        <w:spacing w:after="0" w:line="37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Collateral Agent shall have received the following items with respect to each Mortgaged Real Property: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60" w:firstLine="645"/>
        <w:spacing w:after="0" w:line="276" w:lineRule="auto"/>
        <w:tabs>
          <w:tab w:leader="none" w:pos="217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amendment to each Mortgage encumbering Mortgaged Real Property (the “</w:t>
      </w:r>
      <w:r>
        <w:rPr>
          <w:rFonts w:ascii="Times New Roman" w:cs="Times New Roman" w:eastAsia="Times New Roman" w:hAnsi="Times New Roman"/>
          <w:sz w:val="20"/>
          <w:szCs w:val="20"/>
          <w:b w:val="1"/>
          <w:bCs w:val="1"/>
          <w:color w:val="auto"/>
        </w:rPr>
        <w:t>Mortgage Amendments</w:t>
      </w:r>
      <w:r>
        <w:rPr>
          <w:rFonts w:ascii="Times New Roman" w:cs="Times New Roman" w:eastAsia="Times New Roman" w:hAnsi="Times New Roman"/>
          <w:sz w:val="20"/>
          <w:szCs w:val="20"/>
          <w:color w:val="auto"/>
        </w:rPr>
        <w:t>”) each duly executed and delivered by an authorized officer of each Credit Party party thereto and in form suitable for filing and recording in all filing or recording offices that Administrative Agent may deem necessary or desirable unless Administrative Agent is satisfied in its reasonable discretion that Mortgage Amendments are not required in order to secure the applicable Credit Party’s obligations as modified hereby;</w:t>
      </w:r>
    </w:p>
    <w:p>
      <w:pPr>
        <w:spacing w:after="0" w:line="396" w:lineRule="exact"/>
        <w:rPr>
          <w:rFonts w:ascii="Times New Roman" w:cs="Times New Roman" w:eastAsia="Times New Roman" w:hAnsi="Times New Roman"/>
          <w:sz w:val="20"/>
          <w:szCs w:val="20"/>
          <w:color w:val="auto"/>
        </w:rPr>
      </w:pPr>
    </w:p>
    <w:p>
      <w:pPr>
        <w:jc w:val="both"/>
        <w:ind w:left="660" w:firstLine="645"/>
        <w:spacing w:after="0" w:line="277" w:lineRule="auto"/>
        <w:tabs>
          <w:tab w:leader="none" w:pos="218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endorsement to each of the title policies provided to the Collateral Agent by the Credit Parties with respect to each Mortgage encumbering Mortgaged Real Property, which endorsement shall insure against loss or damage sustained by reasonable of the invalidity or unenforceability of the lien of the existing Mortgages as a result of the execution and recording of the applicable Mortgage Amendment;</w:t>
      </w:r>
    </w:p>
    <w:p>
      <w:pPr>
        <w:spacing w:after="0" w:line="396" w:lineRule="exact"/>
        <w:rPr>
          <w:rFonts w:ascii="Times New Roman" w:cs="Times New Roman" w:eastAsia="Times New Roman" w:hAnsi="Times New Roman"/>
          <w:sz w:val="20"/>
          <w:szCs w:val="20"/>
          <w:color w:val="auto"/>
        </w:rPr>
      </w:pPr>
    </w:p>
    <w:p>
      <w:pPr>
        <w:jc w:val="both"/>
        <w:ind w:left="660" w:firstLine="645"/>
        <w:spacing w:after="0" w:line="282" w:lineRule="auto"/>
        <w:tabs>
          <w:tab w:leader="none" w:pos="217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completed “life-of-loan” Federal Emergency Management Agency standard flood hazard determination (to the extent a Mortgaged Real Property is located in a Special Flood Hazard Area, together with a notice about Special Flood Hazard Area status and flood disaster assistance duly executed by the Borrower and the applicable Loan Party relating thereto); and</w:t>
      </w:r>
    </w:p>
    <w:p>
      <w:pPr>
        <w:spacing w:after="0" w:line="391" w:lineRule="exact"/>
        <w:rPr>
          <w:rFonts w:ascii="Times New Roman" w:cs="Times New Roman" w:eastAsia="Times New Roman" w:hAnsi="Times New Roman"/>
          <w:sz w:val="20"/>
          <w:szCs w:val="20"/>
          <w:color w:val="auto"/>
        </w:rPr>
      </w:pPr>
    </w:p>
    <w:p>
      <w:pPr>
        <w:ind w:left="660" w:right="20" w:firstLine="645"/>
        <w:spacing w:after="0" w:line="297" w:lineRule="auto"/>
        <w:tabs>
          <w:tab w:leader="none" w:pos="218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payment by the Borrower of, mortgage recording taxes, fees, charges, costs and expenses required for the recording of each Mortgage Amendment and issuance of each title endorsement.</w:t>
      </w:r>
    </w:p>
    <w:p>
      <w:pPr>
        <w:spacing w:after="0" w:line="3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Notice of Effectiveness</w:t>
      </w:r>
      <w:r>
        <w:rPr>
          <w:rFonts w:ascii="Times New Roman" w:cs="Times New Roman" w:eastAsia="Times New Roman" w:hAnsi="Times New Roman"/>
          <w:sz w:val="20"/>
          <w:szCs w:val="20"/>
          <w:color w:val="auto"/>
        </w:rPr>
        <w:t xml:space="preserve">. Borrower shall have delivered written notice to Administrative Agent certifying that the condition described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has been satisfied.</w:t>
      </w:r>
    </w:p>
    <w:p>
      <w:pPr>
        <w:spacing w:after="0" w:line="3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Administrative Agent shall have received an opinion of Latham &amp; Watkins LLP, special counsel to the Credit Parties, addressed to the Administrative Agent, the Collateral Agent and the Lenders, dated the Amendment Effective Date and covering such matters as the Administrative Agent shall reasonably request in a manner customary for transactions of this type.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Term Facility II Notes</w:t>
      </w:r>
      <w:r>
        <w:rPr>
          <w:rFonts w:ascii="Times New Roman" w:cs="Times New Roman" w:eastAsia="Times New Roman" w:hAnsi="Times New Roman"/>
          <w:sz w:val="20"/>
          <w:szCs w:val="20"/>
          <w:color w:val="auto"/>
        </w:rPr>
        <w:t>. Administrative Agent shall have received copies of the Term Facility II Notes, duly completed and executed, for each Term Facility II Lender that requested a Term Facility II Note at least three (3) Business Days prior to the Amendment Effective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VALIDITY OF OBLIGATIONS AND LIENS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Validity of Obligations</w:t>
      </w:r>
      <w:r>
        <w:rPr>
          <w:rFonts w:ascii="Times New Roman" w:cs="Times New Roman" w:eastAsia="Times New Roman" w:hAnsi="Times New Roman"/>
          <w:sz w:val="20"/>
          <w:szCs w:val="20"/>
          <w:color w:val="auto"/>
        </w:rPr>
        <w:t>. Each Credit Party acknowledges and agrees that, both before and after giving effect to this Agreement and the Amended Credit Agreement, each Credit Party is, jointly and severally, indebted to the Lenders and the other Secured Parties for the Obligations, without defense, counterclaim or offset of any kind and each Credit Party hereby ratifies and reaffirms the validity, enforceability and binding nature of the Obligations both before and after giving effect to this Agreement</w:t>
      </w:r>
    </w:p>
    <w:p>
      <w:pPr>
        <w:sectPr>
          <w:pgSz w:w="11900" w:h="16838" w:orient="portrait"/>
          <w:cols w:equalWidth="0" w:num="1">
            <w:col w:w="11420"/>
          </w:cols>
          <w:pgMar w:left="240" w:top="589"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589" w:right="239" w:bottom="1440" w:gutter="0" w:footer="0" w:header="0"/>
          <w:type w:val="continuous"/>
        </w:sectPr>
      </w:pPr>
    </w:p>
    <w:bookmarkStart w:id="77" w:name="page78"/>
    <w:bookmarkEnd w:id="77"/>
    <w:p>
      <w:pPr>
        <w:jc w:val="both"/>
        <w:spacing w:after="0" w:line="297" w:lineRule="auto"/>
        <w:rPr>
          <w:sz w:val="20"/>
          <w:szCs w:val="20"/>
          <w:color w:val="auto"/>
        </w:rPr>
      </w:pPr>
      <w:r>
        <w:rPr>
          <w:rFonts w:ascii="Times New Roman" w:cs="Times New Roman" w:eastAsia="Times New Roman" w:hAnsi="Times New Roman"/>
          <w:sz w:val="20"/>
          <w:szCs w:val="20"/>
          <w:color w:val="auto"/>
        </w:rPr>
        <w:t>and the Amended Credit Agreement (except as the enforceability thereof may be limited by bankruptcy, insolvency or similar laws affecting creditors’ rights generally and subject to general principles of equity).</w:t>
      </w:r>
    </w:p>
    <w:p>
      <w:pPr>
        <w:spacing w:after="0" w:line="37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Validity of Liens and Credit Documents</w:t>
      </w:r>
      <w:r>
        <w:rPr>
          <w:rFonts w:ascii="Times New Roman" w:cs="Times New Roman" w:eastAsia="Times New Roman" w:hAnsi="Times New Roman"/>
          <w:sz w:val="20"/>
          <w:szCs w:val="20"/>
          <w:color w:val="auto"/>
        </w:rPr>
        <w:t>. Each Credit Party hereby ratifies and reaffirms the validity, 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 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For purposes of this Agreement, the notice address of each party hereto shall be as set forth in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Credit Agreement and the initial notice address of each Term Facility II Lender shall be set forth below its signature hereto.</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 Modification and Waiver</w:t>
      </w:r>
      <w:r>
        <w:rPr>
          <w:rFonts w:ascii="Times New Roman" w:cs="Times New Roman" w:eastAsia="Times New Roman" w:hAnsi="Times New Roman"/>
          <w:sz w:val="20"/>
          <w:szCs w:val="20"/>
          <w:color w:val="auto"/>
        </w:rPr>
        <w:t>. This Agreement may not be amended, modified or waived except 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pacing w:after="0" w:line="3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Amended Credit Agreement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39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ANY CLAIMS, CONTROVERSIES, DISPUTES, OR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39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EACH PARTY HERETO AGREES THAT SECTION 13.09(b) OF THE EXISTING CREDIT AGREEMENT (OR, AFTER GIVING EFFECT TO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0"/>
          </w:cols>
          <w:pgMar w:left="240" w:top="589" w:right="239" w:bottom="1440" w:gutter="0" w:footer="0" w:header="0"/>
        </w:sectPr>
      </w:pPr>
    </w:p>
    <w:bookmarkStart w:id="78" w:name="page79"/>
    <w:bookmarkEnd w:id="78"/>
    <w:p>
      <w:pPr>
        <w:jc w:val="both"/>
        <w:spacing w:after="0" w:line="297" w:lineRule="auto"/>
        <w:rPr>
          <w:sz w:val="20"/>
          <w:szCs w:val="20"/>
          <w:color w:val="auto"/>
        </w:rPr>
      </w:pPr>
      <w:r>
        <w:rPr>
          <w:rFonts w:ascii="Times New Roman" w:cs="Times New Roman" w:eastAsia="Times New Roman" w:hAnsi="Times New Roman"/>
          <w:sz w:val="20"/>
          <w:szCs w:val="20"/>
          <w:color w:val="auto"/>
        </w:rPr>
        <w:t>AMENDMENTS CONTEMPLATED HEREBY, THE AMENDED CREDIT AGREEMENT) SHALL APPLY TO THIS AGREEMENT MUTATIS MUTANDIS.</w:t>
      </w:r>
    </w:p>
    <w:p>
      <w:pPr>
        <w:spacing w:after="0" w:line="37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39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39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Credit Document</w:t>
      </w:r>
      <w:r>
        <w:rPr>
          <w:rFonts w:ascii="Times New Roman" w:cs="Times New Roman" w:eastAsia="Times New Roman" w:hAnsi="Times New Roman"/>
          <w:sz w:val="20"/>
          <w:szCs w:val="20"/>
          <w:color w:val="auto"/>
        </w:rPr>
        <w:t>. This Agreement shall constitute a “Credit Document” as defined in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No Novation</w:t>
      </w:r>
      <w:r>
        <w:rPr>
          <w:rFonts w:ascii="Times New Roman" w:cs="Times New Roman" w:eastAsia="Times New Roman" w:hAnsi="Times New Roman"/>
          <w:sz w:val="20"/>
          <w:szCs w:val="20"/>
          <w:color w:val="auto"/>
        </w:rPr>
        <w:t>. This Agreement shall not extinguish the obligations for the payment of money outstanding 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The execution, delivery and effectiveness of this Amendment shall not, except as expressly provided herein, operate as a waiver of any right, power or remedy of any Lender or the Agent under any of the Credit Documents, nor, except as expressly provided herein, constitute a waiver or amendment of any provision of any of the Credit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589" w:right="239" w:bottom="1440" w:gutter="0" w:footer="0" w:header="0"/>
        </w:sectPr>
      </w:pPr>
    </w:p>
    <w:bookmarkStart w:id="79" w:name="page80"/>
    <w:bookmarkEnd w:id="79"/>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each of the undersigned has caused its duly authorized officer to execute and deliver this Agreement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first written above.</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WYNN AMERICA, LLC,</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39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 Nevada corporation,</w:t>
      </w:r>
    </w:p>
    <w:p>
      <w:pPr>
        <w:ind w:left="45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Stephen Cootey</w:t>
      </w:r>
    </w:p>
    <w:p>
      <w:pPr>
        <w:spacing w:after="0" w:line="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Name: Stephen Cootey</w:t>
      </w:r>
    </w:p>
    <w:p>
      <w:pPr>
        <w:ind w:left="4940"/>
        <w:spacing w:after="0"/>
        <w:rPr>
          <w:sz w:val="20"/>
          <w:szCs w:val="20"/>
          <w:color w:val="auto"/>
        </w:rPr>
      </w:pPr>
      <w:r>
        <w:rPr>
          <w:rFonts w:ascii="Times New Roman" w:cs="Times New Roman" w:eastAsia="Times New Roman" w:hAnsi="Times New Roman"/>
          <w:sz w:val="20"/>
          <w:szCs w:val="20"/>
          <w:color w:val="auto"/>
        </w:rPr>
        <w:t>Title: CFO and Treasurer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356" w:right="239" w:bottom="1440" w:gutter="0" w:footer="0" w:header="0"/>
        </w:sectPr>
      </w:pPr>
    </w:p>
    <w:bookmarkStart w:id="80" w:name="page81"/>
    <w:bookmarkEnd w:id="80"/>
    <w:p>
      <w:pPr>
        <w:ind w:left="2380"/>
        <w:spacing w:after="0"/>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WYNN LAS VEGAS HOLDINGS, LLC,</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207" w:lineRule="exact"/>
        <w:rPr>
          <w:sz w:val="20"/>
          <w:szCs w:val="20"/>
          <w:color w:val="auto"/>
        </w:rPr>
      </w:pPr>
    </w:p>
    <w:p>
      <w:pPr>
        <w:ind w:left="1400"/>
        <w:spacing w:after="0"/>
        <w:tabs>
          <w:tab w:leader="none" w:pos="18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America, LLC,</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14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2040"/>
        <w:spacing w:after="0"/>
        <w:tabs>
          <w:tab w:leader="none" w:pos="2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0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 Nevada corporation,</w:t>
      </w:r>
    </w:p>
    <w:p>
      <w:pPr>
        <w:ind w:left="27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-10795</wp:posOffset>
            </wp:positionV>
            <wp:extent cx="1075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Stephen Cootey</w:t>
      </w:r>
    </w:p>
    <w:p>
      <w:pPr>
        <w:ind w:left="3340"/>
        <w:spacing w:after="0"/>
        <w:rPr>
          <w:sz w:val="20"/>
          <w:szCs w:val="20"/>
          <w:color w:val="auto"/>
        </w:rPr>
      </w:pPr>
      <w:r>
        <w:rPr>
          <w:rFonts w:ascii="Times New Roman" w:cs="Times New Roman" w:eastAsia="Times New Roman" w:hAnsi="Times New Roman"/>
          <w:sz w:val="20"/>
          <w:szCs w:val="20"/>
          <w:color w:val="auto"/>
        </w:rPr>
        <w:t>Title: CFO and Treasurer</w:t>
      </w:r>
    </w:p>
    <w:p>
      <w:pPr>
        <w:spacing w:after="0" w:line="200" w:lineRule="exact"/>
        <w:rPr>
          <w:sz w:val="20"/>
          <w:szCs w:val="20"/>
          <w:color w:val="auto"/>
        </w:rPr>
      </w:pP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WYNN MA, LLC,</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207" w:lineRule="exact"/>
        <w:rPr>
          <w:sz w:val="20"/>
          <w:szCs w:val="20"/>
          <w:color w:val="auto"/>
        </w:rPr>
      </w:pPr>
    </w:p>
    <w:p>
      <w:pPr>
        <w:ind w:left="1400"/>
        <w:spacing w:after="0"/>
        <w:tabs>
          <w:tab w:leader="none" w:pos="18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America, LLC,</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14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2040"/>
        <w:spacing w:after="0"/>
        <w:tabs>
          <w:tab w:leader="none" w:pos="2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0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 Nevada corporation,</w:t>
      </w:r>
    </w:p>
    <w:p>
      <w:pPr>
        <w:ind w:left="27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-10795</wp:posOffset>
            </wp:positionV>
            <wp:extent cx="1075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Stephen Cootey</w:t>
      </w:r>
    </w:p>
    <w:p>
      <w:pPr>
        <w:jc w:val="right"/>
        <w:ind w:right="3039"/>
        <w:spacing w:after="0"/>
        <w:rPr>
          <w:sz w:val="20"/>
          <w:szCs w:val="20"/>
          <w:color w:val="auto"/>
        </w:rPr>
      </w:pPr>
      <w:r>
        <w:rPr>
          <w:rFonts w:ascii="Times New Roman" w:cs="Times New Roman" w:eastAsia="Times New Roman" w:hAnsi="Times New Roman"/>
          <w:sz w:val="20"/>
          <w:szCs w:val="20"/>
          <w:color w:val="auto"/>
        </w:rPr>
        <w:t>Title: CFO and Treasurer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019"/>
          </w:cols>
          <w:pgMar w:left="1440" w:top="589" w:right="1440" w:bottom="1440" w:gutter="0" w:footer="0" w:header="0"/>
        </w:sectPr>
      </w:pPr>
    </w:p>
    <w:bookmarkStart w:id="81" w:name="page82"/>
    <w:bookmarkEnd w:id="81"/>
    <w:p>
      <w:pPr>
        <w:ind w:left="760"/>
        <w:spacing w:after="0"/>
        <w:rPr>
          <w:sz w:val="20"/>
          <w:szCs w:val="20"/>
          <w:color w:val="auto"/>
        </w:rPr>
      </w:pPr>
      <w:r>
        <w:rPr>
          <w:rFonts w:ascii="Times New Roman" w:cs="Times New Roman" w:eastAsia="Times New Roman" w:hAnsi="Times New Roman"/>
          <w:sz w:val="20"/>
          <w:szCs w:val="20"/>
          <w:b w:val="1"/>
          <w:bCs w:val="1"/>
          <w:color w:val="auto"/>
        </w:rPr>
        <w:t>EVERETT PROPERTY, LLC,</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 Massachusetts limited liability company</w:t>
      </w:r>
    </w:p>
    <w:p>
      <w:pPr>
        <w:spacing w:after="0" w:line="207" w:lineRule="exact"/>
        <w:rPr>
          <w:sz w:val="20"/>
          <w:szCs w:val="20"/>
          <w:color w:val="auto"/>
        </w:rPr>
      </w:pPr>
    </w:p>
    <w:p>
      <w:pPr>
        <w:ind w:left="1400"/>
        <w:spacing w:after="0"/>
        <w:tabs>
          <w:tab w:leader="none" w:pos="18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America, LLC,</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14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2040"/>
        <w:spacing w:after="0"/>
        <w:tabs>
          <w:tab w:leader="none" w:pos="2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0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 Nevada corporation,</w:t>
      </w:r>
    </w:p>
    <w:p>
      <w:pPr>
        <w:ind w:left="27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-10795</wp:posOffset>
            </wp:positionV>
            <wp:extent cx="1075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Stephen Cootey</w:t>
      </w:r>
    </w:p>
    <w:p>
      <w:pPr>
        <w:jc w:val="right"/>
        <w:ind w:right="3039"/>
        <w:spacing w:after="0"/>
        <w:rPr>
          <w:sz w:val="20"/>
          <w:szCs w:val="20"/>
          <w:color w:val="auto"/>
        </w:rPr>
      </w:pPr>
      <w:r>
        <w:rPr>
          <w:rFonts w:ascii="Times New Roman" w:cs="Times New Roman" w:eastAsia="Times New Roman" w:hAnsi="Times New Roman"/>
          <w:sz w:val="20"/>
          <w:szCs w:val="20"/>
          <w:color w:val="auto"/>
        </w:rPr>
        <w:t>Title: CFO and Treasurer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9019"/>
          </w:cols>
          <w:pgMar w:left="1440" w:top="815"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DEUTSCHE BANK AG NEW YORK BRANCH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 and as Collateral Agent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20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Mary Kay Coyle</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Peter Cucchiara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75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Peter Cucchiara</w:t>
      </w:r>
    </w:p>
    <w:p>
      <w:pPr>
        <w:ind w:left="4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61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GOLDMAN SACHS BANK USA,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Term Facility II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239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Ryan Durkin</w:t>
      </w:r>
    </w:p>
    <w:p>
      <w:pPr>
        <w:ind w:left="4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for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GOLDMAN SACHS BANK USA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 West St</w:t>
      </w:r>
    </w:p>
    <w:p>
      <w:pPr>
        <w:spacing w:after="0"/>
        <w:rPr>
          <w:sz w:val="20"/>
          <w:szCs w:val="20"/>
          <w:color w:val="auto"/>
        </w:rPr>
      </w:pPr>
      <w:r>
        <w:rPr>
          <w:rFonts w:ascii="Times New Roman" w:cs="Times New Roman" w:eastAsia="Times New Roman" w:hAnsi="Times New Roman"/>
          <w:sz w:val="20"/>
          <w:szCs w:val="20"/>
          <w:color w:val="auto"/>
        </w:rPr>
        <w:t>New York, NY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 Person: Thierry Le Jouan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Facsimile No.: 917-977-3966</w:t>
      </w:r>
    </w:p>
    <w:p>
      <w:pPr>
        <w:spacing w:after="0"/>
        <w:rPr>
          <w:sz w:val="20"/>
          <w:szCs w:val="20"/>
          <w:color w:val="auto"/>
        </w:rPr>
      </w:pPr>
      <w:r>
        <w:rPr>
          <w:rFonts w:ascii="Times New Roman" w:cs="Times New Roman" w:eastAsia="Times New Roman" w:hAnsi="Times New Roman"/>
          <w:sz w:val="20"/>
          <w:szCs w:val="20"/>
          <w:color w:val="auto"/>
        </w:rPr>
        <w:t>Telephone No.: 212-902-1099</w:t>
      </w:r>
    </w:p>
    <w:p>
      <w:pPr>
        <w:spacing w:after="0"/>
        <w:rPr>
          <w:sz w:val="20"/>
          <w:szCs w:val="20"/>
          <w:color w:val="auto"/>
        </w:rPr>
      </w:pPr>
      <w:r>
        <w:rPr>
          <w:rFonts w:ascii="Times New Roman" w:cs="Times New Roman" w:eastAsia="Times New Roman" w:hAnsi="Times New Roman"/>
          <w:sz w:val="20"/>
          <w:szCs w:val="20"/>
          <w:color w:val="auto"/>
        </w:rPr>
        <w:t>Email: gs-sbd-admin-contacts@ny.email.gs.com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35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Term Facility II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Nadeige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98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Nadeige Dang</w:t>
      </w:r>
    </w:p>
    <w:p>
      <w:pPr>
        <w:ind w:left="4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for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Platina Block 3, 3rd Floor</w:t>
      </w:r>
    </w:p>
    <w:p>
      <w:pPr>
        <w:spacing w:after="0"/>
        <w:rPr>
          <w:sz w:val="20"/>
          <w:szCs w:val="20"/>
          <w:color w:val="auto"/>
        </w:rPr>
      </w:pPr>
      <w:r>
        <w:rPr>
          <w:rFonts w:ascii="Times New Roman" w:cs="Times New Roman" w:eastAsia="Times New Roman" w:hAnsi="Times New Roman"/>
          <w:sz w:val="20"/>
          <w:szCs w:val="20"/>
          <w:color w:val="auto"/>
        </w:rPr>
        <w:t>Sarjapura Outer Ring Road</w:t>
      </w:r>
    </w:p>
    <w:p>
      <w:pPr>
        <w:spacing w:after="0"/>
        <w:rPr>
          <w:sz w:val="20"/>
          <w:szCs w:val="20"/>
          <w:color w:val="auto"/>
        </w:rPr>
      </w:pPr>
      <w:r>
        <w:rPr>
          <w:rFonts w:ascii="Times New Roman" w:cs="Times New Roman" w:eastAsia="Times New Roman" w:hAnsi="Times New Roman"/>
          <w:sz w:val="20"/>
          <w:szCs w:val="20"/>
          <w:color w:val="auto"/>
        </w:rPr>
        <w:t>Bengaluru, 560 103 India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 Person: Kavita Gopal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No.: (+91-80) 6790 5438</w:t>
      </w:r>
    </w:p>
    <w:p>
      <w:pPr>
        <w:spacing w:after="0"/>
        <w:rPr>
          <w:sz w:val="20"/>
          <w:szCs w:val="20"/>
          <w:color w:val="auto"/>
        </w:rPr>
      </w:pPr>
      <w:r>
        <w:rPr>
          <w:rFonts w:ascii="Times New Roman" w:cs="Times New Roman" w:eastAsia="Times New Roman" w:hAnsi="Times New Roman"/>
          <w:sz w:val="20"/>
          <w:szCs w:val="20"/>
          <w:color w:val="auto"/>
        </w:rPr>
        <w:t>Email: kavita.x.gopal@jpmorgan.com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35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SunTrust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Tesha Winslow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47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Tesha Winslow</w:t>
      </w:r>
    </w:p>
    <w:p>
      <w:pPr>
        <w:ind w:left="4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35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FIFTH THIRD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Richard Arendale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65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Richard Arendale</w:t>
      </w:r>
    </w:p>
    <w:p>
      <w:pPr>
        <w:ind w:left="4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Bank of Nova Scotia,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Winston Lua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23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329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Winston Lua</w:t>
      </w:r>
    </w:p>
    <w:p>
      <w:pPr>
        <w:ind w:left="4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Agricole Corporate and Investment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Steven Jonassen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96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Steven Jonassen</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Joseph A. Asciolla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217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174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Joseph A. Asciolla</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7"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Duane Helkowski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798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Duane Helkowski</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Kwang Kyun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25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Kwang Kyun Choi</w:t>
      </w:r>
    </w:p>
    <w:p>
      <w:pPr>
        <w:ind w:left="4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7"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MORGAN STANLEY SENIOR FUNDING,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Emanuel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21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Emanuel Ma</w:t>
      </w:r>
    </w:p>
    <w:p>
      <w:pPr>
        <w:ind w:left="4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7"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Blue Cross of Idaho Health Service,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Seix Investment Advisors LLC, as Investment Manager</w:t>
      </w:r>
    </w:p>
    <w:p>
      <w:pPr>
        <w:spacing w:after="0" w:line="203" w:lineRule="exact"/>
        <w:rPr>
          <w:sz w:val="20"/>
          <w:szCs w:val="20"/>
          <w:color w:val="auto"/>
        </w:rPr>
      </w:pPr>
    </w:p>
    <w:p>
      <w:pPr>
        <w:ind w:right="47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City National Rochdale Funds Fixed Income Opportunities Fund </w:t>
      </w:r>
      <w:r>
        <w:rPr>
          <w:rFonts w:ascii="Times New Roman" w:cs="Times New Roman" w:eastAsia="Times New Roman" w:hAnsi="Times New Roman"/>
          <w:sz w:val="20"/>
          <w:szCs w:val="20"/>
          <w:color w:val="auto"/>
        </w:rPr>
        <w:t>By: Seix Investment Advisors LLC, as Subadviser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Mountain View CLO 2013-1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Seix Investment Advisors LLC, as Collateral 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Mountain View CLO 2014-1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Seix Investment Advisors LLC, as Collateral 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Mountain View CLO IX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Seix Investment Advisors LLC, as Collateral 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Mountain View CLO X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Seix Investment Advisors LLC, as Collateral 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RidgeWorth Funds – Seix Floating Rate High Income Fund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Seix Investment Advisors LLC, as Subadviser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Seix Multi-Sector Absolute Return Fund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Seix Multi-Sector Absolute Return Fund GP LLC, in its capacity as sole general partner</w:t>
      </w:r>
    </w:p>
    <w:p>
      <w:pPr>
        <w:spacing w:after="0"/>
        <w:rPr>
          <w:sz w:val="20"/>
          <w:szCs w:val="20"/>
          <w:color w:val="auto"/>
        </w:rPr>
      </w:pPr>
      <w:r>
        <w:rPr>
          <w:rFonts w:ascii="Times New Roman" w:cs="Times New Roman" w:eastAsia="Times New Roman" w:hAnsi="Times New Roman"/>
          <w:sz w:val="20"/>
          <w:szCs w:val="20"/>
          <w:color w:val="auto"/>
        </w:rPr>
        <w:t>By: Seix Investment Advisors LLC, its sole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George Goudelias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842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George Goudelias</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89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Brian D. Corum</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SUMITOMO MITSUI BANKING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William G. Karl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909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William G. Karl</w:t>
      </w:r>
    </w:p>
    <w:p>
      <w:pPr>
        <w:ind w:left="420"/>
        <w:spacing w:after="0"/>
        <w:rPr>
          <w:sz w:val="20"/>
          <w:szCs w:val="20"/>
          <w:color w:val="auto"/>
        </w:rPr>
      </w:pPr>
      <w:r>
        <w:rPr>
          <w:rFonts w:ascii="Times New Roman" w:cs="Times New Roman" w:eastAsia="Times New Roman" w:hAnsi="Times New Roman"/>
          <w:sz w:val="20"/>
          <w:szCs w:val="20"/>
          <w:color w:val="auto"/>
        </w:rPr>
        <w:t>Title: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7"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UBS AG, STAMFORD BRANCH,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Craig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842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Craig Pearson</w:t>
      </w:r>
    </w:p>
    <w:p>
      <w:pPr>
        <w:ind w:left="400"/>
        <w:spacing w:after="0"/>
        <w:rPr>
          <w:sz w:val="20"/>
          <w:szCs w:val="20"/>
          <w:color w:val="auto"/>
        </w:rPr>
      </w:pPr>
      <w:r>
        <w:rPr>
          <w:rFonts w:ascii="Times New Roman" w:cs="Times New Roman" w:eastAsia="Times New Roman" w:hAnsi="Times New Roman"/>
          <w:sz w:val="20"/>
          <w:szCs w:val="20"/>
          <w:color w:val="auto"/>
        </w:rPr>
        <w:t>Title: Associate Director</w:t>
      </w:r>
    </w:p>
    <w:p>
      <w:pPr>
        <w:ind w:left="400"/>
        <w:spacing w:after="0"/>
        <w:rPr>
          <w:sz w:val="20"/>
          <w:szCs w:val="20"/>
          <w:color w:val="auto"/>
        </w:rPr>
      </w:pPr>
      <w:r>
        <w:rPr>
          <w:rFonts w:ascii="Times New Roman" w:cs="Times New Roman" w:eastAsia="Times New Roman" w:hAnsi="Times New Roman"/>
          <w:sz w:val="20"/>
          <w:szCs w:val="20"/>
          <w:color w:val="auto"/>
        </w:rPr>
        <w:t>Banking Product Services, US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Darlene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772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Darlene Arias</w:t>
      </w:r>
    </w:p>
    <w:p>
      <w:pPr>
        <w:ind w:left="4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0"/>
          <w:szCs w:val="20"/>
          <w:color w:val="auto"/>
        </w:rPr>
        <w:t>[Signature Page to Wynn Fourth Amendment]</w:t>
      </w:r>
    </w:p>
    <w:p>
      <w:pPr>
        <w:sectPr>
          <w:pgSz w:w="11900" w:h="16838" w:orient="portrait"/>
          <w:cols w:equalWidth="0" w:num="1">
            <w:col w:w="10219"/>
          </w:cols>
          <w:pgMar w:left="240" w:top="1018"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TERM FACILITY II COMMITMENTS</w:t>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5920" w:type="dxa"/>
            <w:vAlign w:val="bottom"/>
            <w:tcBorders>
              <w:top w:val="single" w:sz="8" w:color="auto"/>
              <w:left w:val="single" w:sz="8" w:color="auto"/>
              <w:bottom w:val="single" w:sz="8" w:color="auto"/>
            </w:tcBorders>
          </w:tcPr>
          <w:p>
            <w:pPr>
              <w:spacing w:after="0"/>
              <w:rPr>
                <w:sz w:val="3"/>
                <w:szCs w:val="3"/>
                <w:color w:val="auto"/>
              </w:rPr>
            </w:pPr>
          </w:p>
        </w:tc>
        <w:tc>
          <w:tcPr>
            <w:tcW w:w="2500" w:type="dxa"/>
            <w:vAlign w:val="bottom"/>
            <w:tcBorders>
              <w:top w:val="single" w:sz="8" w:color="auto"/>
              <w:bottom w:val="single" w:sz="8" w:color="auto"/>
            </w:tcBorders>
          </w:tcPr>
          <w:p>
            <w:pPr>
              <w:spacing w:after="0"/>
              <w:rPr>
                <w:sz w:val="3"/>
                <w:szCs w:val="3"/>
                <w:color w:val="auto"/>
              </w:rPr>
            </w:pPr>
          </w:p>
        </w:tc>
        <w:tc>
          <w:tcPr>
            <w:tcW w:w="2500" w:type="dxa"/>
            <w:vAlign w:val="bottom"/>
            <w:tcBorders>
              <w:top w:val="single" w:sz="8" w:color="auto"/>
              <w:bottom w:val="single" w:sz="8" w:color="auto"/>
              <w:right w:val="single" w:sz="8" w:color="auto"/>
            </w:tcBorders>
          </w:tcPr>
          <w:p>
            <w:pPr>
              <w:spacing w:after="0"/>
              <w:rPr>
                <w:sz w:val="3"/>
                <w:szCs w:val="3"/>
                <w:color w:val="auto"/>
              </w:rPr>
            </w:pPr>
          </w:p>
        </w:tc>
      </w:tr>
      <w:tr>
        <w:trPr>
          <w:trHeight w:val="243"/>
        </w:trPr>
        <w:tc>
          <w:tcPr>
            <w:tcW w:w="5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Name of Term Facility II Lender</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Commitment Fee</w:t>
            </w:r>
          </w:p>
        </w:tc>
      </w:tr>
      <w:tr>
        <w:trPr>
          <w:trHeight w:val="102"/>
        </w:trPr>
        <w:tc>
          <w:tcPr>
            <w:tcW w:w="5920" w:type="dxa"/>
            <w:vAlign w:val="bottom"/>
            <w:tcBorders>
              <w:left w:val="single" w:sz="8" w:color="auto"/>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r>
      <w:tr>
        <w:trPr>
          <w:trHeight w:val="256"/>
        </w:trPr>
        <w:tc>
          <w:tcPr>
            <w:tcW w:w="5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Goldman Sachs Bank USA</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$75,000,000</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1.35%</w:t>
            </w:r>
          </w:p>
        </w:tc>
      </w:tr>
      <w:tr>
        <w:trPr>
          <w:trHeight w:val="102"/>
        </w:trPr>
        <w:tc>
          <w:tcPr>
            <w:tcW w:w="5920" w:type="dxa"/>
            <w:vAlign w:val="bottom"/>
            <w:tcBorders>
              <w:left w:val="single" w:sz="8" w:color="auto"/>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r>
      <w:tr>
        <w:trPr>
          <w:trHeight w:val="256"/>
        </w:trPr>
        <w:tc>
          <w:tcPr>
            <w:tcW w:w="5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JPMorgan Chase Bank, N.A.</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$50,000,000</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1.25%</w:t>
            </w:r>
          </w:p>
        </w:tc>
      </w:tr>
      <w:tr>
        <w:trPr>
          <w:trHeight w:val="102"/>
        </w:trPr>
        <w:tc>
          <w:tcPr>
            <w:tcW w:w="5920" w:type="dxa"/>
            <w:vAlign w:val="bottom"/>
            <w:tcBorders>
              <w:left w:val="single" w:sz="8" w:color="auto"/>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280"/>
          </w:cols>
          <w:pgMar w:left="340" w:top="356" w:right="279" w:bottom="1440" w:gutter="0" w:footer="0" w:header="0"/>
        </w:sectPr>
      </w:pPr>
    </w:p>
    <w:bookmarkStart w:id="96" w:name="page97"/>
    <w:bookmarkEnd w:id="96"/>
    <w:p>
      <w:pPr>
        <w:ind w:left="9180"/>
        <w:spacing w:after="0"/>
        <w:rPr>
          <w:sz w:val="20"/>
          <w:szCs w:val="20"/>
          <w:color w:val="auto"/>
        </w:rPr>
      </w:pPr>
      <w:r>
        <w:rPr>
          <w:rFonts w:ascii="Times New Roman" w:cs="Times New Roman" w:eastAsia="Times New Roman" w:hAnsi="Times New Roman"/>
          <w:sz w:val="19"/>
          <w:szCs w:val="19"/>
          <w:b w:val="1"/>
          <w:bCs w:val="1"/>
          <w:color w:val="auto"/>
        </w:rPr>
        <w:t>EXHIBIT A</w:t>
      </w:r>
    </w:p>
    <w:p>
      <w:pPr>
        <w:sectPr>
          <w:pgSz w:w="11900" w:h="16838" w:orient="portrait"/>
          <w:cols w:equalWidth="0" w:num="1">
            <w:col w:w="10220"/>
          </w:cols>
          <w:pgMar w:left="1440" w:top="801" w:right="239" w:bottom="1440" w:gutter="0" w:footer="0" w:header="0"/>
        </w:sectPr>
      </w:pPr>
    </w:p>
    <w:bookmarkStart w:id="97" w:name="page98"/>
    <w:bookmarkEnd w:id="97"/>
    <w:p>
      <w:pPr>
        <w:ind w:left="9200"/>
        <w:spacing w:after="0"/>
        <w:rPr>
          <w:sz w:val="20"/>
          <w:szCs w:val="20"/>
          <w:color w:val="auto"/>
        </w:rPr>
      </w:pPr>
      <w:r>
        <w:rPr>
          <w:rFonts w:ascii="Times New Roman" w:cs="Times New Roman" w:eastAsia="Times New Roman" w:hAnsi="Times New Roman"/>
          <w:sz w:val="19"/>
          <w:szCs w:val="19"/>
          <w:b w:val="1"/>
          <w:bCs w:val="1"/>
          <w:color w:val="auto"/>
        </w:rPr>
        <w:t>EXHIBIT B</w:t>
      </w:r>
    </w:p>
    <w:p>
      <w:pPr>
        <w:sectPr>
          <w:pgSz w:w="11900" w:h="16838" w:orient="portrait"/>
          <w:cols w:equalWidth="0" w:num="1">
            <w:col w:w="10220"/>
          </w:cols>
          <w:pgMar w:left="1440" w:top="1044" w:right="2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FF0000"/>
          <w:strike w:val="1"/>
        </w:rPr>
        <w:drawing>
          <wp:anchor simplePos="0" relativeHeight="251657728" behindDoc="1" locked="0" layoutInCell="0" allowOverlap="1">
            <wp:simplePos x="0" y="0"/>
            <wp:positionH relativeFrom="page">
              <wp:posOffset>144780</wp:posOffset>
            </wp:positionH>
            <wp:positionV relativeFrom="page">
              <wp:posOffset>573405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$1,250,000,000</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Dated as of November 20, 2014</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WYNN AMERICA, LLC,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Borrower,</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SUBSIDIARIES OF BORROWER PARTY HERETO,</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Guarantors,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LENDERS PARTY HERETO,</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L/C LENDERS PARTY HERETO,</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Administrative Agent,</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215265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DEUTSCHE BANK SECURITIES INC.</w:t>
      </w:r>
    </w:p>
    <w:p>
      <w:pPr>
        <w:spacing w:after="0" w:line="25" w:lineRule="exact"/>
        <w:rPr>
          <w:sz w:val="20"/>
          <w:szCs w:val="20"/>
          <w:color w:val="auto"/>
        </w:rPr>
      </w:pPr>
    </w:p>
    <w:p>
      <w:pPr>
        <w:jc w:val="center"/>
        <w:ind w:left="3480"/>
        <w:spacing w:after="0" w:line="246" w:lineRule="auto"/>
        <w:rPr>
          <w:sz w:val="20"/>
          <w:szCs w:val="20"/>
          <w:color w:val="auto"/>
        </w:rPr>
      </w:pPr>
      <w:r>
        <w:rPr>
          <w:rFonts w:ascii="Times New Roman" w:cs="Times New Roman" w:eastAsia="Times New Roman" w:hAnsi="Times New Roman"/>
          <w:sz w:val="16"/>
          <w:szCs w:val="16"/>
          <w:b w:val="1"/>
          <w:bCs w:val="1"/>
          <w:color w:val="auto"/>
        </w:rPr>
        <w:t>MERRILL LYNCH, PIERCE, FENNER &amp; SMITH INCORPORATED CREDIT AGRICOLE CORPORATE AND INVESTMENT BANK FIFTH THIRD BANK</w:t>
      </w:r>
    </w:p>
    <w:p>
      <w:pPr>
        <w:spacing w:after="0" w:line="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SUNTRUST ROBINSON HUMPHREY, INC.</w:t>
      </w:r>
    </w:p>
    <w:p>
      <w:pPr>
        <w:spacing w:after="0" w:line="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THE BANK OF NOVA SCOTIA</w:t>
      </w:r>
    </w:p>
    <w:p>
      <w:pPr>
        <w:spacing w:after="0" w:line="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BNP PARIBAS SECURITIES CORP.</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SUMITOMO MITSUI BANKING CORPORATION</w:t>
      </w:r>
    </w:p>
    <w:p>
      <w:pPr>
        <w:spacing w:after="0" w:line="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UBS SECURITIES LLC,</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as Joint Lead Arrangers and Joint Bookrunners,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MORGAN STANLEY SENIOR FUNDING,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BANK OF CHINA, LOS ANGELES BRANCH,</w:t>
      </w:r>
    </w:p>
    <w:p>
      <w:pPr>
        <w:spacing w:after="0" w:line="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as Arrangers,</w:t>
      </w:r>
    </w:p>
    <w:p>
      <w:pPr>
        <w:spacing w:after="0" w:line="1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b w:val="1"/>
          <w:bCs w:val="1"/>
          <w:color w:val="auto"/>
        </w:rPr>
        <w:t>MERRILL LYNCH, PIERCE, FENNER &amp; SMITH INCORPORATED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Documentation Agent,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4" w:lineRule="exact"/>
        <w:rPr>
          <w:sz w:val="20"/>
          <w:szCs w:val="20"/>
          <w:color w:val="auto"/>
        </w:rPr>
      </w:pPr>
    </w:p>
    <w:p>
      <w:pPr>
        <w:jc w:val="center"/>
        <w:ind w:left="3480"/>
        <w:spacing w:after="0" w:line="255" w:lineRule="auto"/>
        <w:rPr>
          <w:sz w:val="20"/>
          <w:szCs w:val="20"/>
          <w:color w:val="auto"/>
        </w:rPr>
      </w:pPr>
      <w:r>
        <w:rPr>
          <w:rFonts w:ascii="Times New Roman" w:cs="Times New Roman" w:eastAsia="Times New Roman" w:hAnsi="Times New Roman"/>
          <w:sz w:val="16"/>
          <w:szCs w:val="16"/>
          <w:b w:val="1"/>
          <w:bCs w:val="1"/>
          <w:color w:val="auto"/>
        </w:rPr>
        <w:t>MERRILL LYNCH, PIERCE, FENNER &amp; SMITH INCORPORATED CREDIT AGRICOLE CORPORATE AND INVESTMENT BANK FIFTH THIRD BANK</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SUNTRUST BANK</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and</w:t>
      </w:r>
    </w:p>
    <w:p>
      <w:pPr>
        <w:sectPr>
          <w:pgSz w:w="11900" w:h="16838" w:orient="portrait"/>
          <w:cols w:equalWidth="0" w:num="1">
            <w:col w:w="9019"/>
          </w:cols>
          <w:pgMar w:left="1440" w:top="1251" w:right="1440" w:bottom="1440" w:gutter="0" w:footer="0" w:header="0"/>
        </w:sectPr>
      </w:pPr>
    </w:p>
    <w:bookmarkStart w:id="99" w:name="page100"/>
    <w:bookmarkEnd w:id="99"/>
    <w:p>
      <w:pPr>
        <w:jc w:val="right"/>
        <w:ind w:right="3399"/>
        <w:spacing w:after="0"/>
        <w:rPr>
          <w:sz w:val="20"/>
          <w:szCs w:val="20"/>
          <w:color w:val="auto"/>
        </w:rPr>
      </w:pPr>
      <w:r>
        <w:rPr>
          <w:rFonts w:ascii="Times New Roman" w:cs="Times New Roman" w:eastAsia="Times New Roman" w:hAnsi="Times New Roman"/>
          <w:sz w:val="16"/>
          <w:szCs w:val="16"/>
          <w:b w:val="1"/>
          <w:bCs w:val="1"/>
          <w:color w:val="auto"/>
        </w:rPr>
        <w:t>THE BANK OF NOVA SCOTIA</w:t>
      </w:r>
    </w:p>
    <w:p>
      <w:pPr>
        <w:spacing w:after="0" w:line="2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as Syndication Agents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t>
      </w:r>
      <w:r>
        <w:rPr>
          <w:rFonts w:ascii="Times New Roman" w:cs="Times New Roman" w:eastAsia="Times New Roman" w:hAnsi="Times New Roman"/>
          <w:sz w:val="14"/>
          <w:szCs w:val="14"/>
          <w:b w:val="1"/>
          <w:bCs w:val="1"/>
          <w:color w:val="FF0000"/>
          <w:strike w:val="1"/>
        </w:rPr>
        <w:t>4551558.2</w:t>
      </w:r>
      <w:r>
        <w:rPr>
          <w:rFonts w:ascii="Times New Roman" w:cs="Times New Roman" w:eastAsia="Times New Roman" w:hAnsi="Times New Roman"/>
          <w:sz w:val="14"/>
          <w:szCs w:val="14"/>
          <w:b w:val="1"/>
          <w:bCs w:val="1"/>
          <w:u w:val="single" w:color="auto"/>
          <w:color w:val="0000FF"/>
        </w:rPr>
        <w:t>4551558.8</w:t>
      </w:r>
    </w:p>
    <w:p>
      <w:pPr>
        <w:sectPr>
          <w:pgSz w:w="11900" w:h="16838" w:orient="portrait"/>
          <w:cols w:equalWidth="0" w:num="1">
            <w:col w:w="10219"/>
          </w:cols>
          <w:pgMar w:left="240" w:top="596"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ACCOUNTING MATTERS AND RULES OF CONSTRUCTION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2440" w:type="dxa"/>
            <w:vAlign w:val="bottom"/>
            <w:gridSpan w:val="35"/>
          </w:tcPr>
          <w:p>
            <w:pPr>
              <w:ind w:left="140"/>
              <w:spacing w:after="0"/>
              <w:rPr>
                <w:sz w:val="20"/>
                <w:szCs w:val="20"/>
                <w:color w:val="auto"/>
              </w:rPr>
            </w:pPr>
            <w:r>
              <w:rPr>
                <w:rFonts w:ascii="Times New Roman" w:cs="Times New Roman" w:eastAsia="Times New Roman" w:hAnsi="Times New Roman"/>
                <w:sz w:val="18"/>
                <w:szCs w:val="18"/>
                <w:color w:val="auto"/>
              </w:rPr>
              <w:t>Certain Defined Terms  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51</w:t>
            </w:r>
          </w:p>
        </w:tc>
        <w:tc>
          <w:tcPr>
            <w:tcW w:w="2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1.02.</w:t>
            </w:r>
          </w:p>
        </w:tc>
        <w:tc>
          <w:tcPr>
            <w:tcW w:w="3120" w:type="dxa"/>
            <w:vAlign w:val="bottom"/>
            <w:gridSpan w:val="44"/>
          </w:tcPr>
          <w:p>
            <w:pPr>
              <w:ind w:left="140"/>
              <w:spacing w:after="0" w:line="194" w:lineRule="exact"/>
              <w:rPr>
                <w:sz w:val="20"/>
                <w:szCs w:val="20"/>
                <w:color w:val="auto"/>
              </w:rPr>
            </w:pPr>
            <w:r>
              <w:rPr>
                <w:rFonts w:ascii="Times New Roman" w:cs="Times New Roman" w:eastAsia="Times New Roman" w:hAnsi="Times New Roman"/>
                <w:sz w:val="18"/>
                <w:szCs w:val="18"/>
                <w:color w:val="auto"/>
              </w:rPr>
              <w:t>Accounting Terms and Determinations</w:t>
            </w:r>
          </w:p>
        </w:tc>
        <w:tc>
          <w:tcPr>
            <w:tcW w:w="180" w:type="dxa"/>
            <w:vAlign w:val="bottom"/>
            <w:gridSpan w:val="2"/>
            <w:vMerge w:val="continue"/>
          </w:tcPr>
          <w:p>
            <w:pPr>
              <w:spacing w:after="0"/>
              <w:rPr>
                <w:sz w:val="16"/>
                <w:szCs w:val="16"/>
                <w:color w:val="auto"/>
              </w:rPr>
            </w:pPr>
          </w:p>
        </w:tc>
        <w:tc>
          <w:tcPr>
            <w:tcW w:w="2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2320" w:type="dxa"/>
            <w:vAlign w:val="bottom"/>
            <w:gridSpan w:val="32"/>
          </w:tcPr>
          <w:p>
            <w:pPr>
              <w:ind w:left="140"/>
              <w:spacing w:after="0" w:line="196" w:lineRule="exact"/>
              <w:rPr>
                <w:sz w:val="20"/>
                <w:szCs w:val="20"/>
                <w:color w:val="auto"/>
              </w:rPr>
            </w:pPr>
            <w:r>
              <w:rPr>
                <w:rFonts w:ascii="Times New Roman" w:cs="Times New Roman" w:eastAsia="Times New Roman" w:hAnsi="Times New Roman"/>
                <w:sz w:val="18"/>
                <w:szCs w:val="18"/>
                <w:color w:val="auto"/>
              </w:rPr>
              <w:t>Classes and Types of Loans</w:t>
            </w:r>
          </w:p>
        </w:tc>
        <w:tc>
          <w:tcPr>
            <w:tcW w:w="1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51</w:t>
            </w:r>
          </w:p>
        </w:tc>
        <w:tc>
          <w:tcPr>
            <w:tcW w:w="18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53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1.04.</w:t>
            </w:r>
          </w:p>
        </w:tc>
        <w:tc>
          <w:tcPr>
            <w:tcW w:w="1680" w:type="dxa"/>
            <w:vAlign w:val="bottom"/>
            <w:gridSpan w:val="18"/>
          </w:tcPr>
          <w:p>
            <w:pPr>
              <w:ind w:left="140"/>
              <w:spacing w:after="0" w:line="196" w:lineRule="exact"/>
              <w:rPr>
                <w:sz w:val="20"/>
                <w:szCs w:val="20"/>
                <w:color w:val="auto"/>
              </w:rPr>
            </w:pPr>
            <w:r>
              <w:rPr>
                <w:rFonts w:ascii="Times New Roman" w:cs="Times New Roman" w:eastAsia="Times New Roman" w:hAnsi="Times New Roman"/>
                <w:sz w:val="18"/>
                <w:szCs w:val="18"/>
                <w:color w:val="auto"/>
                <w:w w:val="94"/>
              </w:rPr>
              <w:t>Rules of Construction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52</w:t>
            </w:r>
          </w:p>
        </w:tc>
        <w:tc>
          <w:tcPr>
            <w:tcW w:w="18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54</w:t>
            </w:r>
          </w:p>
        </w:tc>
        <w:tc>
          <w:tcPr>
            <w:tcW w:w="20" w:type="dxa"/>
            <w:vAlign w:val="bottom"/>
            <w:tcBorders>
              <w:bottom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9"/>
              </w:rPr>
              <w:t>52</w:t>
            </w:r>
          </w:p>
        </w:tc>
        <w:tc>
          <w:tcPr>
            <w:tcW w:w="2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1.05.</w:t>
            </w:r>
          </w:p>
        </w:tc>
        <w:tc>
          <w:tcPr>
            <w:tcW w:w="3120" w:type="dxa"/>
            <w:vAlign w:val="bottom"/>
            <w:gridSpan w:val="44"/>
          </w:tcPr>
          <w:p>
            <w:pPr>
              <w:ind w:left="140"/>
              <w:spacing w:after="0" w:line="196" w:lineRule="exact"/>
              <w:rPr>
                <w:sz w:val="20"/>
                <w:szCs w:val="20"/>
                <w:color w:val="auto"/>
              </w:rPr>
            </w:pPr>
            <w:r>
              <w:rPr>
                <w:rFonts w:ascii="Times New Roman" w:cs="Times New Roman" w:eastAsia="Times New Roman" w:hAnsi="Times New Roman"/>
                <w:sz w:val="18"/>
                <w:szCs w:val="18"/>
                <w:color w:val="auto"/>
              </w:rPr>
              <w:t>Exchange Rates; Currency Equivalents</w:t>
            </w:r>
          </w:p>
        </w:tc>
        <w:tc>
          <w:tcPr>
            <w:tcW w:w="200" w:type="dxa"/>
            <w:vAlign w:val="bottom"/>
            <w:gridSpan w:val="3"/>
            <w:vMerge w:val="continue"/>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2020" w:type="dxa"/>
            <w:vAlign w:val="bottom"/>
            <w:gridSpan w:val="25"/>
          </w:tcPr>
          <w:p>
            <w:pPr>
              <w:ind w:left="140"/>
              <w:spacing w:after="0" w:line="196" w:lineRule="exact"/>
              <w:rPr>
                <w:sz w:val="20"/>
                <w:szCs w:val="20"/>
                <w:color w:val="auto"/>
              </w:rPr>
            </w:pPr>
            <w:r>
              <w:rPr>
                <w:rFonts w:ascii="Times New Roman" w:cs="Times New Roman" w:eastAsia="Times New Roman" w:hAnsi="Times New Roman"/>
                <w:sz w:val="18"/>
                <w:szCs w:val="18"/>
                <w:color w:val="auto"/>
              </w:rPr>
              <w:t>Pro Forma Calculations</w:t>
            </w:r>
          </w:p>
        </w:tc>
        <w:tc>
          <w:tcPr>
            <w:tcW w:w="1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53</w:t>
            </w:r>
          </w:p>
        </w:tc>
        <w:tc>
          <w:tcPr>
            <w:tcW w:w="20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55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1.07.</w:t>
            </w:r>
          </w:p>
        </w:tc>
        <w:tc>
          <w:tcPr>
            <w:tcW w:w="2020" w:type="dxa"/>
            <w:vAlign w:val="bottom"/>
            <w:gridSpan w:val="25"/>
          </w:tcPr>
          <w:p>
            <w:pPr>
              <w:ind w:left="140"/>
              <w:spacing w:after="0" w:line="196" w:lineRule="exact"/>
              <w:rPr>
                <w:sz w:val="20"/>
                <w:szCs w:val="20"/>
                <w:color w:val="auto"/>
              </w:rPr>
            </w:pPr>
            <w:r>
              <w:rPr>
                <w:rFonts w:ascii="Times New Roman" w:cs="Times New Roman" w:eastAsia="Times New Roman" w:hAnsi="Times New Roman"/>
                <w:sz w:val="18"/>
                <w:szCs w:val="18"/>
                <w:color w:val="auto"/>
              </w:rPr>
              <w:t>Letter of Credit Amounts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54</w:t>
            </w:r>
          </w:p>
        </w:tc>
        <w:tc>
          <w:tcPr>
            <w:tcW w:w="20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56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6"/>
            <w:vMerge w:val="restart"/>
          </w:tcPr>
          <w:p>
            <w:pPr>
              <w:jc w:val="center"/>
              <w:ind w:right="1980"/>
              <w:spacing w:after="0"/>
              <w:rPr>
                <w:sz w:val="20"/>
                <w:szCs w:val="20"/>
                <w:color w:val="auto"/>
              </w:rPr>
            </w:pPr>
            <w:r>
              <w:rPr>
                <w:rFonts w:ascii="Times New Roman" w:cs="Times New Roman" w:eastAsia="Times New Roman" w:hAnsi="Times New Roman"/>
                <w:sz w:val="18"/>
                <w:szCs w:val="18"/>
                <w:color w:val="auto"/>
                <w:w w:val="98"/>
              </w:rPr>
              <w:t>ARTICLE II.</w:t>
            </w:r>
          </w:p>
        </w:tc>
        <w:tc>
          <w:tcPr>
            <w:tcW w:w="0" w:type="dxa"/>
            <w:vAlign w:val="bottom"/>
          </w:tcPr>
          <w:p>
            <w:pPr>
              <w:spacing w:after="0"/>
              <w:rPr>
                <w:sz w:val="1"/>
                <w:szCs w:val="1"/>
                <w:color w:val="auto"/>
              </w:rPr>
            </w:pPr>
          </w:p>
        </w:tc>
      </w:tr>
      <w:tr>
        <w:trPr>
          <w:trHeight w:val="453"/>
        </w:trPr>
        <w:tc>
          <w:tcPr>
            <w:tcW w:w="5200" w:type="dxa"/>
            <w:vAlign w:val="bottom"/>
            <w:gridSpan w:val="56"/>
          </w:tcPr>
          <w:p>
            <w:pPr>
              <w:spacing w:after="0"/>
              <w:rPr>
                <w:sz w:val="24"/>
                <w:szCs w:val="24"/>
                <w:color w:val="auto"/>
              </w:rPr>
            </w:pPr>
          </w:p>
        </w:tc>
        <w:tc>
          <w:tcPr>
            <w:tcW w:w="298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gridSpan w:val="62"/>
          </w:tcPr>
          <w:p>
            <w:pPr>
              <w:spacing w:after="0"/>
              <w:rPr>
                <w:sz w:val="20"/>
                <w:szCs w:val="20"/>
                <w:color w:val="auto"/>
              </w:rPr>
            </w:pPr>
            <w:r>
              <w:rPr>
                <w:rFonts w:ascii="Times New Roman" w:cs="Times New Roman" w:eastAsia="Times New Roman" w:hAnsi="Times New Roman"/>
                <w:sz w:val="18"/>
                <w:szCs w:val="18"/>
                <w:color w:val="auto"/>
              </w:rPr>
              <w:t>CREDITS</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54</w:t>
            </w: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56</w:t>
            </w:r>
          </w:p>
        </w:tc>
        <w:tc>
          <w:tcPr>
            <w:tcW w:w="40" w:type="dxa"/>
            <w:vAlign w:val="bottom"/>
          </w:tcPr>
          <w:p>
            <w:pPr>
              <w:spacing w:after="0"/>
              <w:rPr>
                <w:sz w:val="24"/>
                <w:szCs w:val="24"/>
                <w:color w:val="auto"/>
              </w:rPr>
            </w:pPr>
          </w:p>
        </w:tc>
        <w:tc>
          <w:tcPr>
            <w:tcW w:w="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55</w:t>
            </w:r>
          </w:p>
        </w:tc>
        <w:tc>
          <w:tcPr>
            <w:tcW w:w="24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7"/>
                <w:szCs w:val="17"/>
                <w:b w:val="1"/>
                <w:bCs w:val="1"/>
                <w:color w:val="0000FF"/>
                <w:w w:val="70"/>
              </w:rPr>
              <w:t>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2.02.</w:t>
            </w:r>
          </w:p>
        </w:tc>
        <w:tc>
          <w:tcPr>
            <w:tcW w:w="1000" w:type="dxa"/>
            <w:vAlign w:val="bottom"/>
            <w:gridSpan w:val="5"/>
          </w:tcPr>
          <w:p>
            <w:pPr>
              <w:ind w:left="140"/>
              <w:spacing w:after="0" w:line="196" w:lineRule="exact"/>
              <w:rPr>
                <w:sz w:val="20"/>
                <w:szCs w:val="20"/>
                <w:color w:val="auto"/>
              </w:rPr>
            </w:pPr>
            <w:r>
              <w:rPr>
                <w:rFonts w:ascii="Times New Roman" w:cs="Times New Roman" w:eastAsia="Times New Roman" w:hAnsi="Times New Roman"/>
                <w:sz w:val="18"/>
                <w:szCs w:val="18"/>
                <w:color w:val="auto"/>
                <w:w w:val="98"/>
              </w:rPr>
              <w:t>Borrowings</w:t>
            </w:r>
          </w:p>
        </w:tc>
        <w:tc>
          <w:tcPr>
            <w:tcW w:w="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2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Borders>
              <w:right w:val="single" w:sz="8" w:color="0000FF"/>
            </w:tcBorders>
            <w:gridSpan w:val="14"/>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36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2.03.</w:t>
            </w:r>
          </w:p>
        </w:tc>
        <w:tc>
          <w:tcPr>
            <w:tcW w:w="132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Letters of Credit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FF0000"/>
                <w:strike w:val="1"/>
                <w:w w:val="70"/>
              </w:rPr>
              <w:t>55</w:t>
            </w:r>
          </w:p>
        </w:tc>
        <w:tc>
          <w:tcPr>
            <w:tcW w:w="22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62</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64</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3540" w:type="dxa"/>
            <w:vAlign w:val="bottom"/>
            <w:gridSpan w:val="52"/>
          </w:tcPr>
          <w:p>
            <w:pPr>
              <w:ind w:left="140"/>
              <w:spacing w:after="0" w:line="196" w:lineRule="exact"/>
              <w:rPr>
                <w:sz w:val="20"/>
                <w:szCs w:val="20"/>
                <w:color w:val="auto"/>
              </w:rPr>
            </w:pPr>
            <w:r>
              <w:rPr>
                <w:rFonts w:ascii="Times New Roman" w:cs="Times New Roman" w:eastAsia="Times New Roman" w:hAnsi="Times New Roman"/>
                <w:sz w:val="18"/>
                <w:szCs w:val="18"/>
                <w:color w:val="auto"/>
              </w:rPr>
              <w:t>Termination and Reductions of Commitment</w:t>
            </w:r>
          </w:p>
        </w:tc>
        <w:tc>
          <w:tcPr>
            <w:tcW w:w="18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6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63</w:t>
            </w:r>
          </w:p>
        </w:tc>
        <w:tc>
          <w:tcPr>
            <w:tcW w:w="18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65</w:t>
            </w:r>
          </w:p>
        </w:tc>
        <w:tc>
          <w:tcPr>
            <w:tcW w:w="520" w:type="dxa"/>
            <w:vAlign w:val="bottom"/>
            <w:gridSpan w:val="10"/>
          </w:tcPr>
          <w:p>
            <w:pPr>
              <w:spacing w:after="0"/>
              <w:rPr>
                <w:sz w:val="17"/>
                <w:szCs w:val="17"/>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77"/>
              </w:rPr>
              <w:t>63</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66</w:t>
            </w:r>
          </w:p>
        </w:tc>
        <w:tc>
          <w:tcPr>
            <w:tcW w:w="1860" w:type="dxa"/>
            <w:vAlign w:val="bottom"/>
            <w:gridSpan w:val="32"/>
          </w:tcPr>
          <w:p>
            <w:pPr>
              <w:spacing w:after="0"/>
              <w:rPr>
                <w:sz w:val="17"/>
                <w:szCs w:val="17"/>
                <w:color w:val="auto"/>
              </w:rPr>
            </w:pPr>
          </w:p>
        </w:tc>
        <w:tc>
          <w:tcPr>
            <w:tcW w:w="180" w:type="dxa"/>
            <w:vAlign w:val="bottom"/>
            <w:tcBorders>
              <w:top w:val="single" w:sz="8" w:color="0000FF"/>
            </w:tcBorders>
            <w:gridSpan w:val="2"/>
          </w:tcPr>
          <w:p>
            <w:pPr>
              <w:spacing w:after="0"/>
              <w:rPr>
                <w:sz w:val="17"/>
                <w:szCs w:val="17"/>
                <w:color w:val="auto"/>
              </w:rPr>
            </w:pPr>
          </w:p>
        </w:tc>
        <w:tc>
          <w:tcPr>
            <w:tcW w:w="2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132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w w:val="98"/>
              </w:rPr>
              <w:t>Lending Offices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3"/>
            <w:vMerge w:val="continue"/>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64</w:t>
            </w:r>
          </w:p>
        </w:tc>
        <w:tc>
          <w:tcPr>
            <w:tcW w:w="3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0000FF"/>
                <w:w w:val="88"/>
              </w:rPr>
              <w:t>66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2.07.</w:t>
            </w:r>
          </w:p>
        </w:tc>
        <w:tc>
          <w:tcPr>
            <w:tcW w:w="2440" w:type="dxa"/>
            <w:vAlign w:val="bottom"/>
            <w:gridSpan w:val="35"/>
          </w:tcPr>
          <w:p>
            <w:pPr>
              <w:ind w:left="140"/>
              <w:spacing w:after="0" w:line="196" w:lineRule="exact"/>
              <w:rPr>
                <w:sz w:val="20"/>
                <w:szCs w:val="20"/>
                <w:color w:val="auto"/>
              </w:rPr>
            </w:pPr>
            <w:r>
              <w:rPr>
                <w:rFonts w:ascii="Times New Roman" w:cs="Times New Roman" w:eastAsia="Times New Roman" w:hAnsi="Times New Roman"/>
                <w:sz w:val="18"/>
                <w:szCs w:val="18"/>
                <w:color w:val="auto"/>
              </w:rPr>
              <w:t>Several Obligations of Lenders</w:t>
            </w:r>
          </w:p>
        </w:tc>
        <w:tc>
          <w:tcPr>
            <w:tcW w:w="120" w:type="dxa"/>
            <w:vAlign w:val="bottom"/>
            <w:gridSpan w:val="3"/>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132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rPr>
              <w:t>Notes; Register</w:t>
            </w:r>
          </w:p>
        </w:tc>
        <w:tc>
          <w:tcPr>
            <w:tcW w:w="60" w:type="dxa"/>
            <w:vAlign w:val="bottom"/>
          </w:tcPr>
          <w:p>
            <w:pPr>
              <w:spacing w:after="0"/>
              <w:rPr>
                <w:sz w:val="17"/>
                <w:szCs w:val="17"/>
                <w:color w:val="auto"/>
              </w:rPr>
            </w:pPr>
          </w:p>
        </w:tc>
        <w:tc>
          <w:tcPr>
            <w:tcW w:w="2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64</w:t>
            </w:r>
          </w:p>
        </w:tc>
        <w:tc>
          <w:tcPr>
            <w:tcW w:w="1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64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67</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2.09.</w:t>
            </w:r>
          </w:p>
        </w:tc>
        <w:tc>
          <w:tcPr>
            <w:tcW w:w="5100" w:type="dxa"/>
            <w:vAlign w:val="bottom"/>
            <w:gridSpan w:val="58"/>
          </w:tcPr>
          <w:p>
            <w:pPr>
              <w:ind w:left="140"/>
              <w:spacing w:after="0" w:line="196" w:lineRule="exact"/>
              <w:rPr>
                <w:sz w:val="20"/>
                <w:szCs w:val="20"/>
                <w:color w:val="auto"/>
              </w:rPr>
            </w:pPr>
            <w:r>
              <w:rPr>
                <w:rFonts w:ascii="Times New Roman" w:cs="Times New Roman" w:eastAsia="Times New Roman" w:hAnsi="Times New Roman"/>
                <w:sz w:val="18"/>
                <w:szCs w:val="18"/>
                <w:color w:val="auto"/>
              </w:rPr>
              <w:t>Optional Prepayments and Conversions or Continuations of Loans</w:t>
            </w:r>
          </w:p>
        </w:tc>
        <w:tc>
          <w:tcPr>
            <w:tcW w:w="180" w:type="dxa"/>
            <w:vAlign w:val="bottom"/>
            <w:vMerge w:val="continue"/>
          </w:tcPr>
          <w:p>
            <w:pPr>
              <w:spacing w:after="0"/>
              <w:rPr>
                <w:sz w:val="17"/>
                <w:szCs w:val="17"/>
                <w:color w:val="auto"/>
              </w:rPr>
            </w:pPr>
          </w:p>
        </w:tc>
        <w:tc>
          <w:tcPr>
            <w:tcW w:w="180" w:type="dxa"/>
            <w:vAlign w:val="bottom"/>
            <w:tcBorders>
              <w:bottom w:val="single" w:sz="8" w:color="0000FF"/>
            </w:tcBorders>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2.10.</w:t>
            </w:r>
          </w:p>
        </w:tc>
        <w:tc>
          <w:tcPr>
            <w:tcW w:w="2020" w:type="dxa"/>
            <w:vAlign w:val="bottom"/>
            <w:gridSpan w:val="25"/>
          </w:tcPr>
          <w:p>
            <w:pPr>
              <w:ind w:left="140"/>
              <w:spacing w:after="0" w:line="196" w:lineRule="exact"/>
              <w:rPr>
                <w:sz w:val="20"/>
                <w:szCs w:val="20"/>
                <w:color w:val="auto"/>
              </w:rPr>
            </w:pPr>
            <w:r>
              <w:rPr>
                <w:rFonts w:ascii="Times New Roman" w:cs="Times New Roman" w:eastAsia="Times New Roman" w:hAnsi="Times New Roman"/>
                <w:sz w:val="18"/>
                <w:szCs w:val="18"/>
                <w:color w:val="auto"/>
              </w:rPr>
              <w:t>Mandatory Prepayments</w:t>
            </w:r>
          </w:p>
        </w:tc>
        <w:tc>
          <w:tcPr>
            <w:tcW w:w="60" w:type="dxa"/>
            <w:vAlign w:val="bottom"/>
          </w:tcPr>
          <w:p>
            <w:pPr>
              <w:spacing w:after="0"/>
              <w:rPr>
                <w:sz w:val="17"/>
                <w:szCs w:val="17"/>
                <w:color w:val="auto"/>
              </w:rPr>
            </w:pPr>
          </w:p>
        </w:tc>
        <w:tc>
          <w:tcPr>
            <w:tcW w:w="1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65</w:t>
            </w:r>
          </w:p>
        </w:tc>
        <w:tc>
          <w:tcPr>
            <w:tcW w:w="20" w:type="dxa"/>
            <w:vAlign w:val="bottom"/>
            <w:tcBorders>
              <w:bottom w:val="single" w:sz="8" w:color="0000FF"/>
            </w:tcBorders>
          </w:tcPr>
          <w:p>
            <w:pPr>
              <w:spacing w:after="0"/>
              <w:rPr>
                <w:sz w:val="17"/>
                <w:szCs w:val="17"/>
                <w:color w:val="auto"/>
              </w:rPr>
            </w:pPr>
          </w:p>
        </w:tc>
        <w:tc>
          <w:tcPr>
            <w:tcW w:w="16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77"/>
              </w:rPr>
              <w:t>68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2.11.</w:t>
            </w:r>
          </w:p>
        </w:tc>
        <w:tc>
          <w:tcPr>
            <w:tcW w:w="2020" w:type="dxa"/>
            <w:vAlign w:val="bottom"/>
            <w:gridSpan w:val="25"/>
          </w:tcPr>
          <w:p>
            <w:pPr>
              <w:ind w:left="140"/>
              <w:spacing w:after="0" w:line="196" w:lineRule="exact"/>
              <w:rPr>
                <w:sz w:val="20"/>
                <w:szCs w:val="20"/>
                <w:color w:val="auto"/>
              </w:rPr>
            </w:pPr>
            <w:r>
              <w:rPr>
                <w:rFonts w:ascii="Times New Roman" w:cs="Times New Roman" w:eastAsia="Times New Roman" w:hAnsi="Times New Roman"/>
                <w:sz w:val="18"/>
                <w:szCs w:val="18"/>
                <w:color w:val="auto"/>
              </w:rPr>
              <w:t>Replacement of Lenders</w:t>
            </w:r>
          </w:p>
        </w:tc>
        <w:tc>
          <w:tcPr>
            <w:tcW w:w="2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69</w:t>
            </w:r>
          </w:p>
        </w:tc>
        <w:tc>
          <w:tcPr>
            <w:tcW w:w="18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72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1000" w:type="dxa"/>
            <w:vAlign w:val="bottom"/>
            <w:gridSpan w:val="5"/>
          </w:tcPr>
          <w:p>
            <w:pPr>
              <w:ind w:left="14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40" w:type="dxa"/>
            <w:vAlign w:val="bottom"/>
          </w:tcPr>
          <w:p>
            <w:pPr>
              <w:spacing w:after="0"/>
              <w:rPr>
                <w:sz w:val="17"/>
                <w:szCs w:val="17"/>
                <w:color w:val="auto"/>
              </w:rPr>
            </w:pPr>
          </w:p>
        </w:tc>
        <w:tc>
          <w:tcPr>
            <w:tcW w:w="2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70</w:t>
            </w:r>
          </w:p>
        </w:tc>
        <w:tc>
          <w:tcPr>
            <w:tcW w:w="18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70</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73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3120" w:type="dxa"/>
            <w:vAlign w:val="bottom"/>
            <w:gridSpan w:val="44"/>
          </w:tcPr>
          <w:p>
            <w:pPr>
              <w:ind w:left="140"/>
              <w:spacing w:after="0" w:line="196" w:lineRule="exact"/>
              <w:rPr>
                <w:sz w:val="20"/>
                <w:szCs w:val="20"/>
                <w:color w:val="auto"/>
              </w:rPr>
            </w:pPr>
            <w:r>
              <w:rPr>
                <w:rFonts w:ascii="Times New Roman" w:cs="Times New Roman" w:eastAsia="Times New Roman" w:hAnsi="Times New Roman"/>
                <w:sz w:val="18"/>
                <w:szCs w:val="18"/>
                <w:color w:val="auto"/>
              </w:rPr>
              <w:t>Extensions of Loans and Commitments</w:t>
            </w:r>
          </w:p>
        </w:tc>
        <w:tc>
          <w:tcPr>
            <w:tcW w:w="4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tcBorders>
              <w:bottom w:val="single" w:sz="8" w:color="0000FF"/>
            </w:tcBorders>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2.14.</w:t>
            </w:r>
          </w:p>
        </w:tc>
        <w:tc>
          <w:tcPr>
            <w:tcW w:w="2440" w:type="dxa"/>
            <w:vAlign w:val="bottom"/>
            <w:gridSpan w:val="35"/>
          </w:tcPr>
          <w:p>
            <w:pPr>
              <w:ind w:left="140"/>
              <w:spacing w:after="0" w:line="196" w:lineRule="exact"/>
              <w:rPr>
                <w:sz w:val="20"/>
                <w:szCs w:val="20"/>
                <w:color w:val="auto"/>
              </w:rPr>
            </w:pPr>
            <w:r>
              <w:rPr>
                <w:rFonts w:ascii="Times New Roman" w:cs="Times New Roman" w:eastAsia="Times New Roman" w:hAnsi="Times New Roman"/>
                <w:sz w:val="18"/>
                <w:szCs w:val="18"/>
                <w:color w:val="auto"/>
              </w:rPr>
              <w:t>Defaulting Lender Provisions</w:t>
            </w:r>
          </w:p>
        </w:tc>
        <w:tc>
          <w:tcPr>
            <w:tcW w:w="1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72</w:t>
            </w:r>
          </w:p>
        </w:tc>
        <w:tc>
          <w:tcPr>
            <w:tcW w:w="300" w:type="dxa"/>
            <w:vAlign w:val="bottom"/>
            <w:gridSpan w:val="4"/>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75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2020" w:type="dxa"/>
            <w:vAlign w:val="bottom"/>
            <w:gridSpan w:val="25"/>
          </w:tcPr>
          <w:p>
            <w:pPr>
              <w:ind w:left="140"/>
              <w:spacing w:after="0" w:line="196" w:lineRule="exact"/>
              <w:rPr>
                <w:sz w:val="20"/>
                <w:szCs w:val="20"/>
                <w:color w:val="auto"/>
              </w:rPr>
            </w:pPr>
            <w:r>
              <w:rPr>
                <w:rFonts w:ascii="Times New Roman" w:cs="Times New Roman" w:eastAsia="Times New Roman" w:hAnsi="Times New Roman"/>
                <w:sz w:val="18"/>
                <w:szCs w:val="18"/>
                <w:color w:val="auto"/>
                <w:w w:val="98"/>
              </w:rPr>
              <w:t>Refinancing Amendments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74</w:t>
            </w:r>
          </w:p>
        </w:tc>
        <w:tc>
          <w:tcPr>
            <w:tcW w:w="24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76</w:t>
            </w: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2.16.</w:t>
            </w:r>
          </w:p>
        </w:tc>
        <w:tc>
          <w:tcPr>
            <w:tcW w:w="132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Cash Collateral.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9"/>
              </w:rPr>
              <w:t>76</w:t>
            </w:r>
          </w:p>
        </w:tc>
        <w:tc>
          <w:tcPr>
            <w:tcW w:w="1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77"/>
              </w:rPr>
              <w:t>78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gridSpan w:val="7"/>
            <w:vMerge w:val="restart"/>
          </w:tcPr>
          <w:p>
            <w:pPr>
              <w:jc w:val="center"/>
              <w:ind w:right="1860"/>
              <w:spacing w:after="0"/>
              <w:rPr>
                <w:sz w:val="20"/>
                <w:szCs w:val="20"/>
                <w:color w:val="auto"/>
              </w:rPr>
            </w:pPr>
            <w:r>
              <w:rPr>
                <w:rFonts w:ascii="Times New Roman" w:cs="Times New Roman" w:eastAsia="Times New Roman" w:hAnsi="Times New Roman"/>
                <w:sz w:val="18"/>
                <w:szCs w:val="18"/>
                <w:color w:val="auto"/>
                <w:w w:val="99"/>
              </w:rPr>
              <w:t>ARTICLE III.</w:t>
            </w:r>
          </w:p>
        </w:tc>
        <w:tc>
          <w:tcPr>
            <w:tcW w:w="0" w:type="dxa"/>
            <w:vAlign w:val="bottom"/>
          </w:tcPr>
          <w:p>
            <w:pPr>
              <w:spacing w:after="0"/>
              <w:rPr>
                <w:sz w:val="1"/>
                <w:szCs w:val="1"/>
                <w:color w:val="auto"/>
              </w:rPr>
            </w:pPr>
          </w:p>
        </w:tc>
      </w:tr>
      <w:tr>
        <w:trPr>
          <w:trHeight w:val="453"/>
        </w:trPr>
        <w:tc>
          <w:tcPr>
            <w:tcW w:w="2980" w:type="dxa"/>
            <w:vAlign w:val="bottom"/>
            <w:gridSpan w:val="19"/>
          </w:tcPr>
          <w:p>
            <w:pPr>
              <w:spacing w:after="0"/>
              <w:rPr>
                <w:sz w:val="24"/>
                <w:szCs w:val="24"/>
                <w:color w:val="auto"/>
              </w:rPr>
            </w:pPr>
          </w:p>
        </w:tc>
        <w:tc>
          <w:tcPr>
            <w:tcW w:w="180" w:type="dxa"/>
            <w:vAlign w:val="bottom"/>
            <w:tcBorders>
              <w:top w:val="single" w:sz="8" w:color="0000FF"/>
            </w:tcBorders>
            <w:gridSpan w:val="3"/>
          </w:tcPr>
          <w:p>
            <w:pPr>
              <w:spacing w:after="0"/>
              <w:rPr>
                <w:sz w:val="24"/>
                <w:szCs w:val="24"/>
                <w:color w:val="auto"/>
              </w:rPr>
            </w:pPr>
          </w:p>
        </w:tc>
        <w:tc>
          <w:tcPr>
            <w:tcW w:w="1900" w:type="dxa"/>
            <w:vAlign w:val="bottom"/>
            <w:gridSpan w:val="33"/>
          </w:tcPr>
          <w:p>
            <w:pPr>
              <w:spacing w:after="0"/>
              <w:rPr>
                <w:sz w:val="24"/>
                <w:szCs w:val="24"/>
                <w:color w:val="auto"/>
              </w:rPr>
            </w:pPr>
          </w:p>
        </w:tc>
        <w:tc>
          <w:tcPr>
            <w:tcW w:w="31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gridSpan w:val="22"/>
          </w:tcPr>
          <w:p>
            <w:pPr>
              <w:jc w:val="center"/>
              <w:ind w:right="680"/>
              <w:spacing w:after="0"/>
              <w:rPr>
                <w:sz w:val="20"/>
                <w:szCs w:val="20"/>
                <w:color w:val="auto"/>
              </w:rPr>
            </w:pPr>
            <w:r>
              <w:rPr>
                <w:rFonts w:ascii="Times New Roman" w:cs="Times New Roman" w:eastAsia="Times New Roman" w:hAnsi="Times New Roman"/>
                <w:sz w:val="18"/>
                <w:szCs w:val="18"/>
                <w:color w:val="auto"/>
                <w:w w:val="98"/>
              </w:rPr>
              <w:t>PAYMENTS OF PRINCIPAL AND INTEREST</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168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auto"/>
                <w:w w:val="99"/>
              </w:rPr>
              <w:t>Repayment of Loans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77</w:t>
            </w:r>
          </w:p>
        </w:tc>
        <w:tc>
          <w:tcPr>
            <w:tcW w:w="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79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86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77</w:t>
            </w:r>
          </w:p>
        </w:tc>
        <w:tc>
          <w:tcPr>
            <w:tcW w:w="240" w:type="dxa"/>
            <w:vAlign w:val="bottom"/>
            <w:gridSpan w:val="5"/>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gridSpan w:val="7"/>
            <w:vMerge w:val="restart"/>
          </w:tcPr>
          <w:p>
            <w:pPr>
              <w:jc w:val="center"/>
              <w:ind w:right="1860"/>
              <w:spacing w:after="0"/>
              <w:rPr>
                <w:sz w:val="20"/>
                <w:szCs w:val="20"/>
                <w:color w:val="auto"/>
              </w:rPr>
            </w:pPr>
            <w:r>
              <w:rPr>
                <w:rFonts w:ascii="Times New Roman" w:cs="Times New Roman" w:eastAsia="Times New Roman" w:hAnsi="Times New Roman"/>
                <w:sz w:val="18"/>
                <w:szCs w:val="18"/>
                <w:color w:val="auto"/>
                <w:w w:val="98"/>
              </w:rPr>
              <w:t>ARTICLE IV.</w:t>
            </w:r>
          </w:p>
        </w:tc>
        <w:tc>
          <w:tcPr>
            <w:tcW w:w="0" w:type="dxa"/>
            <w:vAlign w:val="bottom"/>
          </w:tcPr>
          <w:p>
            <w:pPr>
              <w:spacing w:after="0"/>
              <w:rPr>
                <w:sz w:val="1"/>
                <w:szCs w:val="1"/>
                <w:color w:val="auto"/>
              </w:rPr>
            </w:pPr>
          </w:p>
        </w:tc>
      </w:tr>
      <w:tr>
        <w:trPr>
          <w:trHeight w:val="453"/>
        </w:trPr>
        <w:tc>
          <w:tcPr>
            <w:tcW w:w="2340" w:type="dxa"/>
            <w:vAlign w:val="bottom"/>
            <w:gridSpan w:val="7"/>
          </w:tcPr>
          <w:p>
            <w:pPr>
              <w:spacing w:after="0"/>
              <w:rPr>
                <w:sz w:val="24"/>
                <w:szCs w:val="24"/>
                <w:color w:val="auto"/>
              </w:rPr>
            </w:pPr>
          </w:p>
        </w:tc>
        <w:tc>
          <w:tcPr>
            <w:tcW w:w="180" w:type="dxa"/>
            <w:vAlign w:val="bottom"/>
            <w:tcBorders>
              <w:top w:val="single" w:sz="8" w:color="0000FF"/>
            </w:tcBorders>
            <w:gridSpan w:val="4"/>
          </w:tcPr>
          <w:p>
            <w:pPr>
              <w:spacing w:after="0"/>
              <w:rPr>
                <w:sz w:val="24"/>
                <w:szCs w:val="24"/>
                <w:color w:val="auto"/>
              </w:rPr>
            </w:pPr>
          </w:p>
        </w:tc>
        <w:tc>
          <w:tcPr>
            <w:tcW w:w="2540" w:type="dxa"/>
            <w:vAlign w:val="bottom"/>
            <w:gridSpan w:val="44"/>
          </w:tcPr>
          <w:p>
            <w:pPr>
              <w:spacing w:after="0"/>
              <w:rPr>
                <w:sz w:val="24"/>
                <w:szCs w:val="24"/>
                <w:color w:val="auto"/>
              </w:rPr>
            </w:pPr>
          </w:p>
        </w:tc>
        <w:tc>
          <w:tcPr>
            <w:tcW w:w="31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8"/>
          </w:tcPr>
          <w:p>
            <w:pPr>
              <w:jc w:val="center"/>
              <w:spacing w:after="0"/>
              <w:rPr>
                <w:sz w:val="20"/>
                <w:szCs w:val="20"/>
                <w:color w:val="auto"/>
              </w:rPr>
            </w:pPr>
            <w:r>
              <w:rPr>
                <w:rFonts w:ascii="Times New Roman" w:cs="Times New Roman" w:eastAsia="Times New Roman" w:hAnsi="Times New Roman"/>
                <w:sz w:val="18"/>
                <w:szCs w:val="18"/>
                <w:color w:val="auto"/>
                <w:w w:val="97"/>
              </w:rPr>
              <w:t>PAYMENTS; PRO RATA TREATMENT; COMPUTATIONS; ETC.</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9"/>
              </w:rPr>
              <w:t>78</w:t>
            </w:r>
          </w:p>
        </w:tc>
        <w:tc>
          <w:tcPr>
            <w:tcW w:w="1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80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78</w:t>
            </w: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1680" w:type="dxa"/>
            <w:vAlign w:val="bottom"/>
            <w:gridSpan w:val="18"/>
          </w:tcPr>
          <w:p>
            <w:pPr>
              <w:ind w:left="140"/>
              <w:spacing w:after="0" w:line="196" w:lineRule="exact"/>
              <w:rPr>
                <w:sz w:val="20"/>
                <w:szCs w:val="20"/>
                <w:color w:val="auto"/>
              </w:rPr>
            </w:pPr>
            <w:r>
              <w:rPr>
                <w:rFonts w:ascii="Times New Roman" w:cs="Times New Roman" w:eastAsia="Times New Roman" w:hAnsi="Times New Roman"/>
                <w:sz w:val="18"/>
                <w:szCs w:val="18"/>
                <w:color w:val="auto"/>
              </w:rPr>
              <w:t>Pro Rata Treatment</w:t>
            </w:r>
          </w:p>
        </w:tc>
        <w:tc>
          <w:tcPr>
            <w:tcW w:w="220" w:type="dxa"/>
            <w:vAlign w:val="bottom"/>
            <w:gridSpan w:val="4"/>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4.03.</w:t>
            </w:r>
          </w:p>
        </w:tc>
        <w:tc>
          <w:tcPr>
            <w:tcW w:w="132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rPr>
              <w:t>Computations</w:t>
            </w:r>
          </w:p>
        </w:tc>
        <w:tc>
          <w:tcPr>
            <w:tcW w:w="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79</w:t>
            </w:r>
          </w:p>
        </w:tc>
        <w:tc>
          <w:tcPr>
            <w:tcW w:w="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FF"/>
                <w:w w:val="70"/>
              </w:rPr>
              <w:t>81</w:t>
            </w:r>
          </w:p>
        </w:tc>
        <w:tc>
          <w:tcPr>
            <w:tcW w:w="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79</w:t>
            </w: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81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5"/>
            <w:vMerge w:val="continue"/>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4.04.</w:t>
            </w:r>
          </w:p>
        </w:tc>
        <w:tc>
          <w:tcPr>
            <w:tcW w:w="1680" w:type="dxa"/>
            <w:vAlign w:val="bottom"/>
            <w:gridSpan w:val="18"/>
          </w:tcPr>
          <w:p>
            <w:pPr>
              <w:ind w:left="140"/>
              <w:spacing w:after="0" w:line="196" w:lineRule="exact"/>
              <w:rPr>
                <w:sz w:val="20"/>
                <w:szCs w:val="20"/>
                <w:color w:val="auto"/>
              </w:rPr>
            </w:pPr>
            <w:r>
              <w:rPr>
                <w:rFonts w:ascii="Times New Roman" w:cs="Times New Roman" w:eastAsia="Times New Roman" w:hAnsi="Times New Roman"/>
                <w:sz w:val="18"/>
                <w:szCs w:val="18"/>
                <w:color w:val="auto"/>
              </w:rPr>
              <w:t>Minimum Amounts</w:t>
            </w:r>
          </w:p>
        </w:tc>
        <w:tc>
          <w:tcPr>
            <w:tcW w:w="240" w:type="dxa"/>
            <w:vAlign w:val="bottom"/>
            <w:gridSpan w:val="5"/>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4.05.</w:t>
            </w:r>
          </w:p>
        </w:tc>
        <w:tc>
          <w:tcPr>
            <w:tcW w:w="132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rPr>
              <w:t>Certain Notices</w:t>
            </w:r>
          </w:p>
        </w:tc>
        <w:tc>
          <w:tcPr>
            <w:tcW w:w="60" w:type="dxa"/>
            <w:vAlign w:val="bottom"/>
          </w:tcPr>
          <w:p>
            <w:pPr>
              <w:spacing w:after="0"/>
              <w:rPr>
                <w:sz w:val="17"/>
                <w:szCs w:val="17"/>
                <w:color w:val="auto"/>
              </w:rPr>
            </w:pPr>
          </w:p>
        </w:tc>
        <w:tc>
          <w:tcPr>
            <w:tcW w:w="2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79</w:t>
            </w:r>
          </w:p>
        </w:tc>
        <w:tc>
          <w:tcPr>
            <w:tcW w:w="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82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82</w:t>
            </w:r>
          </w:p>
        </w:tc>
        <w:tc>
          <w:tcPr>
            <w:tcW w:w="2760" w:type="dxa"/>
            <w:vAlign w:val="bottom"/>
            <w:gridSpan w:val="4"/>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60" w:type="dxa"/>
            <w:vAlign w:val="bottom"/>
            <w:gridSpan w:val="32"/>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4.06.</w:t>
            </w:r>
          </w:p>
        </w:tc>
        <w:tc>
          <w:tcPr>
            <w:tcW w:w="3760" w:type="dxa"/>
            <w:vAlign w:val="bottom"/>
            <w:gridSpan w:val="54"/>
          </w:tcPr>
          <w:p>
            <w:pPr>
              <w:ind w:left="140"/>
              <w:spacing w:after="0" w:line="196" w:lineRule="exact"/>
              <w:rPr>
                <w:sz w:val="20"/>
                <w:szCs w:val="20"/>
                <w:color w:val="auto"/>
              </w:rPr>
            </w:pPr>
            <w:r>
              <w:rPr>
                <w:rFonts w:ascii="Times New Roman" w:cs="Times New Roman" w:eastAsia="Times New Roman" w:hAnsi="Times New Roman"/>
                <w:sz w:val="18"/>
                <w:szCs w:val="18"/>
                <w:color w:val="auto"/>
              </w:rPr>
              <w:t>Non-Receipt of Funds by Administrative Agent</w:t>
            </w:r>
          </w:p>
        </w:tc>
        <w:tc>
          <w:tcPr>
            <w:tcW w:w="180" w:type="dxa"/>
            <w:vAlign w:val="bottom"/>
            <w:gridSpan w:val="2"/>
            <w:vMerge w:val="continue"/>
          </w:tcPr>
          <w:p>
            <w:pPr>
              <w:spacing w:after="0"/>
              <w:rPr>
                <w:sz w:val="17"/>
                <w:szCs w:val="17"/>
                <w:color w:val="auto"/>
              </w:rPr>
            </w:pPr>
          </w:p>
        </w:tc>
        <w:tc>
          <w:tcPr>
            <w:tcW w:w="180" w:type="dxa"/>
            <w:vAlign w:val="bottom"/>
            <w:tcBorders>
              <w:bottom w:val="single" w:sz="8" w:color="0000FF"/>
            </w:tcBorders>
            <w:vMerge w:val="continue"/>
          </w:tcPr>
          <w:p>
            <w:pPr>
              <w:spacing w:after="0"/>
              <w:rPr>
                <w:sz w:val="17"/>
                <w:szCs w:val="17"/>
                <w:color w:val="auto"/>
              </w:rPr>
            </w:pPr>
          </w:p>
        </w:tc>
        <w:tc>
          <w:tcPr>
            <w:tcW w:w="27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4.07.</w:t>
            </w:r>
          </w:p>
        </w:tc>
        <w:tc>
          <w:tcPr>
            <w:tcW w:w="3320" w:type="dxa"/>
            <w:vAlign w:val="bottom"/>
            <w:gridSpan w:val="47"/>
            <w:vMerge w:val="restart"/>
          </w:tcPr>
          <w:p>
            <w:pPr>
              <w:ind w:left="140"/>
              <w:spacing w:after="0"/>
              <w:rPr>
                <w:sz w:val="20"/>
                <w:szCs w:val="20"/>
                <w:color w:val="auto"/>
              </w:rPr>
            </w:pPr>
            <w:r>
              <w:rPr>
                <w:rFonts w:ascii="Times New Roman" w:cs="Times New Roman" w:eastAsia="Times New Roman" w:hAnsi="Times New Roman"/>
                <w:sz w:val="18"/>
                <w:szCs w:val="18"/>
                <w:color w:val="auto"/>
              </w:rPr>
              <w:t>Right of Setoff, Sharing of Payments; Etc</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81</w:t>
            </w:r>
          </w:p>
        </w:tc>
        <w:tc>
          <w:tcPr>
            <w:tcW w:w="26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0000FF"/>
                <w:w w:val="88"/>
              </w:rPr>
              <w:t>83</w:t>
            </w: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20" w:type="dxa"/>
            <w:vAlign w:val="bottom"/>
            <w:gridSpan w:val="5"/>
            <w:vMerge w:val="restart"/>
          </w:tcPr>
          <w:p>
            <w:pPr>
              <w:jc w:val="center"/>
              <w:ind w:right="1120"/>
              <w:spacing w:after="0"/>
              <w:rPr>
                <w:sz w:val="20"/>
                <w:szCs w:val="20"/>
                <w:color w:val="auto"/>
              </w:rPr>
            </w:pPr>
            <w:r>
              <w:rPr>
                <w:rFonts w:ascii="Times New Roman" w:cs="Times New Roman" w:eastAsia="Times New Roman" w:hAnsi="Times New Roman"/>
                <w:sz w:val="18"/>
                <w:szCs w:val="18"/>
                <w:color w:val="auto"/>
                <w:w w:val="95"/>
              </w:rPr>
              <w:t>ARTICLE V.</w:t>
            </w:r>
          </w:p>
        </w:tc>
        <w:tc>
          <w:tcPr>
            <w:tcW w:w="0" w:type="dxa"/>
            <w:vAlign w:val="bottom"/>
          </w:tcPr>
          <w:p>
            <w:pPr>
              <w:spacing w:after="0" w:line="20" w:lineRule="exact"/>
              <w:rPr>
                <w:sz w:val="1"/>
                <w:szCs w:val="1"/>
                <w:color w:val="auto"/>
              </w:rPr>
            </w:pPr>
          </w:p>
        </w:tc>
      </w:tr>
      <w:tr>
        <w:trPr>
          <w:trHeight w:val="174"/>
        </w:trPr>
        <w:tc>
          <w:tcPr>
            <w:tcW w:w="1300" w:type="dxa"/>
            <w:vAlign w:val="bottom"/>
            <w:vMerge w:val="continue"/>
          </w:tcPr>
          <w:p>
            <w:pPr>
              <w:spacing w:after="0"/>
              <w:rPr>
                <w:sz w:val="15"/>
                <w:szCs w:val="15"/>
                <w:color w:val="auto"/>
              </w:rPr>
            </w:pPr>
          </w:p>
        </w:tc>
        <w:tc>
          <w:tcPr>
            <w:tcW w:w="3320" w:type="dxa"/>
            <w:vAlign w:val="bottom"/>
            <w:gridSpan w:val="47"/>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0" w:type="dxa"/>
            <w:vAlign w:val="bottom"/>
            <w:gridSpan w:val="51"/>
          </w:tcPr>
          <w:p>
            <w:pPr>
              <w:spacing w:after="0"/>
              <w:rPr>
                <w:sz w:val="24"/>
                <w:szCs w:val="24"/>
                <w:color w:val="auto"/>
              </w:rPr>
            </w:pPr>
          </w:p>
        </w:tc>
        <w:tc>
          <w:tcPr>
            <w:tcW w:w="180" w:type="dxa"/>
            <w:vAlign w:val="bottom"/>
            <w:tcBorders>
              <w:top w:val="single" w:sz="8" w:color="0000FF"/>
            </w:tcBorders>
            <w:gridSpan w:val="4"/>
          </w:tcPr>
          <w:p>
            <w:pPr>
              <w:spacing w:after="0"/>
              <w:rPr>
                <w:sz w:val="24"/>
                <w:szCs w:val="24"/>
                <w:color w:val="auto"/>
              </w:rPr>
            </w:pPr>
          </w:p>
        </w:tc>
        <w:tc>
          <w:tcPr>
            <w:tcW w:w="160" w:type="dxa"/>
            <w:vAlign w:val="bottom"/>
            <w:gridSpan w:val="3"/>
          </w:tcPr>
          <w:p>
            <w:pPr>
              <w:spacing w:after="0"/>
              <w:rPr>
                <w:sz w:val="24"/>
                <w:szCs w:val="24"/>
                <w:color w:val="auto"/>
              </w:rPr>
            </w:pPr>
          </w:p>
        </w:tc>
        <w:tc>
          <w:tcPr>
            <w:tcW w:w="22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5"/>
          </w:tcPr>
          <w:p>
            <w:pPr>
              <w:jc w:val="center"/>
              <w:ind w:right="560"/>
              <w:spacing w:after="0"/>
              <w:rPr>
                <w:sz w:val="20"/>
                <w:szCs w:val="20"/>
                <w:color w:val="auto"/>
              </w:rPr>
            </w:pPr>
            <w:r>
              <w:rPr>
                <w:rFonts w:ascii="Times New Roman" w:cs="Times New Roman" w:eastAsia="Times New Roman" w:hAnsi="Times New Roman"/>
                <w:sz w:val="18"/>
                <w:szCs w:val="18"/>
                <w:color w:val="auto"/>
                <w:w w:val="99"/>
              </w:rPr>
              <w:t>YIELD PROTECTION, ETC.</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1560" w:type="dxa"/>
            <w:vAlign w:val="bottom"/>
            <w:gridSpan w:val="16"/>
          </w:tcPr>
          <w:p>
            <w:pPr>
              <w:ind w:left="140"/>
              <w:spacing w:after="0"/>
              <w:rPr>
                <w:sz w:val="20"/>
                <w:szCs w:val="20"/>
                <w:color w:val="auto"/>
              </w:rPr>
            </w:pPr>
            <w:r>
              <w:rPr>
                <w:rFonts w:ascii="Times New Roman" w:cs="Times New Roman" w:eastAsia="Times New Roman" w:hAnsi="Times New Roman"/>
                <w:sz w:val="18"/>
                <w:szCs w:val="18"/>
                <w:color w:val="auto"/>
              </w:rPr>
              <w:t>Additional Costs</w:t>
            </w:r>
          </w:p>
        </w:tc>
        <w:tc>
          <w:tcPr>
            <w:tcW w:w="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77"/>
              </w:rPr>
              <w:t>82</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9"/>
              </w:rPr>
              <w:t>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83</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85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gridSpan w:val="21"/>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20"/>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2920" w:type="dxa"/>
            <w:vAlign w:val="bottom"/>
            <w:gridSpan w:val="43"/>
          </w:tcPr>
          <w:p>
            <w:pPr>
              <w:ind w:left="140"/>
              <w:spacing w:after="0" w:line="196" w:lineRule="exact"/>
              <w:rPr>
                <w:sz w:val="20"/>
                <w:szCs w:val="20"/>
                <w:color w:val="auto"/>
              </w:rPr>
            </w:pPr>
            <w:r>
              <w:rPr>
                <w:rFonts w:ascii="Times New Roman" w:cs="Times New Roman" w:eastAsia="Times New Roman" w:hAnsi="Times New Roman"/>
                <w:sz w:val="18"/>
                <w:szCs w:val="18"/>
                <w:color w:val="auto"/>
              </w:rPr>
              <w:t>Inability To Determine Interest Rate</w:t>
            </w:r>
          </w:p>
        </w:tc>
        <w:tc>
          <w:tcPr>
            <w:tcW w:w="180" w:type="dxa"/>
            <w:vAlign w:val="bottom"/>
            <w:vMerge w:val="continue"/>
          </w:tcPr>
          <w:p>
            <w:pPr>
              <w:spacing w:after="0"/>
              <w:rPr>
                <w:sz w:val="17"/>
                <w:szCs w:val="17"/>
                <w:color w:val="auto"/>
              </w:rPr>
            </w:pPr>
          </w:p>
        </w:tc>
        <w:tc>
          <w:tcPr>
            <w:tcW w:w="200" w:type="dxa"/>
            <w:vAlign w:val="bottom"/>
            <w:tcBorders>
              <w:bottom w:val="single" w:sz="8" w:color="0000FF"/>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5.03.</w:t>
            </w:r>
          </w:p>
        </w:tc>
        <w:tc>
          <w:tcPr>
            <w:tcW w:w="96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83</w:t>
            </w:r>
          </w:p>
        </w:tc>
        <w:tc>
          <w:tcPr>
            <w:tcW w:w="1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77"/>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FF0000"/>
                <w:strike w:val="1"/>
                <w:w w:val="71"/>
              </w:rPr>
              <w:t>83</w:t>
            </w: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Borders>
              <w:right w:val="single" w:sz="8" w:color="0000FF"/>
            </w:tcBorders>
            <w:gridSpan w:val="7"/>
          </w:tcPr>
          <w:p>
            <w:pPr>
              <w:spacing w:after="0" w:line="20" w:lineRule="exact"/>
              <w:rPr>
                <w:sz w:val="1"/>
                <w:szCs w:val="1"/>
                <w:color w:val="auto"/>
              </w:rPr>
            </w:pPr>
          </w:p>
        </w:tc>
        <w:tc>
          <w:tcPr>
            <w:tcW w:w="1300" w:type="dxa"/>
            <w:vAlign w:val="bottom"/>
            <w:tcBorders>
              <w:left w:val="single" w:sz="8" w:color="0000FF"/>
            </w:tcBorders>
            <w:gridSpan w:val="31"/>
            <w:shd w:val="clear" w:color="auto" w:fill="0000FF"/>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33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2320" w:type="dxa"/>
            <w:vAlign w:val="bottom"/>
            <w:gridSpan w:val="34"/>
          </w:tcPr>
          <w:p>
            <w:pPr>
              <w:ind w:left="140"/>
              <w:spacing w:after="0" w:line="196" w:lineRule="exact"/>
              <w:rPr>
                <w:sz w:val="20"/>
                <w:szCs w:val="20"/>
                <w:color w:val="auto"/>
              </w:rPr>
            </w:pPr>
            <w:r>
              <w:rPr>
                <w:rFonts w:ascii="Times New Roman" w:cs="Times New Roman" w:eastAsia="Times New Roman" w:hAnsi="Times New Roman"/>
                <w:sz w:val="18"/>
                <w:szCs w:val="18"/>
                <w:color w:val="auto"/>
              </w:rPr>
              <w:t>Treatment of Affected Loans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Borders>
              <w:bottom w:val="single" w:sz="8" w:color="0000FF"/>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5.05.</w:t>
            </w:r>
          </w:p>
        </w:tc>
        <w:tc>
          <w:tcPr>
            <w:tcW w:w="1320" w:type="dxa"/>
            <w:vAlign w:val="bottom"/>
            <w:gridSpan w:val="8"/>
          </w:tcPr>
          <w:p>
            <w:pPr>
              <w:ind w:left="140"/>
              <w:spacing w:after="0" w:line="196"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17"/>
                <w:szCs w:val="17"/>
                <w:color w:val="auto"/>
              </w:rPr>
            </w:pPr>
          </w:p>
        </w:tc>
        <w:tc>
          <w:tcPr>
            <w:tcW w:w="22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9"/>
              </w:rPr>
              <w:t>84</w:t>
            </w:r>
          </w:p>
        </w:tc>
        <w:tc>
          <w:tcPr>
            <w:tcW w:w="14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77"/>
              </w:rPr>
              <w:t>86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1320" w:type="dxa"/>
            <w:vAlign w:val="bottom"/>
            <w:gridSpan w:val="8"/>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Payments</w:t>
            </w:r>
          </w:p>
        </w:tc>
        <w:tc>
          <w:tcPr>
            <w:tcW w:w="18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84</w:t>
            </w:r>
          </w:p>
        </w:tc>
        <w:tc>
          <w:tcPr>
            <w:tcW w:w="18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87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gridSpan w:val="5"/>
            <w:vMerge w:val="restart"/>
          </w:tcPr>
          <w:p>
            <w:pPr>
              <w:jc w:val="center"/>
              <w:ind w:right="1120"/>
              <w:spacing w:after="0"/>
              <w:rPr>
                <w:sz w:val="20"/>
                <w:szCs w:val="20"/>
                <w:color w:val="auto"/>
              </w:rPr>
            </w:pPr>
            <w:r>
              <w:rPr>
                <w:rFonts w:ascii="Times New Roman" w:cs="Times New Roman" w:eastAsia="Times New Roman" w:hAnsi="Times New Roman"/>
                <w:sz w:val="18"/>
                <w:szCs w:val="18"/>
                <w:color w:val="auto"/>
                <w:w w:val="98"/>
              </w:rPr>
              <w:t>ARTICLE VI.</w:t>
            </w:r>
          </w:p>
        </w:tc>
        <w:tc>
          <w:tcPr>
            <w:tcW w:w="0" w:type="dxa"/>
            <w:vAlign w:val="bottom"/>
          </w:tcPr>
          <w:p>
            <w:pPr>
              <w:spacing w:after="0"/>
              <w:rPr>
                <w:sz w:val="1"/>
                <w:szCs w:val="1"/>
                <w:color w:val="auto"/>
              </w:rPr>
            </w:pPr>
          </w:p>
        </w:tc>
      </w:tr>
      <w:tr>
        <w:trPr>
          <w:trHeight w:val="453"/>
        </w:trPr>
        <w:tc>
          <w:tcPr>
            <w:tcW w:w="5140" w:type="dxa"/>
            <w:vAlign w:val="bottom"/>
            <w:gridSpan w:val="58"/>
          </w:tcPr>
          <w:p>
            <w:pPr>
              <w:spacing w:after="0"/>
              <w:rPr>
                <w:sz w:val="24"/>
                <w:szCs w:val="24"/>
                <w:color w:val="auto"/>
              </w:rPr>
            </w:pPr>
          </w:p>
        </w:tc>
        <w:tc>
          <w:tcPr>
            <w:tcW w:w="22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63"/>
          </w:tcPr>
          <w:p>
            <w:pPr>
              <w:spacing w:after="0"/>
              <w:rPr>
                <w:sz w:val="20"/>
                <w:szCs w:val="20"/>
                <w:color w:val="auto"/>
              </w:rPr>
            </w:pPr>
            <w:r>
              <w:rPr>
                <w:rFonts w:ascii="Times New Roman" w:cs="Times New Roman" w:eastAsia="Times New Roman" w:hAnsi="Times New Roman"/>
                <w:sz w:val="18"/>
                <w:szCs w:val="18"/>
                <w:color w:val="auto"/>
              </w:rPr>
              <w:t>GUARANTEES</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132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The Guarantees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87</w:t>
            </w:r>
          </w:p>
        </w:tc>
        <w:tc>
          <w:tcPr>
            <w:tcW w:w="1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89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FF0000"/>
                <w:strike w:val="1"/>
                <w:w w:val="88"/>
              </w:rPr>
              <w:t>87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2060" w:type="dxa"/>
            <w:vAlign w:val="bottom"/>
            <w:gridSpan w:val="26"/>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Obligations Unconditional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6"/>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6.03.</w:t>
            </w:r>
          </w:p>
        </w:tc>
        <w:tc>
          <w:tcPr>
            <w:tcW w:w="1320" w:type="dxa"/>
            <w:vAlign w:val="bottom"/>
            <w:gridSpan w:val="8"/>
            <w:vMerge w:val="restart"/>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20" w:type="dxa"/>
            <w:vAlign w:val="bottom"/>
          </w:tcPr>
          <w:p>
            <w:pPr>
              <w:spacing w:after="0" w:line="20" w:lineRule="exact"/>
              <w:rPr>
                <w:sz w:val="1"/>
                <w:szCs w:val="1"/>
                <w:color w:val="auto"/>
              </w:rPr>
            </w:pPr>
          </w:p>
        </w:tc>
        <w:tc>
          <w:tcPr>
            <w:tcW w:w="2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89</w:t>
            </w:r>
          </w:p>
        </w:tc>
        <w:tc>
          <w:tcPr>
            <w:tcW w:w="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91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vMerge w:val="continue"/>
          </w:tcPr>
          <w:p>
            <w:pPr>
              <w:spacing w:after="0"/>
              <w:rPr>
                <w:sz w:val="17"/>
                <w:szCs w:val="17"/>
                <w:color w:val="auto"/>
              </w:rPr>
            </w:pPr>
          </w:p>
        </w:tc>
        <w:tc>
          <w:tcPr>
            <w:tcW w:w="1320" w:type="dxa"/>
            <w:vAlign w:val="bottom"/>
            <w:gridSpan w:val="8"/>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7"/>
            <w:vMerge w:val="continue"/>
          </w:tcPr>
          <w:p>
            <w:pPr>
              <w:spacing w:after="0"/>
              <w:rPr>
                <w:sz w:val="17"/>
                <w:szCs w:val="17"/>
                <w:color w:val="auto"/>
              </w:rPr>
            </w:pPr>
          </w:p>
        </w:tc>
        <w:tc>
          <w:tcPr>
            <w:tcW w:w="1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89</w:t>
            </w:r>
          </w:p>
        </w:tc>
        <w:tc>
          <w:tcPr>
            <w:tcW w:w="3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0000FF"/>
              </w:rPr>
              <w:t>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6.04.</w:t>
            </w:r>
          </w:p>
        </w:tc>
        <w:tc>
          <w:tcPr>
            <w:tcW w:w="2320" w:type="dxa"/>
            <w:vAlign w:val="bottom"/>
            <w:gridSpan w:val="34"/>
          </w:tcPr>
          <w:p>
            <w:pPr>
              <w:ind w:left="140"/>
              <w:spacing w:after="0" w:line="196" w:lineRule="exact"/>
              <w:rPr>
                <w:sz w:val="20"/>
                <w:szCs w:val="20"/>
                <w:color w:val="auto"/>
              </w:rPr>
            </w:pPr>
            <w:r>
              <w:rPr>
                <w:rFonts w:ascii="Times New Roman" w:cs="Times New Roman" w:eastAsia="Times New Roman" w:hAnsi="Times New Roman"/>
                <w:sz w:val="18"/>
                <w:szCs w:val="18"/>
                <w:color w:val="auto"/>
              </w:rPr>
              <w:t>Subrogation; Subordination</w:t>
            </w:r>
          </w:p>
        </w:tc>
        <w:tc>
          <w:tcPr>
            <w:tcW w:w="140" w:type="dxa"/>
            <w:vAlign w:val="bottom"/>
            <w:gridSpan w:val="3"/>
            <w:vMerge w:val="continue"/>
          </w:tcPr>
          <w:p>
            <w:pPr>
              <w:spacing w:after="0"/>
              <w:rPr>
                <w:sz w:val="17"/>
                <w:szCs w:val="17"/>
                <w:color w:val="auto"/>
              </w:rPr>
            </w:pPr>
          </w:p>
        </w:tc>
        <w:tc>
          <w:tcPr>
            <w:tcW w:w="3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96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Remedies</w:t>
            </w:r>
          </w:p>
        </w:tc>
        <w:tc>
          <w:tcPr>
            <w:tcW w:w="6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89</w:t>
            </w:r>
          </w:p>
        </w:tc>
        <w:tc>
          <w:tcPr>
            <w:tcW w:w="22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rPr>
              <w:t>92</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9"/>
              </w:rPr>
              <w:t>89</w:t>
            </w:r>
          </w:p>
        </w:tc>
        <w:tc>
          <w:tcPr>
            <w:tcW w:w="1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6.06.</w:t>
            </w:r>
          </w:p>
        </w:tc>
        <w:tc>
          <w:tcPr>
            <w:tcW w:w="1900" w:type="dxa"/>
            <w:vAlign w:val="bottom"/>
            <w:gridSpan w:val="23"/>
          </w:tcPr>
          <w:p>
            <w:pPr>
              <w:ind w:left="140"/>
              <w:spacing w:after="0" w:line="196" w:lineRule="exact"/>
              <w:rPr>
                <w:sz w:val="20"/>
                <w:szCs w:val="20"/>
                <w:color w:val="auto"/>
              </w:rPr>
            </w:pPr>
            <w:r>
              <w:rPr>
                <w:rFonts w:ascii="Times New Roman" w:cs="Times New Roman" w:eastAsia="Times New Roman" w:hAnsi="Times New Roman"/>
                <w:sz w:val="18"/>
                <w:szCs w:val="18"/>
                <w:color w:val="auto"/>
              </w:rPr>
              <w:t>Continuing Guarantee</w:t>
            </w:r>
          </w:p>
        </w:tc>
        <w:tc>
          <w:tcPr>
            <w:tcW w:w="200" w:type="dxa"/>
            <w:vAlign w:val="bottom"/>
            <w:gridSpan w:val="4"/>
            <w:vMerge w:val="continue"/>
          </w:tcPr>
          <w:p>
            <w:pPr>
              <w:spacing w:after="0"/>
              <w:rPr>
                <w:sz w:val="17"/>
                <w:szCs w:val="17"/>
                <w:color w:val="auto"/>
              </w:rPr>
            </w:pPr>
          </w:p>
        </w:tc>
        <w:tc>
          <w:tcPr>
            <w:tcW w:w="180" w:type="dxa"/>
            <w:vAlign w:val="bottom"/>
            <w:tcBorders>
              <w:bottom w:val="single" w:sz="8" w:color="0000FF"/>
            </w:tcBorders>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89</w:t>
            </w:r>
          </w:p>
        </w:tc>
        <w:tc>
          <w:tcPr>
            <w:tcW w:w="5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w w:val="88"/>
              </w:rPr>
              <w:t>92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6.07.</w:t>
            </w:r>
          </w:p>
        </w:tc>
        <w:tc>
          <w:tcPr>
            <w:tcW w:w="3580" w:type="dxa"/>
            <w:vAlign w:val="bottom"/>
            <w:gridSpan w:val="51"/>
          </w:tcPr>
          <w:p>
            <w:pPr>
              <w:ind w:left="140"/>
              <w:spacing w:after="0" w:line="196" w:lineRule="exact"/>
              <w:rPr>
                <w:sz w:val="20"/>
                <w:szCs w:val="20"/>
                <w:color w:val="auto"/>
              </w:rPr>
            </w:pPr>
            <w:r>
              <w:rPr>
                <w:rFonts w:ascii="Times New Roman" w:cs="Times New Roman" w:eastAsia="Times New Roman" w:hAnsi="Times New Roman"/>
                <w:sz w:val="18"/>
                <w:szCs w:val="18"/>
                <w:color w:val="auto"/>
              </w:rPr>
              <w:t>General Limitation on Guarantee Obligations</w:t>
            </w:r>
          </w:p>
        </w:tc>
        <w:tc>
          <w:tcPr>
            <w:tcW w:w="180" w:type="dxa"/>
            <w:vAlign w:val="bottom"/>
            <w:gridSpan w:val="4"/>
            <w:vMerge w:val="continue"/>
          </w:tcPr>
          <w:p>
            <w:pPr>
              <w:spacing w:after="0"/>
              <w:rPr>
                <w:sz w:val="17"/>
                <w:szCs w:val="17"/>
                <w:color w:val="auto"/>
              </w:rPr>
            </w:pPr>
          </w:p>
        </w:tc>
        <w:tc>
          <w:tcPr>
            <w:tcW w:w="5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6.08.</w:t>
            </w:r>
          </w:p>
        </w:tc>
        <w:tc>
          <w:tcPr>
            <w:tcW w:w="1900" w:type="dxa"/>
            <w:vAlign w:val="bottom"/>
            <w:gridSpan w:val="23"/>
          </w:tcPr>
          <w:p>
            <w:pPr>
              <w:ind w:left="140"/>
              <w:spacing w:after="0" w:line="196" w:lineRule="exact"/>
              <w:rPr>
                <w:sz w:val="20"/>
                <w:szCs w:val="20"/>
                <w:color w:val="auto"/>
              </w:rPr>
            </w:pPr>
            <w:r>
              <w:rPr>
                <w:rFonts w:ascii="Times New Roman" w:cs="Times New Roman" w:eastAsia="Times New Roman" w:hAnsi="Times New Roman"/>
                <w:sz w:val="18"/>
                <w:szCs w:val="18"/>
                <w:color w:val="auto"/>
              </w:rPr>
              <w:t>Release of Guarantors</w:t>
            </w:r>
          </w:p>
        </w:tc>
        <w:tc>
          <w:tcPr>
            <w:tcW w:w="2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9"/>
              </w:rPr>
              <w:t>90</w:t>
            </w:r>
          </w:p>
        </w:tc>
        <w:tc>
          <w:tcPr>
            <w:tcW w:w="18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6.09.</w:t>
            </w:r>
          </w:p>
        </w:tc>
        <w:tc>
          <w:tcPr>
            <w:tcW w:w="96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Keepwell</w:t>
            </w:r>
          </w:p>
        </w:tc>
        <w:tc>
          <w:tcPr>
            <w:tcW w:w="6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77"/>
              </w:rPr>
              <w:t>90</w:t>
            </w:r>
          </w:p>
        </w:tc>
        <w:tc>
          <w:tcPr>
            <w:tcW w:w="20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77"/>
              </w:rPr>
              <w:t>90</w:t>
            </w:r>
          </w:p>
        </w:tc>
        <w:tc>
          <w:tcPr>
            <w:tcW w:w="2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6.10.</w:t>
            </w:r>
          </w:p>
        </w:tc>
        <w:tc>
          <w:tcPr>
            <w:tcW w:w="1900" w:type="dxa"/>
            <w:vAlign w:val="bottom"/>
            <w:gridSpan w:val="23"/>
          </w:tcPr>
          <w:p>
            <w:pPr>
              <w:ind w:left="140"/>
              <w:spacing w:after="0" w:line="196" w:lineRule="exact"/>
              <w:rPr>
                <w:sz w:val="20"/>
                <w:szCs w:val="20"/>
                <w:color w:val="auto"/>
              </w:rPr>
            </w:pPr>
            <w:r>
              <w:rPr>
                <w:rFonts w:ascii="Times New Roman" w:cs="Times New Roman" w:eastAsia="Times New Roman" w:hAnsi="Times New Roman"/>
                <w:sz w:val="18"/>
                <w:szCs w:val="18"/>
                <w:color w:val="auto"/>
              </w:rPr>
              <w:t>Right of Contribution</w:t>
            </w:r>
          </w:p>
        </w:tc>
        <w:tc>
          <w:tcPr>
            <w:tcW w:w="160" w:type="dxa"/>
            <w:vAlign w:val="bottom"/>
            <w:gridSpan w:val="3"/>
            <w:vMerge w:val="continue"/>
          </w:tcPr>
          <w:p>
            <w:pPr>
              <w:spacing w:after="0"/>
              <w:rPr>
                <w:sz w:val="17"/>
                <w:szCs w:val="17"/>
                <w:color w:val="auto"/>
              </w:rPr>
            </w:pPr>
          </w:p>
        </w:tc>
        <w:tc>
          <w:tcPr>
            <w:tcW w:w="200" w:type="dxa"/>
            <w:vAlign w:val="bottom"/>
            <w:tcBorders>
              <w:bottom w:val="single" w:sz="8" w:color="0000FF"/>
            </w:tcBorders>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gridSpan w:val="5"/>
            <w:vMerge w:val="restart"/>
          </w:tcPr>
          <w:p>
            <w:pPr>
              <w:jc w:val="center"/>
              <w:ind w:right="1120"/>
              <w:spacing w:after="0"/>
              <w:rPr>
                <w:sz w:val="20"/>
                <w:szCs w:val="20"/>
                <w:color w:val="auto"/>
              </w:rPr>
            </w:pPr>
            <w:r>
              <w:rPr>
                <w:rFonts w:ascii="Times New Roman" w:cs="Times New Roman" w:eastAsia="Times New Roman" w:hAnsi="Times New Roman"/>
                <w:sz w:val="18"/>
                <w:szCs w:val="18"/>
                <w:color w:val="auto"/>
                <w:w w:val="99"/>
              </w:rPr>
              <w:t>ARTICLE VII.</w:t>
            </w:r>
          </w:p>
        </w:tc>
        <w:tc>
          <w:tcPr>
            <w:tcW w:w="0" w:type="dxa"/>
            <w:vAlign w:val="bottom"/>
          </w:tcPr>
          <w:p>
            <w:pPr>
              <w:spacing w:after="0"/>
              <w:rPr>
                <w:sz w:val="1"/>
                <w:szCs w:val="1"/>
                <w:color w:val="auto"/>
              </w:rPr>
            </w:pPr>
          </w:p>
        </w:tc>
      </w:tr>
      <w:tr>
        <w:trPr>
          <w:trHeight w:val="453"/>
        </w:trPr>
        <w:tc>
          <w:tcPr>
            <w:tcW w:w="5140" w:type="dxa"/>
            <w:vAlign w:val="bottom"/>
            <w:gridSpan w:val="58"/>
          </w:tcPr>
          <w:p>
            <w:pPr>
              <w:spacing w:after="0"/>
              <w:rPr>
                <w:sz w:val="24"/>
                <w:szCs w:val="24"/>
                <w:color w:val="auto"/>
              </w:rPr>
            </w:pPr>
          </w:p>
        </w:tc>
        <w:tc>
          <w:tcPr>
            <w:tcW w:w="22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5"/>
          </w:tcPr>
          <w:p>
            <w:pPr>
              <w:jc w:val="center"/>
              <w:ind w:right="56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3300" w:type="dxa"/>
            <w:vAlign w:val="bottom"/>
            <w:gridSpan w:val="46"/>
          </w:tcPr>
          <w:p>
            <w:pPr>
              <w:ind w:left="140"/>
              <w:spacing w:after="0"/>
              <w:rPr>
                <w:sz w:val="20"/>
                <w:szCs w:val="20"/>
                <w:color w:val="auto"/>
              </w:rPr>
            </w:pPr>
            <w:r>
              <w:rPr>
                <w:rFonts w:ascii="Times New Roman" w:cs="Times New Roman" w:eastAsia="Times New Roman" w:hAnsi="Times New Roman"/>
                <w:sz w:val="18"/>
                <w:szCs w:val="18"/>
                <w:color w:val="auto"/>
              </w:rPr>
              <w:t>Conditions to Initial Extensions of Credit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91</w:t>
            </w:r>
          </w:p>
        </w:tc>
        <w:tc>
          <w:tcPr>
            <w:tcW w:w="1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93</w:t>
            </w:r>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2920" w:type="dxa"/>
            <w:vAlign w:val="bottom"/>
            <w:gridSpan w:val="43"/>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Conditions to All Extensions of Credit</w:t>
            </w:r>
          </w:p>
        </w:tc>
        <w:tc>
          <w:tcPr>
            <w:tcW w:w="3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92</w:t>
            </w:r>
          </w:p>
        </w:tc>
        <w:tc>
          <w:tcPr>
            <w:tcW w:w="2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gridSpan w:val="6"/>
            <w:vMerge w:val="restart"/>
          </w:tcPr>
          <w:p>
            <w:pPr>
              <w:jc w:val="center"/>
              <w:ind w:right="1100"/>
              <w:spacing w:after="0"/>
              <w:rPr>
                <w:sz w:val="20"/>
                <w:szCs w:val="20"/>
                <w:color w:val="auto"/>
              </w:rPr>
            </w:pPr>
            <w:r>
              <w:rPr>
                <w:rFonts w:ascii="Times New Roman" w:cs="Times New Roman" w:eastAsia="Times New Roman" w:hAnsi="Times New Roman"/>
                <w:sz w:val="18"/>
                <w:szCs w:val="18"/>
                <w:color w:val="auto"/>
                <w:w w:val="98"/>
              </w:rPr>
              <w:t>ARTICLE VIII.</w:t>
            </w:r>
          </w:p>
        </w:tc>
        <w:tc>
          <w:tcPr>
            <w:tcW w:w="0" w:type="dxa"/>
            <w:vAlign w:val="bottom"/>
          </w:tcPr>
          <w:p>
            <w:pPr>
              <w:spacing w:after="0"/>
              <w:rPr>
                <w:sz w:val="1"/>
                <w:szCs w:val="1"/>
                <w:color w:val="auto"/>
              </w:rPr>
            </w:pPr>
          </w:p>
        </w:tc>
      </w:tr>
      <w:tr>
        <w:trPr>
          <w:trHeight w:val="453"/>
        </w:trPr>
        <w:tc>
          <w:tcPr>
            <w:tcW w:w="4580" w:type="dxa"/>
            <w:vAlign w:val="bottom"/>
            <w:gridSpan w:val="46"/>
          </w:tcPr>
          <w:p>
            <w:pPr>
              <w:spacing w:after="0"/>
              <w:rPr>
                <w:sz w:val="24"/>
                <w:szCs w:val="24"/>
                <w:color w:val="auto"/>
              </w:rPr>
            </w:pPr>
          </w:p>
        </w:tc>
        <w:tc>
          <w:tcPr>
            <w:tcW w:w="180" w:type="dxa"/>
            <w:vAlign w:val="bottom"/>
            <w:tcBorders>
              <w:top w:val="single" w:sz="8" w:color="0000FF"/>
            </w:tcBorders>
            <w:gridSpan w:val="3"/>
          </w:tcPr>
          <w:p>
            <w:pPr>
              <w:spacing w:after="0"/>
              <w:rPr>
                <w:sz w:val="24"/>
                <w:szCs w:val="24"/>
                <w:color w:val="auto"/>
              </w:rPr>
            </w:pPr>
          </w:p>
        </w:tc>
        <w:tc>
          <w:tcPr>
            <w:tcW w:w="360" w:type="dxa"/>
            <w:vAlign w:val="bottom"/>
            <w:gridSpan w:val="8"/>
          </w:tcPr>
          <w:p>
            <w:pPr>
              <w:spacing w:after="0"/>
              <w:rPr>
                <w:sz w:val="24"/>
                <w:szCs w:val="24"/>
                <w:color w:val="auto"/>
              </w:rPr>
            </w:pPr>
          </w:p>
        </w:tc>
        <w:tc>
          <w:tcPr>
            <w:tcW w:w="224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21"/>
          </w:tcPr>
          <w:p>
            <w:pPr>
              <w:jc w:val="center"/>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3320" w:type="dxa"/>
            <w:vAlign w:val="bottom"/>
            <w:gridSpan w:val="47"/>
          </w:tcPr>
          <w:p>
            <w:pPr>
              <w:ind w:left="140"/>
              <w:spacing w:after="0"/>
              <w:rPr>
                <w:sz w:val="20"/>
                <w:szCs w:val="20"/>
                <w:color w:val="auto"/>
              </w:rPr>
            </w:pPr>
            <w:r>
              <w:rPr>
                <w:rFonts w:ascii="Times New Roman" w:cs="Times New Roman" w:eastAsia="Times New Roman" w:hAnsi="Times New Roman"/>
                <w:sz w:val="18"/>
                <w:szCs w:val="18"/>
                <w:color w:val="auto"/>
                <w:w w:val="99"/>
              </w:rPr>
              <w:t>Corporate Existence; Compliance with Law</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93</w:t>
            </w:r>
          </w:p>
        </w:tc>
        <w:tc>
          <w:tcPr>
            <w:tcW w:w="2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0000FF"/>
                <w:w w:val="88"/>
              </w:rPr>
              <w:t>96</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1900" w:type="dxa"/>
            <w:vAlign w:val="bottom"/>
            <w:gridSpan w:val="23"/>
          </w:tcPr>
          <w:p>
            <w:pPr>
              <w:ind w:left="140"/>
              <w:spacing w:after="0" w:line="196" w:lineRule="exact"/>
              <w:rPr>
                <w:sz w:val="20"/>
                <w:szCs w:val="20"/>
                <w:color w:val="auto"/>
              </w:rPr>
            </w:pPr>
            <w:r>
              <w:rPr>
                <w:rFonts w:ascii="Times New Roman" w:cs="Times New Roman" w:eastAsia="Times New Roman" w:hAnsi="Times New Roman"/>
                <w:sz w:val="18"/>
                <w:szCs w:val="18"/>
                <w:color w:val="auto"/>
                <w:w w:val="98"/>
              </w:rPr>
              <w:t>Material Adverse Effect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94</w:t>
            </w:r>
          </w:p>
        </w:tc>
        <w:tc>
          <w:tcPr>
            <w:tcW w:w="220" w:type="dxa"/>
            <w:vAlign w:val="bottom"/>
            <w:tcBorders>
              <w:bottom w:val="single" w:sz="8" w:color="0000FF"/>
            </w:tcBorders>
            <w:gridSpan w:val="6"/>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8.03.</w:t>
            </w:r>
          </w:p>
        </w:tc>
        <w:tc>
          <w:tcPr>
            <w:tcW w:w="96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6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94</w:t>
            </w:r>
          </w:p>
        </w:tc>
        <w:tc>
          <w:tcPr>
            <w:tcW w:w="24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rPr>
              <w:t>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94</w:t>
            </w:r>
          </w:p>
        </w:tc>
        <w:tc>
          <w:tcPr>
            <w:tcW w:w="1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8.04.</w:t>
            </w:r>
          </w:p>
        </w:tc>
        <w:tc>
          <w:tcPr>
            <w:tcW w:w="1900" w:type="dxa"/>
            <w:vAlign w:val="bottom"/>
            <w:gridSpan w:val="23"/>
          </w:tcPr>
          <w:p>
            <w:pPr>
              <w:ind w:left="140"/>
              <w:spacing w:after="0" w:line="196" w:lineRule="exact"/>
              <w:rPr>
                <w:sz w:val="20"/>
                <w:szCs w:val="20"/>
                <w:color w:val="auto"/>
              </w:rPr>
            </w:pPr>
            <w:r>
              <w:rPr>
                <w:rFonts w:ascii="Times New Roman" w:cs="Times New Roman" w:eastAsia="Times New Roman" w:hAnsi="Times New Roman"/>
                <w:sz w:val="18"/>
                <w:szCs w:val="18"/>
                <w:color w:val="auto"/>
              </w:rPr>
              <w:t>No Breach; No Default</w:t>
            </w:r>
          </w:p>
        </w:tc>
        <w:tc>
          <w:tcPr>
            <w:tcW w:w="100" w:type="dxa"/>
            <w:vAlign w:val="bottom"/>
          </w:tcPr>
          <w:p>
            <w:pPr>
              <w:spacing w:after="0"/>
              <w:rPr>
                <w:sz w:val="17"/>
                <w:szCs w:val="17"/>
                <w:color w:val="auto"/>
              </w:rPr>
            </w:pPr>
          </w:p>
        </w:tc>
        <w:tc>
          <w:tcPr>
            <w:tcW w:w="180" w:type="dxa"/>
            <w:vAlign w:val="bottom"/>
            <w:gridSpan w:val="5"/>
            <w:vMerge w:val="continue"/>
          </w:tcPr>
          <w:p>
            <w:pPr>
              <w:spacing w:after="0"/>
              <w:rPr>
                <w:sz w:val="17"/>
                <w:szCs w:val="17"/>
                <w:color w:val="auto"/>
              </w:rPr>
            </w:pPr>
          </w:p>
        </w:tc>
        <w:tc>
          <w:tcPr>
            <w:tcW w:w="180" w:type="dxa"/>
            <w:vAlign w:val="bottom"/>
            <w:tcBorders>
              <w:bottom w:val="single" w:sz="8" w:color="0000FF"/>
            </w:tcBorders>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8.05.</w:t>
            </w:r>
          </w:p>
        </w:tc>
        <w:tc>
          <w:tcPr>
            <w:tcW w:w="7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Action</w:t>
            </w:r>
          </w:p>
        </w:tc>
        <w:tc>
          <w:tcPr>
            <w:tcW w:w="2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94</w:t>
            </w:r>
          </w:p>
        </w:tc>
        <w:tc>
          <w:tcPr>
            <w:tcW w:w="5040" w:type="dxa"/>
            <w:vAlign w:val="bottom"/>
            <w:gridSpan w:val="58"/>
          </w:tcPr>
          <w:p>
            <w:pPr>
              <w:spacing w:after="0"/>
              <w:rPr>
                <w:sz w:val="20"/>
                <w:szCs w:val="20"/>
                <w:color w:val="auto"/>
              </w:rPr>
            </w:pPr>
            <w:r>
              <w:rPr>
                <w:rFonts w:ascii="Times New Roman" w:cs="Times New Roman" w:eastAsia="Times New Roman" w:hAnsi="Times New Roman"/>
                <w:sz w:val="14"/>
                <w:szCs w:val="14"/>
                <w:b w:val="1"/>
                <w:bCs w:val="1"/>
                <w:color w:val="0000FF"/>
                <w:w w:val="71"/>
              </w:rPr>
              <w:t>97</w:t>
            </w:r>
          </w:p>
        </w:tc>
        <w:tc>
          <w:tcPr>
            <w:tcW w:w="0" w:type="dxa"/>
            <w:vAlign w:val="bottom"/>
          </w:tcPr>
          <w:p>
            <w:pPr>
              <w:spacing w:after="0"/>
              <w:rPr>
                <w:sz w:val="1"/>
                <w:szCs w:val="1"/>
                <w:color w:val="auto"/>
              </w:rPr>
            </w:pPr>
          </w:p>
        </w:tc>
      </w:tr>
      <w:tr>
        <w:trPr>
          <w:trHeight w:val="20"/>
        </w:trPr>
        <w:tc>
          <w:tcPr>
            <w:tcW w:w="2320" w:type="dxa"/>
            <w:vAlign w:val="bottom"/>
            <w:tcBorders>
              <w:right w:val="single" w:sz="8" w:color="0000FF"/>
            </w:tcBorders>
            <w:gridSpan w:val="5"/>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90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8.06.</w:t>
            </w:r>
          </w:p>
        </w:tc>
        <w:tc>
          <w:tcPr>
            <w:tcW w:w="96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Approvals</w:t>
            </w:r>
          </w:p>
        </w:tc>
        <w:tc>
          <w:tcPr>
            <w:tcW w:w="60" w:type="dxa"/>
            <w:vAlign w:val="bottom"/>
          </w:tcPr>
          <w:p>
            <w:pPr>
              <w:spacing w:after="0"/>
              <w:rPr>
                <w:sz w:val="17"/>
                <w:szCs w:val="17"/>
                <w:color w:val="auto"/>
              </w:rPr>
            </w:pPr>
          </w:p>
        </w:tc>
        <w:tc>
          <w:tcPr>
            <w:tcW w:w="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94</w:t>
            </w:r>
          </w:p>
        </w:tc>
        <w:tc>
          <w:tcPr>
            <w:tcW w:w="220" w:type="dxa"/>
            <w:vAlign w:val="bottom"/>
            <w:gridSpan w:val="7"/>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95</w:t>
            </w: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8.07.</w:t>
            </w:r>
          </w:p>
        </w:tc>
        <w:tc>
          <w:tcPr>
            <w:tcW w:w="3320" w:type="dxa"/>
            <w:vAlign w:val="bottom"/>
            <w:gridSpan w:val="47"/>
          </w:tcPr>
          <w:p>
            <w:pPr>
              <w:ind w:left="140"/>
              <w:spacing w:after="0" w:line="196" w:lineRule="exact"/>
              <w:rPr>
                <w:sz w:val="20"/>
                <w:szCs w:val="20"/>
                <w:color w:val="auto"/>
              </w:rPr>
            </w:pPr>
            <w:r>
              <w:rPr>
                <w:rFonts w:ascii="Times New Roman" w:cs="Times New Roman" w:eastAsia="Times New Roman" w:hAnsi="Times New Roman"/>
                <w:sz w:val="18"/>
                <w:szCs w:val="18"/>
                <w:color w:val="auto"/>
              </w:rPr>
              <w:t>ERISA and Employee Benefit Plan Matters</w:t>
            </w:r>
          </w:p>
        </w:tc>
        <w:tc>
          <w:tcPr>
            <w:tcW w:w="140" w:type="dxa"/>
            <w:vAlign w:val="bottom"/>
          </w:tcPr>
          <w:p>
            <w:pPr>
              <w:spacing w:after="0"/>
              <w:rPr>
                <w:sz w:val="17"/>
                <w:szCs w:val="17"/>
                <w:color w:val="auto"/>
              </w:rPr>
            </w:pPr>
          </w:p>
        </w:tc>
        <w:tc>
          <w:tcPr>
            <w:tcW w:w="180" w:type="dxa"/>
            <w:vAlign w:val="bottom"/>
            <w:gridSpan w:val="4"/>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8.08.</w:t>
            </w:r>
          </w:p>
        </w:tc>
        <w:tc>
          <w:tcPr>
            <w:tcW w:w="7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95</w:t>
            </w:r>
          </w:p>
        </w:tc>
        <w:tc>
          <w:tcPr>
            <w:tcW w:w="18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95</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8.09.</w:t>
            </w:r>
          </w:p>
        </w:tc>
        <w:tc>
          <w:tcPr>
            <w:tcW w:w="2060" w:type="dxa"/>
            <w:vAlign w:val="bottom"/>
            <w:gridSpan w:val="26"/>
          </w:tcPr>
          <w:p>
            <w:pPr>
              <w:ind w:left="140"/>
              <w:spacing w:after="0" w:line="196" w:lineRule="exact"/>
              <w:rPr>
                <w:sz w:val="20"/>
                <w:szCs w:val="20"/>
                <w:color w:val="auto"/>
              </w:rPr>
            </w:pPr>
            <w:r>
              <w:rPr>
                <w:rFonts w:ascii="Times New Roman" w:cs="Times New Roman" w:eastAsia="Times New Roman" w:hAnsi="Times New Roman"/>
                <w:sz w:val="18"/>
                <w:szCs w:val="18"/>
                <w:color w:val="auto"/>
              </w:rPr>
              <w:t>Investment Company Act</w:t>
            </w:r>
          </w:p>
        </w:tc>
        <w:tc>
          <w:tcPr>
            <w:tcW w:w="100" w:type="dxa"/>
            <w:vAlign w:val="bottom"/>
            <w:gridSpan w:val="2"/>
          </w:tcPr>
          <w:p>
            <w:pPr>
              <w:spacing w:after="0"/>
              <w:rPr>
                <w:sz w:val="17"/>
                <w:szCs w:val="17"/>
                <w:color w:val="auto"/>
              </w:rPr>
            </w:pPr>
          </w:p>
        </w:tc>
        <w:tc>
          <w:tcPr>
            <w:tcW w:w="180" w:type="dxa"/>
            <w:vAlign w:val="bottom"/>
            <w:gridSpan w:val="7"/>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8.10.</w:t>
            </w:r>
          </w:p>
        </w:tc>
        <w:tc>
          <w:tcPr>
            <w:tcW w:w="1900" w:type="dxa"/>
            <w:vAlign w:val="bottom"/>
            <w:gridSpan w:val="23"/>
          </w:tcPr>
          <w:p>
            <w:pPr>
              <w:ind w:left="140"/>
              <w:spacing w:after="0" w:line="196" w:lineRule="exact"/>
              <w:rPr>
                <w:sz w:val="20"/>
                <w:szCs w:val="20"/>
                <w:color w:val="auto"/>
              </w:rPr>
            </w:pPr>
            <w:r>
              <w:rPr>
                <w:rFonts w:ascii="Times New Roman" w:cs="Times New Roman" w:eastAsia="Times New Roman" w:hAnsi="Times New Roman"/>
                <w:sz w:val="18"/>
                <w:szCs w:val="18"/>
                <w:color w:val="auto"/>
              </w:rPr>
              <w:t>Environmental Matters</w:t>
            </w:r>
          </w:p>
        </w:tc>
        <w:tc>
          <w:tcPr>
            <w:tcW w:w="2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95</w:t>
            </w:r>
          </w:p>
        </w:tc>
        <w:tc>
          <w:tcPr>
            <w:tcW w:w="180" w:type="dxa"/>
            <w:vAlign w:val="bottom"/>
            <w:tcBorders>
              <w:bottom w:val="single" w:sz="8" w:color="0000FF"/>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8.11.</w:t>
            </w:r>
          </w:p>
        </w:tc>
        <w:tc>
          <w:tcPr>
            <w:tcW w:w="1320" w:type="dxa"/>
            <w:vAlign w:val="bottom"/>
            <w:gridSpan w:val="8"/>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Use of Proceeds</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2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9"/>
              </w:rPr>
              <w:t>96</w:t>
            </w:r>
          </w:p>
        </w:tc>
        <w:tc>
          <w:tcPr>
            <w:tcW w:w="18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8.12.</w:t>
            </w:r>
          </w:p>
        </w:tc>
        <w:tc>
          <w:tcPr>
            <w:tcW w:w="116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Subsidiaries</w:t>
            </w:r>
          </w:p>
        </w:tc>
        <w:tc>
          <w:tcPr>
            <w:tcW w:w="2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96</w:t>
            </w:r>
          </w:p>
        </w:tc>
        <w:tc>
          <w:tcPr>
            <w:tcW w:w="18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8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96</w:t>
            </w:r>
          </w:p>
        </w:tc>
        <w:tc>
          <w:tcPr>
            <w:tcW w:w="2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0000FF"/>
                <w:w w:val="88"/>
              </w:rPr>
              <w:t>99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8.13.</w:t>
            </w:r>
          </w:p>
        </w:tc>
        <w:tc>
          <w:tcPr>
            <w:tcW w:w="2320" w:type="dxa"/>
            <w:vAlign w:val="bottom"/>
            <w:gridSpan w:val="34"/>
          </w:tcPr>
          <w:p>
            <w:pPr>
              <w:ind w:left="140"/>
              <w:spacing w:after="0" w:line="196" w:lineRule="exact"/>
              <w:rPr>
                <w:sz w:val="20"/>
                <w:szCs w:val="20"/>
                <w:color w:val="auto"/>
              </w:rPr>
            </w:pPr>
            <w:r>
              <w:rPr>
                <w:rFonts w:ascii="Times New Roman" w:cs="Times New Roman" w:eastAsia="Times New Roman" w:hAnsi="Times New Roman"/>
                <w:sz w:val="18"/>
                <w:szCs w:val="18"/>
                <w:color w:val="auto"/>
              </w:rPr>
              <w:t>Ownership of Property; Liens</w:t>
            </w:r>
          </w:p>
        </w:tc>
        <w:tc>
          <w:tcPr>
            <w:tcW w:w="140" w:type="dxa"/>
            <w:vAlign w:val="bottom"/>
            <w:gridSpan w:val="3"/>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w w:val="99"/>
              </w:rPr>
              <w:t>96</w:t>
            </w:r>
          </w:p>
        </w:tc>
        <w:tc>
          <w:tcPr>
            <w:tcW w:w="1540" w:type="dxa"/>
            <w:vAlign w:val="bottom"/>
            <w:gridSpan w:val="2"/>
            <w:vMerge w:val="restart"/>
          </w:tcPr>
          <w:p>
            <w:pPr>
              <w:jc w:val="right"/>
              <w:ind w:right="1360"/>
              <w:spacing w:after="0"/>
              <w:rPr>
                <w:sz w:val="20"/>
                <w:szCs w:val="20"/>
                <w:color w:val="auto"/>
              </w:rPr>
            </w:pPr>
            <w:r>
              <w:rPr>
                <w:rFonts w:ascii="Times New Roman" w:cs="Times New Roman" w:eastAsia="Times New Roman" w:hAnsi="Times New Roman"/>
                <w:sz w:val="18"/>
                <w:szCs w:val="18"/>
                <w:b w:val="1"/>
                <w:bCs w:val="1"/>
                <w:color w:val="0000FF"/>
                <w:w w:val="88"/>
              </w:rPr>
              <w:t>99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520" w:type="dxa"/>
            <w:vAlign w:val="bottom"/>
            <w:gridSpan w:val="17"/>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8.14.</w:t>
            </w:r>
          </w:p>
        </w:tc>
        <w:tc>
          <w:tcPr>
            <w:tcW w:w="4340" w:type="dxa"/>
            <w:vAlign w:val="bottom"/>
            <w:gridSpan w:val="59"/>
          </w:tcPr>
          <w:p>
            <w:pPr>
              <w:ind w:left="140"/>
              <w:spacing w:after="0" w:line="196" w:lineRule="exact"/>
              <w:rPr>
                <w:sz w:val="20"/>
                <w:szCs w:val="20"/>
                <w:color w:val="auto"/>
              </w:rPr>
            </w:pPr>
            <w:r>
              <w:rPr>
                <w:rFonts w:ascii="Times New Roman" w:cs="Times New Roman" w:eastAsia="Times New Roman" w:hAnsi="Times New Roman"/>
                <w:sz w:val="18"/>
                <w:szCs w:val="18"/>
                <w:color w:val="auto"/>
              </w:rPr>
              <w:t>Security Interest; Absence of Financing Statements; Etc</w:t>
            </w:r>
          </w:p>
        </w:tc>
        <w:tc>
          <w:tcPr>
            <w:tcW w:w="18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8.15.</w:t>
            </w:r>
          </w:p>
        </w:tc>
        <w:tc>
          <w:tcPr>
            <w:tcW w:w="1840" w:type="dxa"/>
            <w:vAlign w:val="bottom"/>
            <w:gridSpan w:val="22"/>
          </w:tcPr>
          <w:p>
            <w:pPr>
              <w:ind w:left="140"/>
              <w:spacing w:after="0" w:line="196" w:lineRule="exact"/>
              <w:rPr>
                <w:sz w:val="20"/>
                <w:szCs w:val="20"/>
                <w:color w:val="auto"/>
              </w:rPr>
            </w:pPr>
            <w:r>
              <w:rPr>
                <w:rFonts w:ascii="Times New Roman" w:cs="Times New Roman" w:eastAsia="Times New Roman" w:hAnsi="Times New Roman"/>
                <w:sz w:val="18"/>
                <w:szCs w:val="18"/>
                <w:color w:val="auto"/>
              </w:rPr>
              <w:t>Licenses and Permits</w:t>
            </w:r>
          </w:p>
        </w:tc>
        <w:tc>
          <w:tcPr>
            <w:tcW w:w="1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97</w:t>
            </w:r>
          </w:p>
        </w:tc>
        <w:tc>
          <w:tcPr>
            <w:tcW w:w="18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8.16.</w:t>
            </w: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20" w:type="dxa"/>
            <w:vAlign w:val="bottom"/>
            <w:vMerge w:val="restart"/>
          </w:tcPr>
          <w:p>
            <w:pPr>
              <w:spacing w:after="0"/>
              <w:rPr>
                <w:sz w:val="2"/>
                <w:szCs w:val="2"/>
                <w:color w:val="auto"/>
              </w:rPr>
            </w:pPr>
          </w:p>
        </w:tc>
        <w:tc>
          <w:tcPr>
            <w:tcW w:w="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97</w:t>
            </w:r>
          </w:p>
        </w:tc>
        <w:tc>
          <w:tcPr>
            <w:tcW w:w="2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99</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820" w:type="dxa"/>
            <w:vAlign w:val="bottom"/>
            <w:gridSpan w:val="5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200" w:type="dxa"/>
            <w:vAlign w:val="bottom"/>
            <w:tcBorders>
              <w:bottom w:val="single" w:sz="8" w:color="0000FF"/>
            </w:tcBorders>
            <w:gridSpan w:val="5"/>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820" w:type="dxa"/>
            <w:vAlign w:val="bottom"/>
            <w:gridSpan w:val="5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8.17.</w:t>
            </w:r>
          </w:p>
        </w:tc>
        <w:tc>
          <w:tcPr>
            <w:tcW w:w="9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1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97</w:t>
            </w:r>
          </w:p>
        </w:tc>
        <w:tc>
          <w:tcPr>
            <w:tcW w:w="280" w:type="dxa"/>
            <w:vAlign w:val="bottom"/>
            <w:tcBorders>
              <w:bottom w:val="single" w:sz="8" w:color="0000FF"/>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100</w:t>
            </w:r>
          </w:p>
        </w:tc>
        <w:tc>
          <w:tcPr>
            <w:tcW w:w="360" w:type="dxa"/>
            <w:vAlign w:val="bottom"/>
            <w:gridSpan w:val="10"/>
          </w:tcPr>
          <w:p>
            <w:pPr>
              <w:spacing w:after="0"/>
              <w:rPr>
                <w:sz w:val="17"/>
                <w:szCs w:val="17"/>
                <w:color w:val="auto"/>
              </w:rPr>
            </w:pPr>
          </w:p>
        </w:tc>
        <w:tc>
          <w:tcPr>
            <w:tcW w:w="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97</w:t>
            </w:r>
          </w:p>
        </w:tc>
        <w:tc>
          <w:tcPr>
            <w:tcW w:w="32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100</w:t>
            </w:r>
          </w:p>
        </w:tc>
        <w:tc>
          <w:tcPr>
            <w:tcW w:w="3280" w:type="dxa"/>
            <w:vAlign w:val="bottom"/>
            <w:gridSpan w:val="4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8.18.</w:t>
            </w:r>
          </w:p>
        </w:tc>
        <w:tc>
          <w:tcPr>
            <w:tcW w:w="1700" w:type="dxa"/>
            <w:vAlign w:val="bottom"/>
            <w:gridSpan w:val="20"/>
          </w:tcPr>
          <w:p>
            <w:pPr>
              <w:ind w:left="80"/>
              <w:spacing w:after="0" w:line="196" w:lineRule="exact"/>
              <w:rPr>
                <w:sz w:val="20"/>
                <w:szCs w:val="20"/>
                <w:color w:val="auto"/>
              </w:rPr>
            </w:pPr>
            <w:r>
              <w:rPr>
                <w:rFonts w:ascii="Times New Roman" w:cs="Times New Roman" w:eastAsia="Times New Roman" w:hAnsi="Times New Roman"/>
                <w:sz w:val="18"/>
                <w:szCs w:val="18"/>
                <w:color w:val="auto"/>
              </w:rPr>
              <w:t>Intellectual Property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8.19.</w:t>
            </w:r>
          </w:p>
        </w:tc>
        <w:tc>
          <w:tcPr>
            <w:tcW w:w="1220" w:type="dxa"/>
            <w:vAlign w:val="bottom"/>
            <w:gridSpan w:val="9"/>
          </w:tcPr>
          <w:p>
            <w:pPr>
              <w:ind w:left="80"/>
              <w:spacing w:after="0" w:line="196" w:lineRule="exact"/>
              <w:rPr>
                <w:sz w:val="20"/>
                <w:szCs w:val="20"/>
                <w:color w:val="auto"/>
              </w:rPr>
            </w:pPr>
            <w:r>
              <w:rPr>
                <w:rFonts w:ascii="Times New Roman" w:cs="Times New Roman" w:eastAsia="Times New Roman" w:hAnsi="Times New Roman"/>
                <w:sz w:val="18"/>
                <w:szCs w:val="18"/>
                <w:color w:val="auto"/>
              </w:rPr>
              <w:t>Regulation H</w:t>
            </w:r>
          </w:p>
        </w:tc>
        <w:tc>
          <w:tcPr>
            <w:tcW w:w="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98</w:t>
            </w:r>
          </w:p>
        </w:tc>
        <w:tc>
          <w:tcPr>
            <w:tcW w:w="28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100</w:t>
            </w:r>
          </w:p>
        </w:tc>
        <w:tc>
          <w:tcPr>
            <w:tcW w:w="240" w:type="dxa"/>
            <w:vAlign w:val="bottom"/>
            <w:gridSpan w:val="6"/>
          </w:tcPr>
          <w:p>
            <w:pPr>
              <w:spacing w:after="0"/>
              <w:rPr>
                <w:sz w:val="17"/>
                <w:szCs w:val="17"/>
                <w:color w:val="auto"/>
              </w:rPr>
            </w:pPr>
          </w:p>
        </w:tc>
        <w:tc>
          <w:tcPr>
            <w:tcW w:w="260" w:type="dxa"/>
            <w:vAlign w:val="bottom"/>
            <w:tcBorders>
              <w:top w:val="single" w:sz="8" w:color="0000FF"/>
            </w:tcBorders>
            <w:gridSpan w:val="6"/>
          </w:tcPr>
          <w:p>
            <w:pPr>
              <w:spacing w:after="0"/>
              <w:rPr>
                <w:sz w:val="17"/>
                <w:szCs w:val="17"/>
                <w:color w:val="auto"/>
              </w:rPr>
            </w:pPr>
          </w:p>
        </w:tc>
        <w:tc>
          <w:tcPr>
            <w:tcW w:w="3340" w:type="dxa"/>
            <w:vAlign w:val="bottom"/>
            <w:gridSpan w:val="4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8.20.</w:t>
            </w:r>
          </w:p>
        </w:tc>
        <w:tc>
          <w:tcPr>
            <w:tcW w:w="94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9"/>
              </w:rPr>
              <w:t>98</w:t>
            </w:r>
          </w:p>
        </w:tc>
        <w:tc>
          <w:tcPr>
            <w:tcW w:w="280" w:type="dxa"/>
            <w:vAlign w:val="bottom"/>
            <w:tcBorders>
              <w:bottom w:val="single" w:sz="8" w:color="0000FF"/>
            </w:tcBorders>
            <w:gridSpan w:val="8"/>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100</w:t>
            </w:r>
          </w:p>
        </w:tc>
        <w:tc>
          <w:tcPr>
            <w:tcW w:w="4100" w:type="dxa"/>
            <w:vAlign w:val="bottom"/>
            <w:gridSpan w:val="6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8.21.</w:t>
            </w:r>
          </w:p>
        </w:tc>
        <w:tc>
          <w:tcPr>
            <w:tcW w:w="1060" w:type="dxa"/>
            <w:vAlign w:val="bottom"/>
            <w:gridSpan w:val="4"/>
          </w:tcPr>
          <w:p>
            <w:pPr>
              <w:ind w:left="80"/>
              <w:spacing w:after="0" w:line="196" w:lineRule="exact"/>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9"/>
              </w:rPr>
              <w:t>98</w:t>
            </w:r>
          </w:p>
        </w:tc>
        <w:tc>
          <w:tcPr>
            <w:tcW w:w="260" w:type="dxa"/>
            <w:vAlign w:val="bottom"/>
            <w:tcBorders>
              <w:bottom w:val="single" w:sz="8" w:color="0000FF"/>
            </w:tcBorders>
            <w:gridSpan w:val="8"/>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100</w:t>
            </w:r>
          </w:p>
        </w:tc>
        <w:tc>
          <w:tcPr>
            <w:tcW w:w="180" w:type="dxa"/>
            <w:vAlign w:val="bottom"/>
            <w:gridSpan w:val="2"/>
          </w:tcPr>
          <w:p>
            <w:pPr>
              <w:spacing w:after="0"/>
              <w:rPr>
                <w:sz w:val="17"/>
                <w:szCs w:val="17"/>
                <w:color w:val="auto"/>
              </w:rPr>
            </w:pPr>
          </w:p>
        </w:tc>
        <w:tc>
          <w:tcPr>
            <w:tcW w:w="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FF0000"/>
                <w:strike w:val="1"/>
                <w:w w:val="88"/>
              </w:rPr>
              <w:t>98</w:t>
            </w:r>
          </w:p>
        </w:tc>
        <w:tc>
          <w:tcPr>
            <w:tcW w:w="2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101</w:t>
            </w:r>
          </w:p>
        </w:tc>
        <w:tc>
          <w:tcPr>
            <w:tcW w:w="3340" w:type="dxa"/>
            <w:vAlign w:val="bottom"/>
            <w:gridSpan w:val="4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8.22.</w:t>
            </w:r>
          </w:p>
        </w:tc>
        <w:tc>
          <w:tcPr>
            <w:tcW w:w="1700" w:type="dxa"/>
            <w:vAlign w:val="bottom"/>
            <w:gridSpan w:val="20"/>
          </w:tcPr>
          <w:p>
            <w:pPr>
              <w:ind w:left="80"/>
              <w:spacing w:after="0" w:line="196" w:lineRule="exact"/>
              <w:rPr>
                <w:sz w:val="20"/>
                <w:szCs w:val="20"/>
                <w:color w:val="auto"/>
              </w:rPr>
            </w:pPr>
            <w:r>
              <w:rPr>
                <w:rFonts w:ascii="Times New Roman" w:cs="Times New Roman" w:eastAsia="Times New Roman" w:hAnsi="Times New Roman"/>
                <w:sz w:val="18"/>
                <w:szCs w:val="18"/>
                <w:color w:val="auto"/>
              </w:rPr>
              <w:t>Anti-Terrorism Law</w:t>
            </w:r>
          </w:p>
        </w:tc>
        <w:tc>
          <w:tcPr>
            <w:tcW w:w="200" w:type="dxa"/>
            <w:vAlign w:val="bottom"/>
            <w:gridSpan w:val="4"/>
            <w:vMerge w:val="continue"/>
          </w:tcPr>
          <w:p>
            <w:pPr>
              <w:spacing w:after="0"/>
              <w:rPr>
                <w:sz w:val="17"/>
                <w:szCs w:val="17"/>
                <w:color w:val="auto"/>
              </w:rPr>
            </w:pPr>
          </w:p>
        </w:tc>
        <w:tc>
          <w:tcPr>
            <w:tcW w:w="280" w:type="dxa"/>
            <w:vAlign w:val="bottom"/>
            <w:gridSpan w:val="7"/>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right w:val="single" w:sz="8" w:color="0000FF"/>
            </w:tcBorders>
            <w:gridSpan w:val="31"/>
          </w:tcPr>
          <w:p>
            <w:pPr>
              <w:spacing w:after="0" w:line="20" w:lineRule="exact"/>
              <w:rPr>
                <w:sz w:val="1"/>
                <w:szCs w:val="1"/>
                <w:color w:val="auto"/>
              </w:rPr>
            </w:pPr>
          </w:p>
        </w:tc>
        <w:tc>
          <w:tcPr>
            <w:tcW w:w="3360" w:type="dxa"/>
            <w:vAlign w:val="bottom"/>
            <w:gridSpan w:val="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8.23.</w:t>
            </w:r>
          </w:p>
        </w:tc>
        <w:tc>
          <w:tcPr>
            <w:tcW w:w="2460" w:type="dxa"/>
            <w:vAlign w:val="bottom"/>
            <w:gridSpan w:val="36"/>
          </w:tcPr>
          <w:p>
            <w:pPr>
              <w:ind w:left="80"/>
              <w:spacing w:after="0" w:line="196" w:lineRule="exact"/>
              <w:rPr>
                <w:sz w:val="20"/>
                <w:szCs w:val="20"/>
                <w:color w:val="auto"/>
              </w:rPr>
            </w:pPr>
            <w:r>
              <w:rPr>
                <w:rFonts w:ascii="Times New Roman" w:cs="Times New Roman" w:eastAsia="Times New Roman" w:hAnsi="Times New Roman"/>
                <w:sz w:val="18"/>
                <w:szCs w:val="18"/>
                <w:color w:val="auto"/>
              </w:rPr>
              <w:t>Anti-Corruption Laws/Bribery</w:t>
            </w:r>
          </w:p>
        </w:tc>
        <w:tc>
          <w:tcPr>
            <w:tcW w:w="1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99</w:t>
            </w:r>
          </w:p>
        </w:tc>
        <w:tc>
          <w:tcPr>
            <w:tcW w:w="28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8.24.</w:t>
            </w:r>
          </w:p>
        </w:tc>
        <w:tc>
          <w:tcPr>
            <w:tcW w:w="11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Labor Matters</w:t>
            </w: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9"/>
              </w:rPr>
              <w:t>99</w:t>
            </w:r>
          </w:p>
        </w:tc>
        <w:tc>
          <w:tcPr>
            <w:tcW w:w="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gridSpan w:val="15"/>
            <w:vMerge w:val="restart"/>
          </w:tcPr>
          <w:p>
            <w:pPr>
              <w:jc w:val="center"/>
              <w:ind w:right="640"/>
              <w:spacing w:after="0"/>
              <w:rPr>
                <w:sz w:val="20"/>
                <w:szCs w:val="20"/>
                <w:color w:val="auto"/>
              </w:rPr>
            </w:pPr>
            <w:r>
              <w:rPr>
                <w:rFonts w:ascii="Times New Roman" w:cs="Times New Roman" w:eastAsia="Times New Roman" w:hAnsi="Times New Roman"/>
                <w:sz w:val="18"/>
                <w:szCs w:val="18"/>
                <w:color w:val="auto"/>
                <w:w w:val="98"/>
              </w:rPr>
              <w:t>ARTICLE IX.</w:t>
            </w:r>
          </w:p>
        </w:tc>
        <w:tc>
          <w:tcPr>
            <w:tcW w:w="0" w:type="dxa"/>
            <w:vAlign w:val="bottom"/>
          </w:tcPr>
          <w:p>
            <w:pPr>
              <w:spacing w:after="0"/>
              <w:rPr>
                <w:sz w:val="1"/>
                <w:szCs w:val="1"/>
                <w:color w:val="auto"/>
              </w:rPr>
            </w:pPr>
          </w:p>
        </w:tc>
      </w:tr>
      <w:tr>
        <w:trPr>
          <w:trHeight w:val="453"/>
        </w:trPr>
        <w:tc>
          <w:tcPr>
            <w:tcW w:w="2820" w:type="dxa"/>
            <w:vAlign w:val="bottom"/>
            <w:gridSpan w:val="17"/>
          </w:tcPr>
          <w:p>
            <w:pPr>
              <w:spacing w:after="0"/>
              <w:rPr>
                <w:sz w:val="24"/>
                <w:szCs w:val="24"/>
                <w:color w:val="auto"/>
              </w:rPr>
            </w:pPr>
          </w:p>
        </w:tc>
        <w:tc>
          <w:tcPr>
            <w:tcW w:w="280" w:type="dxa"/>
            <w:vAlign w:val="bottom"/>
            <w:tcBorders>
              <w:top w:val="single" w:sz="8" w:color="0000FF"/>
            </w:tcBorders>
            <w:gridSpan w:val="6"/>
          </w:tcPr>
          <w:p>
            <w:pPr>
              <w:spacing w:after="0"/>
              <w:rPr>
                <w:sz w:val="24"/>
                <w:szCs w:val="24"/>
                <w:color w:val="auto"/>
              </w:rPr>
            </w:pPr>
          </w:p>
        </w:tc>
        <w:tc>
          <w:tcPr>
            <w:tcW w:w="2040" w:type="dxa"/>
            <w:vAlign w:val="bottom"/>
            <w:gridSpan w:val="41"/>
          </w:tcPr>
          <w:p>
            <w:pPr>
              <w:spacing w:after="0"/>
              <w:rPr>
                <w:sz w:val="24"/>
                <w:szCs w:val="24"/>
                <w:color w:val="auto"/>
              </w:rPr>
            </w:pPr>
          </w:p>
        </w:tc>
        <w:tc>
          <w:tcPr>
            <w:tcW w:w="174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25"/>
          </w:tcPr>
          <w:p>
            <w:pPr>
              <w:jc w:val="center"/>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2460" w:type="dxa"/>
            <w:vAlign w:val="bottom"/>
            <w:gridSpan w:val="36"/>
          </w:tcPr>
          <w:p>
            <w:pPr>
              <w:ind w:left="80"/>
              <w:spacing w:after="0"/>
              <w:rPr>
                <w:sz w:val="20"/>
                <w:szCs w:val="20"/>
                <w:color w:val="auto"/>
              </w:rPr>
            </w:pPr>
            <w:r>
              <w:rPr>
                <w:rFonts w:ascii="Times New Roman" w:cs="Times New Roman" w:eastAsia="Times New Roman" w:hAnsi="Times New Roman"/>
                <w:sz w:val="18"/>
                <w:szCs w:val="18"/>
                <w:color w:val="auto"/>
              </w:rPr>
              <w:t>Existence; Business Properties</w:t>
            </w: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99</w:t>
            </w:r>
          </w:p>
        </w:tc>
        <w:tc>
          <w:tcPr>
            <w:tcW w:w="2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94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100</w:t>
            </w:r>
          </w:p>
        </w:tc>
        <w:tc>
          <w:tcPr>
            <w:tcW w:w="14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102</w:t>
            </w:r>
          </w:p>
        </w:tc>
        <w:tc>
          <w:tcPr>
            <w:tcW w:w="260" w:type="dxa"/>
            <w:vAlign w:val="bottom"/>
            <w:tcBorders>
              <w:top w:val="single" w:sz="8" w:color="0000FF"/>
            </w:tcBorders>
            <w:gridSpan w:val="5"/>
          </w:tcPr>
          <w:p>
            <w:pPr>
              <w:spacing w:after="0"/>
              <w:rPr>
                <w:sz w:val="17"/>
                <w:szCs w:val="17"/>
                <w:color w:val="auto"/>
              </w:rPr>
            </w:pPr>
          </w:p>
        </w:tc>
        <w:tc>
          <w:tcPr>
            <w:tcW w:w="26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100</w:t>
            </w:r>
          </w:p>
        </w:tc>
        <w:tc>
          <w:tcPr>
            <w:tcW w:w="28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102</w:t>
            </w:r>
          </w:p>
        </w:tc>
        <w:tc>
          <w:tcPr>
            <w:tcW w:w="280" w:type="dxa"/>
            <w:vAlign w:val="bottom"/>
            <w:tcBorders>
              <w:top w:val="single" w:sz="8" w:color="0000FF"/>
            </w:tcBorders>
            <w:gridSpan w:val="8"/>
          </w:tcPr>
          <w:p>
            <w:pPr>
              <w:spacing w:after="0"/>
              <w:rPr>
                <w:sz w:val="17"/>
                <w:szCs w:val="17"/>
                <w:color w:val="auto"/>
              </w:rPr>
            </w:pPr>
          </w:p>
        </w:tc>
        <w:tc>
          <w:tcPr>
            <w:tcW w:w="660" w:type="dxa"/>
            <w:vAlign w:val="bottom"/>
            <w:gridSpan w:val="13"/>
          </w:tcPr>
          <w:p>
            <w:pPr>
              <w:spacing w:after="0"/>
              <w:rPr>
                <w:sz w:val="17"/>
                <w:szCs w:val="17"/>
                <w:color w:val="auto"/>
              </w:rPr>
            </w:pPr>
          </w:p>
        </w:tc>
        <w:tc>
          <w:tcPr>
            <w:tcW w:w="2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FF0000"/>
                <w:strike w:val="1"/>
                <w:w w:val="70"/>
              </w:rPr>
              <w:t>100</w:t>
            </w:r>
          </w:p>
        </w:tc>
        <w:tc>
          <w:tcPr>
            <w:tcW w:w="2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96"/>
              </w:rPr>
              <w:t>103</w:t>
            </w:r>
          </w:p>
        </w:tc>
        <w:tc>
          <w:tcPr>
            <w:tcW w:w="288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9.04.</w:t>
            </w:r>
          </w:p>
        </w:tc>
        <w:tc>
          <w:tcPr>
            <w:tcW w:w="194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auto"/>
              </w:rPr>
              <w:t>Financial Statements, Etc</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280" w:type="dxa"/>
            <w:vAlign w:val="bottom"/>
            <w:tcBorders>
              <w:bottom w:val="single" w:sz="8" w:color="0000FF"/>
            </w:tcBorders>
            <w:gridSpan w:val="8"/>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103</w:t>
            </w:r>
          </w:p>
        </w:tc>
        <w:tc>
          <w:tcPr>
            <w:tcW w:w="7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4380" w:type="dxa"/>
            <w:vAlign w:val="bottom"/>
            <w:gridSpan w:val="69"/>
          </w:tcPr>
          <w:p>
            <w:pPr>
              <w:ind w:left="80"/>
              <w:spacing w:after="0" w:line="196" w:lineRule="exact"/>
              <w:rPr>
                <w:sz w:val="20"/>
                <w:szCs w:val="20"/>
                <w:color w:val="auto"/>
              </w:rPr>
            </w:pPr>
            <w:r>
              <w:rPr>
                <w:rFonts w:ascii="Times New Roman" w:cs="Times New Roman" w:eastAsia="Times New Roman" w:hAnsi="Times New Roman"/>
                <w:sz w:val="18"/>
                <w:szCs w:val="18"/>
                <w:color w:val="auto"/>
              </w:rPr>
              <w:t>Maintaining Records; Access to Properties and Inspections</w:t>
            </w:r>
          </w:p>
        </w:tc>
        <w:tc>
          <w:tcPr>
            <w:tcW w:w="120" w:type="dxa"/>
            <w:vAlign w:val="bottom"/>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9.06.</w:t>
            </w:r>
          </w:p>
        </w:tc>
        <w:tc>
          <w:tcPr>
            <w:tcW w:w="194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auto"/>
              </w:rPr>
              <w:t>Use of Proceeds; FCPA</w:t>
            </w:r>
          </w:p>
        </w:tc>
        <w:tc>
          <w:tcPr>
            <w:tcW w:w="300" w:type="dxa"/>
            <w:vAlign w:val="bottom"/>
            <w:gridSpan w:val="6"/>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103</w:t>
            </w:r>
          </w:p>
        </w:tc>
        <w:tc>
          <w:tcPr>
            <w:tcW w:w="280" w:type="dxa"/>
            <w:vAlign w:val="bottom"/>
            <w:gridSpan w:val="6"/>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0000FF"/>
                <w:w w:val="81"/>
              </w:rPr>
              <w:t>106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104</w:t>
            </w:r>
          </w:p>
        </w:tc>
        <w:tc>
          <w:tcPr>
            <w:tcW w:w="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106</w:t>
            </w:r>
          </w:p>
        </w:tc>
        <w:tc>
          <w:tcPr>
            <w:tcW w:w="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28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9.07.</w:t>
            </w:r>
          </w:p>
        </w:tc>
        <w:tc>
          <w:tcPr>
            <w:tcW w:w="2940" w:type="dxa"/>
            <w:vAlign w:val="bottom"/>
            <w:gridSpan w:val="49"/>
          </w:tcPr>
          <w:p>
            <w:pPr>
              <w:ind w:left="80"/>
              <w:spacing w:after="0" w:line="196" w:lineRule="exact"/>
              <w:rPr>
                <w:sz w:val="20"/>
                <w:szCs w:val="20"/>
                <w:color w:val="auto"/>
              </w:rPr>
            </w:pPr>
            <w:r>
              <w:rPr>
                <w:rFonts w:ascii="Times New Roman" w:cs="Times New Roman" w:eastAsia="Times New Roman" w:hAnsi="Times New Roman"/>
                <w:sz w:val="18"/>
                <w:szCs w:val="18"/>
                <w:color w:val="auto"/>
              </w:rPr>
              <w:t>Compliance with Environmental Law</w:t>
            </w:r>
          </w:p>
        </w:tc>
        <w:tc>
          <w:tcPr>
            <w:tcW w:w="40" w:type="dxa"/>
            <w:vAlign w:val="bottom"/>
          </w:tcPr>
          <w:p>
            <w:pPr>
              <w:spacing w:after="0"/>
              <w:rPr>
                <w:sz w:val="17"/>
                <w:szCs w:val="17"/>
                <w:color w:val="auto"/>
              </w:rPr>
            </w:pPr>
          </w:p>
        </w:tc>
        <w:tc>
          <w:tcPr>
            <w:tcW w:w="260" w:type="dxa"/>
            <w:vAlign w:val="bottom"/>
            <w:gridSpan w:val="5"/>
            <w:vMerge w:val="continue"/>
          </w:tcPr>
          <w:p>
            <w:pPr>
              <w:spacing w:after="0"/>
              <w:rPr>
                <w:sz w:val="17"/>
                <w:szCs w:val="17"/>
                <w:color w:val="auto"/>
              </w:rPr>
            </w:pPr>
          </w:p>
        </w:tc>
        <w:tc>
          <w:tcPr>
            <w:tcW w:w="280" w:type="dxa"/>
            <w:vAlign w:val="bottom"/>
            <w:tcBorders>
              <w:bottom w:val="single" w:sz="8" w:color="0000FF"/>
            </w:tcBorders>
            <w:gridSpan w:val="5"/>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104</w:t>
            </w:r>
          </w:p>
        </w:tc>
        <w:tc>
          <w:tcPr>
            <w:tcW w:w="3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107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3780" w:type="dxa"/>
            <w:vAlign w:val="bottom"/>
            <w:gridSpan w:val="63"/>
          </w:tcPr>
          <w:p>
            <w:pPr>
              <w:ind w:left="80"/>
              <w:spacing w:after="0" w:line="196" w:lineRule="exact"/>
              <w:rPr>
                <w:sz w:val="20"/>
                <w:szCs w:val="20"/>
                <w:color w:val="auto"/>
              </w:rPr>
            </w:pPr>
            <w:r>
              <w:rPr>
                <w:rFonts w:ascii="Times New Roman" w:cs="Times New Roman" w:eastAsia="Times New Roman" w:hAnsi="Times New Roman"/>
                <w:sz w:val="18"/>
                <w:szCs w:val="18"/>
                <w:color w:val="auto"/>
              </w:rPr>
              <w:t>Pledge of Property or Mortgage of Real Property</w:t>
            </w:r>
          </w:p>
        </w:tc>
        <w:tc>
          <w:tcPr>
            <w:tcW w:w="280" w:type="dxa"/>
            <w:vAlign w:val="bottom"/>
            <w:gridSpan w:val="2"/>
            <w:vMerge w:val="continue"/>
          </w:tcPr>
          <w:p>
            <w:pPr>
              <w:spacing w:after="0"/>
              <w:rPr>
                <w:sz w:val="17"/>
                <w:szCs w:val="17"/>
                <w:color w:val="auto"/>
              </w:rPr>
            </w:pPr>
          </w:p>
        </w:tc>
        <w:tc>
          <w:tcPr>
            <w:tcW w:w="3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2940" w:type="dxa"/>
            <w:vAlign w:val="bottom"/>
            <w:gridSpan w:val="49"/>
          </w:tcPr>
          <w:p>
            <w:pPr>
              <w:ind w:left="80"/>
              <w:spacing w:after="0" w:line="196" w:lineRule="exact"/>
              <w:rPr>
                <w:sz w:val="20"/>
                <w:szCs w:val="20"/>
                <w:color w:val="auto"/>
              </w:rPr>
            </w:pPr>
            <w:r>
              <w:rPr>
                <w:rFonts w:ascii="Times New Roman" w:cs="Times New Roman" w:eastAsia="Times New Roman" w:hAnsi="Times New Roman"/>
                <w:sz w:val="18"/>
                <w:szCs w:val="18"/>
                <w:color w:val="auto"/>
              </w:rPr>
              <w:t>Security Interests; Further Assurances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106</w:t>
            </w:r>
          </w:p>
        </w:tc>
        <w:tc>
          <w:tcPr>
            <w:tcW w:w="440" w:type="dxa"/>
            <w:vAlign w:val="bottom"/>
            <w:gridSpan w:val="5"/>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Borders>
              <w:top w:val="single" w:sz="8" w:color="0000FF"/>
            </w:tcBorders>
          </w:tcPr>
          <w:p>
            <w:pPr>
              <w:spacing w:after="0"/>
              <w:rPr>
                <w:sz w:val="17"/>
                <w:szCs w:val="17"/>
                <w:color w:val="auto"/>
              </w:rPr>
            </w:pPr>
          </w:p>
        </w:tc>
        <w:tc>
          <w:tcPr>
            <w:tcW w:w="17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2460" w:type="dxa"/>
            <w:vAlign w:val="bottom"/>
            <w:gridSpan w:val="36"/>
          </w:tcPr>
          <w:p>
            <w:pPr>
              <w:ind w:left="80"/>
              <w:spacing w:after="0" w:line="196" w:lineRule="exact"/>
              <w:rPr>
                <w:sz w:val="20"/>
                <w:szCs w:val="20"/>
                <w:color w:val="auto"/>
              </w:rPr>
            </w:pPr>
            <w:r>
              <w:rPr>
                <w:rFonts w:ascii="Times New Roman" w:cs="Times New Roman" w:eastAsia="Times New Roman" w:hAnsi="Times New Roman"/>
                <w:sz w:val="18"/>
                <w:szCs w:val="18"/>
                <w:color w:val="auto"/>
                <w:w w:val="98"/>
              </w:rPr>
              <w:t>Wynn Las Vegas Reorganization</w:t>
            </w: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106</w:t>
            </w:r>
          </w:p>
        </w:tc>
        <w:tc>
          <w:tcPr>
            <w:tcW w:w="34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194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auto"/>
              </w:rPr>
              <w:t>Additional Credit Parties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107</w:t>
            </w:r>
          </w:p>
        </w:tc>
        <w:tc>
          <w:tcPr>
            <w:tcW w:w="280" w:type="dxa"/>
            <w:vAlign w:val="bottom"/>
            <w:tcBorders>
              <w:bottom w:val="single" w:sz="8" w:color="0000FF"/>
            </w:tcBorders>
            <w:gridSpan w:val="8"/>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109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108</w:t>
            </w:r>
          </w:p>
        </w:tc>
        <w:tc>
          <w:tcPr>
            <w:tcW w:w="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110</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4110" w:type="dxa"/>
            <w:vAlign w:val="bottom"/>
            <w:gridSpan w:val="66"/>
          </w:tcPr>
          <w:p>
            <w:pPr>
              <w:ind w:left="80"/>
              <w:spacing w:after="0" w:line="196" w:lineRule="exact"/>
              <w:rPr>
                <w:sz w:val="20"/>
                <w:szCs w:val="20"/>
                <w:color w:val="auto"/>
              </w:rPr>
            </w:pPr>
            <w:r>
              <w:rPr>
                <w:rFonts w:ascii="Times New Roman" w:cs="Times New Roman" w:eastAsia="Times New Roman" w:hAnsi="Times New Roman"/>
                <w:sz w:val="18"/>
                <w:szCs w:val="18"/>
                <w:color w:val="auto"/>
                <w:w w:val="99"/>
              </w:rPr>
              <w:t>Limitation on Designations of Unrestricted Subsidiaries</w:t>
            </w:r>
          </w:p>
        </w:tc>
        <w:tc>
          <w:tcPr>
            <w:tcW w:w="170" w:type="dxa"/>
            <w:vAlign w:val="bottom"/>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260" w:type="dxa"/>
            <w:vAlign w:val="bottom"/>
            <w:tcBorders>
              <w:bottom w:val="single" w:sz="8" w:color="0000FF"/>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4110" w:type="dxa"/>
            <w:vAlign w:val="bottom"/>
            <w:gridSpan w:val="66"/>
          </w:tcPr>
          <w:p>
            <w:pPr>
              <w:ind w:left="80"/>
              <w:spacing w:after="0" w:line="196" w:lineRule="exact"/>
              <w:rPr>
                <w:sz w:val="20"/>
                <w:szCs w:val="20"/>
                <w:color w:val="auto"/>
              </w:rPr>
            </w:pPr>
            <w:r>
              <w:rPr>
                <w:rFonts w:ascii="Times New Roman" w:cs="Times New Roman" w:eastAsia="Times New Roman" w:hAnsi="Times New Roman"/>
                <w:sz w:val="18"/>
                <w:szCs w:val="18"/>
                <w:color w:val="auto"/>
              </w:rPr>
              <w:t>Limitation on Designation of Immaterial Subsidiaries</w:t>
            </w:r>
          </w:p>
        </w:tc>
        <w:tc>
          <w:tcPr>
            <w:tcW w:w="27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109</w:t>
            </w:r>
          </w:p>
        </w:tc>
        <w:tc>
          <w:tcPr>
            <w:tcW w:w="2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2460" w:type="dxa"/>
            <w:vAlign w:val="bottom"/>
            <w:gridSpan w:val="36"/>
          </w:tcPr>
          <w:p>
            <w:pPr>
              <w:ind w:left="80"/>
              <w:spacing w:after="0" w:line="196" w:lineRule="exact"/>
              <w:rPr>
                <w:sz w:val="20"/>
                <w:szCs w:val="20"/>
                <w:color w:val="auto"/>
              </w:rPr>
            </w:pPr>
            <w:r>
              <w:rPr>
                <w:rFonts w:ascii="Times New Roman" w:cs="Times New Roman" w:eastAsia="Times New Roman" w:hAnsi="Times New Roman"/>
                <w:sz w:val="18"/>
                <w:szCs w:val="18"/>
                <w:color w:val="auto"/>
              </w:rPr>
              <w:t>Wynn Las Vegas Distributions</w:t>
            </w:r>
          </w:p>
        </w:tc>
        <w:tc>
          <w:tcPr>
            <w:tcW w:w="260" w:type="dxa"/>
            <w:vAlign w:val="bottom"/>
            <w:gridSpan w:val="8"/>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109</w:t>
            </w:r>
          </w:p>
        </w:tc>
        <w:tc>
          <w:tcPr>
            <w:tcW w:w="280" w:type="dxa"/>
            <w:vAlign w:val="bottom"/>
            <w:tcBorders>
              <w:bottom w:val="single" w:sz="8" w:color="0000FF"/>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Ratings</w:t>
            </w:r>
          </w:p>
        </w:tc>
        <w:tc>
          <w:tcPr>
            <w:tcW w:w="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110</w:t>
            </w:r>
          </w:p>
        </w:tc>
        <w:tc>
          <w:tcPr>
            <w:tcW w:w="2720" w:type="dxa"/>
            <w:vAlign w:val="bottom"/>
            <w:gridSpan w:val="59"/>
          </w:tcPr>
          <w:p>
            <w:pPr>
              <w:jc w:val="right"/>
              <w:ind w:right="237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112</w:t>
            </w:r>
          </w:p>
        </w:tc>
        <w:tc>
          <w:tcPr>
            <w:tcW w:w="1740" w:type="dxa"/>
            <w:vAlign w:val="bottom"/>
            <w:gridSpan w:val="15"/>
            <w:vMerge w:val="restart"/>
          </w:tcPr>
          <w:p>
            <w:pPr>
              <w:jc w:val="center"/>
              <w:ind w:right="640"/>
              <w:spacing w:after="0"/>
              <w:rPr>
                <w:sz w:val="20"/>
                <w:szCs w:val="20"/>
                <w:color w:val="auto"/>
              </w:rPr>
            </w:pPr>
            <w:r>
              <w:rPr>
                <w:rFonts w:ascii="Times New Roman" w:cs="Times New Roman" w:eastAsia="Times New Roman" w:hAnsi="Times New Roman"/>
                <w:sz w:val="18"/>
                <w:szCs w:val="18"/>
                <w:color w:val="auto"/>
                <w:w w:val="99"/>
              </w:rPr>
              <w:t>ARTICLE X.</w:t>
            </w:r>
          </w:p>
        </w:tc>
        <w:tc>
          <w:tcPr>
            <w:tcW w:w="0" w:type="dxa"/>
            <w:vAlign w:val="bottom"/>
          </w:tcPr>
          <w:p>
            <w:pPr>
              <w:spacing w:after="0"/>
              <w:rPr>
                <w:sz w:val="1"/>
                <w:szCs w:val="1"/>
                <w:color w:val="auto"/>
              </w:rPr>
            </w:pPr>
          </w:p>
        </w:tc>
      </w:tr>
      <w:tr>
        <w:trPr>
          <w:trHeight w:val="453"/>
        </w:trPr>
        <w:tc>
          <w:tcPr>
            <w:tcW w:w="2420" w:type="dxa"/>
            <w:vAlign w:val="bottom"/>
            <w:gridSpan w:val="5"/>
          </w:tcPr>
          <w:p>
            <w:pPr>
              <w:spacing w:after="0"/>
              <w:rPr>
                <w:sz w:val="24"/>
                <w:szCs w:val="24"/>
                <w:color w:val="auto"/>
              </w:rPr>
            </w:pPr>
          </w:p>
        </w:tc>
        <w:tc>
          <w:tcPr>
            <w:tcW w:w="260" w:type="dxa"/>
            <w:vAlign w:val="bottom"/>
            <w:tcBorders>
              <w:top w:val="single" w:sz="8" w:color="0000FF"/>
            </w:tcBorders>
            <w:gridSpan w:val="7"/>
          </w:tcPr>
          <w:p>
            <w:pPr>
              <w:spacing w:after="0"/>
              <w:rPr>
                <w:sz w:val="24"/>
                <w:szCs w:val="24"/>
                <w:color w:val="auto"/>
              </w:rPr>
            </w:pPr>
          </w:p>
        </w:tc>
        <w:tc>
          <w:tcPr>
            <w:tcW w:w="2460" w:type="dxa"/>
            <w:vAlign w:val="bottom"/>
            <w:gridSpan w:val="52"/>
          </w:tcPr>
          <w:p>
            <w:pPr>
              <w:spacing w:after="0"/>
              <w:rPr>
                <w:sz w:val="24"/>
                <w:szCs w:val="24"/>
                <w:color w:val="auto"/>
              </w:rPr>
            </w:pPr>
          </w:p>
        </w:tc>
        <w:tc>
          <w:tcPr>
            <w:tcW w:w="174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79"/>
          </w:tcPr>
          <w:p>
            <w:pPr>
              <w:spacing w:after="0"/>
              <w:rPr>
                <w:sz w:val="20"/>
                <w:szCs w:val="20"/>
                <w:color w:val="auto"/>
              </w:rPr>
            </w:pPr>
            <w:r>
              <w:rPr>
                <w:rFonts w:ascii="Times New Roman" w:cs="Times New Roman" w:eastAsia="Times New Roman" w:hAnsi="Times New Roman"/>
                <w:sz w:val="18"/>
                <w:szCs w:val="18"/>
                <w:color w:val="auto"/>
              </w:rPr>
              <w:t>NEGATIVE COVENANTS</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1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2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110</w:t>
            </w:r>
          </w:p>
        </w:tc>
        <w:tc>
          <w:tcPr>
            <w:tcW w:w="4060" w:type="dxa"/>
            <w:vAlign w:val="bottom"/>
            <w:gridSpan w:val="62"/>
          </w:tcPr>
          <w:p>
            <w:pPr>
              <w:spacing w:after="0"/>
              <w:rPr>
                <w:sz w:val="20"/>
                <w:szCs w:val="20"/>
                <w:color w:val="auto"/>
              </w:rPr>
            </w:pPr>
            <w:r>
              <w:rPr>
                <w:rFonts w:ascii="Times New Roman" w:cs="Times New Roman" w:eastAsia="Times New Roman" w:hAnsi="Times New Roman"/>
                <w:sz w:val="18"/>
                <w:szCs w:val="18"/>
                <w:b w:val="1"/>
                <w:bCs w:val="1"/>
                <w:color w:val="0000FF"/>
                <w:w w:val="96"/>
              </w:rPr>
              <w:t>112</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10.02.</w:t>
            </w:r>
          </w:p>
        </w:tc>
        <w:tc>
          <w:tcPr>
            <w:tcW w:w="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Liens</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112</w:t>
            </w:r>
          </w:p>
        </w:tc>
        <w:tc>
          <w:tcPr>
            <w:tcW w:w="26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115</w:t>
            </w:r>
          </w:p>
        </w:tc>
        <w:tc>
          <w:tcPr>
            <w:tcW w:w="280" w:type="dxa"/>
            <w:vAlign w:val="bottom"/>
            <w:gridSpan w:val="9"/>
          </w:tcPr>
          <w:p>
            <w:pPr>
              <w:spacing w:after="0"/>
              <w:rPr>
                <w:sz w:val="17"/>
                <w:szCs w:val="17"/>
                <w:color w:val="auto"/>
              </w:rPr>
            </w:pPr>
          </w:p>
        </w:tc>
        <w:tc>
          <w:tcPr>
            <w:tcW w:w="260" w:type="dxa"/>
            <w:vAlign w:val="bottom"/>
            <w:tcBorders>
              <w:top w:val="single" w:sz="8" w:color="0000FF"/>
            </w:tcBorders>
            <w:gridSpan w:val="5"/>
          </w:tcPr>
          <w:p>
            <w:pPr>
              <w:spacing w:after="0"/>
              <w:rPr>
                <w:sz w:val="17"/>
                <w:szCs w:val="17"/>
                <w:color w:val="auto"/>
              </w:rPr>
            </w:pPr>
          </w:p>
        </w:tc>
        <w:tc>
          <w:tcPr>
            <w:tcW w:w="3800" w:type="dxa"/>
            <w:vAlign w:val="bottom"/>
            <w:gridSpan w:val="5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10.03.</w:t>
            </w:r>
          </w:p>
        </w:tc>
        <w:tc>
          <w:tcPr>
            <w:tcW w:w="9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116</w:t>
            </w:r>
          </w:p>
        </w:tc>
        <w:tc>
          <w:tcPr>
            <w:tcW w:w="1540" w:type="dxa"/>
            <w:vAlign w:val="bottom"/>
            <w:gridSpan w:val="37"/>
          </w:tcPr>
          <w:p>
            <w:pPr>
              <w:jc w:val="right"/>
              <w:ind w:right="119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118</w:t>
            </w:r>
          </w:p>
        </w:tc>
        <w:tc>
          <w:tcPr>
            <w:tcW w:w="2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116</w:t>
            </w:r>
          </w:p>
        </w:tc>
        <w:tc>
          <w:tcPr>
            <w:tcW w:w="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8"/>
              </w:rPr>
              <w:t>119</w:t>
            </w:r>
          </w:p>
        </w:tc>
        <w:tc>
          <w:tcPr>
            <w:tcW w:w="22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8"/>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6"/>
            <w:vMerge w:val="continue"/>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10.04.</w:t>
            </w:r>
          </w:p>
        </w:tc>
        <w:tc>
          <w:tcPr>
            <w:tcW w:w="2640" w:type="dxa"/>
            <w:vAlign w:val="bottom"/>
            <w:gridSpan w:val="42"/>
          </w:tcPr>
          <w:p>
            <w:pPr>
              <w:ind w:left="80"/>
              <w:spacing w:after="0" w:line="196" w:lineRule="exact"/>
              <w:rPr>
                <w:sz w:val="20"/>
                <w:szCs w:val="20"/>
                <w:color w:val="auto"/>
              </w:rPr>
            </w:pPr>
            <w:r>
              <w:rPr>
                <w:rFonts w:ascii="Times New Roman" w:cs="Times New Roman" w:eastAsia="Times New Roman" w:hAnsi="Times New Roman"/>
                <w:sz w:val="18"/>
                <w:szCs w:val="18"/>
                <w:color w:val="auto"/>
              </w:rPr>
              <w:t>Investments, Loans and Advances</w:t>
            </w:r>
          </w:p>
        </w:tc>
        <w:tc>
          <w:tcPr>
            <w:tcW w:w="80" w:type="dxa"/>
            <w:vAlign w:val="bottom"/>
            <w:gridSpan w:val="2"/>
          </w:tcPr>
          <w:p>
            <w:pPr>
              <w:spacing w:after="0"/>
              <w:rPr>
                <w:sz w:val="17"/>
                <w:szCs w:val="17"/>
                <w:color w:val="auto"/>
              </w:rPr>
            </w:pPr>
          </w:p>
        </w:tc>
        <w:tc>
          <w:tcPr>
            <w:tcW w:w="260" w:type="dxa"/>
            <w:vAlign w:val="bottom"/>
            <w:gridSpan w:val="6"/>
            <w:vMerge w:val="continue"/>
          </w:tcPr>
          <w:p>
            <w:pPr>
              <w:spacing w:after="0"/>
              <w:rPr>
                <w:sz w:val="17"/>
                <w:szCs w:val="17"/>
                <w:color w:val="auto"/>
              </w:rPr>
            </w:pPr>
          </w:p>
        </w:tc>
        <w:tc>
          <w:tcPr>
            <w:tcW w:w="260" w:type="dxa"/>
            <w:vAlign w:val="bottom"/>
            <w:tcBorders>
              <w:bottom w:val="single" w:sz="8" w:color="0000FF"/>
            </w:tcBorders>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119</w:t>
            </w:r>
          </w:p>
        </w:tc>
        <w:tc>
          <w:tcPr>
            <w:tcW w:w="39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6"/>
              </w:rPr>
              <w:t>121</w:t>
            </w: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10.05.</w:t>
            </w:r>
          </w:p>
        </w:tc>
        <w:tc>
          <w:tcPr>
            <w:tcW w:w="3460" w:type="dxa"/>
            <w:vAlign w:val="bottom"/>
            <w:gridSpan w:val="58"/>
          </w:tcPr>
          <w:p>
            <w:pPr>
              <w:ind w:left="80"/>
              <w:spacing w:after="0" w:line="196" w:lineRule="exact"/>
              <w:rPr>
                <w:sz w:val="20"/>
                <w:szCs w:val="20"/>
                <w:color w:val="auto"/>
              </w:rPr>
            </w:pPr>
            <w:r>
              <w:rPr>
                <w:rFonts w:ascii="Times New Roman" w:cs="Times New Roman" w:eastAsia="Times New Roman" w:hAnsi="Times New Roman"/>
                <w:sz w:val="18"/>
                <w:szCs w:val="18"/>
                <w:color w:val="auto"/>
              </w:rPr>
              <w:t>Mergers, Consolidations and Sales of Assets</w:t>
            </w:r>
          </w:p>
        </w:tc>
        <w:tc>
          <w:tcPr>
            <w:tcW w:w="260" w:type="dxa"/>
            <w:vAlign w:val="bottom"/>
            <w:gridSpan w:val="4"/>
            <w:vMerge w:val="continue"/>
          </w:tcPr>
          <w:p>
            <w:pPr>
              <w:spacing w:after="0"/>
              <w:rPr>
                <w:sz w:val="17"/>
                <w:szCs w:val="17"/>
                <w:color w:val="auto"/>
              </w:rPr>
            </w:pPr>
          </w:p>
        </w:tc>
        <w:tc>
          <w:tcPr>
            <w:tcW w:w="390" w:type="dxa"/>
            <w:vAlign w:val="bottom"/>
            <w:gridSpan w:val="4"/>
            <w:vMerge w:val="continue"/>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10.06.</w:t>
            </w:r>
          </w:p>
        </w:tc>
        <w:tc>
          <w:tcPr>
            <w:tcW w:w="1700" w:type="dxa"/>
            <w:vAlign w:val="bottom"/>
            <w:gridSpan w:val="20"/>
          </w:tcPr>
          <w:p>
            <w:pPr>
              <w:ind w:left="80"/>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40" w:type="dxa"/>
            <w:vAlign w:val="bottom"/>
            <w:gridSpan w:val="2"/>
          </w:tcPr>
          <w:p>
            <w:pPr>
              <w:spacing w:after="0"/>
              <w:rPr>
                <w:sz w:val="17"/>
                <w:szCs w:val="17"/>
                <w:color w:val="auto"/>
              </w:rPr>
            </w:pPr>
          </w:p>
        </w:tc>
        <w:tc>
          <w:tcPr>
            <w:tcW w:w="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121</w:t>
            </w:r>
          </w:p>
        </w:tc>
        <w:tc>
          <w:tcPr>
            <w:tcW w:w="2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73"/>
              </w:rPr>
              <w:t>123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10.07.</w:t>
            </w:r>
          </w:p>
        </w:tc>
        <w:tc>
          <w:tcPr>
            <w:tcW w:w="2240" w:type="dxa"/>
            <w:vAlign w:val="bottom"/>
            <w:gridSpan w:val="32"/>
          </w:tcPr>
          <w:p>
            <w:pPr>
              <w:ind w:left="80"/>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122</w:t>
            </w:r>
          </w:p>
        </w:tc>
        <w:tc>
          <w:tcPr>
            <w:tcW w:w="280" w:type="dxa"/>
            <w:vAlign w:val="bottom"/>
            <w:tcBorders>
              <w:bottom w:val="single" w:sz="8" w:color="0000FF"/>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124</w:t>
            </w:r>
          </w:p>
        </w:tc>
        <w:tc>
          <w:tcPr>
            <w:tcW w:w="4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10.08.</w:t>
            </w:r>
          </w:p>
        </w:tc>
        <w:tc>
          <w:tcPr>
            <w:tcW w:w="1700" w:type="dxa"/>
            <w:vAlign w:val="bottom"/>
            <w:gridSpan w:val="20"/>
          </w:tcPr>
          <w:p>
            <w:pPr>
              <w:ind w:left="80"/>
              <w:spacing w:after="0" w:line="196" w:lineRule="exact"/>
              <w:rPr>
                <w:sz w:val="20"/>
                <w:szCs w:val="20"/>
                <w:color w:val="auto"/>
              </w:rPr>
            </w:pPr>
            <w:r>
              <w:rPr>
                <w:rFonts w:ascii="Times New Roman" w:cs="Times New Roman" w:eastAsia="Times New Roman" w:hAnsi="Times New Roman"/>
                <w:sz w:val="18"/>
                <w:szCs w:val="18"/>
                <w:color w:val="auto"/>
              </w:rPr>
              <w:t>Financial Covenant.</w:t>
            </w:r>
          </w:p>
        </w:tc>
        <w:tc>
          <w:tcPr>
            <w:tcW w:w="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122</w:t>
            </w:r>
          </w:p>
        </w:tc>
        <w:tc>
          <w:tcPr>
            <w:tcW w:w="2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123</w:t>
            </w:r>
          </w:p>
        </w:tc>
        <w:tc>
          <w:tcPr>
            <w:tcW w:w="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8"/>
              </w:rPr>
              <w:t>125</w:t>
            </w:r>
          </w:p>
        </w:tc>
        <w:tc>
          <w:tcPr>
            <w:tcW w:w="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vMerge w:val="continue"/>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10.09.</w:t>
            </w:r>
          </w:p>
        </w:tc>
        <w:tc>
          <w:tcPr>
            <w:tcW w:w="2640" w:type="dxa"/>
            <w:vAlign w:val="bottom"/>
            <w:gridSpan w:val="42"/>
          </w:tcPr>
          <w:p>
            <w:pPr>
              <w:ind w:left="80"/>
              <w:spacing w:after="0" w:line="196" w:lineRule="exact"/>
              <w:rPr>
                <w:sz w:val="20"/>
                <w:szCs w:val="20"/>
                <w:color w:val="auto"/>
              </w:rPr>
            </w:pPr>
            <w:r>
              <w:rPr>
                <w:rFonts w:ascii="Times New Roman" w:cs="Times New Roman" w:eastAsia="Times New Roman" w:hAnsi="Times New Roman"/>
                <w:sz w:val="18"/>
                <w:szCs w:val="18"/>
                <w:color w:val="auto"/>
              </w:rPr>
              <w:t>Certain Payments of Indebtedness</w:t>
            </w:r>
          </w:p>
        </w:tc>
        <w:tc>
          <w:tcPr>
            <w:tcW w:w="80" w:type="dxa"/>
            <w:vAlign w:val="bottom"/>
            <w:gridSpan w:val="2"/>
          </w:tcPr>
          <w:p>
            <w:pPr>
              <w:spacing w:after="0"/>
              <w:rPr>
                <w:sz w:val="17"/>
                <w:szCs w:val="17"/>
                <w:color w:val="auto"/>
              </w:rPr>
            </w:pPr>
          </w:p>
        </w:tc>
        <w:tc>
          <w:tcPr>
            <w:tcW w:w="280" w:type="dxa"/>
            <w:vAlign w:val="bottom"/>
            <w:gridSpan w:val="7"/>
            <w:vMerge w:val="continue"/>
          </w:tcPr>
          <w:p>
            <w:pPr>
              <w:spacing w:after="0"/>
              <w:rPr>
                <w:sz w:val="17"/>
                <w:szCs w:val="17"/>
                <w:color w:val="auto"/>
              </w:rPr>
            </w:pPr>
          </w:p>
        </w:tc>
        <w:tc>
          <w:tcPr>
            <w:tcW w:w="260" w:type="dxa"/>
            <w:vAlign w:val="bottom"/>
            <w:tcBorders>
              <w:bottom w:val="single" w:sz="8" w:color="0000FF"/>
            </w:tcBorders>
            <w:gridSpan w:val="5"/>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123</w:t>
            </w:r>
          </w:p>
        </w:tc>
        <w:tc>
          <w:tcPr>
            <w:tcW w:w="3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0000FF"/>
                <w:w w:val="88"/>
              </w:rPr>
              <w:t>126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10.10.</w:t>
            </w:r>
          </w:p>
        </w:tc>
        <w:tc>
          <w:tcPr>
            <w:tcW w:w="4380" w:type="dxa"/>
            <w:vAlign w:val="bottom"/>
            <w:gridSpan w:val="69"/>
          </w:tcPr>
          <w:p>
            <w:pPr>
              <w:ind w:left="80"/>
              <w:spacing w:after="0" w:line="196" w:lineRule="exact"/>
              <w:rPr>
                <w:sz w:val="20"/>
                <w:szCs w:val="20"/>
                <w:color w:val="auto"/>
              </w:rPr>
            </w:pPr>
            <w:r>
              <w:rPr>
                <w:rFonts w:ascii="Times New Roman" w:cs="Times New Roman" w:eastAsia="Times New Roman" w:hAnsi="Times New Roman"/>
                <w:sz w:val="18"/>
                <w:szCs w:val="18"/>
                <w:color w:val="auto"/>
              </w:rPr>
              <w:t>Limitation on Certain Restrictions Affecting Subsidiaries</w:t>
            </w:r>
          </w:p>
        </w:tc>
        <w:tc>
          <w:tcPr>
            <w:tcW w:w="280" w:type="dxa"/>
            <w:vAlign w:val="bottom"/>
            <w:gridSpan w:val="4"/>
            <w:vMerge w:val="continue"/>
          </w:tcPr>
          <w:p>
            <w:pPr>
              <w:spacing w:after="0"/>
              <w:rPr>
                <w:sz w:val="17"/>
                <w:szCs w:val="17"/>
                <w:color w:val="auto"/>
              </w:rPr>
            </w:pPr>
          </w:p>
        </w:tc>
        <w:tc>
          <w:tcPr>
            <w:tcW w:w="380" w:type="dxa"/>
            <w:vAlign w:val="bottom"/>
            <w:gridSpan w:val="4"/>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10.11.</w:t>
            </w:r>
          </w:p>
        </w:tc>
        <w:tc>
          <w:tcPr>
            <w:tcW w:w="2460" w:type="dxa"/>
            <w:vAlign w:val="bottom"/>
            <w:gridSpan w:val="36"/>
          </w:tcPr>
          <w:p>
            <w:pPr>
              <w:ind w:left="80"/>
              <w:spacing w:after="0" w:line="196" w:lineRule="exact"/>
              <w:rPr>
                <w:sz w:val="20"/>
                <w:szCs w:val="20"/>
                <w:color w:val="auto"/>
              </w:rPr>
            </w:pPr>
            <w:r>
              <w:rPr>
                <w:rFonts w:ascii="Times New Roman" w:cs="Times New Roman" w:eastAsia="Times New Roman" w:hAnsi="Times New Roman"/>
                <w:sz w:val="18"/>
                <w:szCs w:val="18"/>
                <w:color w:val="auto"/>
              </w:rPr>
              <w:t>Limitation on Lines of Business</w:t>
            </w: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124</w:t>
            </w:r>
          </w:p>
        </w:tc>
        <w:tc>
          <w:tcPr>
            <w:tcW w:w="300" w:type="dxa"/>
            <w:vAlign w:val="bottom"/>
            <w:gridSpan w:val="7"/>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10.12.</w:t>
            </w:r>
          </w:p>
        </w:tc>
        <w:tc>
          <w:tcPr>
            <w:tcW w:w="2840" w:type="dxa"/>
            <w:vAlign w:val="bottom"/>
            <w:gridSpan w:val="46"/>
          </w:tcPr>
          <w:p>
            <w:pPr>
              <w:ind w:left="80"/>
              <w:spacing w:after="0" w:line="196" w:lineRule="exact"/>
              <w:rPr>
                <w:sz w:val="20"/>
                <w:szCs w:val="20"/>
                <w:color w:val="auto"/>
              </w:rPr>
            </w:pPr>
            <w:r>
              <w:rPr>
                <w:rFonts w:ascii="Times New Roman" w:cs="Times New Roman" w:eastAsia="Times New Roman" w:hAnsi="Times New Roman"/>
                <w:sz w:val="18"/>
                <w:szCs w:val="18"/>
                <w:color w:val="auto"/>
              </w:rPr>
              <w:t>Limitation on Changes to Fiscal Year</w:t>
            </w:r>
          </w:p>
        </w:tc>
        <w:tc>
          <w:tcPr>
            <w:tcW w:w="100" w:type="dxa"/>
            <w:vAlign w:val="bottom"/>
            <w:gridSpan w:val="3"/>
          </w:tcPr>
          <w:p>
            <w:pPr>
              <w:spacing w:after="0"/>
              <w:rPr>
                <w:sz w:val="17"/>
                <w:szCs w:val="17"/>
                <w:color w:val="auto"/>
              </w:rPr>
            </w:pPr>
          </w:p>
        </w:tc>
        <w:tc>
          <w:tcPr>
            <w:tcW w:w="2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124</w:t>
            </w:r>
          </w:p>
        </w:tc>
        <w:tc>
          <w:tcPr>
            <w:tcW w:w="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127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gridSpan w:val="15"/>
            <w:vMerge w:val="restart"/>
          </w:tcPr>
          <w:p>
            <w:pPr>
              <w:jc w:val="center"/>
              <w:ind w:right="640"/>
              <w:spacing w:after="0"/>
              <w:rPr>
                <w:sz w:val="20"/>
                <w:szCs w:val="20"/>
                <w:color w:val="auto"/>
              </w:rPr>
            </w:pPr>
            <w:r>
              <w:rPr>
                <w:rFonts w:ascii="Times New Roman" w:cs="Times New Roman" w:eastAsia="Times New Roman" w:hAnsi="Times New Roman"/>
                <w:sz w:val="18"/>
                <w:szCs w:val="18"/>
                <w:color w:val="auto"/>
                <w:w w:val="98"/>
              </w:rPr>
              <w:t>ARTICLE XI.</w:t>
            </w:r>
          </w:p>
        </w:tc>
        <w:tc>
          <w:tcPr>
            <w:tcW w:w="0" w:type="dxa"/>
            <w:vAlign w:val="bottom"/>
          </w:tcPr>
          <w:p>
            <w:pPr>
              <w:spacing w:after="0"/>
              <w:rPr>
                <w:sz w:val="1"/>
                <w:szCs w:val="1"/>
                <w:color w:val="auto"/>
              </w:rPr>
            </w:pPr>
          </w:p>
        </w:tc>
      </w:tr>
      <w:tr>
        <w:trPr>
          <w:trHeight w:val="453"/>
        </w:trPr>
        <w:tc>
          <w:tcPr>
            <w:tcW w:w="4580" w:type="dxa"/>
            <w:vAlign w:val="bottom"/>
            <w:gridSpan w:val="55"/>
          </w:tcPr>
          <w:p>
            <w:pPr>
              <w:spacing w:after="0"/>
              <w:rPr>
                <w:sz w:val="24"/>
                <w:szCs w:val="24"/>
                <w:color w:val="auto"/>
              </w:rPr>
            </w:pPr>
          </w:p>
        </w:tc>
        <w:tc>
          <w:tcPr>
            <w:tcW w:w="260" w:type="dxa"/>
            <w:vAlign w:val="bottom"/>
            <w:tcBorders>
              <w:top w:val="single" w:sz="8" w:color="0000FF"/>
            </w:tcBorders>
            <w:gridSpan w:val="5"/>
          </w:tcPr>
          <w:p>
            <w:pPr>
              <w:spacing w:after="0"/>
              <w:rPr>
                <w:sz w:val="24"/>
                <w:szCs w:val="24"/>
                <w:color w:val="auto"/>
              </w:rPr>
            </w:pPr>
          </w:p>
        </w:tc>
        <w:tc>
          <w:tcPr>
            <w:tcW w:w="300" w:type="dxa"/>
            <w:vAlign w:val="bottom"/>
            <w:gridSpan w:val="4"/>
          </w:tcPr>
          <w:p>
            <w:pPr>
              <w:spacing w:after="0"/>
              <w:rPr>
                <w:sz w:val="24"/>
                <w:szCs w:val="24"/>
                <w:color w:val="auto"/>
              </w:rPr>
            </w:pPr>
          </w:p>
        </w:tc>
        <w:tc>
          <w:tcPr>
            <w:tcW w:w="174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79"/>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1520" w:type="dxa"/>
            <w:vAlign w:val="bottom"/>
            <w:gridSpan w:val="18"/>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124</w:t>
            </w:r>
          </w:p>
        </w:tc>
        <w:tc>
          <w:tcPr>
            <w:tcW w:w="36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0000FF"/>
                <w:w w:val="88"/>
              </w:rPr>
              <w:t>127</w:t>
            </w:r>
          </w:p>
        </w:tc>
        <w:tc>
          <w:tcPr>
            <w:tcW w:w="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11.02.</w:t>
            </w:r>
          </w:p>
        </w:tc>
        <w:tc>
          <w:tcPr>
            <w:tcW w:w="194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auto"/>
              </w:rPr>
              <w:t>Application of Proceeds</w:t>
            </w:r>
          </w:p>
        </w:tc>
        <w:tc>
          <w:tcPr>
            <w:tcW w:w="40" w:type="dxa"/>
            <w:vAlign w:val="bottom"/>
          </w:tcPr>
          <w:p>
            <w:pPr>
              <w:spacing w:after="0"/>
              <w:rPr>
                <w:sz w:val="17"/>
                <w:szCs w:val="17"/>
                <w:color w:val="auto"/>
              </w:rPr>
            </w:pPr>
          </w:p>
        </w:tc>
        <w:tc>
          <w:tcPr>
            <w:tcW w:w="26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73"/>
              </w:rPr>
              <w:t>127</w:t>
            </w:r>
          </w:p>
        </w:tc>
        <w:tc>
          <w:tcPr>
            <w:tcW w:w="300" w:type="dxa"/>
            <w:vAlign w:val="bottom"/>
            <w:tcBorders>
              <w:bottom w:val="single" w:sz="8" w:color="0000FF"/>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rPr>
              <w:t>130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11.03.</w:t>
            </w:r>
          </w:p>
        </w:tc>
        <w:tc>
          <w:tcPr>
            <w:tcW w:w="194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auto"/>
                <w:w w:val="99"/>
              </w:rPr>
              <w:t>Borrower’s Right to Cure</w:t>
            </w:r>
          </w:p>
        </w:tc>
        <w:tc>
          <w:tcPr>
            <w:tcW w:w="220" w:type="dxa"/>
            <w:vAlign w:val="bottom"/>
            <w:gridSpan w:val="4"/>
          </w:tcPr>
          <w:p>
            <w:pPr>
              <w:spacing w:after="0"/>
              <w:rPr>
                <w:sz w:val="17"/>
                <w:szCs w:val="17"/>
                <w:color w:val="auto"/>
              </w:rPr>
            </w:pPr>
          </w:p>
        </w:tc>
        <w:tc>
          <w:tcPr>
            <w:tcW w:w="2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73"/>
              </w:rPr>
              <w:t>128</w:t>
            </w:r>
          </w:p>
        </w:tc>
        <w:tc>
          <w:tcPr>
            <w:tcW w:w="260" w:type="dxa"/>
            <w:vAlign w:val="bottom"/>
            <w:tcBorders>
              <w:bottom w:val="single" w:sz="8" w:color="0000FF"/>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131</w:t>
            </w:r>
          </w:p>
        </w:tc>
        <w:tc>
          <w:tcPr>
            <w:tcW w:w="20" w:type="dxa"/>
            <w:vAlign w:val="bottom"/>
            <w:tcBorders>
              <w:bottom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9"/>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XII.</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6"/>
          </w:tcPr>
          <w:p>
            <w:pPr>
              <w:jc w:val="center"/>
              <w:ind w:right="350"/>
              <w:spacing w:after="0"/>
              <w:rPr>
                <w:sz w:val="20"/>
                <w:szCs w:val="20"/>
                <w:color w:val="auto"/>
              </w:rPr>
            </w:pPr>
            <w:r>
              <w:rPr>
                <w:rFonts w:ascii="Times New Roman" w:cs="Times New Roman" w:eastAsia="Times New Roman" w:hAnsi="Times New Roman"/>
                <w:sz w:val="18"/>
                <w:szCs w:val="18"/>
                <w:color w:val="auto"/>
                <w:w w:val="98"/>
              </w:rPr>
              <w:t>AGENTS</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Appointment</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129</w:t>
            </w:r>
          </w:p>
        </w:tc>
        <w:tc>
          <w:tcPr>
            <w:tcW w:w="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131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12.02.</w:t>
            </w:r>
          </w:p>
        </w:tc>
        <w:tc>
          <w:tcPr>
            <w:tcW w:w="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Rights</w:t>
            </w: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129</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0000FF"/>
                <w:w w:val="71"/>
              </w:rPr>
              <w:t>132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FF0000"/>
                <w:strike w:val="1"/>
                <w:w w:val="70"/>
              </w:rPr>
              <w:t>129</w:t>
            </w:r>
          </w:p>
        </w:tc>
        <w:tc>
          <w:tcPr>
            <w:tcW w:w="2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8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12.03.</w:t>
            </w:r>
          </w:p>
        </w:tc>
        <w:tc>
          <w:tcPr>
            <w:tcW w:w="2020" w:type="dxa"/>
            <w:vAlign w:val="bottom"/>
            <w:gridSpan w:val="16"/>
          </w:tcPr>
          <w:p>
            <w:pPr>
              <w:ind w:left="80"/>
              <w:spacing w:after="0" w:line="196" w:lineRule="exact"/>
              <w:rPr>
                <w:sz w:val="20"/>
                <w:szCs w:val="20"/>
                <w:color w:val="auto"/>
              </w:rPr>
            </w:pPr>
            <w:r>
              <w:rPr>
                <w:rFonts w:ascii="Times New Roman" w:cs="Times New Roman" w:eastAsia="Times New Roman" w:hAnsi="Times New Roman"/>
                <w:sz w:val="18"/>
                <w:szCs w:val="18"/>
                <w:color w:val="auto"/>
              </w:rPr>
              <w:t>Exculpatory Provisions</w:t>
            </w:r>
          </w:p>
        </w:tc>
        <w:tc>
          <w:tcPr>
            <w:tcW w:w="200" w:type="dxa"/>
            <w:vAlign w:val="bottom"/>
            <w:gridSpan w:val="3"/>
            <w:vMerge w:val="continue"/>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12.04.</w:t>
            </w:r>
          </w:p>
        </w:tc>
        <w:tc>
          <w:tcPr>
            <w:tcW w:w="1660" w:type="dxa"/>
            <w:vAlign w:val="bottom"/>
            <w:gridSpan w:val="10"/>
          </w:tcPr>
          <w:p>
            <w:pPr>
              <w:ind w:left="80"/>
              <w:spacing w:after="0" w:line="196" w:lineRule="exact"/>
              <w:rPr>
                <w:sz w:val="20"/>
                <w:szCs w:val="20"/>
                <w:color w:val="auto"/>
              </w:rPr>
            </w:pPr>
            <w:r>
              <w:rPr>
                <w:rFonts w:ascii="Times New Roman" w:cs="Times New Roman" w:eastAsia="Times New Roman" w:hAnsi="Times New Roman"/>
                <w:sz w:val="18"/>
                <w:szCs w:val="18"/>
                <w:color w:val="auto"/>
              </w:rPr>
              <w:t>Reliance by Agents</w:t>
            </w:r>
          </w:p>
        </w:tc>
        <w:tc>
          <w:tcPr>
            <w:tcW w:w="36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130</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0000FF"/>
                <w:w w:val="70"/>
              </w:rPr>
              <w:t>133</w:t>
            </w: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12.05.</w:t>
            </w:r>
          </w:p>
        </w:tc>
        <w:tc>
          <w:tcPr>
            <w:tcW w:w="1660" w:type="dxa"/>
            <w:vAlign w:val="bottom"/>
            <w:gridSpan w:val="10"/>
          </w:tcPr>
          <w:p>
            <w:pPr>
              <w:ind w:left="80"/>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130</w:t>
            </w:r>
          </w:p>
        </w:tc>
        <w:tc>
          <w:tcPr>
            <w:tcW w:w="28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133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12.06.</w:t>
            </w:r>
          </w:p>
        </w:tc>
        <w:tc>
          <w:tcPr>
            <w:tcW w:w="2920" w:type="dxa"/>
            <w:vAlign w:val="bottom"/>
            <w:gridSpan w:val="26"/>
          </w:tcPr>
          <w:p>
            <w:pPr>
              <w:ind w:left="80"/>
              <w:spacing w:after="0" w:line="196" w:lineRule="exact"/>
              <w:rPr>
                <w:sz w:val="20"/>
                <w:szCs w:val="20"/>
                <w:color w:val="auto"/>
              </w:rPr>
            </w:pPr>
            <w:r>
              <w:rPr>
                <w:rFonts w:ascii="Times New Roman" w:cs="Times New Roman" w:eastAsia="Times New Roman" w:hAnsi="Times New Roman"/>
                <w:sz w:val="18"/>
                <w:szCs w:val="18"/>
                <w:color w:val="auto"/>
              </w:rPr>
              <w:t>Resignation of Administrative Agent</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130</w:t>
            </w:r>
          </w:p>
        </w:tc>
        <w:tc>
          <w:tcPr>
            <w:tcW w:w="38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12.07.</w:t>
            </w:r>
          </w:p>
        </w:tc>
        <w:tc>
          <w:tcPr>
            <w:tcW w:w="3200" w:type="dxa"/>
            <w:vAlign w:val="bottom"/>
            <w:gridSpan w:val="28"/>
          </w:tcPr>
          <w:p>
            <w:pPr>
              <w:ind w:left="80"/>
              <w:spacing w:after="0" w:line="196" w:lineRule="exact"/>
              <w:rPr>
                <w:sz w:val="20"/>
                <w:szCs w:val="20"/>
                <w:color w:val="auto"/>
              </w:rPr>
            </w:pPr>
            <w:r>
              <w:rPr>
                <w:rFonts w:ascii="Times New Roman" w:cs="Times New Roman" w:eastAsia="Times New Roman" w:hAnsi="Times New Roman"/>
                <w:sz w:val="18"/>
                <w:szCs w:val="18"/>
                <w:color w:val="auto"/>
              </w:rPr>
              <w:t>Nonreliance on Agents and Other Lenders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132</w:t>
            </w:r>
          </w:p>
        </w:tc>
        <w:tc>
          <w:tcPr>
            <w:tcW w:w="2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134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12.08.</w:t>
            </w:r>
          </w:p>
        </w:tc>
        <w:tc>
          <w:tcPr>
            <w:tcW w:w="140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Indemnification</w:t>
            </w:r>
          </w:p>
        </w:tc>
        <w:tc>
          <w:tcPr>
            <w:tcW w:w="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132</w:t>
            </w:r>
          </w:p>
        </w:tc>
        <w:tc>
          <w:tcPr>
            <w:tcW w:w="34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12.09.</w:t>
            </w:r>
          </w:p>
        </w:tc>
        <w:tc>
          <w:tcPr>
            <w:tcW w:w="140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No Other Duties</w:t>
            </w:r>
          </w:p>
        </w:tc>
        <w:tc>
          <w:tcPr>
            <w:tcW w:w="40" w:type="dxa"/>
            <w:vAlign w:val="bottom"/>
          </w:tcPr>
          <w:p>
            <w:pPr>
              <w:spacing w:after="0"/>
              <w:rPr>
                <w:sz w:val="17"/>
                <w:szCs w:val="17"/>
                <w:color w:val="auto"/>
              </w:rPr>
            </w:pPr>
          </w:p>
        </w:tc>
        <w:tc>
          <w:tcPr>
            <w:tcW w:w="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132</w:t>
            </w:r>
          </w:p>
        </w:tc>
        <w:tc>
          <w:tcPr>
            <w:tcW w:w="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12.10.</w:t>
            </w:r>
          </w:p>
        </w:tc>
        <w:tc>
          <w:tcPr>
            <w:tcW w:w="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Holders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133</w:t>
            </w:r>
          </w:p>
        </w:tc>
        <w:tc>
          <w:tcPr>
            <w:tcW w:w="300" w:type="dxa"/>
            <w:vAlign w:val="bottom"/>
            <w:gridSpan w:val="5"/>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135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133</w:t>
            </w:r>
          </w:p>
        </w:tc>
        <w:tc>
          <w:tcPr>
            <w:tcW w:w="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0000FF"/>
                <w:w w:val="96"/>
              </w:rPr>
              <w:t>135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12.11.</w:t>
            </w:r>
          </w:p>
        </w:tc>
        <w:tc>
          <w:tcPr>
            <w:tcW w:w="3720" w:type="dxa"/>
            <w:vAlign w:val="bottom"/>
            <w:gridSpan w:val="33"/>
          </w:tcPr>
          <w:p>
            <w:pPr>
              <w:ind w:left="80"/>
              <w:spacing w:after="0" w:line="196" w:lineRule="exact"/>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60" w:type="dxa"/>
            <w:vAlign w:val="bottom"/>
            <w:gridSpan w:val="3"/>
            <w:vMerge w:val="continue"/>
          </w:tcPr>
          <w:p>
            <w:pPr>
              <w:spacing w:after="0"/>
              <w:rPr>
                <w:sz w:val="17"/>
                <w:szCs w:val="17"/>
                <w:color w:val="auto"/>
              </w:rPr>
            </w:pPr>
          </w:p>
        </w:tc>
        <w:tc>
          <w:tcPr>
            <w:tcW w:w="5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12.12.</w:t>
            </w:r>
          </w:p>
        </w:tc>
        <w:tc>
          <w:tcPr>
            <w:tcW w:w="140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w w:val="99"/>
              </w:rPr>
              <w:t>Collateral Matters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133</w:t>
            </w:r>
          </w:p>
        </w:tc>
        <w:tc>
          <w:tcPr>
            <w:tcW w:w="36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12.13.</w:t>
            </w:r>
          </w:p>
        </w:tc>
        <w:tc>
          <w:tcPr>
            <w:tcW w:w="140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Withholding Tax</w:t>
            </w:r>
          </w:p>
        </w:tc>
        <w:tc>
          <w:tcPr>
            <w:tcW w:w="40" w:type="dxa"/>
            <w:vAlign w:val="bottom"/>
          </w:tcPr>
          <w:p>
            <w:pPr>
              <w:spacing w:after="0"/>
              <w:rPr>
                <w:sz w:val="17"/>
                <w:szCs w:val="17"/>
                <w:color w:val="auto"/>
              </w:rPr>
            </w:pPr>
          </w:p>
        </w:tc>
        <w:tc>
          <w:tcPr>
            <w:tcW w:w="30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134</w:t>
            </w:r>
          </w:p>
        </w:tc>
        <w:tc>
          <w:tcPr>
            <w:tcW w:w="28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134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137</w:t>
            </w:r>
          </w:p>
        </w:tc>
        <w:tc>
          <w:tcPr>
            <w:tcW w:w="0" w:type="dxa"/>
            <w:vAlign w:val="bottom"/>
          </w:tcPr>
          <w:p>
            <w:pPr>
              <w:spacing w:after="0"/>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12.14.</w:t>
            </w:r>
          </w:p>
        </w:tc>
        <w:tc>
          <w:tcPr>
            <w:tcW w:w="4620" w:type="dxa"/>
            <w:vAlign w:val="bottom"/>
            <w:gridSpan w:val="40"/>
          </w:tcPr>
          <w:p>
            <w:pPr>
              <w:ind w:left="80"/>
              <w:spacing w:after="0" w:line="196" w:lineRule="exact"/>
              <w:rPr>
                <w:sz w:val="20"/>
                <w:szCs w:val="20"/>
                <w:color w:val="auto"/>
              </w:rPr>
            </w:pPr>
            <w:r>
              <w:rPr>
                <w:rFonts w:ascii="Times New Roman" w:cs="Times New Roman" w:eastAsia="Times New Roman" w:hAnsi="Times New Roman"/>
                <w:sz w:val="18"/>
                <w:szCs w:val="18"/>
                <w:color w:val="auto"/>
              </w:rPr>
              <w:t>Secured Cash Management Agreements and Swap Contracts</w:t>
            </w:r>
          </w:p>
        </w:tc>
        <w:tc>
          <w:tcPr>
            <w:tcW w:w="280" w:type="dxa"/>
            <w:vAlign w:val="bottom"/>
            <w:vMerge w:val="continue"/>
          </w:tcPr>
          <w:p>
            <w:pPr>
              <w:spacing w:after="0"/>
              <w:rPr>
                <w:sz w:val="17"/>
                <w:szCs w:val="17"/>
                <w:color w:val="auto"/>
              </w:rPr>
            </w:pPr>
          </w:p>
        </w:tc>
        <w:tc>
          <w:tcPr>
            <w:tcW w:w="26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9"/>
          </w:tcPr>
          <w:p>
            <w:pPr>
              <w:jc w:val="center"/>
              <w:ind w:right="130"/>
              <w:spacing w:after="0"/>
              <w:rPr>
                <w:sz w:val="20"/>
                <w:szCs w:val="20"/>
                <w:color w:val="auto"/>
              </w:rPr>
            </w:pPr>
            <w:r>
              <w:rPr>
                <w:rFonts w:ascii="Times New Roman" w:cs="Times New Roman" w:eastAsia="Times New Roman" w:hAnsi="Times New Roman"/>
                <w:sz w:val="18"/>
                <w:szCs w:val="18"/>
                <w:color w:val="auto"/>
                <w:w w:val="98"/>
              </w:rPr>
              <w:t>ARTICLE XIII.</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9"/>
              </w:rPr>
              <w:t>MISCELLANEOUS</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134</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73"/>
              </w:rPr>
              <w:t>137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13.02.</w:t>
            </w:r>
          </w:p>
        </w:tc>
        <w:tc>
          <w:tcPr>
            <w:tcW w:w="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Notices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135</w:t>
            </w:r>
          </w:p>
        </w:tc>
        <w:tc>
          <w:tcPr>
            <w:tcW w:w="2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1"/>
              </w:rPr>
              <w:t>137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136</w:t>
            </w:r>
          </w:p>
        </w:tc>
        <w:tc>
          <w:tcPr>
            <w:tcW w:w="4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0000FF"/>
                <w:w w:val="88"/>
              </w:rPr>
              <w:t>138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13.03.</w:t>
            </w:r>
          </w:p>
        </w:tc>
        <w:tc>
          <w:tcPr>
            <w:tcW w:w="250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Expenses, Indemnification, Etc</w:t>
            </w:r>
          </w:p>
        </w:tc>
        <w:tc>
          <w:tcPr>
            <w:tcW w:w="280" w:type="dxa"/>
            <w:vAlign w:val="bottom"/>
            <w:gridSpan w:val="2"/>
            <w:vMerge w:val="continue"/>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13.04.</w:t>
            </w:r>
          </w:p>
        </w:tc>
        <w:tc>
          <w:tcPr>
            <w:tcW w:w="2020" w:type="dxa"/>
            <w:vAlign w:val="bottom"/>
            <w:gridSpan w:val="16"/>
          </w:tcPr>
          <w:p>
            <w:pPr>
              <w:ind w:left="80"/>
              <w:spacing w:after="0" w:line="196" w:lineRule="exact"/>
              <w:rPr>
                <w:sz w:val="20"/>
                <w:szCs w:val="20"/>
                <w:color w:val="auto"/>
              </w:rPr>
            </w:pPr>
            <w:r>
              <w:rPr>
                <w:rFonts w:ascii="Times New Roman" w:cs="Times New Roman" w:eastAsia="Times New Roman" w:hAnsi="Times New Roman"/>
                <w:sz w:val="18"/>
                <w:szCs w:val="18"/>
                <w:color w:val="auto"/>
              </w:rPr>
              <w:t>Amendments and Waiver</w:t>
            </w:r>
          </w:p>
        </w:tc>
        <w:tc>
          <w:tcPr>
            <w:tcW w:w="3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138</w:t>
            </w:r>
          </w:p>
        </w:tc>
        <w:tc>
          <w:tcPr>
            <w:tcW w:w="420" w:type="dxa"/>
            <w:vAlign w:val="bottom"/>
            <w:gridSpan w:val="4"/>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140</w:t>
            </w: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143</w:t>
            </w:r>
          </w:p>
        </w:tc>
        <w:tc>
          <w:tcPr>
            <w:tcW w:w="960" w:type="dxa"/>
            <w:vAlign w:val="bottom"/>
            <w:gridSpan w:val="5"/>
            <w:vMerge w:val="restart"/>
          </w:tcPr>
          <w:p>
            <w:pPr>
              <w:jc w:val="center"/>
              <w:ind w:right="590"/>
              <w:spacing w:after="0"/>
              <w:rPr>
                <w:sz w:val="20"/>
                <w:szCs w:val="20"/>
                <w:color w:val="auto"/>
              </w:rPr>
            </w:pPr>
            <w:r>
              <w:rPr>
                <w:rFonts w:ascii="Times New Roman" w:cs="Times New Roman" w:eastAsia="Times New Roman" w:hAnsi="Times New Roman"/>
                <w:sz w:val="18"/>
                <w:szCs w:val="18"/>
                <w:b w:val="1"/>
                <w:bCs w:val="1"/>
                <w:color w:val="0000FF"/>
              </w:rPr>
              <w:t>146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9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13.05.</w:t>
            </w:r>
          </w:p>
        </w:tc>
        <w:tc>
          <w:tcPr>
            <w:tcW w:w="3940" w:type="dxa"/>
            <w:vAlign w:val="bottom"/>
            <w:gridSpan w:val="35"/>
          </w:tcPr>
          <w:p>
            <w:pPr>
              <w:ind w:left="80"/>
              <w:spacing w:after="0" w:line="196" w:lineRule="exact"/>
              <w:rPr>
                <w:sz w:val="20"/>
                <w:szCs w:val="20"/>
                <w:color w:val="auto"/>
              </w:rPr>
            </w:pPr>
            <w:r>
              <w:rPr>
                <w:rFonts w:ascii="Times New Roman" w:cs="Times New Roman" w:eastAsia="Times New Roman" w:hAnsi="Times New Roman"/>
                <w:sz w:val="18"/>
                <w:szCs w:val="18"/>
                <w:color w:val="auto"/>
              </w:rPr>
              <w:t>Benefit of Agreement; Assignments; Participations</w:t>
            </w:r>
          </w:p>
        </w:tc>
        <w:tc>
          <w:tcPr>
            <w:tcW w:w="260" w:type="dxa"/>
            <w:vAlign w:val="bottom"/>
            <w:gridSpan w:val="2"/>
            <w:vMerge w:val="continue"/>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13.06.</w:t>
            </w:r>
          </w:p>
        </w:tc>
        <w:tc>
          <w:tcPr>
            <w:tcW w:w="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147</w:t>
            </w:r>
          </w:p>
        </w:tc>
        <w:tc>
          <w:tcPr>
            <w:tcW w:w="30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rPr>
              <w:t>149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13.07.</w:t>
            </w:r>
          </w:p>
        </w:tc>
        <w:tc>
          <w:tcPr>
            <w:tcW w:w="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w w:val="96"/>
              </w:rPr>
              <w:t>Captions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147</w:t>
            </w:r>
          </w:p>
        </w:tc>
        <w:tc>
          <w:tcPr>
            <w:tcW w:w="34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rPr>
              <w:t>150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147</w:t>
            </w:r>
          </w:p>
        </w:tc>
        <w:tc>
          <w:tcPr>
            <w:tcW w:w="3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0000FF"/>
                <w:w w:val="88"/>
              </w:rPr>
              <w:t>150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13.08.</w:t>
            </w:r>
          </w:p>
        </w:tc>
        <w:tc>
          <w:tcPr>
            <w:tcW w:w="3200" w:type="dxa"/>
            <w:vAlign w:val="bottom"/>
            <w:gridSpan w:val="28"/>
          </w:tcPr>
          <w:p>
            <w:pPr>
              <w:ind w:left="80"/>
              <w:spacing w:after="0" w:line="196" w:lineRule="exact"/>
              <w:rPr>
                <w:sz w:val="20"/>
                <w:szCs w:val="20"/>
                <w:color w:val="auto"/>
              </w:rPr>
            </w:pPr>
            <w:r>
              <w:rPr>
                <w:rFonts w:ascii="Times New Roman" w:cs="Times New Roman" w:eastAsia="Times New Roman" w:hAnsi="Times New Roman"/>
                <w:sz w:val="18"/>
                <w:szCs w:val="18"/>
                <w:color w:val="auto"/>
              </w:rPr>
              <w:t>Counterparts; Interpretation; Effectiveness</w:t>
            </w:r>
          </w:p>
        </w:tc>
        <w:tc>
          <w:tcPr>
            <w:tcW w:w="120" w:type="dxa"/>
            <w:vAlign w:val="bottom"/>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3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149</w:t>
            </w:r>
          </w:p>
        </w:tc>
        <w:tc>
          <w:tcPr>
            <w:tcW w:w="2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73"/>
              </w:rPr>
              <w:t>151</w:t>
            </w:r>
          </w:p>
        </w:tc>
        <w:tc>
          <w:tcPr>
            <w:tcW w:w="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68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149</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152</w:t>
            </w:r>
          </w:p>
        </w:tc>
        <w:tc>
          <w:tcPr>
            <w:tcW w:w="0" w:type="dxa"/>
            <w:vAlign w:val="bottom"/>
          </w:tcPr>
          <w:p>
            <w:pPr>
              <w:spacing w:after="0" w:line="20" w:lineRule="exact"/>
              <w:rPr>
                <w:sz w:val="1"/>
                <w:szCs w:val="1"/>
                <w:color w:val="auto"/>
              </w:rPr>
            </w:pPr>
          </w:p>
        </w:tc>
      </w:tr>
      <w:tr>
        <w:trPr>
          <w:trHeight w:val="174"/>
        </w:trPr>
        <w:tc>
          <w:tcPr>
            <w:tcW w:w="13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80" w:type="dxa"/>
            <w:vAlign w:val="bottom"/>
            <w:gridSpan w:val="5"/>
            <w:vMerge w:val="continue"/>
          </w:tcPr>
          <w:p>
            <w:pPr>
              <w:spacing w:after="0"/>
              <w:rPr>
                <w:sz w:val="15"/>
                <w:szCs w:val="15"/>
                <w:color w:val="auto"/>
              </w:rPr>
            </w:pPr>
          </w:p>
        </w:tc>
        <w:tc>
          <w:tcPr>
            <w:tcW w:w="280" w:type="dxa"/>
            <w:vAlign w:val="bottom"/>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13.11.</w:t>
            </w:r>
          </w:p>
        </w:tc>
        <w:tc>
          <w:tcPr>
            <w:tcW w:w="4620" w:type="dxa"/>
            <w:vAlign w:val="bottom"/>
            <w:gridSpan w:val="21"/>
          </w:tcPr>
          <w:p>
            <w:pPr>
              <w:ind w:left="80"/>
              <w:spacing w:after="0" w:line="196" w:lineRule="exact"/>
              <w:rPr>
                <w:sz w:val="20"/>
                <w:szCs w:val="20"/>
                <w:color w:val="auto"/>
              </w:rPr>
            </w:pPr>
            <w:r>
              <w:rPr>
                <w:rFonts w:ascii="Times New Roman" w:cs="Times New Roman" w:eastAsia="Times New Roman" w:hAnsi="Times New Roman"/>
                <w:sz w:val="18"/>
                <w:szCs w:val="18"/>
                <w:color w:val="auto"/>
              </w:rPr>
              <w:t>Independence of Representations, Warranties and Covenants</w:t>
            </w:r>
          </w:p>
        </w:tc>
        <w:tc>
          <w:tcPr>
            <w:tcW w:w="280" w:type="dxa"/>
            <w:vAlign w:val="bottom"/>
            <w:vMerge w:val="continue"/>
          </w:tcPr>
          <w:p>
            <w:pPr>
              <w:spacing w:after="0"/>
              <w:rPr>
                <w:sz w:val="17"/>
                <w:szCs w:val="17"/>
                <w:color w:val="auto"/>
              </w:rPr>
            </w:pPr>
          </w:p>
        </w:tc>
        <w:tc>
          <w:tcPr>
            <w:tcW w:w="26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13.12.</w:t>
            </w:r>
          </w:p>
        </w:tc>
        <w:tc>
          <w:tcPr>
            <w:tcW w:w="11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149</w:t>
            </w:r>
          </w:p>
        </w:tc>
        <w:tc>
          <w:tcPr>
            <w:tcW w:w="2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152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13.13.</w:t>
            </w:r>
          </w:p>
        </w:tc>
        <w:tc>
          <w:tcPr>
            <w:tcW w:w="12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Gaming Laws</w:t>
            </w:r>
          </w:p>
        </w:tc>
        <w:tc>
          <w:tcPr>
            <w:tcW w:w="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149</w:t>
            </w:r>
          </w:p>
        </w:tc>
        <w:tc>
          <w:tcPr>
            <w:tcW w:w="28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13.14.</w:t>
            </w:r>
          </w:p>
        </w:tc>
        <w:tc>
          <w:tcPr>
            <w:tcW w:w="12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w w:val="99"/>
              </w:rPr>
              <w:t>USA Patriot Act</w:t>
            </w:r>
          </w:p>
        </w:tc>
        <w:tc>
          <w:tcPr>
            <w:tcW w:w="120" w:type="dxa"/>
            <w:vAlign w:val="bottom"/>
          </w:tcPr>
          <w:p>
            <w:pPr>
              <w:spacing w:after="0"/>
              <w:rPr>
                <w:sz w:val="17"/>
                <w:szCs w:val="17"/>
                <w:color w:val="auto"/>
              </w:rPr>
            </w:pPr>
          </w:p>
        </w:tc>
        <w:tc>
          <w:tcPr>
            <w:tcW w:w="3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150</w:t>
            </w:r>
          </w:p>
        </w:tc>
        <w:tc>
          <w:tcPr>
            <w:tcW w:w="34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13.15.</w:t>
            </w:r>
          </w:p>
        </w:tc>
        <w:tc>
          <w:tcPr>
            <w:tcW w:w="1520" w:type="dxa"/>
            <w:vAlign w:val="bottom"/>
            <w:gridSpan w:val="4"/>
          </w:tcPr>
          <w:p>
            <w:pPr>
              <w:ind w:left="8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150</w:t>
            </w:r>
          </w:p>
        </w:tc>
        <w:tc>
          <w:tcPr>
            <w:tcW w:w="28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6"/>
              </w:rPr>
              <w:t>153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13.16.</w:t>
            </w:r>
          </w:p>
        </w:tc>
        <w:tc>
          <w:tcPr>
            <w:tcW w:w="1520" w:type="dxa"/>
            <w:vAlign w:val="bottom"/>
            <w:gridSpan w:val="4"/>
          </w:tcPr>
          <w:p>
            <w:pPr>
              <w:ind w:left="80"/>
              <w:spacing w:after="0" w:line="196" w:lineRule="exact"/>
              <w:rPr>
                <w:sz w:val="20"/>
                <w:szCs w:val="20"/>
                <w:color w:val="auto"/>
              </w:rPr>
            </w:pPr>
            <w:r>
              <w:rPr>
                <w:rFonts w:ascii="Times New Roman" w:cs="Times New Roman" w:eastAsia="Times New Roman" w:hAnsi="Times New Roman"/>
                <w:sz w:val="18"/>
                <w:szCs w:val="18"/>
                <w:color w:val="auto"/>
              </w:rPr>
              <w:t>Waiver of Claims</w:t>
            </w:r>
          </w:p>
        </w:tc>
        <w:tc>
          <w:tcPr>
            <w:tcW w:w="2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151</w:t>
            </w:r>
          </w:p>
        </w:tc>
        <w:tc>
          <w:tcPr>
            <w:tcW w:w="420" w:type="dxa"/>
            <w:vAlign w:val="bottom"/>
            <w:gridSpan w:val="6"/>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153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151</w:t>
            </w:r>
          </w:p>
        </w:tc>
        <w:tc>
          <w:tcPr>
            <w:tcW w:w="1680" w:type="dxa"/>
            <w:vAlign w:val="bottom"/>
            <w:gridSpan w:val="4"/>
            <w:vMerge w:val="restart"/>
          </w:tcPr>
          <w:p>
            <w:pPr>
              <w:jc w:val="right"/>
              <w:ind w:right="1330"/>
              <w:spacing w:after="0"/>
              <w:rPr>
                <w:sz w:val="20"/>
                <w:szCs w:val="20"/>
                <w:color w:val="auto"/>
              </w:rPr>
            </w:pPr>
            <w:r>
              <w:rPr>
                <w:rFonts w:ascii="Times New Roman" w:cs="Times New Roman" w:eastAsia="Times New Roman" w:hAnsi="Times New Roman"/>
                <w:sz w:val="18"/>
                <w:szCs w:val="18"/>
                <w:b w:val="1"/>
                <w:bCs w:val="1"/>
                <w:color w:val="0000FF"/>
                <w:w w:val="88"/>
              </w:rPr>
              <w:t>153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6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13.17.</w:t>
            </w:r>
          </w:p>
        </w:tc>
        <w:tc>
          <w:tcPr>
            <w:tcW w:w="3200" w:type="dxa"/>
            <w:vAlign w:val="bottom"/>
            <w:gridSpan w:val="18"/>
          </w:tcPr>
          <w:p>
            <w:pPr>
              <w:ind w:left="80"/>
              <w:spacing w:after="0" w:line="19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280" w:type="dxa"/>
            <w:vAlign w:val="bottom"/>
            <w:vMerge w:val="continue"/>
          </w:tcPr>
          <w:p>
            <w:pPr>
              <w:spacing w:after="0"/>
              <w:rPr>
                <w:sz w:val="17"/>
                <w:szCs w:val="17"/>
                <w:color w:val="auto"/>
              </w:rPr>
            </w:pPr>
          </w:p>
        </w:tc>
        <w:tc>
          <w:tcPr>
            <w:tcW w:w="16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13.18.</w:t>
            </w:r>
          </w:p>
        </w:tc>
        <w:tc>
          <w:tcPr>
            <w:tcW w:w="12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Lender Action</w:t>
            </w:r>
          </w:p>
        </w:tc>
        <w:tc>
          <w:tcPr>
            <w:tcW w:w="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152</w:t>
            </w:r>
          </w:p>
        </w:tc>
        <w:tc>
          <w:tcPr>
            <w:tcW w:w="2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154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152</w:t>
            </w:r>
          </w:p>
        </w:tc>
        <w:tc>
          <w:tcPr>
            <w:tcW w:w="124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8"/>
                <w:szCs w:val="18"/>
                <w:b w:val="1"/>
                <w:bCs w:val="1"/>
                <w:color w:val="0000FF"/>
                <w:w w:val="96"/>
              </w:rPr>
              <w:t>154</w:t>
            </w:r>
          </w:p>
        </w:tc>
        <w:tc>
          <w:tcPr>
            <w:tcW w:w="260" w:type="dxa"/>
            <w:vAlign w:val="bottom"/>
            <w:tcBorders>
              <w:top w:val="single" w:sz="8" w:color="0000FF"/>
            </w:tcBorders>
            <w:vMerge w:val="restart"/>
          </w:tcPr>
          <w:p>
            <w:pPr>
              <w:spacing w:after="0"/>
              <w:rPr>
                <w:sz w:val="17"/>
                <w:szCs w:val="17"/>
                <w:color w:val="auto"/>
              </w:rPr>
            </w:pPr>
          </w:p>
        </w:tc>
        <w:tc>
          <w:tcPr>
            <w:tcW w:w="1420" w:type="dxa"/>
            <w:vAlign w:val="bottom"/>
            <w:gridSpan w:val="3"/>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13.19.</w:t>
            </w:r>
          </w:p>
        </w:tc>
        <w:tc>
          <w:tcPr>
            <w:tcW w:w="1980" w:type="dxa"/>
            <w:vAlign w:val="bottom"/>
            <w:gridSpan w:val="13"/>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260" w:type="dxa"/>
            <w:vAlign w:val="bottom"/>
            <w:gridSpan w:val="3"/>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13.20.</w:t>
            </w:r>
          </w:p>
        </w:tc>
        <w:tc>
          <w:tcPr>
            <w:tcW w:w="1520" w:type="dxa"/>
            <w:vAlign w:val="bottom"/>
            <w:gridSpan w:val="4"/>
          </w:tcPr>
          <w:p>
            <w:pPr>
              <w:ind w:left="80"/>
              <w:spacing w:after="0" w:line="196" w:lineRule="exact"/>
              <w:rPr>
                <w:sz w:val="20"/>
                <w:szCs w:val="20"/>
                <w:color w:val="auto"/>
              </w:rPr>
            </w:pPr>
            <w:r>
              <w:rPr>
                <w:rFonts w:ascii="Times New Roman" w:cs="Times New Roman" w:eastAsia="Times New Roman" w:hAnsi="Times New Roman"/>
                <w:sz w:val="18"/>
                <w:szCs w:val="18"/>
                <w:color w:val="auto"/>
                <w:w w:val="98"/>
              </w:rPr>
              <w:t>Payments Set Aside</w:t>
            </w: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2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152</w:t>
            </w:r>
          </w:p>
        </w:tc>
        <w:tc>
          <w:tcPr>
            <w:tcW w:w="26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155</w:t>
            </w:r>
          </w:p>
        </w:tc>
        <w:tc>
          <w:tcPr>
            <w:tcW w:w="28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06"/>
        </w:trPr>
        <w:tc>
          <w:tcPr>
            <w:tcW w:w="174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rPr>
              <w:t>ANNEX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Commitments</w:t>
            </w:r>
          </w:p>
        </w:tc>
      </w:tr>
      <w:tr>
        <w:trPr>
          <w:trHeight w:val="245"/>
        </w:trPr>
        <w:tc>
          <w:tcPr>
            <w:tcW w:w="174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rPr>
              <w:t>ANNEX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 Facility Commitments</w:t>
            </w:r>
          </w:p>
        </w:tc>
      </w:tr>
      <w:tr>
        <w:trPr>
          <w:trHeight w:val="212"/>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ANNEX A-3</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 Sublimit</w:t>
            </w:r>
          </w:p>
        </w:tc>
      </w:tr>
      <w:tr>
        <w:trPr>
          <w:trHeight w:val="198"/>
        </w:trPr>
        <w:tc>
          <w:tcPr>
            <w:tcW w:w="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0000FF"/>
                <w:w w:val="99"/>
              </w:rPr>
              <w:t>ANNEX A-4</w:t>
            </w:r>
          </w:p>
        </w:tc>
        <w:tc>
          <w:tcPr>
            <w:tcW w:w="760" w:type="dxa"/>
            <w:vAlign w:val="bottom"/>
            <w:gridSpan w:val="2"/>
          </w:tcPr>
          <w:p>
            <w:pPr>
              <w:spacing w:after="0"/>
              <w:rPr>
                <w:sz w:val="17"/>
                <w:szCs w:val="17"/>
                <w:color w:val="auto"/>
              </w:rPr>
            </w:pPr>
          </w:p>
        </w:tc>
        <w:tc>
          <w:tcPr>
            <w:tcW w:w="4000" w:type="dxa"/>
            <w:vAlign w:val="bottom"/>
            <w:gridSpan w:val="4"/>
          </w:tcPr>
          <w:p>
            <w:pPr>
              <w:ind w:left="220"/>
              <w:spacing w:after="0" w:line="198" w:lineRule="exact"/>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 xml:space="preserve">  Term Facility II Commitments</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B</w:t>
            </w:r>
          </w:p>
        </w:tc>
        <w:tc>
          <w:tcPr>
            <w:tcW w:w="760" w:type="dxa"/>
            <w:vAlign w:val="bottom"/>
            <w:gridSpan w:val="2"/>
          </w:tcPr>
          <w:p>
            <w:pPr>
              <w:spacing w:after="0"/>
              <w:rPr>
                <w:sz w:val="20"/>
                <w:szCs w:val="20"/>
                <w:color w:val="auto"/>
              </w:rPr>
            </w:pP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Amortization Payments – Term Facility Loans</w:t>
            </w:r>
          </w:p>
        </w:tc>
      </w:tr>
      <w:tr>
        <w:trPr>
          <w:trHeight w:val="608"/>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4"/>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2.03</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Specified Letters of Credit</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7.01</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Jurisdictions of Local Counsel Opinions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7.01(j)</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Approvals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8.03</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8.07</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8.08</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Taxes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8.10</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8.12(a)</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8.12(b)</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Immaterial Subsidiaries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8.12(c)</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8.13</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Ownership</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8.15</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 and Permits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8.18</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8.19</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H</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8.21(a)</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8.21(b)</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Real Property Takings, etc.</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9.12</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Designated Unrestricted Subsidiaries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10.01</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10.02</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Existing Liens</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10.04</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r>
      <w:tr>
        <w:trPr>
          <w:trHeight w:val="234"/>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10.07</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608"/>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06"/>
        </w:trPr>
        <w:tc>
          <w:tcPr>
            <w:tcW w:w="174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rPr>
              <w:t>EXHIBIT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Revolving Note</w:t>
            </w:r>
          </w:p>
        </w:tc>
      </w:tr>
      <w:tr>
        <w:trPr>
          <w:trHeight w:val="241"/>
        </w:trPr>
        <w:tc>
          <w:tcPr>
            <w:tcW w:w="174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rPr>
              <w:t>EXHIBIT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Term Facility Note</w:t>
            </w:r>
          </w:p>
        </w:tc>
      </w:tr>
      <w:tr>
        <w:trPr>
          <w:trHeight w:val="198"/>
        </w:trPr>
        <w:tc>
          <w:tcPr>
            <w:tcW w:w="17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EXHIBIT A-3</w:t>
            </w:r>
          </w:p>
        </w:tc>
        <w:tc>
          <w:tcPr>
            <w:tcW w:w="4000" w:type="dxa"/>
            <w:vAlign w:val="bottom"/>
            <w:gridSpan w:val="4"/>
          </w:tcPr>
          <w:p>
            <w:pPr>
              <w:ind w:left="220"/>
              <w:spacing w:after="0" w:line="198" w:lineRule="exact"/>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 xml:space="preserve">  Form of Term Facility II Note</w:t>
            </w:r>
          </w:p>
        </w:tc>
      </w:tr>
      <w:tr>
        <w:trPr>
          <w:trHeight w:val="20"/>
        </w:trPr>
        <w:tc>
          <w:tcPr>
            <w:tcW w:w="110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8"/>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w:t>
            </w:r>
          </w:p>
        </w:tc>
        <w:tc>
          <w:tcPr>
            <w:tcW w:w="640" w:type="dxa"/>
            <w:vAlign w:val="bottom"/>
          </w:tcPr>
          <w:p>
            <w:pPr>
              <w:spacing w:after="0"/>
              <w:rPr>
                <w:sz w:val="18"/>
                <w:szCs w:val="18"/>
                <w:color w:val="auto"/>
              </w:rPr>
            </w:pP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Notice of Borrowing</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C</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Notice of Continuation/Conversion</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D</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Forms of U.S. Tax Compliance Certificate</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E</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Compliance Certificate</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F</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Completion Guaranty</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G</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Solvency Certificate</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H</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Security Agreement</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I</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Mortgage</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J</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Assignment and Assumption Agreement</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K</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Letter of Credit Request</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L</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Joinder Agreement</w:t>
            </w:r>
          </w:p>
        </w:tc>
      </w:tr>
      <w:tr>
        <w:trPr>
          <w:trHeight w:val="216"/>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M</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Perfection Certificate</w:t>
            </w:r>
          </w:p>
        </w:tc>
      </w:tr>
      <w:tr>
        <w:trPr>
          <w:trHeight w:val="234"/>
        </w:trPr>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w:t>
            </w:r>
          </w:p>
        </w:tc>
        <w:tc>
          <w:tcPr>
            <w:tcW w:w="4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Form of Auction Procedures</w:t>
            </w:r>
          </w:p>
        </w:tc>
      </w:tr>
    </w:tbl>
    <w:p>
      <w:pPr>
        <w:spacing w:after="0" w:line="200" w:lineRule="exact"/>
        <w:rPr>
          <w:sz w:val="20"/>
          <w:szCs w:val="20"/>
          <w:color w:val="auto"/>
        </w:rPr>
      </w:pPr>
    </w:p>
    <w:p>
      <w:pPr>
        <w:spacing w:after="0" w:line="24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588010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845185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67"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EXHIBIT 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w:t>
      </w:r>
    </w:p>
    <w:p>
      <w:pPr>
        <w:spacing w:after="0" w:line="20" w:lineRule="exact"/>
        <w:rPr>
          <w:sz w:val="20"/>
          <w:szCs w:val="20"/>
          <w:color w:val="auto"/>
        </w:rPr>
      </w:pPr>
      <w:r>
        <w:rPr>
          <w:sz w:val="20"/>
          <w:szCs w:val="20"/>
          <w:color w:val="auto"/>
        </w:rPr>
        <w:br w:type="column"/>
      </w:r>
    </w:p>
    <w:p>
      <w:pPr>
        <w:ind w:right="3479"/>
        <w:spacing w:after="0" w:line="257" w:lineRule="auto"/>
        <w:rPr>
          <w:sz w:val="20"/>
          <w:szCs w:val="20"/>
          <w:color w:val="auto"/>
        </w:rPr>
      </w:pPr>
      <w:r>
        <w:rPr>
          <w:rFonts w:ascii="Times New Roman" w:cs="Times New Roman" w:eastAsia="Times New Roman" w:hAnsi="Times New Roman"/>
          <w:sz w:val="18"/>
          <w:szCs w:val="18"/>
          <w:color w:val="auto"/>
        </w:rPr>
        <w:t xml:space="preserve">- Form of Open Market Assignment and Assumption Agreement - Form of Term Loan Extension Amendment - Form of Revolving Extension Amendment - Form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 Form of Second Lien Intercreditor Agreement - Form of Subordination Agreement</w:t>
      </w:r>
    </w:p>
    <w:p>
      <w:pPr>
        <w:spacing w:after="0" w:line="397" w:lineRule="exact"/>
        <w:rPr>
          <w:sz w:val="20"/>
          <w:szCs w:val="20"/>
          <w:color w:val="auto"/>
        </w:rPr>
      </w:pPr>
    </w:p>
    <w:p>
      <w:pPr>
        <w:sectPr>
          <w:pgSz w:w="11900" w:h="16838" w:orient="portrait"/>
          <w:cols w:equalWidth="0" w:num="2">
            <w:col w:w="1240" w:space="720"/>
            <w:col w:w="825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337820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594995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852170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type w:val="continuous"/>
        </w:sectPr>
      </w:pPr>
    </w:p>
    <w:bookmarkStart w:id="106" w:name="page107"/>
    <w:bookmarkEnd w:id="10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dated as of November 20, 2014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w:t>
      </w:r>
      <w:r>
        <w:rPr>
          <w:rFonts w:ascii="Times New Roman" w:cs="Times New Roman" w:eastAsia="Times New Roman" w:hAnsi="Times New Roman"/>
          <w:sz w:val="18"/>
          <w:szCs w:val="18"/>
          <w:b w:val="1"/>
          <w:bCs w:val="1"/>
          <w:color w:val="auto"/>
        </w:rPr>
        <w:t xml:space="preserve"> WYNN AMERICA, LLC</w:t>
      </w:r>
      <w:r>
        <w:rPr>
          <w:rFonts w:ascii="Times New Roman" w:cs="Times New Roman" w:eastAsia="Times New Roman" w:hAnsi="Times New Roman"/>
          <w:sz w:val="18"/>
          <w:szCs w:val="18"/>
          <w:color w:val="auto"/>
        </w:rPr>
        <w:t>, a Nevada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xml:space="preserve"> party hereto from time to time;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from time to time party hereto;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LENDERS </w:t>
      </w:r>
      <w:r>
        <w:rPr>
          <w:rFonts w:ascii="Times New Roman" w:cs="Times New Roman" w:eastAsia="Times New Roman" w:hAnsi="Times New Roman"/>
          <w:sz w:val="18"/>
          <w:szCs w:val="18"/>
          <w:color w:val="auto"/>
        </w:rPr>
        <w:t>party hereto;</w:t>
      </w:r>
      <w:r>
        <w:rPr>
          <w:rFonts w:ascii="Times New Roman" w:cs="Times New Roman" w:eastAsia="Times New Roman" w:hAnsi="Times New Roman"/>
          <w:sz w:val="18"/>
          <w:szCs w:val="18"/>
          <w:b w:val="1"/>
          <w:bCs w:val="1"/>
          <w:color w:val="auto"/>
        </w:rPr>
        <w:t xml:space="preserve"> DEUTSCHE BANK AG NEW YORK BRANCH</w:t>
      </w:r>
      <w:r>
        <w:rPr>
          <w:rFonts w:ascii="Times New Roman" w:cs="Times New Roman" w:eastAsia="Times New Roman" w:hAnsi="Times New Roman"/>
          <w:sz w:val="18"/>
          <w:szCs w:val="18"/>
          <w:color w:val="auto"/>
        </w:rPr>
        <w:t>, as administrative agent (in such capacity, together with its successors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collateral agent (in such capacity, together with its successors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Borrower has requested that the Lenders provide first lien revolving credit and delayed draw term loan facilities, and the Lenders have indicated their willingness to lend, and the L/C Lender has indicated its willingness to issue letters of credit, in each case, on the terms and subject to the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the parties agree as follows:</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ARTICLE I.</w:t>
      </w:r>
    </w:p>
    <w:p>
      <w:pPr>
        <w:spacing w:after="0" w:line="3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u w:val="single" w:color="auto"/>
          <w:color w:val="auto"/>
        </w:rPr>
        <w:t>DEFINITIONS, ACCOUNTING MATTERS AND RULES OF CONSTRUCTION</w:t>
      </w:r>
    </w:p>
    <w:p>
      <w:pPr>
        <w:spacing w:after="0" w:line="23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Certain Defined Terms</w:t>
      </w:r>
      <w:r>
        <w:rPr>
          <w:rFonts w:ascii="Times New Roman" w:cs="Times New Roman" w:eastAsia="Times New Roman" w:hAnsi="Times New Roman"/>
          <w:sz w:val="17"/>
          <w:szCs w:val="17"/>
          <w:color w:val="auto"/>
        </w:rPr>
        <w:t>. 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 Loans</w:t>
      </w:r>
      <w:r>
        <w:rPr>
          <w:rFonts w:ascii="Times New Roman" w:cs="Times New Roman" w:eastAsia="Times New Roman" w:hAnsi="Times New Roman"/>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has the meaning set forth in Section 13.14.</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 of Terrorism</w:t>
      </w:r>
      <w:r>
        <w:rPr>
          <w:rFonts w:ascii="Times New Roman" w:cs="Times New Roman" w:eastAsia="Times New Roman" w:hAnsi="Times New Roman"/>
          <w:sz w:val="18"/>
          <w:szCs w:val="18"/>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ind w:firstLine="8"/>
        <w:spacing w:after="0" w:line="261"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Party</w:t>
      </w:r>
      <w:r>
        <w:rPr>
          <w:rFonts w:ascii="Times New Roman" w:cs="Times New Roman" w:eastAsia="Times New Roman" w:hAnsi="Times New Roman"/>
          <w:sz w:val="18"/>
          <w:szCs w:val="18"/>
          <w:color w:val="auto"/>
        </w:rPr>
        <w:t>” has the meaning set forth in Section 9.11.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Maximum Amount</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Classes</w:t>
      </w:r>
      <w:r>
        <w:rPr>
          <w:rFonts w:ascii="Times New Roman" w:cs="Times New Roman" w:eastAsia="Times New Roman" w:hAnsi="Times New Roman"/>
          <w:sz w:val="18"/>
          <w:szCs w:val="18"/>
          <w:color w:val="auto"/>
        </w:rPr>
        <w:t>” has the meaning set forth in Section 13.04(b)(A).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or is under common control with, or is controlled by, such Person. As used in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w:t>
      </w:r>
      <w:r>
        <w:rPr>
          <w:rFonts w:ascii="Times New Roman" w:cs="Times New Roman" w:eastAsia="Times New Roman" w:hAnsi="Times New Roman"/>
          <w:sz w:val="18"/>
          <w:szCs w:val="18"/>
          <w:color w:val="auto"/>
        </w:rPr>
        <w:t>”) shall mean possession, directly or indirectly, of power to direct or cause the direction of management or policies (whether through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593725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850900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1108710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1365885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1623060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shall have the meaning assigned to such term in Section 13.05(e).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of Administrative Agent, Auction Manager, Collateral Agent, Documentation Agent, Syndication Agents, Lead Arrangers and/or Arrangers,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Party</w:t>
      </w:r>
      <w:r>
        <w:rPr>
          <w:rFonts w:ascii="Times New Roman" w:cs="Times New Roman" w:eastAsia="Times New Roman" w:hAnsi="Times New Roman"/>
          <w:sz w:val="18"/>
          <w:szCs w:val="18"/>
          <w:color w:val="auto"/>
        </w:rPr>
        <w:t>” has the meaning set forth in Section 13.02(e).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Related Parties</w:t>
      </w:r>
      <w:r>
        <w:rPr>
          <w:rFonts w:ascii="Times New Roman" w:cs="Times New Roman" w:eastAsia="Times New Roman" w:hAnsi="Times New Roman"/>
          <w:sz w:val="18"/>
          <w:szCs w:val="18"/>
          <w:color w:val="auto"/>
        </w:rPr>
        <w:t>” shall mean each Agent and any sub-agent thereof and their respective Affiliates, directors, officers, employees, agents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Aircraft</w:t>
      </w:r>
      <w:r>
        <w:rPr>
          <w:rFonts w:ascii="Times New Roman" w:cs="Times New Roman" w:eastAsia="Times New Roman" w:hAnsi="Times New Roman"/>
          <w:sz w:val="18"/>
          <w:szCs w:val="18"/>
          <w:color w:val="auto"/>
        </w:rPr>
        <w:t>” means that certain 1999 Boeing 737-79U Business Jet aircraft bearing manufacturer’s serial number 29441 and United States Federal Aviation Administration Number N88WR, together with engines attached thereto, owned by a trust of which World Travel, LLC is the beneficial interest holder.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Aircraft Assets</w:t>
      </w:r>
      <w:r>
        <w:rPr>
          <w:rFonts w:ascii="Times New Roman" w:cs="Times New Roman" w:eastAsia="Times New Roman" w:hAnsi="Times New Roman"/>
          <w:sz w:val="18"/>
          <w:szCs w:val="18"/>
          <w:color w:val="auto"/>
        </w:rPr>
        <w:t>” means (1) the Aircraft, together with the products and proceeds thereof, and (2) the Aircraft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Aircraft Note</w:t>
      </w:r>
      <w:r>
        <w:rPr>
          <w:rFonts w:ascii="Times New Roman" w:cs="Times New Roman" w:eastAsia="Times New Roman" w:hAnsi="Times New Roman"/>
          <w:sz w:val="18"/>
          <w:szCs w:val="18"/>
          <w:color w:val="auto"/>
        </w:rPr>
        <w:t>” means that certain promissory note, dated as of March 30, 2007, issued by World Travel, LLC in favor of Wynn Las Vegas in an aggregate original principal amount of $42.0 million.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Allocable Overhead</w:t>
      </w:r>
      <w:r>
        <w:rPr>
          <w:rFonts w:ascii="Times New Roman" w:cs="Times New Roman" w:eastAsia="Times New Roman" w:hAnsi="Times New Roman"/>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xml:space="preserve">” shall mean for any day, the greatest of (i) the rate of interest in effect for such day as publicly announced from time to time by the Administrative Agent as its “prime rate,” (ii) the Federal Funds Rate plus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(iii) the LIBO Rate for an Interest Period of one (1) month beginning on such day (or if such day is not a Business Day, on the immediately preceding Business Day) plus 100 basis points.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Currency</w:t>
      </w:r>
      <w:r>
        <w:rPr>
          <w:rFonts w:ascii="Times New Roman" w:cs="Times New Roman" w:eastAsia="Times New Roman" w:hAnsi="Times New Roman"/>
          <w:sz w:val="18"/>
          <w:szCs w:val="18"/>
          <w:color w:val="auto"/>
        </w:rPr>
        <w:t>” shall mean Canadian Dollars, Euro, Pound Sterling and any other lawful currency reasonably acceptable to the applicable L/C Lender.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Equivalent</w:t>
      </w:r>
      <w:r>
        <w:rPr>
          <w:rFonts w:ascii="Times New Roman" w:cs="Times New Roman" w:eastAsia="Times New Roman" w:hAnsi="Times New Roman"/>
          <w:sz w:val="18"/>
          <w:szCs w:val="18"/>
          <w:color w:val="auto"/>
        </w:rPr>
        <w:t>” shall mean, at any time, with respect to any amount denominated in Dollars, the equivalent amount thereof in the applicable Alternate Currency as determined by the Administrative Agent or the applicable L/C Lender, as the case may be, at such time on the basis of the Spot Rate (determined in respect of the most recent Revaluation Date) for the purchase of such Alternate Currency with Dollars.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Payment</w:t>
      </w:r>
      <w:r>
        <w:rPr>
          <w:rFonts w:ascii="Times New Roman" w:cs="Times New Roman" w:eastAsia="Times New Roman" w:hAnsi="Times New Roman"/>
          <w:sz w:val="18"/>
          <w:szCs w:val="18"/>
          <w:color w:val="auto"/>
        </w:rPr>
        <w:t>” shall mean each scheduled installment of payments on the Term Loans as set forth in Sections 3.01(b) and 3.01(c).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2" w:right="2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has the meaning set forth in Section 8.22(a).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Fee Percentage</w:t>
      </w:r>
      <w:r>
        <w:rPr>
          <w:rFonts w:ascii="Times New Roman" w:cs="Times New Roman" w:eastAsia="Times New Roman" w:hAnsi="Times New Roman"/>
          <w:sz w:val="18"/>
          <w:szCs w:val="18"/>
          <w:color w:val="auto"/>
        </w:rPr>
        <w:t xml:space="preserve">” shall mean, with respect to any Unutilized R/C Commitments or unutilized Term Facility Commitments </w:t>
      </w:r>
      <w:r>
        <w:rPr>
          <w:rFonts w:ascii="Times New Roman" w:cs="Times New Roman" w:eastAsia="Times New Roman" w:hAnsi="Times New Roman"/>
          <w:sz w:val="18"/>
          <w:szCs w:val="18"/>
          <w:b w:val="1"/>
          <w:bCs w:val="1"/>
          <w:u w:val="single" w:color="auto"/>
          <w:color w:val="0000FF"/>
        </w:rPr>
        <w:t>or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Facility II Commitments</w:t>
      </w:r>
      <w:r>
        <w:rPr>
          <w:rFonts w:ascii="Times New Roman" w:cs="Times New Roman" w:eastAsia="Times New Roman" w:hAnsi="Times New Roman"/>
          <w:sz w:val="18"/>
          <w:szCs w:val="18"/>
          <w:color w:val="000000"/>
        </w:rPr>
        <w:t>, 0.30%.</w:t>
      </w:r>
    </w:p>
    <w:p>
      <w:pPr>
        <w:spacing w:after="0" w:line="15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Lending Office</w:t>
      </w:r>
      <w:r>
        <w:rPr>
          <w:rFonts w:ascii="Times New Roman" w:cs="Times New Roman" w:eastAsia="Times New Roman" w:hAnsi="Times New Roman"/>
          <w:sz w:val="18"/>
          <w:szCs w:val="18"/>
          <w:color w:val="auto"/>
        </w:rPr>
        <w:t xml:space="preserve">” shall mean, for each Lender and for each Type of Loan, the “Lending Office” of such Lender (or of an Affiliate of such Lender) (a) that is a lender on the Closing Date, designated for such Type of Loan on </w:t>
      </w:r>
      <w:r>
        <w:rPr>
          <w:rFonts w:ascii="Times New Roman" w:cs="Times New Roman" w:eastAsia="Times New Roman" w:hAnsi="Times New Roman"/>
          <w:sz w:val="18"/>
          <w:szCs w:val="18"/>
          <w:u w:val="single" w:color="auto"/>
          <w:color w:val="auto"/>
        </w:rPr>
        <w:t>Annexes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(b) set forth on such Lender’s signature page to any Refinancing Amendment for any Lender providing Credit Agreement Refinancing Indebtedness pursuant to Section 2.15, (c) set forth in the Assignment Agreement for any Person that becomes a “Lender” hereunder pursuant to an Assignment Agreement or (d) such other office of such Lender (or of an Affiliate of such Lender) as such Lender may from time to time specify to Administrative Agent and Borrower as the office by which its Loans of such Type are to be made and maintained.</w:t>
      </w:r>
    </w:p>
    <w:p>
      <w:pPr>
        <w:spacing w:after="0" w:line="19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xml:space="preserve">” shall mean, for each Type and Class of Loan, 1.75%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with respect to LIBOR Loans and (ii) 0.75%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with respect to ABR Loans.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shall mean, collectively, Bank of China, Los Angeles Branch, a federally chartered branch of Bank of China Limited, a joint stock company incorporated in the People’s Republic of China with limited liability, and Morgan Stanley Senior Funding, Inc., in their capacities as arrangers hereunder.</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$15.0 million and (b) any issuance or sale by any Restricted Subsidiary of its Equity Interests to any Person (other than to any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shall not constitute an “Asset Sale”: (x) any conveyance, sale, lease, transfer or other disposition of obsolete or worn out assets or assets no longer useful in the business of the Credit Parties, (y) licenses of Intellectual Property entered into in the ordinary course of business and (z) any conveyance, sale, transfer or other disposition of cash and/or Cash Equivalents.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xml:space="preserve">” shall mean an Assignment and Assumption Agreement substantially in the form attached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Manager</w:t>
      </w:r>
      <w:r>
        <w:rPr>
          <w:rFonts w:ascii="Times New Roman" w:cs="Times New Roman" w:eastAsia="Times New Roman" w:hAnsi="Times New Roman"/>
          <w:sz w:val="18"/>
          <w:szCs w:val="18"/>
          <w:color w:val="auto"/>
        </w:rPr>
        <w:t>” shall mean DB, or another financial institution as shall be selected by Borrower in a written notice to Administrative Agent, in each case in its capacity as Auction Manager.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Procedures</w:t>
      </w:r>
      <w:r>
        <w:rPr>
          <w:rFonts w:ascii="Times New Roman" w:cs="Times New Roman" w:eastAsia="Times New Roman" w:hAnsi="Times New Roman"/>
          <w:sz w:val="18"/>
          <w:szCs w:val="18"/>
          <w:color w:val="auto"/>
        </w:rPr>
        <w:t xml:space="preserve">” shall mean, collectively, the auction procedures, auction notice, return bid and Borrower Assignment Agreement in substantially the form set forth as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 or such other form as is reasonably acceptable to Auction Manager and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amendments or modifications may be implemented after 24 hours prior to the date and time return bids are due in such auction.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shall mean, on any date, an amount not less than zero, equal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92" w:right="239" w:bottom="1440" w:gutter="0" w:footer="0" w:header="0"/>
        </w:sectPr>
      </w:pPr>
    </w:p>
    <w:bookmarkStart w:id="109" w:name="page110"/>
    <w:bookmarkEnd w:id="109"/>
    <w:p>
      <w:pPr>
        <w:ind w:firstLine="640"/>
        <w:spacing w:after="0" w:line="329" w:lineRule="auto"/>
        <w:tabs>
          <w:tab w:leader="none" w:pos="1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Excess Cash Flow for all fiscal years ending after the Closing Date (not less than zero) (commencing with the fiscal year ending December 31, 2014) and prior to such date;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jc w:val="both"/>
        <w:ind w:firstLine="640"/>
        <w:spacing w:after="0" w:line="301" w:lineRule="auto"/>
        <w:tabs>
          <w:tab w:leader="none" w:pos="11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clauses (x) and (y) shall not be duplicative of any reductions in the amount of such Investments pursuant to the proviso to the definition of “Investments”; </w:t>
      </w:r>
      <w:r>
        <w:rPr>
          <w:rFonts w:ascii="Times New Roman" w:cs="Times New Roman" w:eastAsia="Times New Roman" w:hAnsi="Times New Roman"/>
          <w:sz w:val="18"/>
          <w:szCs w:val="18"/>
          <w:i w:val="1"/>
          <w:iCs w:val="1"/>
          <w:color w:val="auto"/>
        </w:rPr>
        <w:t>plus</w:t>
      </w:r>
    </w:p>
    <w:p>
      <w:pPr>
        <w:spacing w:after="0" w:line="186" w:lineRule="exact"/>
        <w:rPr>
          <w:rFonts w:ascii="Times New Roman" w:cs="Times New Roman" w:eastAsia="Times New Roman" w:hAnsi="Times New Roman"/>
          <w:sz w:val="18"/>
          <w:szCs w:val="18"/>
          <w:color w:val="auto"/>
        </w:rPr>
      </w:pPr>
    </w:p>
    <w:p>
      <w:pPr>
        <w:jc w:val="both"/>
        <w:ind w:firstLine="640"/>
        <w:spacing w:after="0" w:line="308" w:lineRule="auto"/>
        <w:tabs>
          <w:tab w:leader="none" w:pos="1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firstLine="640"/>
        <w:spacing w:after="0" w:line="329" w:lineRule="auto"/>
        <w:tabs>
          <w:tab w:leader="none" w:pos="11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of assets or Property acquired in exchange for Equity Interests (other than Disqualified Capital Stock) of Borrower after the Closing Date and on or prior to such date; plus</w:t>
      </w:r>
    </w:p>
    <w:p>
      <w:pPr>
        <w:spacing w:after="0" w:line="161" w:lineRule="exact"/>
        <w:rPr>
          <w:rFonts w:ascii="Times New Roman" w:cs="Times New Roman" w:eastAsia="Times New Roman" w:hAnsi="Times New Roman"/>
          <w:sz w:val="18"/>
          <w:szCs w:val="18"/>
          <w:color w:val="auto"/>
        </w:rPr>
      </w:pPr>
    </w:p>
    <w:p>
      <w:pPr>
        <w:jc w:val="both"/>
        <w:ind w:right="20" w:firstLine="640"/>
        <w:spacing w:after="0" w:line="313" w:lineRule="auto"/>
        <w:tabs>
          <w:tab w:leader="none" w:pos="1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Wynn Las Vegas Reorganization, the aggregate amount of “Restricted Payments” that Wynn Las Vegas makes pursuant to Section 4.07 of the indenture governing the Wynn Las Vegas 2022 Notes, excluding in all cases amounts used, or to be used, to make Equity Contributions until such time as Equity Contributions in the amount of the Equity Contribution Threshold have been made; </w:t>
      </w:r>
      <w:r>
        <w:rPr>
          <w:rFonts w:ascii="Times New Roman" w:cs="Times New Roman" w:eastAsia="Times New Roman" w:hAnsi="Times New Roman"/>
          <w:sz w:val="18"/>
          <w:szCs w:val="18"/>
          <w:i w:val="1"/>
          <w:iCs w:val="1"/>
          <w:color w:val="auto"/>
        </w:rPr>
        <w:t>minus</w:t>
      </w:r>
    </w:p>
    <w:p>
      <w:pPr>
        <w:spacing w:after="0" w:line="176" w:lineRule="exact"/>
        <w:rPr>
          <w:rFonts w:ascii="Times New Roman" w:cs="Times New Roman" w:eastAsia="Times New Roman" w:hAnsi="Times New Roman"/>
          <w:sz w:val="18"/>
          <w:szCs w:val="18"/>
          <w:color w:val="auto"/>
        </w:rPr>
      </w:pPr>
    </w:p>
    <w:p>
      <w:pPr>
        <w:jc w:val="both"/>
        <w:ind w:firstLine="640"/>
        <w:spacing w:after="0" w:line="313" w:lineRule="auto"/>
        <w:tabs>
          <w:tab w:leader="none" w:pos="11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(i) Investments made pursuant to Section 10.04(l), (ii) Restricted Payments made pursuant to Section 10.06(i)(ii) and (iii) Junior Prepayments pursuant to Section 10.09(a)(ii) (in each case, in reliance on the then-outstanding Available Amount) made since the Closing Date and on or prior to such date.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Equity Amount</w:t>
      </w:r>
      <w:r>
        <w:rPr>
          <w:rFonts w:ascii="Times New Roman" w:cs="Times New Roman" w:eastAsia="Times New Roman" w:hAnsi="Times New Roman"/>
          <w:sz w:val="18"/>
          <w:szCs w:val="18"/>
          <w:color w:val="auto"/>
        </w:rPr>
        <w:t>” shall mean, on any date, an amount not less than zero, equal to:</w:t>
      </w:r>
    </w:p>
    <w:p>
      <w:pPr>
        <w:spacing w:after="0" w:line="254" w:lineRule="exact"/>
        <w:rPr>
          <w:sz w:val="20"/>
          <w:szCs w:val="20"/>
          <w:color w:val="auto"/>
        </w:rPr>
      </w:pPr>
    </w:p>
    <w:p>
      <w:pPr>
        <w:ind w:left="1160" w:hanging="520"/>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Equity Contribution; </w:t>
      </w:r>
      <w:r>
        <w:rPr>
          <w:rFonts w:ascii="Times New Roman" w:cs="Times New Roman" w:eastAsia="Times New Roman" w:hAnsi="Times New Roman"/>
          <w:sz w:val="18"/>
          <w:szCs w:val="18"/>
          <w:i w:val="1"/>
          <w:iCs w:val="1"/>
          <w:color w:val="auto"/>
        </w:rPr>
        <w:t>plus</w:t>
      </w:r>
    </w:p>
    <w:p>
      <w:pPr>
        <w:spacing w:after="0" w:line="267" w:lineRule="exact"/>
        <w:rPr>
          <w:rFonts w:ascii="Times New Roman" w:cs="Times New Roman" w:eastAsia="Times New Roman" w:hAnsi="Times New Roman"/>
          <w:sz w:val="18"/>
          <w:szCs w:val="18"/>
          <w:color w:val="auto"/>
        </w:rPr>
      </w:pPr>
    </w:p>
    <w:p>
      <w:pPr>
        <w:jc w:val="both"/>
        <w:ind w:firstLine="640"/>
        <w:spacing w:after="0" w:line="313" w:lineRule="auto"/>
        <w:tabs>
          <w:tab w:leader="none" w:pos="11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Equity Issuance Proceeds (including upon conversion or exchange of a debt instrument into or for any Equity Interests (other than Disqualified Capital Stock)) received by Borrower after the Closing Date and on or prior to such date other than Specified Equity Issuance Proceeds; </w:t>
      </w:r>
      <w:r>
        <w:rPr>
          <w:rFonts w:ascii="Times New Roman" w:cs="Times New Roman" w:eastAsia="Times New Roman" w:hAnsi="Times New Roman"/>
          <w:sz w:val="18"/>
          <w:szCs w:val="18"/>
          <w:i w:val="1"/>
          <w:iCs w:val="1"/>
          <w:color w:val="auto"/>
        </w:rPr>
        <w:t>plus</w:t>
      </w:r>
    </w:p>
    <w:p>
      <w:pPr>
        <w:spacing w:after="0" w:line="176" w:lineRule="exact"/>
        <w:rPr>
          <w:rFonts w:ascii="Times New Roman" w:cs="Times New Roman" w:eastAsia="Times New Roman" w:hAnsi="Times New Roman"/>
          <w:sz w:val="18"/>
          <w:szCs w:val="18"/>
          <w:color w:val="auto"/>
        </w:rPr>
      </w:pPr>
    </w:p>
    <w:p>
      <w:pPr>
        <w:jc w:val="both"/>
        <w:ind w:firstLine="640"/>
        <w:spacing w:after="0" w:line="313" w:lineRule="auto"/>
        <w:tabs>
          <w:tab w:leader="none" w:pos="1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proceeds received by Borrower from the incurrence by Borrower of any Intercompany Contribution Indebtedness (other than any Intercompany Contribution Indebtedness the proceeds of which were derived from Specified Equity Issuance Proceeds) after the Closing Date and on or prior to such date; </w:t>
      </w:r>
      <w:r>
        <w:rPr>
          <w:rFonts w:ascii="Times New Roman" w:cs="Times New Roman" w:eastAsia="Times New Roman" w:hAnsi="Times New Roman"/>
          <w:sz w:val="18"/>
          <w:szCs w:val="18"/>
          <w:i w:val="1"/>
          <w:iCs w:val="1"/>
          <w:color w:val="auto"/>
        </w:rPr>
        <w:t>plus</w:t>
      </w:r>
    </w:p>
    <w:p>
      <w:pPr>
        <w:spacing w:after="0" w:line="176" w:lineRule="exact"/>
        <w:rPr>
          <w:rFonts w:ascii="Times New Roman" w:cs="Times New Roman" w:eastAsia="Times New Roman" w:hAnsi="Times New Roman"/>
          <w:sz w:val="18"/>
          <w:szCs w:val="18"/>
          <w:color w:val="auto"/>
        </w:rPr>
      </w:pPr>
    </w:p>
    <w:p>
      <w:pPr>
        <w:jc w:val="both"/>
        <w:ind w:firstLine="640"/>
        <w:spacing w:after="0" w:line="308" w:lineRule="auto"/>
        <w:tabs>
          <w:tab w:leader="none" w:pos="11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10.04(y) to the extent not included in Consolidated Net Income; </w:t>
      </w:r>
      <w:r>
        <w:rPr>
          <w:rFonts w:ascii="Times New Roman" w:cs="Times New Roman" w:eastAsia="Times New Roman" w:hAnsi="Times New Roman"/>
          <w:sz w:val="18"/>
          <w:szCs w:val="18"/>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580" w:top="823" w:right="239" w:bottom="1440" w:gutter="0" w:footer="0" w:header="0"/>
        </w:sectPr>
      </w:pPr>
    </w:p>
    <w:bookmarkStart w:id="110" w:name="page111"/>
    <w:bookmarkEnd w:id="110"/>
    <w:p>
      <w:pPr>
        <w:jc w:val="both"/>
        <w:ind w:left="340" w:firstLine="640"/>
        <w:spacing w:after="0" w:line="313" w:lineRule="auto"/>
        <w:tabs>
          <w:tab w:leader="none" w:pos="15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(i) Investments made pursuant to Section 10.04(y), (ii) Restricted Payments made pursuant to Section 10.06(p) and (iii) Junior Prepayments pursuant to Section 10.09(l) (in each case, in reliance on the then-outstanding Available Equity Amount) made since the Closing Date and on or prior to such date; </w:t>
      </w:r>
      <w:r>
        <w:rPr>
          <w:rFonts w:ascii="Times New Roman" w:cs="Times New Roman" w:eastAsia="Times New Roman" w:hAnsi="Times New Roman"/>
          <w:sz w:val="18"/>
          <w:szCs w:val="18"/>
          <w:i w:val="1"/>
          <w:iCs w:val="1"/>
          <w:color w:val="auto"/>
        </w:rPr>
        <w:t>minus</w:t>
      </w:r>
    </w:p>
    <w:p>
      <w:pPr>
        <w:spacing w:after="0" w:line="176"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4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December 31, 2015, the Equity Contribution Threshold less (x) any Specified Equity Issuance Proceeds and (y) all amounts distributed by the Wynn Las Vegas Entities to the Credit Parties on or after the Wynn Las Vegas Reorganization, provided, that the amount specified in this clause (f) shall in no case be less than $0.</w:t>
      </w:r>
    </w:p>
    <w:p>
      <w:pPr>
        <w:spacing w:after="0" w:line="14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“Bail-In Action” shall mean the exercise of any Write-Down and Conversion Powers by the applicable EEA Resolution Authority in respect of any liability of an EEA Financial Institution.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“Bail-In Legislation”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Title 11 of the United States Code entitled “Bankruptcy,” as now or hereinafter in effect, or any successor statute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Rules 13d-3 and 13d-5 under the Exchange Act. The terms “</w:t>
      </w:r>
      <w:r>
        <w:rPr>
          <w:rFonts w:ascii="Times New Roman" w:cs="Times New Roman" w:eastAsia="Times New Roman" w:hAnsi="Times New Roman"/>
          <w:sz w:val="18"/>
          <w:szCs w:val="18"/>
          <w:b w:val="1"/>
          <w:bCs w:val="1"/>
          <w:color w:val="auto"/>
        </w:rPr>
        <w:t>Beneficially 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have a corresponding meaning.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Assignment Agreement</w:t>
      </w:r>
      <w:r>
        <w:rPr>
          <w:rFonts w:ascii="Times New Roman" w:cs="Times New Roman" w:eastAsia="Times New Roman" w:hAnsi="Times New Roman"/>
          <w:sz w:val="18"/>
          <w:szCs w:val="18"/>
          <w:color w:val="auto"/>
        </w:rPr>
        <w:t>” shall mean, with respect to any assignment to Borrower or one of its Subsidiaries pursuant to Section 13.05(d) consummated pursuant to the Auction Procedures, an Assignment and Acceptance Agreement substantially in the form of Annex C to the Auction Procedures (as may be modified from time to time as set forth in the definition of Auction Procedures).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Loan Purchase</w:t>
      </w:r>
      <w:r>
        <w:rPr>
          <w:rFonts w:ascii="Times New Roman" w:cs="Times New Roman" w:eastAsia="Times New Roman" w:hAnsi="Times New Roman"/>
          <w:sz w:val="18"/>
          <w:szCs w:val="18"/>
          <w:color w:val="auto"/>
        </w:rPr>
        <w:t>” shall mean any purchase of Term Loans or Revolving Loans by Borrower or one of its Subsidiaries pursuant to Section 13.05(d).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shall mean Loans of the same Class and Type made, converted or continued on the same date and, in the case of LIBOR Loans, as to which a single Interest Period is in effect.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823" w:right="239" w:bottom="1440" w:gutter="0" w:footer="0" w:header="0"/>
        </w:sectPr>
      </w:pPr>
    </w:p>
    <w:bookmarkStart w:id="111" w:name="page112"/>
    <w:bookmarkEnd w:id="11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of the condition or usefulness of Property of such Person that should be capitalized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Section 2.10(a)(iii);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any lease that is accounted for by any Person as an operating lease as of the Closing Date and any similar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after the Closing Date by any Person may, in the sole discretion of Borrower, be accounted for as an operating lease and not as a Capital Lease.</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 obligations owing to an L/C Lender, such L/C Lender (and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Cash Collateralization</w:t>
      </w:r>
      <w:r>
        <w:rPr>
          <w:rFonts w:ascii="Times New Roman" w:cs="Times New Roman" w:eastAsia="Times New Roman" w:hAnsi="Times New Roman"/>
          <w:sz w:val="18"/>
          <w:szCs w:val="18"/>
          <w:color w:val="auto"/>
        </w:rPr>
        <w:t>” have corresponding meanings).</w:t>
      </w:r>
    </w:p>
    <w:p>
      <w:pPr>
        <w:spacing w:after="0" w:line="177"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94" w:right="239" w:bottom="1440" w:gutter="0" w:footer="0" w:header="0"/>
        </w:sectPr>
      </w:pPr>
    </w:p>
    <w:bookmarkStart w:id="112" w:name="page113"/>
    <w:bookmarkEnd w:id="112"/>
    <w:p>
      <w:pPr>
        <w:jc w:val="both"/>
        <w:spacing w:after="0" w:line="257" w:lineRule="auto"/>
        <w:rPr>
          <w:sz w:val="20"/>
          <w:szCs w:val="20"/>
          <w:color w:val="auto"/>
        </w:rPr>
      </w:pPr>
      <w:r>
        <w:rPr>
          <w:rFonts w:ascii="Times New Roman" w:cs="Times New Roman" w:eastAsia="Times New Roman" w:hAnsi="Times New Roman"/>
          <w:sz w:val="18"/>
          <w:szCs w:val="18"/>
          <w:color w:val="auto"/>
        </w:rPr>
        <w:t>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spacing w:after="0" w:line="2" w:lineRule="exact"/>
        <w:rPr>
          <w:sz w:val="20"/>
          <w:szCs w:val="20"/>
          <w:color w:val="auto"/>
        </w:rPr>
      </w:pPr>
    </w:p>
    <w:p>
      <w:pPr>
        <w:jc w:val="both"/>
        <w:ind w:firstLine="8"/>
        <w:spacing w:after="0" w:line="251"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Agreement</w:t>
      </w:r>
      <w:r>
        <w:rPr>
          <w:rFonts w:ascii="Times New Roman" w:cs="Times New Roman" w:eastAsia="Times New Roman" w:hAnsi="Times New Roman"/>
          <w:sz w:val="18"/>
          <w:szCs w:val="18"/>
          <w:color w:val="auto"/>
        </w:rPr>
        <w:t>” shall mean any agreement to provide cash management services, including treasury, depository, overdraft, credit or debit card, electronic funds transfer and other cash management arrangements.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xml:space="preserve">” shall mean any loss of title or any loss of or damage to or destruction of, or any condemnation or other taking (or settlement in lieu thereof) (including by any Governmental Authority) of, any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such event shall constitute a Casualty Event if the proceeds thereof or other compensation in respect thereof is less than $15.0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xml:space="preserve">” shall mean the Comprehensive Environmental Response, Compensation, and Liability Act of 1980, as amended, 42 U.S.C. § 9601 </w:t>
      </w:r>
      <w:r>
        <w:rPr>
          <w:rFonts w:ascii="Times New Roman" w:cs="Times New Roman" w:eastAsia="Times New Roman" w:hAnsi="Times New Roman"/>
          <w:sz w:val="18"/>
          <w:szCs w:val="18"/>
          <w:i w:val="1"/>
          <w:iCs w:val="1"/>
          <w:color w:val="auto"/>
        </w:rPr>
        <w:t>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seq.</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 Holdco</w:t>
      </w:r>
      <w:r>
        <w:rPr>
          <w:rFonts w:ascii="Times New Roman" w:cs="Times New Roman" w:eastAsia="Times New Roman" w:hAnsi="Times New Roman"/>
          <w:sz w:val="18"/>
          <w:szCs w:val="18"/>
          <w:color w:val="auto"/>
        </w:rPr>
        <w:t>” shall mean any Subsidiary that has no material assets other than Equity Interests in one or more Foreign Subsidiaries that is a “controlled foreign corporation” within the meaning of Section 957 of the Code.</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be deemed to have occurred if: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96" w:right="239" w:bottom="1440" w:gutter="0" w:footer="0" w:header="0"/>
        </w:sectPr>
      </w:pPr>
    </w:p>
    <w:bookmarkStart w:id="113" w:name="page114"/>
    <w:bookmarkEnd w:id="113"/>
    <w:p>
      <w:pPr>
        <w:ind w:left="1500" w:hanging="520"/>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shall at any time fail to own, directly or indirectly, 60% or more of the voting power of the total outstanding Voting Stock</w:t>
      </w:r>
    </w:p>
    <w:p>
      <w:pPr>
        <w:spacing w:after="0" w:line="4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Borrower;</w:t>
      </w:r>
    </w:p>
    <w:p>
      <w:pPr>
        <w:spacing w:after="0" w:line="265" w:lineRule="exact"/>
        <w:rPr>
          <w:rFonts w:ascii="Times New Roman" w:cs="Times New Roman" w:eastAsia="Times New Roman" w:hAnsi="Times New Roman"/>
          <w:sz w:val="18"/>
          <w:szCs w:val="18"/>
          <w:color w:val="auto"/>
        </w:rPr>
      </w:pPr>
    </w:p>
    <w:p>
      <w:pPr>
        <w:ind w:left="340" w:firstLine="640"/>
        <w:spacing w:after="0" w:line="329" w:lineRule="auto"/>
        <w:tabs>
          <w:tab w:leader="none" w:pos="15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shall at any time fail to own, directly or indirectly, 50% or more of the voting power of the total outstanding Voting Stock and 50% or more of the total economic interest of Wynn Macau; or</w:t>
      </w:r>
    </w:p>
    <w:p>
      <w:pPr>
        <w:spacing w:after="0" w:line="161" w:lineRule="exact"/>
        <w:rPr>
          <w:rFonts w:ascii="Times New Roman" w:cs="Times New Roman" w:eastAsia="Times New Roman" w:hAnsi="Times New Roman"/>
          <w:sz w:val="18"/>
          <w:szCs w:val="18"/>
          <w:color w:val="auto"/>
        </w:rPr>
      </w:pPr>
    </w:p>
    <w:p>
      <w:pPr>
        <w:ind w:left="340" w:firstLine="640"/>
        <w:spacing w:after="0" w:line="329" w:lineRule="auto"/>
        <w:tabs>
          <w:tab w:leader="none" w:pos="15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at any time fail to own, directly or indirectly, 100% of the voting power of the total outstanding Voting Stock of Wynn Massachusetts and, from and after the Wynn Las Vegas Reorganization, Wynn Las Vegas.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has the meaning set forth in Section 13.19.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of this Agreement, which date is November 20, 2014.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Revolving Commitment</w:t>
      </w:r>
      <w:r>
        <w:rPr>
          <w:rFonts w:ascii="Times New Roman" w:cs="Times New Roman" w:eastAsia="Times New Roman" w:hAnsi="Times New Roman"/>
          <w:sz w:val="18"/>
          <w:szCs w:val="18"/>
          <w:color w:val="auto"/>
        </w:rPr>
        <w:t>” shall mean a Revolving Commitment established on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Revolving Facility</w:t>
      </w:r>
      <w:r>
        <w:rPr>
          <w:rFonts w:ascii="Times New Roman" w:cs="Times New Roman" w:eastAsia="Times New Roman" w:hAnsi="Times New Roman"/>
          <w:sz w:val="18"/>
          <w:szCs w:val="18"/>
          <w:color w:val="auto"/>
        </w:rPr>
        <w:t>” shall mean the credit facility comprising the Closing Date Revolving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all of the Pledged Collateral, the Mortgaged Real Property, all Property encumbered pursuant to Sections 9.08 and 9.11,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the Collateral Agent pursuant to the Collateral Documents, unless and until such time as such assets or Property are required by the Credit Documents to again become subject to a Lien in favor of the Collateral Agent.</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shall mean the Revolving Commitments, the Term Facility Commitments</w:t>
      </w:r>
      <w:r>
        <w:rPr>
          <w:rFonts w:ascii="Times New Roman" w:cs="Times New Roman" w:eastAsia="Times New Roman" w:hAnsi="Times New Roman"/>
          <w:sz w:val="18"/>
          <w:szCs w:val="18"/>
          <w:b w:val="1"/>
          <w:bCs w:val="1"/>
          <w:u w:val="single" w:color="auto"/>
          <w:color w:val="0000FF"/>
        </w:rPr>
        <w:t>, the Term Facility II Commitments</w:t>
      </w:r>
      <w:r>
        <w:rPr>
          <w:rFonts w:ascii="Times New Roman" w:cs="Times New Roman" w:eastAsia="Times New Roman" w:hAnsi="Times New Roman"/>
          <w:sz w:val="18"/>
          <w:szCs w:val="18"/>
          <w:color w:val="auto"/>
        </w:rPr>
        <w:t xml:space="preserve"> and any Other Commitments.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shall mean Borrower and its Subsidiaries; and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any one of them.</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xml:space="preserve">” shall mean a Person or Affiliate of any Person (other than, subject to the other limitations set forth in this definition, an Affiliate of any Credit Party) that operates, manages or controls the operation of a Facility or controls, has entered into any agreement to control or is under common control with, in each case directly or indirectly, any entity that operates, manages or controls the operation of a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include (i) commercial or corporate banks and (ii) any funds which principally hold passive investments in commercial loans or debt securities for investment purposes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23" w:right="239" w:bottom="1440" w:gutter="0" w:footer="0" w:header="0"/>
        </w:sectPr>
      </w:pPr>
    </w:p>
    <w:bookmarkStart w:id="114" w:name="page115"/>
    <w:bookmarkEnd w:id="11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Guaranty</w:t>
      </w:r>
      <w:r>
        <w:rPr>
          <w:rFonts w:ascii="Times New Roman" w:cs="Times New Roman" w:eastAsia="Times New Roman" w:hAnsi="Times New Roman"/>
          <w:sz w:val="18"/>
          <w:szCs w:val="18"/>
          <w:color w:val="auto"/>
        </w:rPr>
        <w:t xml:space="preserve">” shall mean a completion guaranty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between Wynn Resorts and Administrative Agent, as the same may be amended in accordance with the terms thereof and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Companies</w:t>
      </w:r>
      <w:r>
        <w:rPr>
          <w:rFonts w:ascii="Times New Roman" w:cs="Times New Roman" w:eastAsia="Times New Roman" w:hAnsi="Times New Roman"/>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Assets</w:t>
      </w:r>
      <w:r>
        <w:rPr>
          <w:rFonts w:ascii="Times New Roman" w:cs="Times New Roman" w:eastAsia="Times New Roman" w:hAnsi="Times New Roman"/>
          <w:sz w:val="18"/>
          <w:szCs w:val="18"/>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Liabilities</w:t>
      </w:r>
      <w:r>
        <w:rPr>
          <w:rFonts w:ascii="Times New Roman" w:cs="Times New Roman" w:eastAsia="Times New Roman" w:hAnsi="Times New Roman"/>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xml:space="preserve">” shall mean, for any Test Period, the sum (without duplication) of Consolidated Net Income for such Test Period; </w:t>
      </w:r>
      <w:r>
        <w:rPr>
          <w:rFonts w:ascii="Times New Roman" w:cs="Times New Roman" w:eastAsia="Times New Roman" w:hAnsi="Times New Roman"/>
          <w:sz w:val="18"/>
          <w:szCs w:val="18"/>
          <w:i w:val="1"/>
          <w:iCs w:val="1"/>
          <w:color w:val="auto"/>
        </w:rPr>
        <w:t>plus</w:t>
      </w:r>
    </w:p>
    <w:p>
      <w:pPr>
        <w:spacing w:after="0" w:line="256" w:lineRule="exact"/>
        <w:rPr>
          <w:sz w:val="20"/>
          <w:szCs w:val="20"/>
          <w:color w:val="auto"/>
        </w:rPr>
      </w:pPr>
    </w:p>
    <w:p>
      <w:pPr>
        <w:ind w:left="1500" w:hanging="520"/>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deducted in calculating such Consolidated Net Income:</w:t>
      </w:r>
    </w:p>
    <w:p>
      <w:pPr>
        <w:spacing w:after="0" w:line="238" w:lineRule="exact"/>
        <w:rPr>
          <w:rFonts w:ascii="Times New Roman" w:cs="Times New Roman" w:eastAsia="Times New Roman" w:hAnsi="Times New Roman"/>
          <w:sz w:val="18"/>
          <w:szCs w:val="18"/>
          <w:color w:val="auto"/>
        </w:rPr>
      </w:pPr>
    </w:p>
    <w:p>
      <w:pPr>
        <w:ind w:left="660" w:firstLine="645"/>
        <w:spacing w:after="0" w:line="282" w:lineRule="auto"/>
        <w:tabs>
          <w:tab w:leader="none" w:pos="177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taxes based on income or profits or capital gains, plus franchise or similar taxes, of Borrower and its Restricted Subsidiaries for such Test Period;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3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Borrower and its Restricted Subsidiaries for such Test Period, whether paid or accrued and whether or not capitalized;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6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53" w:lineRule="auto"/>
        <w:tabs>
          <w:tab w:leader="none" w:pos="18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6"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Pre-Opening Expenses;</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restructuring charges or reserve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charges or items of loss or expense (including, without limitation, losses on asset sales (other than asset sales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92" w:right="239" w:bottom="1440" w:gutter="0" w:footer="0" w:header="0"/>
        </w:sectPr>
      </w:pPr>
    </w:p>
    <w:bookmarkStart w:id="115" w:name="page116"/>
    <w:bookmarkEnd w:id="115"/>
    <w:p>
      <w:pPr>
        <w:jc w:val="both"/>
        <w:ind w:left="328" w:firstLine="645"/>
        <w:spacing w:after="0" w:line="258" w:lineRule="auto"/>
        <w:tabs>
          <w:tab w:leader="none" w:pos="151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183" w:lineRule="exact"/>
        <w:rPr>
          <w:rFonts w:ascii="Times New Roman" w:cs="Times New Roman" w:eastAsia="Times New Roman" w:hAnsi="Times New Roman"/>
          <w:sz w:val="18"/>
          <w:szCs w:val="18"/>
          <w:color w:val="auto"/>
        </w:rPr>
      </w:pPr>
    </w:p>
    <w:p>
      <w:pPr>
        <w:ind w:left="1508" w:hanging="535"/>
        <w:spacing w:after="0"/>
        <w:tabs>
          <w:tab w:leader="none" w:pos="150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resulting from mark to market accounting of Swap Contracts or other derivative instruments; and</w:t>
      </w:r>
    </w:p>
    <w:p>
      <w:pPr>
        <w:spacing w:after="0" w:line="223" w:lineRule="exact"/>
        <w:rPr>
          <w:rFonts w:ascii="Times New Roman" w:cs="Times New Roman" w:eastAsia="Times New Roman" w:hAnsi="Times New Roman"/>
          <w:sz w:val="18"/>
          <w:szCs w:val="18"/>
          <w:color w:val="auto"/>
        </w:rPr>
      </w:pPr>
    </w:p>
    <w:p>
      <w:pPr>
        <w:jc w:val="both"/>
        <w:ind w:left="328" w:firstLine="645"/>
        <w:spacing w:after="0" w:line="267" w:lineRule="auto"/>
        <w:tabs>
          <w:tab w:leader="none" w:pos="1451"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accrued and unpaid Management Fees and IP Licensing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 payment in respect of such accrued and unpaid Management Fees and IP Licensing Fees in any future Test Period shall be subtracted from Consolidated EBITDA in such Test Period to the extent Borrower elected to previously add back such amounts to Consolidated EBITDA; </w:t>
      </w:r>
      <w:r>
        <w:rPr>
          <w:rFonts w:ascii="Times New Roman" w:cs="Times New Roman" w:eastAsia="Times New Roman" w:hAnsi="Times New Roman"/>
          <w:sz w:val="18"/>
          <w:szCs w:val="18"/>
          <w:i w:val="1"/>
          <w:iCs w:val="1"/>
          <w:color w:val="auto"/>
        </w:rPr>
        <w:t>minus</w:t>
      </w:r>
    </w:p>
    <w:p>
      <w:pPr>
        <w:spacing w:after="0" w:line="202" w:lineRule="exact"/>
        <w:rPr>
          <w:rFonts w:ascii="Times New Roman" w:cs="Times New Roman" w:eastAsia="Times New Roman" w:hAnsi="Times New Roman"/>
          <w:sz w:val="18"/>
          <w:szCs w:val="18"/>
          <w:color w:val="auto"/>
        </w:rPr>
      </w:pPr>
    </w:p>
    <w:p>
      <w:pPr>
        <w:ind w:left="1188" w:hanging="540"/>
        <w:spacing w:after="0"/>
        <w:tabs>
          <w:tab w:leader="none" w:pos="11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included in calculating such Consolidated Net Income:</w:t>
      </w:r>
    </w:p>
    <w:p>
      <w:pPr>
        <w:spacing w:after="0" w:line="265" w:lineRule="exact"/>
        <w:rPr>
          <w:rFonts w:ascii="Times New Roman" w:cs="Times New Roman" w:eastAsia="Times New Roman" w:hAnsi="Times New Roman"/>
          <w:sz w:val="18"/>
          <w:szCs w:val="18"/>
          <w:color w:val="auto"/>
        </w:rPr>
      </w:pPr>
    </w:p>
    <w:p>
      <w:pPr>
        <w:jc w:val="both"/>
        <w:ind w:left="328" w:firstLine="645"/>
        <w:spacing w:after="0" w:line="313" w:lineRule="auto"/>
        <w:tabs>
          <w:tab w:leader="none" w:pos="163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74" w:lineRule="exact"/>
        <w:rPr>
          <w:rFonts w:ascii="Times New Roman" w:cs="Times New Roman" w:eastAsia="Times New Roman" w:hAnsi="Times New Roman"/>
          <w:sz w:val="18"/>
          <w:szCs w:val="18"/>
          <w:color w:val="auto"/>
        </w:rPr>
      </w:pPr>
    </w:p>
    <w:p>
      <w:pPr>
        <w:ind w:left="1688" w:hanging="715"/>
        <w:spacing w:after="0"/>
        <w:tabs>
          <w:tab w:leader="none" w:pos="168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gains resulting from mark to market accounting of Swap Contracts or other derivative instruments; </w:t>
      </w:r>
      <w:r>
        <w:rPr>
          <w:rFonts w:ascii="Times New Roman" w:cs="Times New Roman" w:eastAsia="Times New Roman" w:hAnsi="Times New Roman"/>
          <w:sz w:val="18"/>
          <w:szCs w:val="18"/>
          <w:i w:val="1"/>
          <w:iCs w:val="1"/>
          <w:color w:val="auto"/>
        </w:rPr>
        <w:t>plus</w:t>
      </w:r>
    </w:p>
    <w:p>
      <w:pPr>
        <w:spacing w:after="0" w:line="267" w:lineRule="exact"/>
        <w:rPr>
          <w:rFonts w:ascii="Times New Roman" w:cs="Times New Roman" w:eastAsia="Times New Roman" w:hAnsi="Times New Roman"/>
          <w:sz w:val="18"/>
          <w:szCs w:val="18"/>
          <w:color w:val="auto"/>
        </w:rPr>
      </w:pPr>
    </w:p>
    <w:p>
      <w:pPr>
        <w:jc w:val="both"/>
        <w:ind w:left="8" w:firstLine="640"/>
        <w:spacing w:after="0" w:line="297" w:lineRule="auto"/>
        <w:tabs>
          <w:tab w:leader="none" w:pos="11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cost savings, operating expense reductions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fifteen (15) months of the closing date of the Specified Transaction), including in connection with any Specified Transaction (calculated on a Pro Forma Basis as though such cost savings, operating expense reductions and synergies had been realized during the entirety of such Test Period), net of the amount of actual benefits realized during such Test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and synergies and certifying that such savings, operating expense reductions and synergies are reasonably expected to be realized within fifteen (15) months of the taking of such specified actions and are factually supportable in the good faith judgment of Borrower, (ii) such actions are to be taken within fifteen (15) months after the consummation of such Specified Transaction, restructuring or implementation of an initiative that is expected to result in such cost savings, expense reductions or synergies, (iii) no cost savings, operating expense reductions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fifteen (15) months have elapsed after the specified action taken in order to realize such projected cost savings, operating expense reductions and synergies;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aggregate amount of additions made to Consolidated EBITDA for any Test Period pursuant to this clause (c) and Section 1.06(c) shall not (i) exceed 20.0% of Consolidated EBITDA for such Test Period (after giving effect to this clause (c) and Section 1.06(c)) or</w:t>
      </w:r>
    </w:p>
    <w:p>
      <w:pPr>
        <w:spacing w:after="0" w:line="5"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duplicative of one another; </w:t>
      </w:r>
      <w:r>
        <w:rPr>
          <w:rFonts w:ascii="Times New Roman" w:cs="Times New Roman" w:eastAsia="Times New Roman" w:hAnsi="Times New Roman"/>
          <w:sz w:val="18"/>
          <w:szCs w:val="18"/>
          <w:i w:val="1"/>
          <w:iCs w:val="1"/>
          <w:color w:val="auto"/>
        </w:rPr>
        <w:t>plus</w:t>
      </w:r>
    </w:p>
    <w:p>
      <w:pPr>
        <w:spacing w:after="0" w:line="267" w:lineRule="exact"/>
        <w:rPr>
          <w:rFonts w:ascii="Times New Roman" w:cs="Times New Roman" w:eastAsia="Times New Roman" w:hAnsi="Times New Roman"/>
          <w:sz w:val="18"/>
          <w:szCs w:val="18"/>
          <w:color w:val="auto"/>
        </w:rPr>
      </w:pPr>
    </w:p>
    <w:p>
      <w:pPr>
        <w:jc w:val="both"/>
        <w:ind w:left="8" w:firstLine="640"/>
        <w:spacing w:after="0" w:line="305" w:lineRule="auto"/>
        <w:tabs>
          <w:tab w:leader="none" w:pos="11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of insurance proceeds shall only be included pursuant to this clause (d) to the extent of the amount of insurance proceeds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Consolidated EBITDA attributable to such property for such Test Period (without giving effect to this clause (d)) does not exceed Consolidated EBITDA attributable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8"/>
          </w:cols>
          <w:pgMar w:left="572" w:top="796" w:right="239" w:bottom="1440" w:gutter="0" w:footer="0" w:header="0"/>
        </w:sectPr>
      </w:pPr>
    </w:p>
    <w:bookmarkStart w:id="116" w:name="page117"/>
    <w:bookmarkEnd w:id="116"/>
    <w:p>
      <w:pPr>
        <w:jc w:val="both"/>
        <w:ind w:left="340"/>
        <w:spacing w:after="0" w:line="308" w:lineRule="auto"/>
        <w:rPr>
          <w:sz w:val="20"/>
          <w:szCs w:val="20"/>
          <w:color w:val="auto"/>
        </w:rPr>
      </w:pPr>
      <w:r>
        <w:rPr>
          <w:rFonts w:ascii="Times New Roman" w:cs="Times New Roman" w:eastAsia="Times New Roman" w:hAnsi="Times New Roman"/>
          <w:sz w:val="18"/>
          <w:szCs w:val="18"/>
          <w:color w:val="auto"/>
        </w:rPr>
        <w:t xml:space="preserve">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 w:cs="Times New Roman" w:eastAsia="Times New Roman" w:hAnsi="Times New Roman"/>
          <w:sz w:val="18"/>
          <w:szCs w:val="18"/>
          <w:i w:val="1"/>
          <w:iCs w:val="1"/>
          <w:color w:val="auto"/>
        </w:rPr>
        <w:t>plus</w:t>
      </w:r>
    </w:p>
    <w:p>
      <w:pPr>
        <w:spacing w:after="0" w:line="180" w:lineRule="exact"/>
        <w:rPr>
          <w:sz w:val="20"/>
          <w:szCs w:val="20"/>
          <w:color w:val="auto"/>
        </w:rPr>
      </w:pPr>
    </w:p>
    <w:p>
      <w:pPr>
        <w:jc w:val="both"/>
        <w:ind w:left="340" w:right="20" w:firstLine="640"/>
        <w:spacing w:after="0" w:line="313" w:lineRule="auto"/>
        <w:tabs>
          <w:tab w:leader="none" w:pos="1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(b) above for any previous Test Period and not added back.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shall be further adjusted:</w:t>
      </w:r>
    </w:p>
    <w:p>
      <w:pPr>
        <w:spacing w:after="0" w:line="252" w:lineRule="exact"/>
        <w:rPr>
          <w:sz w:val="20"/>
          <w:szCs w:val="20"/>
          <w:color w:val="auto"/>
        </w:rPr>
      </w:pPr>
    </w:p>
    <w:p>
      <w:pPr>
        <w:jc w:val="both"/>
        <w:ind w:left="340" w:firstLine="640"/>
        <w:spacing w:after="0" w:line="303" w:lineRule="auto"/>
        <w:tabs>
          <w:tab w:leader="none" w:pos="15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303" w:lineRule="auto"/>
        <w:tabs>
          <w:tab w:leader="none" w:pos="15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303" w:lineRule="auto"/>
        <w:tabs>
          <w:tab w:leader="none" w:pos="15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Development Financing Initial Fiscal Quarter and each of the immediately succeeding two fiscal quarters thereafter, by multiplying the Consolidated EBITDA attributable to the applicable Expansion Capital Expenditure or Development Project (as determined by Borrower in good faith) in respect of such three fiscal quarters by: (x) 4 (with respect to the first such quarter), (y) 2 (with respect to the first two such quarters), and (z) 4/3 (with respect to the first three such quarters) and, for the avoidance of doubt, excluding Consolidated EBITDA attributable to such applicable Expansion Capital Expenditures or Development Project for the fiscal quarter immediately preceding such Development Financing Initial Fiscal Quarter when calculating Consolidated EBITDA during any such three fiscal quarters;</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5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quarter in which the Initial Test Date occurs and each of the immediately succeeding two fiscal quarters thereafter, by adding to Consolidated EBITDA (x) $200.0 million (for the first such quarter), (y) $130.0 million (for the second such quarter), and (z) $70.0 million (for the third such quarter);</w:t>
      </w:r>
    </w:p>
    <w:p>
      <w:pPr>
        <w:spacing w:after="0" w:line="176" w:lineRule="exact"/>
        <w:rPr>
          <w:rFonts w:ascii="Times New Roman" w:cs="Times New Roman" w:eastAsia="Times New Roman" w:hAnsi="Times New Roman"/>
          <w:sz w:val="18"/>
          <w:szCs w:val="18"/>
          <w:color w:val="auto"/>
        </w:rPr>
      </w:pPr>
    </w:p>
    <w:p>
      <w:pPr>
        <w:jc w:val="both"/>
        <w:ind w:left="340" w:firstLine="640"/>
        <w:spacing w:after="0" w:line="303" w:lineRule="auto"/>
        <w:tabs>
          <w:tab w:leader="none" w:pos="15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 and</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5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exclude the Consolidated EBITDA attributable to Restricted Subsidiaries that are not Guarantors, to the extent the Consolidated EBITDA attributable to such Persons exceeds 20% of Consolidated EBITDA for Borrower and its Restricted Subsidiaries for such Test Period (calculated after giving effect to such limitation);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Restricted Subsidiary that is not required to become a Guarantor pursuant to this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823" w:right="239" w:bottom="1440" w:gutter="0" w:footer="0" w:header="0"/>
        </w:sectPr>
      </w:pPr>
    </w:p>
    <w:bookmarkStart w:id="117" w:name="page118"/>
    <w:bookmarkEnd w:id="117"/>
    <w:p>
      <w:pPr>
        <w:jc w:val="both"/>
        <w:ind w:left="340"/>
        <w:spacing w:after="0" w:line="313" w:lineRule="auto"/>
        <w:rPr>
          <w:sz w:val="20"/>
          <w:szCs w:val="20"/>
          <w:color w:val="auto"/>
        </w:rPr>
      </w:pPr>
      <w:r>
        <w:rPr>
          <w:rFonts w:ascii="Times New Roman" w:cs="Times New Roman" w:eastAsia="Times New Roman" w:hAnsi="Times New Roman"/>
          <w:sz w:val="18"/>
          <w:szCs w:val="18"/>
          <w:color w:val="auto"/>
        </w:rPr>
        <w:t xml:space="preserve">Agreement solely as a result of any applicable Gaming Laws or Gaming Approvals, such limitation shall not apply until the date that is ninety (90) days after the date such Restricted Subsidiary would have otherwise been required to become a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from and after the Wynn Las Vegas Reorganization, and prior to the Wynn Las Vegas 2020 and 2022 Note Repayment, this clause (F) shall not apply to the Wynn Las Vegas Entities.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Indebtedness</w:t>
      </w:r>
      <w:r>
        <w:rPr>
          <w:rFonts w:ascii="Times New Roman" w:cs="Times New Roman" w:eastAsia="Times New Roman" w:hAnsi="Times New Roman"/>
          <w:sz w:val="18"/>
          <w:szCs w:val="18"/>
          <w:color w:val="auto"/>
        </w:rPr>
        <w:t xml:space="preserve">” shall mean, as at any date of determination, (a) the aggregate amount of all Indebtedness of Borrower and its Restricted Subsidiaries (other than (x) any such Indebtedness that has been Discharged and (y)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Development Financing (excluding Development Financing to the extent proceeds thereof consist of Unrestricted Cash that was deducted from Consolidated Indebtedness for purposes of determining the Consolidated Senior Secured Net Leverage Ratio pursuant to the definitions thereof,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(A) in respect of such non-controlling interest in such Restricted Subsidiary owned by a Person other than Borrower or any of its Restricted Subsidiaries or (B) pursuant to clause (G) of the definition of Consolidated EBITDA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(ii)(B), such Indebtedness is not guaranteed by any Credit Party), (iii) Consolidated Indebtedness shall not include Contingent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xml:space="preserve">” shall mean, for any Test Period, the sum of interest expense of Borrower and its Restricted Subsidiaries for such Test Period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shall mean, for any Test Period, the aggregate of the net income of Borrower and its Restricted Subsidiaries for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Test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duplication:</w:t>
      </w:r>
    </w:p>
    <w:p>
      <w:pPr>
        <w:spacing w:after="0" w:line="234" w:lineRule="exact"/>
        <w:rPr>
          <w:sz w:val="20"/>
          <w:szCs w:val="20"/>
          <w:color w:val="auto"/>
        </w:rPr>
      </w:pPr>
    </w:p>
    <w:p>
      <w:pPr>
        <w:ind w:left="340" w:firstLine="640"/>
        <w:spacing w:after="0" w:line="329" w:lineRule="auto"/>
        <w:tabs>
          <w:tab w:leader="none" w:pos="1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spacing w:after="0" w:line="161"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gain or loss (together with any related provision for taxes thereon) shall be excluded;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823" w:right="239" w:bottom="1440" w:gutter="0" w:footer="0" w:header="0"/>
        </w:sectPr>
      </w:pPr>
    </w:p>
    <w:bookmarkStart w:id="118" w:name="page119"/>
    <w:bookmarkEnd w:id="118"/>
    <w:p>
      <w:pPr>
        <w:jc w:val="both"/>
        <w:ind w:left="340" w:firstLine="640"/>
        <w:spacing w:after="0" w:line="305" w:lineRule="auto"/>
        <w:tabs>
          <w:tab w:leader="none" w:pos="1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thereof in respect of such period by such Persons (or to the extent converted into cash);</w:t>
      </w:r>
    </w:p>
    <w:p>
      <w:pPr>
        <w:spacing w:after="0" w:line="183" w:lineRule="exact"/>
        <w:rPr>
          <w:rFonts w:ascii="Times New Roman" w:cs="Times New Roman" w:eastAsia="Times New Roman" w:hAnsi="Times New Roman"/>
          <w:sz w:val="18"/>
          <w:szCs w:val="18"/>
          <w:color w:val="auto"/>
        </w:rPr>
      </w:pPr>
    </w:p>
    <w:p>
      <w:pPr>
        <w:jc w:val="both"/>
        <w:ind w:left="340" w:firstLine="640"/>
        <w:spacing w:after="0" w:line="302" w:lineRule="auto"/>
        <w:tabs>
          <w:tab w:leader="none" w:pos="15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undistributed earnings of any Subsidiary of Borrower that is not a Guarantor to the extent that, on the date of determination the payment of cash dividends or similar cash distributions by such Subsidiary (or loans or advances by such subsidiary to any parent company) are not permitted by the terms of any Contractual Obligation (other than under any Credit Document) or Requirement of Law applicable to such Subsidiary shall be excluded, unless such restrictions with respect to the payment of cash dividends and other similar cash distributions have been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(not subject to such restriction) thereof in respect of such period by such Subsidiaries (or to the extent converted into cash);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from and after the Wynn Las Vegas Reorganization this clause (d) shall not apply to the Wynn Las Vegas Entities;</w:t>
      </w:r>
    </w:p>
    <w:p>
      <w:pPr>
        <w:spacing w:after="0" w:line="185"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76"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4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76"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265"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5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expenses or reserves for liabilities shall be excluded to the extent that Borrower or any of its Restricted Subsidiaries is entitled to indemnification therefor under binding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spacing w:after="0" w:line="179"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4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w:t>
      </w:r>
    </w:p>
    <w:p>
      <w:pPr>
        <w:spacing w:after="0" w:line="179" w:lineRule="exact"/>
        <w:rPr>
          <w:rFonts w:ascii="Times New Roman" w:cs="Times New Roman" w:eastAsia="Times New Roman" w:hAnsi="Times New Roman"/>
          <w:sz w:val="18"/>
          <w:szCs w:val="18"/>
          <w:color w:val="auto"/>
        </w:rPr>
      </w:pPr>
    </w:p>
    <w:p>
      <w:pPr>
        <w:ind w:left="340" w:firstLine="640"/>
        <w:spacing w:after="0" w:line="329" w:lineRule="auto"/>
        <w:tabs>
          <w:tab w:leader="none" w:pos="14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resulting solely from fluctuations in currency values and the related tax effects shall be excluded, and charges relating to Accounting Standards Codification Nos. 815 and 820 shall be excluded; and</w:t>
      </w:r>
    </w:p>
    <w:p>
      <w:pPr>
        <w:spacing w:after="0" w:line="161" w:lineRule="exact"/>
        <w:rPr>
          <w:rFonts w:ascii="Times New Roman" w:cs="Times New Roman" w:eastAsia="Times New Roman" w:hAnsi="Times New Roman"/>
          <w:sz w:val="18"/>
          <w:szCs w:val="18"/>
          <w:color w:val="auto"/>
        </w:rPr>
      </w:pPr>
    </w:p>
    <w:p>
      <w:pPr>
        <w:ind w:left="340" w:firstLine="640"/>
        <w:spacing w:after="0" w:line="329" w:lineRule="auto"/>
        <w:tabs>
          <w:tab w:leader="none" w:pos="15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 Restricted Subsidiary that is not a Wholly Owned Subsidiary shall be included in an amount proportional to Borrower’s economic ownership interest therein.</w:t>
      </w:r>
    </w:p>
    <w:p>
      <w:pPr>
        <w:spacing w:after="0" w:line="13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Senior Secured Net Leverage Ratio</w:t>
      </w:r>
      <w:r>
        <w:rPr>
          <w:rFonts w:ascii="Times New Roman" w:cs="Times New Roman" w:eastAsia="Times New Roman" w:hAnsi="Times New Roman"/>
          <w:sz w:val="18"/>
          <w:szCs w:val="18"/>
          <w:color w:val="auto"/>
        </w:rPr>
        <w:t>” shall mean, as of any date of determination, the ratio of (a) (i) Consolidated Indebtedness of Borrower and its Restricted Subsidiaries that is secured by Liens on property or assets of Borrower or its Restricted Subsidiaries as of such date (other than (x) any such Consolidated Indebtedness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823" w:right="239" w:bottom="1440" w:gutter="0" w:footer="0" w:header="0"/>
        </w:sectPr>
      </w:pPr>
    </w:p>
    <w:bookmarkStart w:id="119" w:name="page120"/>
    <w:bookmarkEnd w:id="11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that is expressly subordinated in right of payment to the Obligations pursuant to a written agreement and (y) any such Consolidated Indebtedness that, from and after the Wynn Las Vegas Reorganization, benefits from the Wynn Las Vegas Pledge (but is not otherwise secured by any Liens on property or assets of Borrower or its Restricted Subsidiaries as of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Unrestricted Cash to (b) Consolidated EBITDA for the Test Period most recently ended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shall mean, as to any Person, any obligation of such Person guaranteeing or intended to guarantee any Indebtedness (“</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9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Suspension Period</w:t>
      </w:r>
      <w:r>
        <w:rPr>
          <w:rFonts w:ascii="Times New Roman" w:cs="Times New Roman" w:eastAsia="Times New Roman" w:hAnsi="Times New Roman"/>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Taxes</w:t>
      </w:r>
      <w:r>
        <w:rPr>
          <w:rFonts w:ascii="Times New Roman" w:cs="Times New Roman" w:eastAsia="Times New Roman" w:hAnsi="Times New Roman"/>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Refinancing Indebtedness</w:t>
      </w:r>
      <w:r>
        <w:rPr>
          <w:rFonts w:ascii="Times New Roman" w:cs="Times New Roman" w:eastAsia="Times New Roman" w:hAnsi="Times New Roman"/>
          <w:sz w:val="18"/>
          <w:szCs w:val="18"/>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Indebtedness has the same or a later maturity and, except in the case of any Indebtedness consisting of a revolving credit facility, a Weighted Average Life to Maturity equal to or greater than the Refinanced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stated maturity or Weighted Average Life to Maturity may be shorter if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96" w:right="239" w:bottom="1440" w:gutter="0" w:footer="0" w:header="0"/>
        </w:sectPr>
      </w:pPr>
    </w:p>
    <w:bookmarkStart w:id="120" w:name="page121"/>
    <w:bookmarkEnd w:id="12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stated maturity of any principal payment (including any amortization payments) is not earlier than the earlier of (1) the stated maturity of such Indebtedness in effect prior to such refinancing or (2) 91 days after the Final Maturity Date in effect at the time of issuance), (ii) such Indebtedness shall not have a greater principal amount than the principal amount of the Refinanced Debt,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fees and premiums (if any) thereon,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other fees and expenses associated with the refinancing (including any upfront fees and original issue discount),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fees and premiums (if any) thereon,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other fees and expenses associated with the refinancing (including any upfront fees and original issue discount), (v) the terms (excluding pricing, fees, rate floors, premiums, optional prepayment or optional redemption provisions) of which are (as determined by Borrower in good faith), taken as a whole, not materially more restrictive than the terms set forth in this Agreement, (vi) Borrower shall be the sole borrower thereunder and no Subsidiary of Borrower shall guaranty such Indebtedness unless such Subsidiary is also a Guarantor hereunder, and (vii) such Indebtedness shall not be secured by any Liens, except Liens on the Collateral.</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Documents</w:t>
      </w:r>
      <w:r>
        <w:rPr>
          <w:rFonts w:ascii="Times New Roman" w:cs="Times New Roman" w:eastAsia="Times New Roman" w:hAnsi="Times New Roman"/>
          <w:sz w:val="18"/>
          <w:szCs w:val="18"/>
          <w:color w:val="auto"/>
        </w:rPr>
        <w:t>” shall mean (a) this Agreement, (b) the Notes, (c) the L/C Documents, (d) the Security Documents, (e) any Pari Passu Intercreditor Agreement, (f) any Second Lien Intercreditor Agreement, (g) any Extension Amendment, (h) the Completion Guaranty, (i) any Subordination Agreement and (j) each other agreement entered into by any Credit Party with Administrative Agent, Collateral Agent and/or any Lender, in connection herewith or therewith evidencing or governing the Obligations (other than the Fee Letter), all as amended from time to time, but shall not include a Swap Contract or Cash Management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shall mean Borrower and the Guarantors.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Swap Contracts</w:t>
      </w:r>
      <w:r>
        <w:rPr>
          <w:rFonts w:ascii="Times New Roman" w:cs="Times New Roman" w:eastAsia="Times New Roman" w:hAnsi="Times New Roman"/>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Creditor</w:t>
      </w:r>
      <w:r>
        <w:rPr>
          <w:rFonts w:ascii="Times New Roman" w:cs="Times New Roman" w:eastAsia="Times New Roman" w:hAnsi="Times New Roman"/>
          <w:sz w:val="18"/>
          <w:szCs w:val="18"/>
          <w:color w:val="auto"/>
        </w:rPr>
        <w:t>” shall mean each of (a) each Agent, (b) each L/C Lender and (c) each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has the meaning assigned to such term in Section 11.03.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DB</w:t>
      </w:r>
      <w:r>
        <w:rPr>
          <w:rFonts w:ascii="Times New Roman" w:cs="Times New Roman" w:eastAsia="Times New Roman" w:hAnsi="Times New Roman"/>
          <w:sz w:val="18"/>
          <w:szCs w:val="18"/>
          <w:color w:val="auto"/>
        </w:rPr>
        <w:t>” shall mean Deutsche Bank AG New York Branch.</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Fund Affiliate Lender</w:t>
      </w:r>
      <w:r>
        <w:rPr>
          <w:rFonts w:ascii="Times New Roman" w:cs="Times New Roman" w:eastAsia="Times New Roman" w:hAnsi="Times New Roman"/>
          <w:sz w:val="18"/>
          <w:szCs w:val="18"/>
          <w:color w:val="auto"/>
        </w:rPr>
        <w:t>” shall mean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shall mean the incurrence by Borrower or any Restricted Subsidiary of any Indebtedness after the Closing Date (other than as permitted by Section 10.01). The issuance or sale of any debt instrument convertible into or exchangeable or exercisable for any Equity Interests shall be deemed a Debt Issuance for purposes of Section 2.10(a).</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Amounts</w:t>
      </w:r>
      <w:r>
        <w:rPr>
          <w:rFonts w:ascii="Times New Roman" w:cs="Times New Roman" w:eastAsia="Times New Roman" w:hAnsi="Times New Roman"/>
          <w:sz w:val="18"/>
          <w:szCs w:val="18"/>
          <w:color w:val="auto"/>
        </w:rPr>
        <w:t>” shall have the meaning given to such term in Section 2.10(b).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96" w:right="239" w:bottom="1440" w:gutter="0" w:footer="0" w:header="0"/>
        </w:sectPr>
      </w:pPr>
    </w:p>
    <w:bookmarkStart w:id="121" w:name="page122"/>
    <w:bookmarkEnd w:id="12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or condition that constitutes an Event of Default or that would become, with notice or lapse of time or both, an Event of Default.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shall mean a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shall mean, subject to Section 2.14(b),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(iv) any Lender that has, for three or more Business Days after written request of Administrative Agent or Borrower, failed to confirm in writing to Administrative Agent and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will cease to be a Defaulting Lender pursuant to this clause (iv) upon Administrative Agent’s and Borrower’s receipt of such written confirmation) </w:t>
      </w:r>
      <w:r>
        <w:rPr>
          <w:rFonts w:ascii="Times New Roman" w:cs="Times New Roman" w:eastAsia="Times New Roman" w:hAnsi="Times New Roman"/>
          <w:sz w:val="18"/>
          <w:szCs w:val="18"/>
          <w:b w:val="1"/>
          <w:bCs w:val="1"/>
          <w:u w:val="single" w:color="auto"/>
          <w:color w:val="0000FF"/>
        </w:rPr>
        <w:t>or (v) has become the subject of a Bail-In Action</w:t>
      </w:r>
      <w:r>
        <w:rPr>
          <w:rFonts w:ascii="Times New Roman" w:cs="Times New Roman" w:eastAsia="Times New Roman" w:hAnsi="Times New Roman"/>
          <w:sz w:val="18"/>
          <w:szCs w:val="18"/>
          <w:color w:val="auto"/>
        </w:rPr>
        <w:t>. Any determination of a Defaulting Lender under clauses (i) through (iv) above will be conclusive and binding absent manifest error.</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Jurisdiction</w:t>
      </w:r>
      <w:r>
        <w:rPr>
          <w:rFonts w:ascii="Times New Roman" w:cs="Times New Roman" w:eastAsia="Times New Roman" w:hAnsi="Times New Roman"/>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Burma, North Korea, Sudan and Syria.</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cash or Cash Equivalents received in connection with a subsequent sale of or collection on such Designated Non-Cash Consideration.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has the meaning set forth in Section 9.12(a).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 Amount</w:t>
      </w:r>
      <w:r>
        <w:rPr>
          <w:rFonts w:ascii="Times New Roman" w:cs="Times New Roman" w:eastAsia="Times New Roman" w:hAnsi="Times New Roman"/>
          <w:sz w:val="18"/>
          <w:szCs w:val="18"/>
          <w:color w:val="auto"/>
        </w:rPr>
        <w:t>” has the meaning set forth in Section 9.12(a)(ii).</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Financing</w:t>
      </w:r>
      <w:r>
        <w:rPr>
          <w:rFonts w:ascii="Times New Roman" w:cs="Times New Roman" w:eastAsia="Times New Roman" w:hAnsi="Times New Roman"/>
          <w:sz w:val="18"/>
          <w:szCs w:val="18"/>
          <w:color w:val="auto"/>
        </w:rPr>
        <w:t xml:space="preserve">” shall mean, without duplication, the aggregate principal amount (not to exceed $500.0 million at any time prior to the Initial Test Date), of outstanding Indebtedness (including Indebtedness hereunder), the proceeds of which, at the time of determination, as certified by a Responsible Officer of Borrower, are pending application and are intended to be used to fund, or have previously been applied to,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Borrower or the Restricted Subsidiary or other Person that owns assets subject to the Expansion Capital Expenditure or Development Project, as applicable,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92" w:right="239" w:bottom="1440" w:gutter="0" w:footer="0" w:header="0"/>
        </w:sectPr>
      </w:pPr>
    </w:p>
    <w:bookmarkStart w:id="122" w:name="page123"/>
    <w:bookmarkEnd w:id="122"/>
    <w:p>
      <w:pPr>
        <w:jc w:val="both"/>
        <w:spacing w:after="0" w:line="258" w:lineRule="auto"/>
        <w:rPr>
          <w:sz w:val="20"/>
          <w:szCs w:val="20"/>
          <w:color w:val="auto"/>
        </w:rPr>
      </w:pPr>
      <w:r>
        <w:rPr>
          <w:rFonts w:ascii="Times New Roman" w:cs="Times New Roman" w:eastAsia="Times New Roman" w:hAnsi="Times New Roman"/>
          <w:sz w:val="18"/>
          <w:szCs w:val="18"/>
          <w:color w:val="auto"/>
        </w:rPr>
        <w:t>Borrower or a Restricted Subsidiary or other applicable Person is diligently pursuing such Gaming Approvals or governmental authorizations) and (B) no such Indebtedness shall constitute Development Financing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Times New Roman" w:cs="Times New Roman" w:eastAsia="Times New Roman" w:hAnsi="Times New Roman"/>
          <w:sz w:val="18"/>
          <w:szCs w:val="18"/>
          <w:b w:val="1"/>
          <w:bCs w:val="1"/>
          <w:color w:val="auto"/>
        </w:rPr>
        <w:t>Development Financing Initial Fiscal Quarter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Financing Initial Fiscal Quarter</w:t>
      </w:r>
      <w:r>
        <w:rPr>
          <w:rFonts w:ascii="Times New Roman" w:cs="Times New Roman" w:eastAsia="Times New Roman" w:hAnsi="Times New Roman"/>
          <w:sz w:val="18"/>
          <w:szCs w:val="18"/>
          <w:color w:val="auto"/>
        </w:rPr>
        <w:t>” shall have the meaning assigned to such term in the definition of “Development Financing.”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Project</w:t>
      </w:r>
      <w:r>
        <w:rPr>
          <w:rFonts w:ascii="Times New Roman" w:cs="Times New Roman" w:eastAsia="Times New Roman" w:hAnsi="Times New Roman"/>
          <w:sz w:val="18"/>
          <w:szCs w:val="18"/>
          <w:color w:val="auto"/>
        </w:rPr>
        <w:t>” shall mean any Facility under development (excluding the Wynn Massachusetts Project) directly or indirectly by (a) Borrower or any of its Restricted Subsidiaries, (b) any Joint Ventures in which Borrower or any of its Restricted Subsidiaries, directly or indirectly, has control or with whom it has a management or similar contract and in which Borrower or any of its Restricted Subsidiaries owns (directly or indirectly) at least 25% of the Equity Interest of such Joint Venture or (c) other Persons with respect to which Borrower or any of its Restricted Subsidiaries has (directly or indirectly through Subsidiaries) entered into a management or similar contract and such contract remains in full force and effect at the time of such determination.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Discharged</w:t>
      </w:r>
      <w:r>
        <w:rPr>
          <w:rFonts w:ascii="Times New Roman" w:cs="Times New Roman" w:eastAsia="Times New Roman" w:hAnsi="Times New Roman"/>
          <w:sz w:val="18"/>
          <w:szCs w:val="18"/>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Disqualification</w:t>
      </w:r>
      <w:r>
        <w:rPr>
          <w:rFonts w:ascii="Times New Roman" w:cs="Times New Roman" w:eastAsia="Times New Roman" w:hAnsi="Times New Roman"/>
          <w:sz w:val="18"/>
          <w:szCs w:val="18"/>
          <w:color w:val="auto"/>
        </w:rPr>
        <w:t>” shall mean, with respect to any Lender: (a) the failure of that person timely to file pursuant to applicable Gaming Laws (i) any application requested of that person by any Gaming Authority in connection with any licensing required of that person as a lender to Borrower; or (ii) any required application or other papers in connection with determination of the suitability of that person as a lender to Borrower; (b) the withdrawal by that person (except where requested or permitted by the Gaming Authority) of any such application or other required papers; (c) any finding by a Gaming Authority that there is reasonable cause to believe that such person may be found unqualified or unsuitable; or (d) any final determination by a Gaming Authority pursuant to applicable Gaming Laws: (i) that such person is “unsuitable” as a lender to Borrower; (ii) that such person shall be “disqualified” as a lender to Borrower; or (iii) denying the issuance to that person of any license or other approval required under applicable Gaming Laws to be held by all lenders to Borrower.</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Capital Stock</w:t>
      </w:r>
      <w:r>
        <w:rPr>
          <w:rFonts w:ascii="Times New Roman" w:cs="Times New Roman" w:eastAsia="Times New Roman" w:hAnsi="Times New Roman"/>
          <w:sz w:val="18"/>
          <w:szCs w:val="18"/>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96" w:right="239" w:bottom="1440" w:gutter="0" w:footer="0" w:header="0"/>
        </w:sectPr>
      </w:pPr>
    </w:p>
    <w:bookmarkStart w:id="123" w:name="page124"/>
    <w:bookmarkEnd w:id="1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Lenders</w:t>
      </w:r>
      <w:r>
        <w:rPr>
          <w:rFonts w:ascii="Times New Roman" w:cs="Times New Roman" w:eastAsia="Times New Roman" w:hAnsi="Times New Roman"/>
          <w:sz w:val="18"/>
          <w:szCs w:val="18"/>
          <w:color w:val="auto"/>
        </w:rPr>
        <w:t xml:space="preserve">” shall mean such Persons that have been specified in writing to the Administrative Agent (it being understood that the Administrative Agent will distribute the list of such Persons to the Lenders) (a) at least 10 Business Days prior to the Closing Date as being “Disqualified Lenders” and (b) within 10 Business Days after the end of each fiscal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if no Persons are specified in writing to the Administrative Agent pursuant to clause (b) for any fiscal quarter, the Persons specified in writing to the Administrative Agent with respect to the previous fiscal quarter (or, if no previous fiscal quarter, pursuant to clause (a) above), shall be deemed to have been specified in writing to the Administrative Agent for such fiscal quarter, and (ii) in no event shall any Person be specified in writing to the Administrative Agent pursuant to clause (b) above at any time that such Person is a Lender 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Documentation Agent</w:t>
      </w:r>
      <w:r>
        <w:rPr>
          <w:rFonts w:ascii="Times New Roman" w:cs="Times New Roman" w:eastAsia="Times New Roman" w:hAnsi="Times New Roman"/>
          <w:sz w:val="18"/>
          <w:szCs w:val="18"/>
          <w:color w:val="auto"/>
        </w:rPr>
        <w:t>” means Merrill Lynch, Pierce, Fenner &amp; Smith Incorporated, in its capacity as documentation agent 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 Agent or the applicable L/C Lender, as the case may be, at such time on the basis of the Spot Rate (determined in respect of the most recent Revaluation Date) for the purchase of Dollars with such Alternate Currency.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the lawful money of the United States.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of any Person shall mean any Subsidiary of such Person incorporated, organized or formed in the United States, any state thereof or the District of Columbia.</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“EEA Member Country” shall mean any of the member states of the European Union, Iceland, Liechtenstein, and Norway.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“EEA Resolution Authority” shall mean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Sections 13.05(e) and (f), as applicable, Affiliate Lenders and Debt Fund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(x) other than as set forth in clause (ii) of this definition, neither Borrower nor any of Borrower’s Affiliates or Subsidiaries shall be an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Assignee, (y) Eligible Assignee shall not include any Person that is a Competitor unless consented to in writing by Borrower and (z) Eligible Assignee shall not include any Person who is a Defaulting Lender or is subject to a Disqualification.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shall mean an employee benefit plan (as defined in Section 3(3) of ERISA) that is maintained or contributed to by Borrower or any of its Restricted Subsidiaries.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Encore at Wynn Las Vegas</w:t>
      </w:r>
      <w:r>
        <w:rPr>
          <w:rFonts w:ascii="Times New Roman" w:cs="Times New Roman" w:eastAsia="Times New Roman" w:hAnsi="Times New Roman"/>
          <w:sz w:val="18"/>
          <w:szCs w:val="18"/>
          <w:color w:val="auto"/>
        </w:rPr>
        <w:t>” means the hotel tower, casino facility and retail and convention space that is part of Wynn Las Vegas and called “Encore at Wynn Las Vegas.”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92" w:right="239" w:bottom="1440" w:gutter="0" w:footer="0" w:header="0"/>
        </w:sectPr>
      </w:pPr>
    </w:p>
    <w:bookmarkStart w:id="124" w:name="page125"/>
    <w:bookmarkEnd w:id="12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Action</w:t>
      </w:r>
      <w:r>
        <w:rPr>
          <w:rFonts w:ascii="Times New Roman" w:cs="Times New Roman" w:eastAsia="Times New Roman" w:hAnsi="Times New Roman"/>
          <w:sz w:val="18"/>
          <w:szCs w:val="18"/>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18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Contribution</w:t>
      </w:r>
      <w:r>
        <w:rPr>
          <w:rFonts w:ascii="Times New Roman" w:cs="Times New Roman" w:eastAsia="Times New Roman" w:hAnsi="Times New Roman"/>
          <w:sz w:val="18"/>
          <w:szCs w:val="18"/>
          <w:color w:val="auto"/>
        </w:rPr>
        <w:t>” shall mean the Pre-Closing Equity Contribution and the Post-Closing Equity Contribution.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Contribution Threshold</w:t>
      </w:r>
      <w:r>
        <w:rPr>
          <w:rFonts w:ascii="Times New Roman" w:cs="Times New Roman" w:eastAsia="Times New Roman" w:hAnsi="Times New Roman"/>
          <w:sz w:val="18"/>
          <w:szCs w:val="18"/>
          <w:color w:val="auto"/>
        </w:rPr>
        <w:t>” means $300.0 million.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issuance or sale shall be deemed an Equity Issuance upon the conversion or exchange of such debt instrument into Equity Interests.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 Proceeds</w:t>
      </w:r>
      <w:r>
        <w:rPr>
          <w:rFonts w:ascii="Times New Roman" w:cs="Times New Roman" w:eastAsia="Times New Roman" w:hAnsi="Times New Roman"/>
          <w:sz w:val="18"/>
          <w:szCs w:val="18"/>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Rights</w:t>
      </w:r>
      <w:r>
        <w:rPr>
          <w:rFonts w:ascii="Times New Roman" w:cs="Times New Roman" w:eastAsia="Times New Roman" w:hAnsi="Times New Roman"/>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debt instrument convertible into or exchangeable or exercisable for any Equity Interests shall not be deemed an Equity Right.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92" w:right="2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Entity</w:t>
      </w:r>
      <w:r>
        <w:rPr>
          <w:rFonts w:ascii="Times New Roman" w:cs="Times New Roman" w:eastAsia="Times New Roman" w:hAnsi="Times New Roman"/>
          <w:sz w:val="18"/>
          <w:szCs w:val="18"/>
          <w:color w:val="auto"/>
        </w:rPr>
        <w:t>” shall mean any member of an ERISA Group.</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shall mean (a) any “reportable event,” as defined in Section 4043 of ERISA or the regulations issued thereunder, with respect to a Pension Plan (other than an event for which the 30-day notice requirement is waived); (b) with respect to any Pension Plan, the failure to satisfy the minimum funding standard under Section 412 of the Code and Section 302 of ERISA, whether or not waived, the failure by any ERISA Entity to make by its due date a required installment under Section 430(j) of the Code with respect to any Pension Plan or the failure to make any required contribution to a Multiemployer Plan; (c) the incurrence by any ERISA Entity of any liability under Title IV of ERISA with respect to the termination of any Pension Plan; (d) the receipt by any ERISA Entity from the PBGC or a plan administrator of any notice indicating an intent to terminate any Pension Plan or to appoint a trustee to administer any Pension Plan; (e) the occurrence of any event or condition which would reasonably constitute grounds under ERISA for the termination of or the appointment of a trustee to administer, any Pension Plan; (f) the incurrence by any ERISA Entity of any liability with respect to the withdrawal or partial withdrawal from any Pension Plan or Multiemployer Plan; (g) the receipt by an ERISA Entity of any notice concerning the imposition of Withdrawal Liability on any ERISA Entity or a determination that a Multiemployer Plan is insolvent or in reorganization, within the meaning of Title IV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ERISA Entity.</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Group</w:t>
      </w:r>
      <w:r>
        <w:rPr>
          <w:rFonts w:ascii="Times New Roman" w:cs="Times New Roman" w:eastAsia="Times New Roman" w:hAnsi="Times New Roman"/>
          <w:sz w:val="18"/>
          <w:szCs w:val="18"/>
          <w:color w:val="auto"/>
        </w:rPr>
        <w:t>” shall mean Borrower or any of its Restricted Subsidiaries and all members of a controlled group of corporations and all trades or businesses (whether or not incorporated) under common control which, together with Borrower and its Restricted Subsidiaries, are treated as a single employer under Section 414(b) or (c) of the Code.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“EU Bail-In Legislation Schedule” shall mean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has the meaning set forth in Section 11.01.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shall mean, for any fiscal year of Borrower, an amount, if positive, equal to (without duplication):</w:t>
      </w:r>
    </w:p>
    <w:p>
      <w:pPr>
        <w:spacing w:after="0" w:line="254" w:lineRule="exact"/>
        <w:rPr>
          <w:sz w:val="20"/>
          <w:szCs w:val="20"/>
          <w:color w:val="auto"/>
        </w:rPr>
      </w:pPr>
    </w:p>
    <w:p>
      <w:pPr>
        <w:ind w:left="1500" w:hanging="520"/>
        <w:spacing w:after="0"/>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w:t>
      </w:r>
      <w:r>
        <w:rPr>
          <w:rFonts w:ascii="Times New Roman" w:cs="Times New Roman" w:eastAsia="Times New Roman" w:hAnsi="Times New Roman"/>
          <w:sz w:val="18"/>
          <w:szCs w:val="18"/>
          <w:i w:val="1"/>
          <w:iCs w:val="1"/>
          <w:color w:val="auto"/>
        </w:rPr>
        <w:t>plus</w:t>
      </w:r>
    </w:p>
    <w:p>
      <w:pPr>
        <w:spacing w:after="0" w:line="267"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5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left="340" w:firstLine="640"/>
        <w:spacing w:after="0" w:line="329" w:lineRule="auto"/>
        <w:tabs>
          <w:tab w:leader="none" w:pos="15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Times New Roman" w:cs="Times New Roman" w:eastAsia="Times New Roman" w:hAnsi="Times New Roman"/>
          <w:sz w:val="18"/>
          <w:szCs w:val="18"/>
          <w:i w:val="1"/>
          <w:iCs w:val="1"/>
          <w:color w:val="auto"/>
        </w:rPr>
        <w:t>plus</w:t>
      </w:r>
    </w:p>
    <w:p>
      <w:pPr>
        <w:spacing w:after="0" w:line="15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received from the early extinguishment of Swap Contracts that are not included in Consolidated Net Income; </w:t>
      </w:r>
      <w:r>
        <w:rPr>
          <w:rFonts w:ascii="Times New Roman" w:cs="Times New Roman" w:eastAsia="Times New Roman" w:hAnsi="Times New Roman"/>
          <w:sz w:val="18"/>
          <w:szCs w:val="18"/>
          <w:i w:val="1"/>
          <w:iCs w:val="1"/>
          <w:color w:val="auto"/>
        </w:rPr>
        <w:t>minus</w:t>
      </w:r>
    </w:p>
    <w:p>
      <w:pPr>
        <w:spacing w:after="0" w:line="26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if any, of Working Capital from the beginning of such period to the end of such period; </w:t>
      </w:r>
      <w:r>
        <w:rPr>
          <w:rFonts w:ascii="Times New Roman" w:cs="Times New Roman" w:eastAsia="Times New Roman" w:hAnsi="Times New Roman"/>
          <w:sz w:val="18"/>
          <w:szCs w:val="18"/>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92" w:right="239" w:bottom="1440" w:gutter="0" w:footer="0" w:header="0"/>
        </w:sectPr>
      </w:pPr>
    </w:p>
    <w:bookmarkStart w:id="126" w:name="page127"/>
    <w:bookmarkEnd w:id="126"/>
    <w:p>
      <w:pPr>
        <w:ind w:left="1480" w:hanging="500"/>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paid in connection with the early extinguishment of Swap Contracts that are not included in Consolidated Net Income;</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minus</w:t>
      </w:r>
    </w:p>
    <w:p>
      <w:pPr>
        <w:spacing w:after="0" w:line="268" w:lineRule="exact"/>
        <w:rPr>
          <w:sz w:val="20"/>
          <w:szCs w:val="20"/>
          <w:color w:val="auto"/>
        </w:rPr>
      </w:pPr>
    </w:p>
    <w:p>
      <w:pPr>
        <w:ind w:left="340" w:right="20" w:firstLine="640"/>
        <w:spacing w:after="0" w:line="329" w:lineRule="auto"/>
        <w:tabs>
          <w:tab w:leader="none" w:pos="15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Capital Expenditures made in cash during such period, except to the extent financed with the proceeds of Indebtedness,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61" w:lineRule="exact"/>
        <w:rPr>
          <w:rFonts w:ascii="Times New Roman" w:cs="Times New Roman" w:eastAsia="Times New Roman" w:hAnsi="Times New Roman"/>
          <w:sz w:val="18"/>
          <w:szCs w:val="18"/>
          <w:color w:val="auto"/>
        </w:rPr>
      </w:pPr>
    </w:p>
    <w:p>
      <w:pPr>
        <w:jc w:val="both"/>
        <w:ind w:left="340" w:firstLine="640"/>
        <w:spacing w:after="0" w:line="305" w:lineRule="auto"/>
        <w:tabs>
          <w:tab w:leader="none" w:pos="15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83"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4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Investments made during such period pursuant to Section 10.04 (other than Sections 10.04(a), (b), (c), (d), (e), (f) (except to the extent such amount increased Consolidated Net Income), (g), (h) (to the extent not taken into account in arriving at Consolidated Net Income), (j), (k), (l), (o), (p), (r), (s), (x) and (y)), except to the extent financed with the proceeds of Indebtedness (other than Revolving Loans),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79" w:lineRule="exact"/>
        <w:rPr>
          <w:rFonts w:ascii="Times New Roman" w:cs="Times New Roman" w:eastAsia="Times New Roman" w:hAnsi="Times New Roman"/>
          <w:sz w:val="18"/>
          <w:szCs w:val="18"/>
          <w:color w:val="auto"/>
        </w:rPr>
      </w:pPr>
    </w:p>
    <w:p>
      <w:pPr>
        <w:ind w:left="340" w:right="20" w:firstLine="640"/>
        <w:spacing w:after="0" w:line="329" w:lineRule="auto"/>
        <w:tabs>
          <w:tab w:leader="none" w:pos="14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Times New Roman" w:cs="Times New Roman" w:eastAsia="Times New Roman" w:hAnsi="Times New Roman"/>
          <w:sz w:val="18"/>
          <w:szCs w:val="18"/>
          <w:i w:val="1"/>
          <w:iCs w:val="1"/>
          <w:color w:val="auto"/>
        </w:rPr>
        <w:t>minus</w:t>
      </w:r>
    </w:p>
    <w:p>
      <w:pPr>
        <w:spacing w:after="0" w:line="161"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5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Designation</w:t>
      </w:r>
      <w:r>
        <w:rPr>
          <w:rFonts w:ascii="Times New Roman" w:cs="Times New Roman" w:eastAsia="Times New Roman" w:hAnsi="Times New Roman"/>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Immaterial Subsidiaries</w:t>
      </w:r>
      <w:r>
        <w:rPr>
          <w:rFonts w:ascii="Times New Roman" w:cs="Times New Roman" w:eastAsia="Times New Roman" w:hAnsi="Times New Roman"/>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shall have the meaning provided in Section 12.07(b).</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xml:space="preserve">” shall mean (a) any Unrestricted Subsidiary, (b) any Immaterial Subsidiary, (c) any Foreign Subsidiary or CFC Holdco, (d) any Subsidiary that is prohibited by applicable law, rule or regulation (including, without limitation, any Gaming Laws) or by any agreement, instrument or other undertaking to which such Subsidiary is a party or by which it or any of its property or assets is bound from guaranteeing the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agreement, instrument or other undertaking (i) is in existence on the Closing Date and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(or, with respect to a Subsidiary acquired after the Closing Date, as of the date of such acquisition) and (ii) in the case of a Subsidiary acquired after the Closing Date, was not entered into in connection with or anticipation of such acquisition, (e)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(f) from and after the Wynn Las Vegas Reorganization, but prior to the Wynn Las Vegas 2020 and 2022 Note Repayment, the Wynn Las Vegas Entities, (g) each Subsidiary that is not a Wholly Owned Subsidiary (for so long as such Subsidiary remains a non-Wholly Owned Subsidiary) and (h) any other Subsidiary with respect to which, in the reasonable judgment of Administrative Agent (which shall be confirmed in writing by notice to Borrower), the cost or other consequences (including 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23"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adverse tax consequences) of providing a guarantee shall be excessive in view of the benefits to be obtained by the Lenders therefrom.</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shall mean any of the following Taxes imposed on or with respect to any Agent or Lender or required to be withheld or deducted from any payment to any Agent or Lender: (a) income, franchise or branch profits Taxes imposed on or measured by net income or net profits (however denominated), in each case, (i) imposed by any jurisdiction as a result of such recipient being organized under the laws of, having its principal office located in or, in the case of any Lender, having its Applicable Lending Office located in the jurisdiction imposing such Tax, or (ii) that are Other Connection Taxes,</w:t>
      </w:r>
    </w:p>
    <w:p>
      <w:pPr>
        <w:jc w:val="both"/>
        <w:ind w:firstLine="8"/>
        <w:spacing w:after="0" w:line="250" w:lineRule="auto"/>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other than an assignee pursuant to a request by Borrower under Section 2.11(a), any U.S. federal withholding tax that is imposed on amounts payable to such Person under the laws in effect at the time such Person becomes a party to this Agreement (or designates a new Applicable Lending Office), except to the extent that such Person (or its assignor, if any) was entitled, immediately prior to the designation of a new Applicable Lending Office (or assignment), to receive additional amounts from Borrower with respect to such withholding Tax pursuant to Section 5.06(a),</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such Lender’s failure to comply with Sections 5.06(b) or (d) and (d) any Taxes imposed under FATCA.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has the meaning set forth in Section 8.22(a).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FF0000"/>
          <w:strike w:val="1"/>
        </w:rPr>
        <w:t>“Existing Credit Agreement” shall have the meaning provided in the First Amendment, except as used in the definitions of “Tranche C Term Facility Commitment,” “Tranche C Term Facility Lenders” and “Tranche D Term Facility Commitment.” When used in the definitions of “Tranche C Term Facility Commitment,” “Tranche C Term Facility Lenders” and “Tranche D Term Facility Commitment,” “Existing Credit Agreement” shall have the meaning provided in the Third Amendment.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“Existing Credit Agreement” shall have the meaning provided in the Third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Loans</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Tranche</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Facility Loans</w:t>
      </w:r>
      <w:r>
        <w:rPr>
          <w:rFonts w:ascii="Times New Roman" w:cs="Times New Roman" w:eastAsia="Times New Roman" w:hAnsi="Times New Roman"/>
          <w:sz w:val="18"/>
          <w:szCs w:val="18"/>
          <w:b w:val="1"/>
          <w:bCs w:val="1"/>
          <w:u w:val="single" w:color="auto"/>
          <w:color w:val="0000FF"/>
        </w:rPr>
        <w:t>Loan Tranche</w:t>
      </w:r>
      <w:r>
        <w:rPr>
          <w:rFonts w:ascii="Times New Roman" w:cs="Times New Roman" w:eastAsia="Times New Roman" w:hAnsi="Times New Roman"/>
          <w:sz w:val="18"/>
          <w:szCs w:val="18"/>
          <w:color w:val="auto"/>
        </w:rPr>
        <w:t xml:space="preserve">” shall have the meaning provided in Section </w:t>
      </w:r>
      <w:r>
        <w:rPr>
          <w:rFonts w:ascii="Times New Roman" w:cs="Times New Roman" w:eastAsia="Times New Roman" w:hAnsi="Times New Roman"/>
          <w:sz w:val="18"/>
          <w:szCs w:val="18"/>
          <w:b w:val="1"/>
          <w:bCs w:val="1"/>
          <w:color w:val="FF0000"/>
          <w:strike w:val="1"/>
        </w:rPr>
        <w:t>2.03</w:t>
      </w:r>
      <w:r>
        <w:rPr>
          <w:rFonts w:ascii="Times New Roman" w:cs="Times New Roman" w:eastAsia="Times New Roman" w:hAnsi="Times New Roman"/>
          <w:sz w:val="18"/>
          <w:szCs w:val="18"/>
          <w:b w:val="1"/>
          <w:bCs w:val="1"/>
          <w:u w:val="single" w:color="auto"/>
          <w:color w:val="0000FF"/>
        </w:rPr>
        <w:t>2.13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Loan Tranche</w:t>
      </w:r>
      <w:r>
        <w:rPr>
          <w:rFonts w:ascii="Times New Roman" w:cs="Times New Roman" w:eastAsia="Times New Roman" w:hAnsi="Times New Roman"/>
          <w:sz w:val="18"/>
          <w:szCs w:val="18"/>
          <w:b w:val="1"/>
          <w:bCs w:val="1"/>
          <w:u w:val="single" w:color="auto"/>
          <w:color w:val="0000FF"/>
        </w:rPr>
        <w:t>Loans</w:t>
      </w:r>
      <w:r>
        <w:rPr>
          <w:rFonts w:ascii="Times New Roman" w:cs="Times New Roman" w:eastAsia="Times New Roman" w:hAnsi="Times New Roman"/>
          <w:sz w:val="18"/>
          <w:szCs w:val="18"/>
          <w:color w:val="auto"/>
        </w:rPr>
        <w:t xml:space="preserve">” shall have the meaning provided in Section </w:t>
      </w:r>
      <w:r>
        <w:rPr>
          <w:rFonts w:ascii="Times New Roman" w:cs="Times New Roman" w:eastAsia="Times New Roman" w:hAnsi="Times New Roman"/>
          <w:sz w:val="18"/>
          <w:szCs w:val="18"/>
          <w:b w:val="1"/>
          <w:bCs w:val="1"/>
          <w:color w:val="FF0000"/>
          <w:strike w:val="1"/>
        </w:rPr>
        <w:t>2.13</w:t>
      </w:r>
      <w:r>
        <w:rPr>
          <w:rFonts w:ascii="Times New Roman" w:cs="Times New Roman" w:eastAsia="Times New Roman" w:hAnsi="Times New Roman"/>
          <w:sz w:val="18"/>
          <w:szCs w:val="18"/>
          <w:b w:val="1"/>
          <w:bCs w:val="1"/>
          <w:u w:val="single" w:color="auto"/>
          <w:color w:val="0000FF"/>
        </w:rPr>
        <w:t>2.01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8"/>
          <w:szCs w:val="18"/>
          <w:b w:val="1"/>
          <w:bCs w:val="1"/>
          <w:u w:val="single" w:color="auto"/>
          <w:color w:val="0000FF"/>
        </w:rPr>
        <w:t>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Tranche</w:t>
      </w:r>
      <w:r>
        <w:rPr>
          <w:rFonts w:ascii="Times New Roman" w:cs="Times New Roman" w:eastAsia="Times New Roman" w:hAnsi="Times New Roman"/>
          <w:sz w:val="18"/>
          <w:szCs w:val="18"/>
          <w:color w:val="auto"/>
        </w:rPr>
        <w:t>” shall mean any Existing Term Loan Tranche or Existing Revolving Tranche.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Expansion Capital Expenditures</w:t>
      </w:r>
      <w:r>
        <w:rPr>
          <w:rFonts w:ascii="Times New Roman" w:cs="Times New Roman" w:eastAsia="Times New Roman" w:hAnsi="Times New Roman"/>
          <w:sz w:val="18"/>
          <w:szCs w:val="18"/>
          <w:color w:val="auto"/>
        </w:rPr>
        <w:t>” shall mean any capital expenditure by Borrower or any of its Restricted Subsidiaries in respect of the purchase or other acquisition of any fixed or capital assets or the refurbishment of existing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96" w:right="239" w:bottom="1440" w:gutter="0" w:footer="0" w:header="0"/>
        </w:sectPr>
      </w:pPr>
    </w:p>
    <w:bookmarkStart w:id="128" w:name="page129"/>
    <w:bookmarkEnd w:id="12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Commitments</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shall have the meaning provided in Section 2.13(d).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Date</w:t>
      </w:r>
      <w:r>
        <w:rPr>
          <w:rFonts w:ascii="Times New Roman" w:cs="Times New Roman" w:eastAsia="Times New Roman" w:hAnsi="Times New Roman"/>
          <w:sz w:val="18"/>
          <w:szCs w:val="18"/>
          <w:color w:val="auto"/>
        </w:rPr>
        <w:t>” shall mean any date on which any Existing Term Loan Tranche or Existing Revolving Tranche is modified to extend the related scheduled maturity date(s) in accordance with Section 2.13 (with respect to the Lenders under such Existing Term Loan Tranche or Existing Revolving Tranche which agree to such modification).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Election</w:t>
      </w:r>
      <w:r>
        <w:rPr>
          <w:rFonts w:ascii="Times New Roman" w:cs="Times New Roman" w:eastAsia="Times New Roman" w:hAnsi="Times New Roman"/>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Request</w:t>
      </w:r>
      <w:r>
        <w:rPr>
          <w:rFonts w:ascii="Times New Roman" w:cs="Times New Roman" w:eastAsia="Times New Roman" w:hAnsi="Times New Roman"/>
          <w:sz w:val="18"/>
          <w:szCs w:val="18"/>
          <w:color w:val="auto"/>
        </w:rPr>
        <w:t>” shall mean any Term Loan Extension Request or Revolving Extension Request.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Tranche</w:t>
      </w:r>
      <w:r>
        <w:rPr>
          <w:rFonts w:ascii="Times New Roman" w:cs="Times New Roman" w:eastAsia="Times New Roman" w:hAnsi="Times New Roman"/>
          <w:sz w:val="18"/>
          <w:szCs w:val="18"/>
          <w:color w:val="auto"/>
        </w:rPr>
        <w:t>”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 Shortfall</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and any regulations thereunder or official governmental interpretations thereof, any agreements entered into pursuant to current Section 1471(b) of the Code (or any amended or successor version described above), any intergovernmental agreements (and any related laws, regulations or official guidance) implementing the foregoing.</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shall mean, for any day,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(rounded upwards, if necessary, to the nearest 1/100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the day for which such rate is to be determined is not a Business Day, the Federal Funds Rate for such day shall be such rate on such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96" w:right="239" w:bottom="1440" w:gutter="0" w:footer="0" w:header="0"/>
        </w:sectPr>
      </w:pPr>
    </w:p>
    <w:bookmarkStart w:id="129" w:name="page130"/>
    <w:bookmarkEnd w:id="129"/>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on the next preceding Business Day as so published on the next succeeding Business Day and (b) if such rate is not so published for any Business Day, the Federal Funds Rate for such Business Day shall be the average rate quoted to Administrative Agent on such Business Day on such transactions by three federal funds brokers of recognized standing, as determined by Administrative Agent.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shall mean the fee letter agreement dated as of the date hereof, between Borrower and Administrative Agent.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 Date</w:t>
      </w:r>
      <w:r>
        <w:rPr>
          <w:rFonts w:ascii="Times New Roman" w:cs="Times New Roman" w:eastAsia="Times New Roman" w:hAnsi="Times New Roman"/>
          <w:sz w:val="18"/>
          <w:szCs w:val="18"/>
          <w:color w:val="auto"/>
        </w:rPr>
        <w:t>” shall mean the latest of the latest R/C Maturity Date, the Term Facility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Maintenance Covenant</w:t>
      </w:r>
      <w:r>
        <w:rPr>
          <w:rFonts w:ascii="Times New Roman" w:cs="Times New Roman" w:eastAsia="Times New Roman" w:hAnsi="Times New Roman"/>
          <w:sz w:val="18"/>
          <w:szCs w:val="18"/>
          <w:color w:val="auto"/>
        </w:rPr>
        <w:t>” shall mean the covenant set forth in Section 10.08(a).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shall mean that certain First Amendment to Credit Agreement, dated as of November 5, 2015, by and among Borrower, the Guarantors party thereto, Administrative Agent, Collateral Agent and the other parties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 shall mean the “Agreement Effective Date” as defined in the First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shall mean Fitch Ratings Inc., or any successor entity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Laws</w:t>
      </w:r>
      <w:r>
        <w:rPr>
          <w:rFonts w:ascii="Times New Roman" w:cs="Times New Roman" w:eastAsia="Times New Roman" w:hAnsi="Times New Roman"/>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Lender that is not a U.S. Person.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that is organized under the laws of a jurisdiction other than the United States, any state thereof, or the District of Columbia.</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“Fourth Amendment” shall mean that certain Fourth Amendment to Credit Agreement, dated as of July 1, 2016, by and among Borrower, the Guarantors party thereto, Administrative Agent, Collateral Agent and the other parties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“Fourth Amendment Effective Date” shall mean the “Agreement Effective Date” as defined in the Fourth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Credit Party</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shall mean the date of the making of any extension of credit (whether the making of a Loan or the issuance of a Letter of Credit) hereunder (including the Closing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7" w:right="239" w:bottom="1440" w:gutter="0" w:footer="0" w:header="0"/>
        </w:sectPr>
      </w:pPr>
    </w:p>
    <w:bookmarkStart w:id="130" w:name="page131"/>
    <w:bookmarkEnd w:id="13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Approval</w:t>
      </w:r>
      <w:r>
        <w:rPr>
          <w:rFonts w:ascii="Times New Roman" w:cs="Times New Roman" w:eastAsia="Times New Roman" w:hAnsi="Times New Roman"/>
          <w:sz w:val="18"/>
          <w:szCs w:val="18"/>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w:t>
      </w:r>
    </w:p>
    <w:p>
      <w:pPr>
        <w:ind w:firstLine="8"/>
        <w:spacing w:after="0" w:line="261" w:lineRule="auto"/>
        <w:tabs>
          <w:tab w:leader="none" w:pos="2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any Gaming Law or (c) necessary as is contemplated on the Closing Date (after giving effect to the Transactions), to accomplish the financing and other transactions contemplated hereby after giving effect to the Transactions.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Authority</w:t>
      </w:r>
      <w:r>
        <w:rPr>
          <w:rFonts w:ascii="Times New Roman" w:cs="Times New Roman" w:eastAsia="Times New Roman" w:hAnsi="Times New Roman"/>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Facility</w:t>
      </w:r>
      <w:r>
        <w:rPr>
          <w:rFonts w:ascii="Times New Roman" w:cs="Times New Roman" w:eastAsia="Times New Roman" w:hAnsi="Times New Roman"/>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Laws</w:t>
      </w:r>
      <w:r>
        <w:rPr>
          <w:rFonts w:ascii="Times New Roman" w:cs="Times New Roman" w:eastAsia="Times New Roman" w:hAnsi="Times New Roman"/>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License</w:t>
      </w:r>
      <w:r>
        <w:rPr>
          <w:rFonts w:ascii="Times New Roman" w:cs="Times New Roman" w:eastAsia="Times New Roman" w:hAnsi="Times New Roman"/>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Gross Adjusted Revenues</w:t>
      </w:r>
      <w:r>
        <w:rPr>
          <w:rFonts w:ascii="Times New Roman" w:cs="Times New Roman" w:eastAsia="Times New Roman" w:hAnsi="Times New Roman"/>
          <w:sz w:val="18"/>
          <w:szCs w:val="18"/>
          <w:color w:val="auto"/>
        </w:rPr>
        <w:t xml:space="preserve">” shall mean, for any period, the Net Revenues for the relevant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promotions and discounts provided by Borrower and its Restricted Subsidiaries during such period calculated in accordance with GAAP.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shall mean the guarantee of each Guarantor pursuant to Article VI.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shall mean each of the Persons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attached hereto and each Wholly Owned Restricted Subsidiary that may hereafter execute a Joinder Agreement pursuant to Section 9.11, together with their successors and permitted assigns, and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shall mean any one of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92" w:right="239" w:bottom="1440" w:gutter="0" w:footer="0" w:header="0"/>
        </w:sectPr>
      </w:pPr>
    </w:p>
    <w:bookmarkStart w:id="131" w:name="page132"/>
    <w:bookmarkEnd w:id="131"/>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 Threshold Amount</w:t>
      </w:r>
      <w:r>
        <w:rPr>
          <w:rFonts w:ascii="Times New Roman" w:cs="Times New Roman" w:eastAsia="Times New Roman" w:hAnsi="Times New Roman"/>
          <w:sz w:val="18"/>
          <w:szCs w:val="18"/>
          <w:color w:val="auto"/>
        </w:rPr>
        <w:t>” shall mean $75.0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Impacted Loans</w:t>
      </w:r>
      <w:r>
        <w:rPr>
          <w:rFonts w:ascii="Times New Roman" w:cs="Times New Roman" w:eastAsia="Times New Roman" w:hAnsi="Times New Roman"/>
          <w:sz w:val="18"/>
          <w:szCs w:val="18"/>
          <w:color w:val="auto"/>
        </w:rPr>
        <w:t>” has the meaning set forth in Section 5.02.</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the accretion of original issue discount or liquidation preference and increases in the amount of Indebtedness outstanding solely as a result of fluctuations in the exchange rate of currencies.</w:t>
      </w:r>
    </w:p>
    <w:p>
      <w:pPr>
        <w:spacing w:after="0" w:line="17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Times New Roman" w:cs="Times New Roman" w:eastAsia="Times New Roman" w:hAnsi="Times New Roman"/>
          <w:sz w:val="18"/>
          <w:szCs w:val="18"/>
          <w:b w:val="1"/>
          <w:bCs w:val="1"/>
          <w:color w:val="auto"/>
        </w:rPr>
        <w:t>incurrence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incurring</w:t>
      </w:r>
      <w:r>
        <w:rPr>
          <w:rFonts w:ascii="Times New Roman" w:cs="Times New Roman" w:eastAsia="Times New Roman" w:hAnsi="Times New Roman"/>
          <w:sz w:val="18"/>
          <w:szCs w:val="18"/>
          <w:color w:val="auto"/>
        </w:rPr>
        <w:t>” shall have meanings correlative to the foregoing).</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jc w:val="both"/>
        <w:ind w:firstLine="8"/>
        <w:spacing w:after="0" w:line="250" w:lineRule="auto"/>
        <w:tabs>
          <w:tab w:leader="none" w:pos="3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2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(x) casino “chips” and gaming winnings of customers, (y) any obligations of such Person in respect of Cash Management Agreements and (z) any obligations of such Person in respect of employee deferred compensation and benefit plans shall not constitute Indebtedness.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has the meaning set forth in Section 13.03(b).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Perfection Certificate</w:t>
      </w:r>
      <w:r>
        <w:rPr>
          <w:rFonts w:ascii="Times New Roman" w:cs="Times New Roman" w:eastAsia="Times New Roman" w:hAnsi="Times New Roman"/>
          <w:sz w:val="18"/>
          <w:szCs w:val="18"/>
          <w:color w:val="auto"/>
        </w:rPr>
        <w:t>” has the meaning set forth in the definition of “Perfection Certificate.”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92" w:right="23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Test Date</w:t>
      </w:r>
      <w:r>
        <w:rPr>
          <w:rFonts w:ascii="Times New Roman" w:cs="Times New Roman" w:eastAsia="Times New Roman" w:hAnsi="Times New Roman"/>
          <w:sz w:val="18"/>
          <w:szCs w:val="18"/>
          <w:color w:val="auto"/>
        </w:rPr>
        <w:t>” has the meaning set forth in Section 10.8.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has the meaning set forth in Section 8.18.</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Contribution Indebtedness</w:t>
      </w:r>
      <w:r>
        <w:rPr>
          <w:rFonts w:ascii="Times New Roman" w:cs="Times New Roman" w:eastAsia="Times New Roman" w:hAnsi="Times New Roman"/>
          <w:sz w:val="18"/>
          <w:szCs w:val="18"/>
          <w:color w:val="auto"/>
        </w:rPr>
        <w:t>” shall mean unsecured Indebtedness (including unsecured Indebtedness convertible into or exchangeable or exercisable for any Equity Interests) of Borrower or all or any Restricted Subsidiaries owed to Wynn Resorts or any other Affiliate of Borrower (other than Borrower or a Subsidiary of Borrower)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shall mean, as to each LIBOR Loan, the period commencing on the date such LIBOR Loan is disbursed or converted to or continued as a LIBOR Loan and, subject to Section 2.01(c)(ii),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the Administrative Agent and, in all cases of a period that is twelve months or less but greater than one month, all the applicable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4" w:lineRule="exact"/>
        <w:rPr>
          <w:sz w:val="20"/>
          <w:szCs w:val="20"/>
          <w:color w:val="auto"/>
        </w:rPr>
      </w:pPr>
    </w:p>
    <w:p>
      <w:pPr>
        <w:jc w:val="both"/>
        <w:ind w:left="660" w:firstLine="645"/>
        <w:spacing w:after="0" w:line="266" w:lineRule="auto"/>
        <w:tabs>
          <w:tab w:leader="none" w:pos="16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76" w:lineRule="exact"/>
        <w:rPr>
          <w:rFonts w:ascii="Times New Roman" w:cs="Times New Roman" w:eastAsia="Times New Roman" w:hAnsi="Times New Roman"/>
          <w:sz w:val="18"/>
          <w:szCs w:val="18"/>
          <w:color w:val="auto"/>
        </w:rPr>
      </w:pPr>
    </w:p>
    <w:p>
      <w:pPr>
        <w:jc w:val="both"/>
        <w:ind w:left="660" w:right="20" w:firstLine="645"/>
        <w:spacing w:after="0" w:line="266" w:lineRule="auto"/>
        <w:tabs>
          <w:tab w:leader="none" w:pos="17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for a Class shall extend beyond the maturity date for such Class.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(x)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 and (y) as to any LIBOR Loan made, or continued or converted pursuant to Section 2.09, prior to the expiration of the applicable Term Facility Availability Period </w:t>
      </w:r>
      <w:r>
        <w:rPr>
          <w:rFonts w:ascii="Times New Roman" w:cs="Times New Roman" w:eastAsia="Times New Roman" w:hAnsi="Times New Roman"/>
          <w:sz w:val="18"/>
          <w:szCs w:val="18"/>
          <w:b w:val="1"/>
          <w:bCs w:val="1"/>
          <w:u w:val="single" w:color="auto"/>
          <w:color w:val="0000FF"/>
        </w:rPr>
        <w:t>or Term Facility II Availability Period</w:t>
      </w:r>
      <w:r>
        <w:rPr>
          <w:rFonts w:ascii="Times New Roman" w:cs="Times New Roman" w:eastAsia="Times New Roman" w:hAnsi="Times New Roman"/>
          <w:sz w:val="18"/>
          <w:szCs w:val="18"/>
          <w:color w:val="auto"/>
        </w:rPr>
        <w:t xml:space="preserve">, Borrower may select an Interest Period that expires on the last Business Day of such Term Facility Availability Period </w:t>
      </w:r>
      <w:r>
        <w:rPr>
          <w:rFonts w:ascii="Times New Roman" w:cs="Times New Roman" w:eastAsia="Times New Roman" w:hAnsi="Times New Roman"/>
          <w:sz w:val="18"/>
          <w:szCs w:val="18"/>
          <w:b w:val="1"/>
          <w:bCs w:val="1"/>
          <w:u w:val="single" w:color="auto"/>
          <w:color w:val="0000FF"/>
        </w:rPr>
        <w:t>or Term Facility II Availability Period, as applicable,</w:t>
      </w:r>
      <w:r>
        <w:rPr>
          <w:rFonts w:ascii="Times New Roman" w:cs="Times New Roman" w:eastAsia="Times New Roman" w:hAnsi="Times New Roman"/>
          <w:sz w:val="18"/>
          <w:szCs w:val="18"/>
          <w:color w:val="auto"/>
        </w:rPr>
        <w:t xml:space="preserve"> and thereafter revert to the Interest Period selected in compliance with the foregoing.</w:t>
      </w:r>
    </w:p>
    <w:p>
      <w:pPr>
        <w:spacing w:after="0" w:line="18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Protection Agreement</w:t>
      </w:r>
      <w:r>
        <w:rPr>
          <w:rFonts w:ascii="Times New Roman" w:cs="Times New Roman" w:eastAsia="Times New Roman" w:hAnsi="Times New Roman"/>
          <w:sz w:val="18"/>
          <w:szCs w:val="18"/>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of any Person shall mean (a) any loan or advance of funds or credit by such Person to any other Person, (b) any Contingent Obligation by such Person in respect of the Indebtedness of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Section 10.04, “Investment” shall include the portion (proportionate to Borrower’s Equity Interest in such Subsidiary) of the fair market value of the net assets of any Subsidiary of Borrower at the time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92" w:right="239" w:bottom="144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of Designation of such Subsidiary as an Unrestricted Subsidiary pursuant to Section 9.12 (excluding any Subsidiaries designated as Unrestricted Subsidiaries on the Closing Date and set forth on </w:t>
      </w:r>
      <w:r>
        <w:rPr>
          <w:rFonts w:ascii="Times New Roman" w:cs="Times New Roman" w:eastAsia="Times New Roman" w:hAnsi="Times New Roman"/>
          <w:sz w:val="18"/>
          <w:szCs w:val="18"/>
          <w:u w:val="single" w:color="auto"/>
          <w:color w:val="auto"/>
        </w:rPr>
        <w:t>Schedule 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Section 10.04 at the time of such Revocation.</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Licensing Fees</w:t>
      </w:r>
      <w:r>
        <w:rPr>
          <w:rFonts w:ascii="Times New Roman" w:cs="Times New Roman" w:eastAsia="Times New Roman" w:hAnsi="Times New Roman"/>
          <w:sz w:val="18"/>
          <w:szCs w:val="18"/>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and (ii) that certain Intellectual Property Licensing Agreement, dated as of December 14, 2004, among Wynn Resorts, Wynn Resorts Holdings, LLC and Wynn Las Vegas and (b) without duplication to any fees paid under any agreement described in clause (a), licensing agreements in form and substance substantially similar to any agreement described in clause (a).</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Agreements</w:t>
      </w:r>
      <w:r>
        <w:rPr>
          <w:rFonts w:ascii="Times New Roman" w:cs="Times New Roman" w:eastAsia="Times New Roman" w:hAnsi="Times New Roman"/>
          <w:sz w:val="18"/>
          <w:szCs w:val="18"/>
          <w:color w:val="auto"/>
        </w:rPr>
        <w:t xml:space="preserve">” shall mean each Joinder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attached hereto or such other form as is reasonably acceptable to Administrative Agent and each Joinder Agreement to be entered into pursuant to the Security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 Conversion Date</w:t>
      </w:r>
      <w:r>
        <w:rPr>
          <w:rFonts w:ascii="Times New Roman" w:cs="Times New Roman" w:eastAsia="Times New Roman" w:hAnsi="Times New Roman"/>
          <w:sz w:val="18"/>
          <w:szCs w:val="18"/>
          <w:color w:val="auto"/>
        </w:rPr>
        <w:t>” has the meaning set forth in Section 13.15(a).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allowing extensions on customary terms to at least 91 days after such Final Maturity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Prepayments</w:t>
      </w:r>
      <w:r>
        <w:rPr>
          <w:rFonts w:ascii="Times New Roman" w:cs="Times New Roman" w:eastAsia="Times New Roman" w:hAnsi="Times New Roman"/>
          <w:sz w:val="18"/>
          <w:szCs w:val="18"/>
          <w:color w:val="auto"/>
        </w:rPr>
        <w:t>” shall have the meaning provided in Section 10.09.</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Commitments</w:t>
      </w:r>
      <w:r>
        <w:rPr>
          <w:rFonts w:ascii="Times New Roman" w:cs="Times New Roman" w:eastAsia="Times New Roman" w:hAnsi="Times New Roman"/>
          <w:sz w:val="18"/>
          <w:szCs w:val="18"/>
          <w:color w:val="auto"/>
        </w:rPr>
        <w:t>” shall mean the commitments of the L/C Lender to issue Letters of Credit pursuant to Section 2.03. The L/C Commitments are part of, and not in addition to, the Revolving Commitments.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Disbursements</w:t>
      </w:r>
      <w:r>
        <w:rPr>
          <w:rFonts w:ascii="Times New Roman" w:cs="Times New Roman" w:eastAsia="Times New Roman" w:hAnsi="Times New Roman"/>
          <w:sz w:val="18"/>
          <w:szCs w:val="18"/>
          <w:color w:val="auto"/>
        </w:rPr>
        <w:t>” shall mean a payment or disbursement made by any L/C Lender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96" w:right="239" w:bottom="1440" w:gutter="0" w:footer="0" w:header="0"/>
        </w:sectPr>
      </w:pPr>
    </w:p>
    <w:bookmarkStart w:id="134" w:name="page135"/>
    <w:bookmarkEnd w:id="13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Documents</w:t>
      </w:r>
      <w:r>
        <w:rPr>
          <w:rFonts w:ascii="Times New Roman" w:cs="Times New Roman" w:eastAsia="Times New Roman" w:hAnsi="Times New Roman"/>
          <w:sz w:val="18"/>
          <w:szCs w:val="18"/>
          <w:color w:val="auto"/>
        </w:rPr>
        <w:t>”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Interest</w:t>
      </w:r>
      <w:r>
        <w:rPr>
          <w:rFonts w:ascii="Times New Roman" w:cs="Times New Roman" w:eastAsia="Times New Roman" w:hAnsi="Times New Roman"/>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Lender</w:t>
      </w:r>
      <w:r>
        <w:rPr>
          <w:rFonts w:ascii="Times New Roman" w:cs="Times New Roman" w:eastAsia="Times New Roman" w:hAnsi="Times New Roman"/>
          <w:sz w:val="18"/>
          <w:szCs w:val="18"/>
          <w:color w:val="auto"/>
        </w:rPr>
        <w:t>” shall mean, as the context may require: (a) each of DB (solely in respect of standby Letters of Credit), Bank of America, N.A., Credit Agricole Corporate and Investment Bank, Fifth Third Bank and BNP Paribas or any of their respective Affiliates, in its capacity as issuer of Letters of Credit issued by it hereunder, together with its successors and assigns in such capacity; and/or (b) any other Revolving Lender or Revolving Lenders selected by Borrower and reasonably acceptable to Administrative Agent (such approval not to be unreasonably withheld or delayed) that agrees to become an L/C Lender, in each case under this clause (b) in its capacity as issuer of Letters of Credit issued by such Lender hereunder, together with its successors and assigns in such capacity.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Liability</w:t>
      </w:r>
      <w:r>
        <w:rPr>
          <w:rFonts w:ascii="Times New Roman" w:cs="Times New Roman" w:eastAsia="Times New Roman" w:hAnsi="Times New Roman"/>
          <w:sz w:val="18"/>
          <w:szCs w:val="18"/>
          <w:color w:val="auto"/>
        </w:rPr>
        <w:t>” shall mean, at any time, without duplication, the sum of (a) the Dollar Equivalent of the Stated Amount of all outstanding Letters of Credit at such time plus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Payment Notice</w:t>
      </w:r>
      <w:r>
        <w:rPr>
          <w:rFonts w:ascii="Times New Roman" w:cs="Times New Roman" w:eastAsia="Times New Roman" w:hAnsi="Times New Roman"/>
          <w:sz w:val="18"/>
          <w:szCs w:val="18"/>
          <w:color w:val="auto"/>
        </w:rPr>
        <w:t>” has the meaning provided in Section 2.03(d).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Sublimit</w:t>
      </w:r>
      <w:r>
        <w:rPr>
          <w:rFonts w:ascii="Times New Roman" w:cs="Times New Roman" w:eastAsia="Times New Roman" w:hAnsi="Times New Roman"/>
          <w:sz w:val="18"/>
          <w:szCs w:val="18"/>
          <w:color w:val="auto"/>
        </w:rPr>
        <w:t>” shall mean an amount equal to the lesser of (a) $100.0 million and (b) the Total Revolving Commitments then in effect. With respect to any L/C Lender, such L/C Lender’s L/C Sublimit shall be the percentage of the L/C Sublimit under the preceding sentence set forth on Annex A-3 hereto. The L/C Sublimit is part of, and not in addition to, the Total Revolving Commitments.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Arrangers</w:t>
      </w:r>
      <w:r>
        <w:rPr>
          <w:rFonts w:ascii="Times New Roman" w:cs="Times New Roman" w:eastAsia="Times New Roman" w:hAnsi="Times New Roman"/>
          <w:sz w:val="18"/>
          <w:szCs w:val="18"/>
          <w:color w:val="auto"/>
        </w:rPr>
        <w:t>” shall mean, collectively,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in their capacities as joint lead arrangers and joint bookrunners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shall mean any lease, sublease, franchise agreement, license, occupancy or concession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Insolvency Event</w:t>
      </w:r>
      <w:r>
        <w:rPr>
          <w:rFonts w:ascii="Times New Roman" w:cs="Times New Roman" w:eastAsia="Times New Roman" w:hAnsi="Times New Roman"/>
          <w:sz w:val="18"/>
          <w:szCs w:val="18"/>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Lender Insolvency Event shall not be deemed to exist solely as the result of the acquisition or maintenance of an ownership interest in such Lender or its Parent Company by a Governmental Authority or an instrumentality thereof so long as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92" w:right="239" w:bottom="1440" w:gutter="0" w:footer="0" w:header="0"/>
        </w:sectPr>
      </w:pPr>
    </w:p>
    <w:bookmarkStart w:id="135" w:name="page136"/>
    <w:bookmarkEnd w:id="135"/>
    <w:p>
      <w:pPr>
        <w:jc w:val="both"/>
        <w:spacing w:after="0" w:line="266" w:lineRule="auto"/>
        <w:rPr>
          <w:sz w:val="20"/>
          <w:szCs w:val="20"/>
          <w:color w:val="auto"/>
        </w:rPr>
      </w:pPr>
      <w:r>
        <w:rPr>
          <w:rFonts w:ascii="Times New Roman" w:cs="Times New Roman" w:eastAsia="Times New Roman" w:hAnsi="Times New Roman"/>
          <w:sz w:val="18"/>
          <w:szCs w:val="18"/>
          <w:color w:val="auto"/>
        </w:rPr>
        <w:t>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47"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shall mean (a) each Person listed on </w:t>
      </w:r>
      <w:r>
        <w:rPr>
          <w:rFonts w:ascii="Times New Roman" w:cs="Times New Roman" w:eastAsia="Times New Roman" w:hAnsi="Times New Roman"/>
          <w:sz w:val="18"/>
          <w:szCs w:val="18"/>
          <w:u w:val="single" w:color="auto"/>
          <w:color w:val="auto"/>
        </w:rPr>
        <w:t>Annexes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(b) any Person that becomes a Lender from time to time party hereto pursuant to Section 2.15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Request</w:t>
      </w:r>
      <w:r>
        <w:rPr>
          <w:rFonts w:ascii="Times New Roman" w:cs="Times New Roman" w:eastAsia="Times New Roman" w:hAnsi="Times New Roman"/>
          <w:sz w:val="18"/>
          <w:szCs w:val="18"/>
          <w:color w:val="auto"/>
        </w:rPr>
        <w:t>” has the meaning set forth in Section 2.03(b).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shall have the meaning set forth in Section 2.03(a).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 Base Rate</w:t>
      </w:r>
      <w:r>
        <w:rPr>
          <w:rFonts w:ascii="Times New Roman" w:cs="Times New Roman" w:eastAsia="Times New Roman" w:hAnsi="Times New Roman"/>
          <w:sz w:val="18"/>
          <w:szCs w:val="18"/>
          <w:color w:val="auto"/>
        </w:rPr>
        <w:t xml:space="preserve">” shall mean, with respect to any LIBOR Loan </w:t>
      </w:r>
      <w:r>
        <w:rPr>
          <w:rFonts w:ascii="Times New Roman" w:cs="Times New Roman" w:eastAsia="Times New Roman" w:hAnsi="Times New Roman"/>
          <w:sz w:val="17"/>
          <w:szCs w:val="17"/>
          <w:color w:val="auto"/>
        </w:rPr>
        <w:t>for any Interest Period, the rate per annum e</w:t>
      </w:r>
      <w:r>
        <w:rPr>
          <w:rFonts w:ascii="Times New Roman" w:cs="Times New Roman" w:eastAsia="Times New Roman" w:hAnsi="Times New Roman"/>
          <w:sz w:val="18"/>
          <w:szCs w:val="18"/>
          <w:color w:val="auto"/>
        </w:rPr>
        <w:t>qual to the Intercontinental Exchange Benchmark Administration Ltd. LIBOR (“</w:t>
      </w:r>
      <w:r>
        <w:rPr>
          <w:rFonts w:ascii="Times New Roman" w:cs="Times New Roman" w:eastAsia="Times New Roman" w:hAnsi="Times New Roman"/>
          <w:sz w:val="18"/>
          <w:szCs w:val="18"/>
          <w:b w:val="1"/>
          <w:bCs w:val="1"/>
          <w:color w:val="auto"/>
        </w:rPr>
        <w:t>ICE LIBOR</w:t>
      </w:r>
      <w:r>
        <w:rPr>
          <w:rFonts w:ascii="Times New Roman" w:cs="Times New Roman" w:eastAsia="Times New Roman" w:hAnsi="Times New Roman"/>
          <w:sz w:val="18"/>
          <w:szCs w:val="18"/>
          <w:color w:val="auto"/>
        </w:rPr>
        <w:t>”), as published by Reuters (or other commercially available source providing quotations of ICE LIBOR as designated by the Administrative Agent from time to time) at or about 11:00 a.m., London time, two Business Days prior to the commencement of such Interest Period, for Dollar deposits (for delivery on the first day of such Interest Period) with a term equivalent to such Interest Period. If such rate is not available at such time for any reason, then the “LIBO Base Rate” for such Interest Period shall be the rate per annum determined by the Administrative Agent to be the rate at which deposits in the relevant currency for delivery on the first day of such Interest Period in the approximate amount of the LIBOR Loan being made, continued or converted by the Administrative Agent and with a term equivalent to such Interest Period would be offered by the Administrative Agent’s London Branch (or other Administrative Agent branch or Affiliate) to major banks in the London or other offshore interbank market for such currency at their request at approximately 11:00 a.m. (London time) two Business Days prior to the commencement of such Interest Period.</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 Rate</w:t>
      </w:r>
      <w:r>
        <w:rPr>
          <w:rFonts w:ascii="Times New Roman" w:cs="Times New Roman" w:eastAsia="Times New Roman" w:hAnsi="Times New Roman"/>
          <w:sz w:val="18"/>
          <w:szCs w:val="18"/>
          <w:color w:val="auto"/>
        </w:rPr>
        <w:t xml:space="preserve">” shall mean, for any LIBOR Loan for any Interest Period therefor,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(rounded upwards, if necessary, to the nearest 1/100th of 1%) determined by Administrative Agent to be equal to the LIBO Base Rate for such Loan for such Interest Period divided by 1 minus the Reserve Requirement (if any) for such Loan for such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LIBO Rate shall not be less than 0%. Notwithstanding the foregoing, for purposes of clause (c) of the definition of Alternate Base Rate, the rates referred to above shall be the rates as of 11:00 a.m., London, England time, on the date of determination (rather than the second Business Day preceding the date of determination).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 Loans</w:t>
      </w:r>
      <w:r>
        <w:rPr>
          <w:rFonts w:ascii="Times New Roman" w:cs="Times New Roman" w:eastAsia="Times New Roman" w:hAnsi="Times New Roman"/>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Revocation</w:t>
      </w:r>
      <w:r>
        <w:rPr>
          <w:rFonts w:ascii="Times New Roman" w:cs="Times New Roman" w:eastAsia="Times New Roman" w:hAnsi="Times New Roman"/>
          <w:sz w:val="18"/>
          <w:szCs w:val="18"/>
          <w:color w:val="auto"/>
        </w:rPr>
        <w:t>” shall mean the revocation, failure to renew or suspension of, or the appointment of a receiver, supervisor or similar official with respect to, any Gaming License covering any Gaming Facility owned, leased, operated or used by Borrower or any of its Restricted Subsidiaries.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Liquor Authority</w:t>
      </w:r>
      <w:r>
        <w:rPr>
          <w:rFonts w:ascii="Times New Roman" w:cs="Times New Roman" w:eastAsia="Times New Roman" w:hAnsi="Times New Roman"/>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Liquor Laws</w:t>
      </w:r>
      <w:r>
        <w:rPr>
          <w:rFonts w:ascii="Times New Roman" w:cs="Times New Roman" w:eastAsia="Times New Roman" w:hAnsi="Times New Roman"/>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shall mean the Revolving Loans and the Term Loans.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96" w:right="239" w:bottom="1440" w:gutter="0" w:footer="0" w:header="0"/>
        </w:sectPr>
      </w:pPr>
    </w:p>
    <w:bookmarkStart w:id="136" w:name="page137"/>
    <w:bookmarkEnd w:id="1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reasonable fees and expenses of one primary counsel for the Secured Parties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Macau Project</w:t>
      </w:r>
      <w:r>
        <w:rPr>
          <w:rFonts w:ascii="Times New Roman" w:cs="Times New Roman" w:eastAsia="Times New Roman" w:hAnsi="Times New Roman"/>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Fees</w:t>
      </w:r>
      <w:r>
        <w:rPr>
          <w:rFonts w:ascii="Times New Roman" w:cs="Times New Roman" w:eastAsia="Times New Roman" w:hAnsi="Times New Roman"/>
          <w:sz w:val="18"/>
          <w:szCs w:val="18"/>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December 14, 2004,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litigation challenging the issuance of a Gaming License (whether in Massachusetts or otherwise) or any matters arising therefrom, related thereto or in connection therewith shall constitute, result or otherwise have (or reasonably be expected to constitute, result or otherwise have)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the purposes of evaluating a material adverse effect on the business, assets, financial condition or results of operations of Borrower and its Restricted Subsidiaries, taken as a whole, prior to the Wynn Las Vegas Reorganization, the Restricted Subsidiaries shall be deemed to include the Wynn Las Vegas Entities for such evaluation.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has the meaning set forth in Section 13.19.</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Collateral Amount</w:t>
      </w:r>
      <w:r>
        <w:rPr>
          <w:rFonts w:ascii="Times New Roman" w:cs="Times New Roman" w:eastAsia="Times New Roman" w:hAnsi="Times New Roman"/>
          <w:sz w:val="18"/>
          <w:szCs w:val="18"/>
          <w:color w:val="auto"/>
        </w:rPr>
        <w:t>”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Sections 2.03, 2.10(c), 2.10(d), 2.16(a)(i), 2.16(a)(ii) or 11.01, an amount equal to 103% of the aggregate L/C Liability, and (iii) otherwise, an amount determined by the Administrative Agent and the L/C Lenders in their reasonable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shall mean an agreement, including, but not limited to, a mortgage, deed of trust or any other document, creating and evidencing a first Lien (subject only to the Liens permitted thereunder) in favor of Collateral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93" w:right="239" w:bottom="1440" w:gutter="0" w:footer="0" w:header="0"/>
        </w:sectPr>
      </w:pPr>
    </w:p>
    <w:bookmarkStart w:id="137" w:name="page138"/>
    <w:bookmarkEnd w:id="13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Agent on behalf of the Secured Parties on each Mortgaged Real Property, which shall be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Real Property</w:t>
      </w:r>
      <w:r>
        <w:rPr>
          <w:rFonts w:ascii="Times New Roman" w:cs="Times New Roman" w:eastAsia="Times New Roman" w:hAnsi="Times New Roman"/>
          <w:sz w:val="18"/>
          <w:szCs w:val="18"/>
          <w:color w:val="auto"/>
        </w:rPr>
        <w:t>” shall mean each Real Property, if any, which shall be subject to a Mortgage delivered after the Closing Date pursuant to Section 9.08 or 9.11 (in each case, unless and until such Real Property is no longer subject to a Mortgage).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 multiemployer plan within the meaning of Section 4001(a)(3) of ERISA (a) to which any ERISA Entity is then making or accruing an obligation to make contributions, (b) to which any ERISA Entity has within the preceding five plan years made contributions, including any Person which ceased to be an ERISA Entity during such five year period or (c) with respect to which any Company is reasonably likely to incur liability under Title IV of ERISA.</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NAIC</w:t>
      </w:r>
      <w:r>
        <w:rPr>
          <w:rFonts w:ascii="Times New Roman" w:cs="Times New Roman" w:eastAsia="Times New Roman" w:hAnsi="Times New Roman"/>
          <w:sz w:val="18"/>
          <w:szCs w:val="18"/>
          <w:color w:val="auto"/>
        </w:rPr>
        <w:t>” shall mean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Available Proceeds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left="660" w:firstLine="645"/>
        <w:spacing w:after="0" w:line="252" w:lineRule="auto"/>
        <w:tabs>
          <w:tab w:leader="none" w:pos="170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Asset Sale pursuant to Section 10.05(c),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Section 2.10 only, Net Available Proceeds shall exclude any payments related to Asset Sales by any Wynn Las Vegas Entities so long as such Wynn Las Vegas Entity is an Excluded Subsidiary;</w:t>
      </w:r>
    </w:p>
    <w:p>
      <w:pPr>
        <w:spacing w:after="0" w:line="193"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Section 10.05(l)) received by the Person whose Property was subject to such Casualty Event in respect of such Casualty Event net of (A) fees and expenses incurred by or on behalf of Borrower or any Restricted Subsidiary in connection with recovery thereof,</w:t>
      </w:r>
    </w:p>
    <w:p>
      <w:pPr>
        <w:spacing w:after="0" w:line="2"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5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Indebtedness (other than Indebtedness hereunder) to the extent secured by a Lien on such Property that is permitted by the Credit Documents and that is not junior to the Lien thereon securing the Obligations, and (C) any Taxes paid or payable by or on behalf of Borrower or any Restricted Subsidiary in respect of the amount so recovered (after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96" w:right="239" w:bottom="1440" w:gutter="0" w:footer="0" w:header="0"/>
        </w:sectPr>
      </w:pPr>
    </w:p>
    <w:bookmarkStart w:id="138" w:name="page139"/>
    <w:bookmarkEnd w:id="138"/>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application of all credits and other offsets arising from such Casualty Event) and amounts required to be paid to any Person (other than any Company) owning a beneficial interest in the subject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Section 2.10 only, Net Available Proceeds shall exclude any payments related to Casualty Events affecting any Wynn Las Vegas Entities so long as such Wynn Las Vegas Entity is an Excluded Subsidiary; and</w:t>
      </w:r>
    </w:p>
    <w:p>
      <w:pPr>
        <w:spacing w:after="0" w:line="189" w:lineRule="exact"/>
        <w:rPr>
          <w:sz w:val="20"/>
          <w:szCs w:val="20"/>
          <w:color w:val="auto"/>
        </w:rPr>
      </w:pPr>
    </w:p>
    <w:p>
      <w:pPr>
        <w:jc w:val="both"/>
        <w:ind w:left="660" w:firstLine="645"/>
        <w:spacing w:after="0" w:line="266" w:lineRule="auto"/>
        <w:tabs>
          <w:tab w:leader="none" w:pos="17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18"/>
          <w:szCs w:val="18"/>
          <w:color w:val="auto"/>
        </w:rPr>
        <w:t>” shall mean, for any period, the net revenues of Borrower and its Restricted Subsidiaries, as set forth on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xml:space="preserve">” shall have the meaning provided in Section </w:t>
      </w:r>
      <w:r>
        <w:rPr>
          <w:rFonts w:ascii="Times New Roman" w:cs="Times New Roman" w:eastAsia="Times New Roman" w:hAnsi="Times New Roman"/>
          <w:sz w:val="18"/>
          <w:szCs w:val="18"/>
          <w:b w:val="1"/>
          <w:bCs w:val="1"/>
          <w:color w:val="FF0000"/>
          <w:strike w:val="1"/>
        </w:rPr>
        <w:t>2.03</w:t>
      </w:r>
      <w:r>
        <w:rPr>
          <w:rFonts w:ascii="Times New Roman" w:cs="Times New Roman" w:eastAsia="Times New Roman" w:hAnsi="Times New Roman"/>
          <w:sz w:val="18"/>
          <w:szCs w:val="18"/>
          <w:b w:val="1"/>
          <w:bCs w:val="1"/>
          <w:u w:val="single" w:color="auto"/>
          <w:color w:val="0000FF"/>
        </w:rPr>
        <w:t>2.01</w:t>
      </w:r>
      <w:r>
        <w:rPr>
          <w:rFonts w:ascii="Times New Roman" w:cs="Times New Roman" w:eastAsia="Times New Roman" w:hAnsi="Times New Roman"/>
          <w:sz w:val="18"/>
          <w:szCs w:val="18"/>
          <w:color w:val="auto"/>
        </w:rPr>
        <w:t>(c)(ii).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Non-Extension Notice Date</w:t>
      </w:r>
      <w:r>
        <w:rPr>
          <w:rFonts w:ascii="Times New Roman" w:cs="Times New Roman" w:eastAsia="Times New Roman" w:hAnsi="Times New Roman"/>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shall mean the Revolving Notes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the Term Facility Notes </w:t>
      </w:r>
      <w:r>
        <w:rPr>
          <w:rFonts w:ascii="Times New Roman" w:cs="Times New Roman" w:eastAsia="Times New Roman" w:hAnsi="Times New Roman"/>
          <w:sz w:val="18"/>
          <w:szCs w:val="18"/>
          <w:b w:val="1"/>
          <w:bCs w:val="1"/>
          <w:u w:val="single" w:color="auto"/>
          <w:color w:val="0000FF"/>
        </w:rPr>
        <w:t>and the Term Facility II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xml:space="preserve">” shall mean a notice of borrowing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is reasonably acceptable to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Continuation/Conversion</w:t>
      </w:r>
      <w:r>
        <w:rPr>
          <w:rFonts w:ascii="Times New Roman" w:cs="Times New Roman" w:eastAsia="Times New Roman" w:hAnsi="Times New Roman"/>
          <w:sz w:val="18"/>
          <w:szCs w:val="18"/>
          <w:color w:val="auto"/>
        </w:rPr>
        <w:t xml:space="preserve">” shall mean a notice of continuation/conversion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is reasonably acceptable to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has the meaning specified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has the meaning set forth in Section 13.15(a).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 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has the meaning set forth in Section 8.22(b)(v).</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96" w:right="239" w:bottom="1440" w:gutter="0" w:footer="0" w:header="0"/>
        </w:sectPr>
      </w:pPr>
    </w:p>
    <w:bookmarkStart w:id="139" w:name="page140"/>
    <w:bookmarkEnd w:id="139"/>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Market Assignment and Assumption Agreement</w:t>
      </w:r>
      <w:r>
        <w:rPr>
          <w:rFonts w:ascii="Times New Roman" w:cs="Times New Roman" w:eastAsia="Times New Roman" w:hAnsi="Times New Roman"/>
          <w:sz w:val="18"/>
          <w:szCs w:val="18"/>
          <w:color w:val="auto"/>
        </w:rPr>
        <w:t xml:space="preserve">” shall mean an Open Market Assignment and Assumption Agreement substantially in the form attached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w:t>
      </w:r>
      <w:r>
        <w:rPr>
          <w:rFonts w:ascii="Times New Roman" w:cs="Times New Roman" w:eastAsia="Times New Roman" w:hAnsi="Times New Roman"/>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shall mean Indebtedness incurred pursuant to Section 10.01(c), (e), (h), (k), (n), (p), (q) and (u).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Commitments</w:t>
      </w:r>
      <w:r>
        <w:rPr>
          <w:rFonts w:ascii="Times New Roman" w:cs="Times New Roman" w:eastAsia="Times New Roman" w:hAnsi="Times New Roman"/>
          <w:sz w:val="18"/>
          <w:szCs w:val="18"/>
          <w:color w:val="auto"/>
        </w:rPr>
        <w:t>” shall mean the Other Term Loan Commitments and Other Revolving Commitments.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Credit Document).</w:t>
      </w:r>
    </w:p>
    <w:p>
      <w:pPr>
        <w:spacing w:after="0" w:line="17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First Lien Indebtedness</w:t>
      </w:r>
      <w:r>
        <w:rPr>
          <w:rFonts w:ascii="Times New Roman" w:cs="Times New Roman" w:eastAsia="Times New Roman" w:hAnsi="Times New Roman"/>
          <w:sz w:val="18"/>
          <w:szCs w:val="18"/>
          <w:color w:val="auto"/>
        </w:rPr>
        <w:t xml:space="preserve">” shall mean outstanding Indebtedness that is not incurred under this Agreement and that (a)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and (b) is Permitted First Priority Refinancing Debt or Permitted First Lien Indebtedness.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Junior Indebtedness</w:t>
      </w:r>
      <w:r>
        <w:rPr>
          <w:rFonts w:ascii="Times New Roman" w:cs="Times New Roman" w:eastAsia="Times New Roman" w:hAnsi="Times New Roman"/>
          <w:sz w:val="18"/>
          <w:szCs w:val="18"/>
          <w:color w:val="auto"/>
        </w:rPr>
        <w:t>” shall mean Permitted Unsecured Indebtedness, Permitted Second Lien Indebtedness, Permitted Unsecured Refinancing Debt or Permitted Second Priority Refinancing Debt that is secured by a Lien on Collateral junior to the Liens securing the Obligations or that is unsecured.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Revolving Commitments</w:t>
      </w:r>
      <w:r>
        <w:rPr>
          <w:rFonts w:ascii="Times New Roman" w:cs="Times New Roman" w:eastAsia="Times New Roman" w:hAnsi="Times New Roman"/>
          <w:sz w:val="18"/>
          <w:szCs w:val="18"/>
          <w:color w:val="auto"/>
        </w:rPr>
        <w:t>” shall mean one or more Tranches of revolving credit commitments hereunder that result from a Refinancing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Revolving Loans</w:t>
      </w:r>
      <w:r>
        <w:rPr>
          <w:rFonts w:ascii="Times New Roman" w:cs="Times New Roman" w:eastAsia="Times New Roman" w:hAnsi="Times New Roman"/>
          <w:sz w:val="18"/>
          <w:szCs w:val="18"/>
          <w:color w:val="auto"/>
        </w:rPr>
        <w:t>” shall mean one or more Tranches of Revolving Loans that result from a Refinancing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has the meaning set forth in Section 5.06(e).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Term Loan Commitments</w:t>
      </w:r>
      <w:r>
        <w:rPr>
          <w:rFonts w:ascii="Times New Roman" w:cs="Times New Roman" w:eastAsia="Times New Roman" w:hAnsi="Times New Roman"/>
          <w:sz w:val="18"/>
          <w:szCs w:val="18"/>
          <w:color w:val="auto"/>
        </w:rPr>
        <w:t>” shall mean one or more Tranches of term loan commitments hereunder that result from a Refinancing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Term Loans</w:t>
      </w:r>
      <w:r>
        <w:rPr>
          <w:rFonts w:ascii="Times New Roman" w:cs="Times New Roman" w:eastAsia="Times New Roman" w:hAnsi="Times New Roman"/>
          <w:sz w:val="18"/>
          <w:szCs w:val="18"/>
          <w:color w:val="auto"/>
        </w:rPr>
        <w:t>” shall mean one or more Tranches of Term Loans that result from a Refinancing Amendment.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92" w:right="239" w:bottom="1440" w:gutter="0" w:footer="0" w:header="0"/>
        </w:sectPr>
      </w:pPr>
    </w:p>
    <w:bookmarkStart w:id="140" w:name="page141"/>
    <w:bookmarkEnd w:id="140"/>
    <w:p>
      <w:pPr>
        <w:jc w:val="both"/>
        <w:spacing w:after="0" w:line="258" w:lineRule="auto"/>
        <w:rPr>
          <w:sz w:val="20"/>
          <w:szCs w:val="20"/>
          <w:color w:val="auto"/>
        </w:rPr>
      </w:pPr>
      <w:r>
        <w:rPr>
          <w:rFonts w:ascii="Times New Roman" w:cs="Times New Roman" w:eastAsia="Times New Roman" w:hAnsi="Times New Roman"/>
          <w:sz w:val="18"/>
          <w:szCs w:val="18"/>
          <w:color w:val="auto"/>
        </w:rPr>
        <w:t>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the Administrative Agent). For purposes of this definition, “</w:t>
      </w:r>
      <w:r>
        <w:rPr>
          <w:rFonts w:ascii="Times New Roman" w:cs="Times New Roman" w:eastAsia="Times New Roman" w:hAnsi="Times New Roman"/>
          <w:sz w:val="18"/>
          <w:szCs w:val="18"/>
          <w:b w:val="1"/>
          <w:bCs w:val="1"/>
          <w:color w:val="auto"/>
        </w:rPr>
        <w:t>Unasserted Obligations</w:t>
      </w:r>
      <w:r>
        <w:rPr>
          <w:rFonts w:ascii="Times New Roman" w:cs="Times New Roman" w:eastAsia="Times New Roman" w:hAnsi="Times New Roman"/>
          <w:sz w:val="18"/>
          <w:szCs w:val="18"/>
          <w:color w:val="auto"/>
        </w:rPr>
        <w:t>” shall mean, at any time, contingent indemnity obligations in respect of which no claim or demand for payment has been made at such time.</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R</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set forth in Section 13.05(a).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Pass Through Entity</w:t>
      </w:r>
      <w:r>
        <w:rPr>
          <w:rFonts w:ascii="Times New Roman" w:cs="Times New Roman" w:eastAsia="Times New Roman" w:hAnsi="Times New Roman"/>
          <w:sz w:val="18"/>
          <w:szCs w:val="18"/>
          <w:color w:val="auto"/>
        </w:rPr>
        <w:t>” means an entity treated as a partnership or a disregarded entity for U.S. federal, state and/or local income tax purposes,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any Company is reasonably likely to incur liability under Title IV of ERISA.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that certain Perfection Certificate, dated as of the Closing Date (the “</w:t>
      </w:r>
      <w:r>
        <w:rPr>
          <w:rFonts w:ascii="Times New Roman" w:cs="Times New Roman" w:eastAsia="Times New Roman" w:hAnsi="Times New Roman"/>
          <w:sz w:val="18"/>
          <w:szCs w:val="18"/>
          <w:b w:val="1"/>
          <w:bCs w:val="1"/>
          <w:color w:val="auto"/>
        </w:rPr>
        <w:t>Initial Perfection Certificate</w:t>
      </w:r>
      <w:r>
        <w:rPr>
          <w:rFonts w:ascii="Times New Roman" w:cs="Times New Roman" w:eastAsia="Times New Roman" w:hAnsi="Times New Roman"/>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Section 9.04(h)(ii).</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has the meaning set forth in Section 8.15.</w:t>
      </w:r>
    </w:p>
    <w:p>
      <w:pPr>
        <w:spacing w:after="0" w:line="25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shall mean (x) the acquisition of the Wynn Las Vegas Entities by Borrower pursuant to the Wynn Las Vegas Reorganization and (y) from and after the earlier of the Wynn Las Vegas Reorganization and the Wynn Massachusetts Project Opening Date, any other acquisition, whether by purchase, merger, consolidation or otherwise, by Borrower or any of its Restricted Subsidiaries of all or substantially all of the business, property or assets of, or Equity Interests in, a Person or any division or line of business of a Person so long as (with respect to this clause (y) only)</w:t>
      </w:r>
    </w:p>
    <w:p>
      <w:pPr>
        <w:spacing w:after="0" w:line="2" w:lineRule="exact"/>
        <w:rPr>
          <w:sz w:val="20"/>
          <w:szCs w:val="20"/>
          <w:color w:val="auto"/>
        </w:rPr>
      </w:pPr>
    </w:p>
    <w:p>
      <w:pPr>
        <w:jc w:val="both"/>
        <w:ind w:firstLine="8"/>
        <w:spacing w:after="0" w:line="302" w:lineRule="auto"/>
        <w:tabs>
          <w:tab w:leader="none" w:pos="2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(A) prior to the Initial Test Date, immediately after giving effect thereto the Consolidated Senior Secured Net Leverage Ratio calculated on a Pro Forma Basis shall not exceed 2.50 to 1.00 as of the most recent Calculation Date, and (B) from and after the Initial Test Date,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Section 10.11, and (c) with respect to a Permitted Acquisition in excess of $50.0 million, Borrower has delivered to Administrative Agent an Officer’s Certificate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96"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to the effect set forth in clauses (a) through (c) above, together with all relevant financial information for the Person or assets to be acquired.</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w:t>
      </w:r>
      <w:r>
        <w:rPr>
          <w:rFonts w:ascii="Times New Roman" w:cs="Times New Roman" w:eastAsia="Times New Roman" w:hAnsi="Times New Roman"/>
          <w:sz w:val="18"/>
          <w:szCs w:val="18"/>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 Assets</w:t>
      </w:r>
      <w:r>
        <w:rPr>
          <w:rFonts w:ascii="Times New Roman" w:cs="Times New Roman" w:eastAsia="Times New Roman" w:hAnsi="Times New Roman"/>
          <w:sz w:val="18"/>
          <w:szCs w:val="18"/>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in each case, as determined by Borrower’s Board of Directors or a Responsible Officer or other management of Borrower or the Restricted Subsidiary acquiring such assets, in each case, in its good faith judgment.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First Lien Indebtedness</w:t>
      </w:r>
      <w:r>
        <w:rPr>
          <w:rFonts w:ascii="Times New Roman" w:cs="Times New Roman" w:eastAsia="Times New Roman" w:hAnsi="Times New Roman"/>
          <w:sz w:val="18"/>
          <w:szCs w:val="18"/>
          <w:color w:val="auto"/>
        </w:rPr>
        <w:t xml:space="preserve">” shall mean any Indebtedness of Borrower (and Contingent Obligations of the Guarantors in respect thereof) that (a)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the Liens securing the Obligations and the obligations in respect of any Permitted First Priority Refinancing Debt and is not secured by any property or assets of Borrower or any Restricted Subsidiary other than the Collateral, (b) the holders of such Indebtedness (or their representative) and Administrative Agent shall be party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(c) is not scheduled to mature prior to the Final Maturity Date then in effect at the time of issuance (excluding bridge facilities allowing extensions on customary terms to at least such Final Maturity Date), (d) is not at any time guaranteed by any Subsidiaries other than Subsidiaries that are Guarantors, (e) the terms (excluding pricing, fees, rate floors, premiums, optional prepayment or optional redemption provisions) of which are (as determined by Borrower in good faith), taken as a whole, not materially more restrictive than the terms set forth in this Agreement (other than, in the case of any bridge facility, covenants, defaults and remedy provisions customary for bridge financings) and (f) other than in the case of a revolving credit facility, does not have a Weighted Average Life to Maturity (excluding the effects of any prepayments of Term Loans reducing amortization) that is shorter than that of any outstanding Term Loans (excluding bridge facilities allowing extensions on customary terms at least to such Final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Weighted Average Life to Maturity may be shorter if the stated maturity of any principal payment (including any amortization payments) is not earlier than the earlier of (i) the stated maturity of any then-outstanding Term Loans or (ii) the Final Maturity Date then in effect at the time of issuance or incurrence) (excluding bridge facilities allowing extensions on customary terms at least to such Final Maturity Date).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First Priority Refinancing Debt</w:t>
      </w:r>
      <w:r>
        <w:rPr>
          <w:rFonts w:ascii="Times New Roman" w:cs="Times New Roman" w:eastAsia="Times New Roman" w:hAnsi="Times New Roman"/>
          <w:sz w:val="18"/>
          <w:szCs w:val="18"/>
          <w:color w:val="auto"/>
        </w:rPr>
        <w:t xml:space="preserve">” shall mean any secured Indebtedness incurred by Borrower (and Contingent Obligations of the Guarantors in respect thereof) in the form of one or more series of senior secured notes or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Junior Debt Conditions</w:t>
      </w:r>
      <w:r>
        <w:rPr>
          <w:rFonts w:ascii="Times New Roman" w:cs="Times New Roman" w:eastAsia="Times New Roman" w:hAnsi="Times New Roman"/>
          <w:sz w:val="18"/>
          <w:szCs w:val="18"/>
          <w:color w:val="auto"/>
        </w:rPr>
        <w:t>” shall mean that such applicable debt (i) does not have a scheduled maturity date prior to the date that is 91 days after the Final Maturity Date then in effect at the time of issuance (excluding bridge facilities allowing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allowing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ninety-one (91) days after the Final Maturity Date then in effect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96" w:right="239" w:bottom="1440" w:gutter="0" w:footer="0" w:header="0"/>
        </w:sectPr>
      </w:pPr>
    </w:p>
    <w:bookmarkStart w:id="142" w:name="page143"/>
    <w:bookmarkEnd w:id="142"/>
    <w:p>
      <w:pPr>
        <w:jc w:val="both"/>
        <w:spacing w:after="0" w:line="282" w:lineRule="auto"/>
        <w:rPr>
          <w:sz w:val="20"/>
          <w:szCs w:val="20"/>
          <w:color w:val="auto"/>
        </w:rPr>
      </w:pPr>
      <w:r>
        <w:rPr>
          <w:rFonts w:ascii="Times New Roman" w:cs="Times New Roman" w:eastAsia="Times New Roman" w:hAnsi="Times New Roman"/>
          <w:sz w:val="18"/>
          <w:szCs w:val="18"/>
          <w:color w:val="auto"/>
        </w:rPr>
        <w:t>at the time of issuance (excluding bridge facilities allowing extensions on customary terms to at least ninety-one (91) days after such Final Maturity Date) and (iv) is not at any time guaranteed by any Subsidiaries other than Subsidiaries that are Guarantors.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has the meaning set forth in Section 10.02.</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shall mean, with respect to any Indebtedness, any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Default or Event of Default shall have occurred and be continuing or would arise therefrom; (b) any such refinancing Indebtedness shall (i) not have a stated maturity or, other than in the case of a revolving credit facility, a Weighted Average Life to Maturity that is shorter than that of the Indebtedness being refinanced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premium or other payment required to be paid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fees and expenses of Borrower or any of its Restricted Subsidiaries incurred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unutilized commitments thereunder; and (c) the obligors on such refinancing Indebtedness shall be the obligors on such Indebtedness being refinanced (other than in the case of the Wynn Las Vegas Notes, in which case the obligors may be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borrower of the refinancing indebtedness shall be Borrower or the borrower of the indebtedness being refinanced and (ii) any Credit Party shall be permitted to guarantee any such refinancing Indebtedness of any other Credit Party</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Second Lien Indebtedness</w:t>
      </w:r>
      <w:r>
        <w:rPr>
          <w:rFonts w:ascii="Times New Roman" w:cs="Times New Roman" w:eastAsia="Times New Roman" w:hAnsi="Times New Roman"/>
          <w:sz w:val="18"/>
          <w:szCs w:val="18"/>
          <w:color w:val="auto"/>
        </w:rPr>
        <w:t>” shall mean any Indebtedness of Borrower (and Contingent Obligations of the Guarantors in respect thereof) that (a)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meets the Permitted Junior Debt Conditions and (c) the holders of such Indebtedness (or their representative) shall be party to the Second Lien Intercreditor Agreement (as “Second Priority Debt Parties”) with the Administrative Agent.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Second Priority Refinancing Debt</w:t>
      </w:r>
      <w:r>
        <w:rPr>
          <w:rFonts w:ascii="Times New Roman" w:cs="Times New Roman" w:eastAsia="Times New Roman" w:hAnsi="Times New Roman"/>
          <w:sz w:val="18"/>
          <w:szCs w:val="18"/>
          <w:color w:val="auto"/>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such Indebtedness constitutes Credit Agreement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Indebtedness may be secured by a Lien on the Collateral that is junior to the Liens securing the Obligations and the obligations in respect of any Permitted First Priority Refinancing Debt and Permitted First Lien Indebtedness, notwithstanding any provision to the contrary contained in the definition of “Credit Agreement Refinancing Indebtedness”), (c) the holders of such Indebtedness (or their representative) shall be party to the Second Lien Intercreditor Agreement (as “Second Priority Debt Parties”) with the Administrative Agent and (d) meets the Permitted Junior Debt Conditions.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Unsecured Indebtedness</w:t>
      </w:r>
      <w:r>
        <w:rPr>
          <w:rFonts w:ascii="Times New Roman" w:cs="Times New Roman" w:eastAsia="Times New Roman" w:hAnsi="Times New Roman"/>
          <w:sz w:val="18"/>
          <w:szCs w:val="18"/>
          <w:color w:val="auto"/>
        </w:rPr>
        <w:t>” shall mean any unsecured Indebtedness of Borrower (and Contingent Obligations of the Guarantors in respect thereof) that meets the Permitted Junior Debt Conditions or is Junior Financing. For the avoidance of doubt, Disqualified Capital Stock shall not constitute Permitted Unsecured Indebtedness.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Unsecured Refinancing Debt</w:t>
      </w:r>
      <w:r>
        <w:rPr>
          <w:rFonts w:ascii="Times New Roman" w:cs="Times New Roman" w:eastAsia="Times New Roman" w:hAnsi="Times New Roman"/>
          <w:sz w:val="18"/>
          <w:szCs w:val="18"/>
          <w:color w:val="auto"/>
        </w:rPr>
        <w:t xml:space="preserve">” shall mean unsecured Indebtedness incurred by Borrower or its Restricted Subsidiaries in the form of one or more series of senior unsecured notes or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constitutes Credit Agreement Refinancing Indebtedness and (b) meets the Permitted Junior Debt Conditions.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96" w:right="239" w:bottom="1440" w:gutter="0" w:footer="0" w:header="0"/>
        </w:sectPr>
      </w:pPr>
    </w:p>
    <w:bookmarkStart w:id="143" w:name="page144"/>
    <w:bookmarkEnd w:id="14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company, association, partnership, limited liability company, joint venture, trust, unincorporated organization or Governmental Authority or any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Equity Contribution</w:t>
      </w:r>
      <w:r>
        <w:rPr>
          <w:rFonts w:ascii="Times New Roman" w:cs="Times New Roman" w:eastAsia="Times New Roman" w:hAnsi="Times New Roman"/>
          <w:sz w:val="18"/>
          <w:szCs w:val="18"/>
          <w:color w:val="auto"/>
        </w:rPr>
        <w:t>” shall mean all equity contributions and/or Intercompany Contribution Indebtedness made by Wynn Resorts or any of its Affiliates (other than Borrower or its Restricted Subsidiaries) to Borrower and its Restricted Subsidiaries on or after the Closing Date and all amounts distributed from the Wynn Las Vegas Entities to the Credit Parties on or after the Wynn Las Vegas Reorganization.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Post-Increase Revolving Lenders</w:t>
      </w:r>
      <w:r>
        <w:rPr>
          <w:rFonts w:ascii="Times New Roman" w:cs="Times New Roman" w:eastAsia="Times New Roman" w:hAnsi="Times New Roman"/>
          <w:sz w:val="18"/>
          <w:szCs w:val="18"/>
          <w:color w:val="auto"/>
        </w:rPr>
        <w:t>” has the meaning set forth in Section 2.12(d).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Post-Refinancing Revolving Lenders</w:t>
      </w:r>
      <w:r>
        <w:rPr>
          <w:rFonts w:ascii="Times New Roman" w:cs="Times New Roman" w:eastAsia="Times New Roman" w:hAnsi="Times New Roman"/>
          <w:sz w:val="18"/>
          <w:szCs w:val="18"/>
          <w:color w:val="auto"/>
        </w:rPr>
        <w:t>” has the meaning set forth in Section 2.15(f).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Equity Contributions</w:t>
      </w:r>
      <w:r>
        <w:rPr>
          <w:rFonts w:ascii="Times New Roman" w:cs="Times New Roman" w:eastAsia="Times New Roman" w:hAnsi="Times New Roman"/>
          <w:sz w:val="18"/>
          <w:szCs w:val="18"/>
          <w:color w:val="auto"/>
        </w:rPr>
        <w:t>” shall mean equity contributions and/or Intercompany Contribution Indebtedness made by Wynn Resorts or any of its Affiliates (other than Borrower or its Restricted Subsidiaries) to Borrower and its Restricted Subsidiaries prior to the Closing Date in the amount of $260.0 million.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Pre-Increase Revolving Lenders</w:t>
      </w:r>
      <w:r>
        <w:rPr>
          <w:rFonts w:ascii="Times New Roman" w:cs="Times New Roman" w:eastAsia="Times New Roman" w:hAnsi="Times New Roman"/>
          <w:sz w:val="18"/>
          <w:szCs w:val="18"/>
          <w:color w:val="auto"/>
        </w:rPr>
        <w:t>” has the meaning set forth in Section 2.12(d).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Pre-Opening Expenses</w:t>
      </w:r>
      <w:r>
        <w:rPr>
          <w:rFonts w:ascii="Times New Roman" w:cs="Times New Roman" w:eastAsia="Times New Roman" w:hAnsi="Times New Roman"/>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Subsidiaries for such period.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Pre-Refinancing Revolving Lenders</w:t>
      </w:r>
      <w:r>
        <w:rPr>
          <w:rFonts w:ascii="Times New Roman" w:cs="Times New Roman" w:eastAsia="Times New Roman" w:hAnsi="Times New Roman"/>
          <w:sz w:val="18"/>
          <w:szCs w:val="18"/>
          <w:color w:val="auto"/>
        </w:rPr>
        <w:t>” has the meaning set forth in Section 2.15(f).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Asset</w:t>
      </w:r>
      <w:r>
        <w:rPr>
          <w:rFonts w:ascii="Times New Roman" w:cs="Times New Roman" w:eastAsia="Times New Roman" w:hAnsi="Times New Roman"/>
          <w:sz w:val="18"/>
          <w:szCs w:val="18"/>
          <w:color w:val="auto"/>
        </w:rPr>
        <w:t>” shall mean each of the Wynn Massachusetts Project and, from and after the Wynn Las Vegas Reorganization, the Wynn Las Vegas Resort and the Encore at Wynn Las Vegas.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Mortgage Liens</w:t>
      </w:r>
      <w:r>
        <w:rPr>
          <w:rFonts w:ascii="Times New Roman" w:cs="Times New Roman" w:eastAsia="Times New Roman" w:hAnsi="Times New Roman"/>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shall mean, with respect to compliance with any test or covenant or calculation of any ratio hereunder, the determination or calculation of such test, covenant or ratio (including in connection with Specified Transactions) in accordance with Section 1.06.</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w:t>
      </w:r>
      <w:r>
        <w:rPr>
          <w:rFonts w:ascii="Times New Roman" w:cs="Times New Roman" w:eastAsia="Times New Roman" w:hAnsi="Times New Roman"/>
          <w:sz w:val="18"/>
          <w:szCs w:val="18"/>
          <w:color w:val="auto"/>
        </w:rPr>
        <w:t>”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93" w:right="239" w:bottom="1440" w:gutter="0" w:footer="0" w:header="0"/>
        </w:sectPr>
      </w:pPr>
    </w:p>
    <w:bookmarkStart w:id="144" w:name="page145"/>
    <w:bookmarkEnd w:id="144"/>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any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is incurred (except in the case of a refinancing) within 270 days after such acquisition of such Property or the incurrence of such costs by such Person.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shall mean, with respect to any Person, any Equity Interests of such Person which is not Disqualified Capital Stock.</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Contingent Obligation</w:t>
      </w:r>
      <w:r>
        <w:rPr>
          <w:rFonts w:ascii="Times New Roman" w:cs="Times New Roman" w:eastAsia="Times New Roman" w:hAnsi="Times New Roman"/>
          <w:sz w:val="18"/>
          <w:szCs w:val="18"/>
          <w:color w:val="auto"/>
        </w:rPr>
        <w:t>” shall mean Contingent Obligations permitted by Section 10.04 in respect of (a) Indebtedness of any Joint Venture in which Borrower or any of its Restricted Subsidiaries owns (directly or indirectly) at least 25% of the Equity Interest of such Joint Venture or (b) Indebtedness of Facilities (and properties ancillary or related thereto) with respect to which Borrower or any of its Restricted Subsidiaries has (directly or indirectly through Subsidiaries) entered into a management or similar contract and such contract remains in full force and effect at the time such Contingent Obligations are incurred.</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ECP Guarantor</w:t>
      </w:r>
      <w:r>
        <w:rPr>
          <w:rFonts w:ascii="Times New Roman" w:cs="Times New Roman" w:eastAsia="Times New Roman" w:hAnsi="Times New Roman"/>
          <w:sz w:val="18"/>
          <w:szCs w:val="18"/>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Act of Terrorism</w:t>
      </w:r>
      <w:r>
        <w:rPr>
          <w:rFonts w:ascii="Times New Roman" w:cs="Times New Roman" w:eastAsia="Times New Roman" w:hAnsi="Times New Roman"/>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establishment in any market in which Borrower or any of its Affiliates operates a Facility.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Project</w:t>
      </w:r>
      <w:r>
        <w:rPr>
          <w:rFonts w:ascii="Times New Roman" w:cs="Times New Roman" w:eastAsia="Times New Roman" w:hAnsi="Times New Roman"/>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Project and the Wynn Massachusetts Project shall count as separate projects.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Dates</w:t>
      </w:r>
      <w:r>
        <w:rPr>
          <w:rFonts w:ascii="Times New Roman" w:cs="Times New Roman" w:eastAsia="Times New Roman" w:hAnsi="Times New Roman"/>
          <w:sz w:val="18"/>
          <w:szCs w:val="18"/>
          <w:color w:val="auto"/>
        </w:rPr>
        <w:t>” shall mean the last Business Day of each Quarter in each year, commencing with the last Business Day of the first full Quarter after the Closing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 Maturity Date</w:t>
      </w:r>
      <w:r>
        <w:rPr>
          <w:rFonts w:ascii="Times New Roman" w:cs="Times New Roman" w:eastAsia="Times New Roman" w:hAnsi="Times New Roman"/>
          <w:sz w:val="18"/>
          <w:szCs w:val="18"/>
          <w:color w:val="auto"/>
        </w:rPr>
        <w:t>” shall mean, (a) with respect to the Closing Date Revolving Commitments, the date that is the fifth anniversary of the Closing Date and (b) with respect to any other Tranche of Revolving Commitments and Revolving Loans, the maturity date set forth therefor in the applicable Extension Amendment or Refinancing Amendment.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 Percentage</w:t>
      </w:r>
      <w:r>
        <w:rPr>
          <w:rFonts w:ascii="Times New Roman" w:cs="Times New Roman" w:eastAsia="Times New Roman" w:hAnsi="Times New Roman"/>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18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shall mean, as to any Person, all the right, title and interest of such Person in and to land, improvements and appurtenant fixtures, including leaseholds.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redeem</w:t>
      </w:r>
      <w:r>
        <w:rPr>
          <w:rFonts w:ascii="Times New Roman" w:cs="Times New Roman" w:eastAsia="Times New Roman" w:hAnsi="Times New Roman"/>
          <w:sz w:val="18"/>
          <w:szCs w:val="18"/>
          <w:color w:val="auto"/>
        </w:rPr>
        <w:t>” shall mean redeem, repurchase, repay, defease (covenant or legal), Discharge or otherwise acquire or retire for value; and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redeemed</w:t>
      </w:r>
      <w:r>
        <w:rPr>
          <w:rFonts w:ascii="Times New Roman" w:cs="Times New Roman" w:eastAsia="Times New Roman" w:hAnsi="Times New Roman"/>
          <w:sz w:val="18"/>
          <w:szCs w:val="18"/>
          <w:color w:val="auto"/>
        </w:rPr>
        <w:t>” have correlative meanings.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Redesignation</w:t>
      </w:r>
      <w:r>
        <w:rPr>
          <w:rFonts w:ascii="Times New Roman" w:cs="Times New Roman" w:eastAsia="Times New Roman" w:hAnsi="Times New Roman"/>
          <w:sz w:val="18"/>
          <w:szCs w:val="18"/>
          <w:color w:val="auto"/>
        </w:rPr>
        <w:t>” has the meaning set forth in Section 9.13(a).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94" w:right="239" w:bottom="1440" w:gutter="0" w:footer="0" w:header="0"/>
        </w:sectPr>
      </w:pPr>
    </w:p>
    <w:bookmarkStart w:id="145" w:name="page146"/>
    <w:bookmarkEnd w:id="14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have correlative meanings.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shall mean an amendment to this Agreement in form and substance reasonably satisfactory to Administrative Agent and Borrower executed by each of (a) Borrower, (b) Administrative Agent, (c) each additional Lender and each existing Lender that agrees to provide any portion of the Credit Agreement Refinancing Indebtedness being incurred pursuant thereto, in accordance with Section 2.15.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set forth in Section 2.08(c).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shall mean the obligations of Borrower to reimburse L/C Disbursements in respect of any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has the meaning set forth in Section 13.03(b).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Four Fiscal Quarter Period</w:t>
      </w:r>
      <w:r>
        <w:rPr>
          <w:rFonts w:ascii="Times New Roman" w:cs="Times New Roman" w:eastAsia="Times New Roman" w:hAnsi="Times New Roman"/>
          <w:sz w:val="18"/>
          <w:szCs w:val="18"/>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has the meaning set forth in Section 12.06(b).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Lender</w:t>
      </w:r>
      <w:r>
        <w:rPr>
          <w:rFonts w:ascii="Times New Roman" w:cs="Times New Roman" w:eastAsia="Times New Roman" w:hAnsi="Times New Roman"/>
          <w:sz w:val="18"/>
          <w:szCs w:val="18"/>
          <w:color w:val="auto"/>
        </w:rPr>
        <w:t>” has the meaning set forth in Section 2.11(a).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has the meaning set forth in Section 2.11(a).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92" w:right="239" w:bottom="1440" w:gutter="0" w:footer="0" w:header="0"/>
        </w:sectPr>
      </w:pPr>
    </w:p>
    <w:bookmarkStart w:id="146" w:name="page147"/>
    <w:bookmarkEnd w:id="146"/>
    <w:p>
      <w:pPr>
        <w:jc w:val="both"/>
        <w:spacing w:after="0" w:line="266" w:lineRule="auto"/>
        <w:rPr>
          <w:sz w:val="20"/>
          <w:szCs w:val="20"/>
          <w:color w:val="auto"/>
        </w:rPr>
      </w:pPr>
      <w:r>
        <w:rPr>
          <w:rFonts w:ascii="Times New Roman" w:cs="Times New Roman" w:eastAsia="Times New Roman" w:hAnsi="Times New Roman"/>
          <w:sz w:val="18"/>
          <w:szCs w:val="18"/>
          <w:color w:val="auto"/>
        </w:rPr>
        <w:t>of (i) 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Tranche Lenders</w:t>
      </w:r>
      <w:r>
        <w:rPr>
          <w:rFonts w:ascii="Times New Roman" w:cs="Times New Roman" w:eastAsia="Times New Roman" w:hAnsi="Times New Roman"/>
          <w:sz w:val="18"/>
          <w:szCs w:val="18"/>
          <w:color w:val="auto"/>
        </w:rPr>
        <w:t xml:space="preserve">” shall mean: (a) with respect to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Term </w:t>
      </w:r>
      <w:r>
        <w:rPr>
          <w:rFonts w:ascii="Times New Roman" w:cs="Times New Roman" w:eastAsia="Times New Roman" w:hAnsi="Times New Roman"/>
          <w:sz w:val="18"/>
          <w:szCs w:val="18"/>
          <w:b w:val="1"/>
          <w:bCs w:val="1"/>
          <w:color w:val="FF0000"/>
          <w:strike w:val="1"/>
        </w:rPr>
        <w:t>Facility Loans,</w:t>
      </w:r>
      <w:r>
        <w:rPr>
          <w:rFonts w:ascii="Times New Roman" w:cs="Times New Roman" w:eastAsia="Times New Roman" w:hAnsi="Times New Roman"/>
          <w:sz w:val="18"/>
          <w:szCs w:val="18"/>
          <w:b w:val="1"/>
          <w:bCs w:val="1"/>
          <w:u w:val="single" w:color="auto"/>
          <w:color w:val="0000FF"/>
        </w:rPr>
        <w:t>Loans, Non-Defaulting 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having more than 50% of the aggregate sum of the Term Facility Loans, Term Facility II Loans, unutilized Term Facility Commitments and unutilized Term Facility II Commitments of all Non-Defaulting Lenders then outstanding; (c) with respect to Term Facility 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Non-Defaulting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having more than 50% of the aggregate sum of the Term Facility Loans and unutilized Term Facility Commitments of all Non-Defaulting Lenders then outstanding; (</w:t>
      </w:r>
      <w:r>
        <w:rPr>
          <w:rFonts w:ascii="Times New Roman" w:cs="Times New Roman" w:eastAsia="Times New Roman" w:hAnsi="Times New Roman"/>
          <w:sz w:val="18"/>
          <w:szCs w:val="18"/>
          <w:b w:val="1"/>
          <w:bCs w:val="1"/>
          <w:color w:val="FF0000"/>
          <w:strike w:val="1"/>
        </w:rPr>
        <w:t>c) with respect to Tranche A Term Facility Commitments, Non-Defaulting Lenders having more than 50% of the aggregate sum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the unutilized Tranche A Term Facility Commitments of all Non-Defaulting Lenders then outstanding; (d) with respect to Tranche B Term Facility Commitments, Non-Defaulting Lenders having more than 50% of the aggregate sum of the unutilized Tranche B Term Facility Commitments of all Non-Defaulting Lenders then outstanding; (e) with respect to Tranche C Term Facility Commitments, Non-Defaulting Lenders having more than 50% of the aggregate sum of the unutilized Tranche C Term Facility Commitments of all Non-Defaulting Lenders then outstanding; (f) with respect</w:t>
      </w:r>
      <w:r>
        <w:rPr>
          <w:rFonts w:ascii="Times New Roman" w:cs="Times New Roman" w:eastAsia="Times New Roman" w:hAnsi="Times New Roman"/>
          <w:sz w:val="18"/>
          <w:szCs w:val="18"/>
          <w:b w:val="1"/>
          <w:bCs w:val="1"/>
          <w:u w:val="single" w:color="auto"/>
          <w:color w:val="0000FF"/>
          <w:strike w:val="1"/>
        </w:rPr>
        <w:t>d) with respect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to Tranche D Term Facility Commitments, Non-Defaulting Lenders having more than 50% of the aggregate sum of the unutilized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Tranche D Term Facility Commitments of all Non-Defaulting Lenders then outstanding; (</w:t>
      </w:r>
      <w:r>
        <w:rPr>
          <w:rFonts w:ascii="Times New Roman" w:cs="Times New Roman" w:eastAsia="Times New Roman" w:hAnsi="Times New Roman"/>
          <w:sz w:val="18"/>
          <w:szCs w:val="18"/>
          <w:b w:val="1"/>
          <w:bCs w:val="1"/>
          <w:color w:val="FF0000"/>
          <w:strike w:val="1"/>
        </w:rPr>
        <w:t>g</w:t>
      </w:r>
      <w:r>
        <w:rPr>
          <w:rFonts w:ascii="Times New Roman" w:cs="Times New Roman" w:eastAsia="Times New Roman" w:hAnsi="Times New Roman"/>
          <w:sz w:val="18"/>
          <w:szCs w:val="18"/>
          <w:b w:val="1"/>
          <w:bCs w:val="1"/>
          <w:u w:val="single" w:color="auto"/>
          <w:color w:val="0000FF"/>
          <w:strike w:val="1"/>
        </w:rPr>
        <w:t>e) with respect to Term Facility II Loans, Non-Defaulting</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0000FF"/>
        </w:rPr>
        <w:t>Lenders having more than 50% of the aggregate sum of the Term Facility II Loans and unutilized Term Facility II Commitments of all Non-Defaulting Lenders then outstanding; (f</w:t>
      </w:r>
      <w:r>
        <w:rPr>
          <w:rFonts w:ascii="Times New Roman" w:cs="Times New Roman" w:eastAsia="Times New Roman" w:hAnsi="Times New Roman"/>
          <w:sz w:val="18"/>
          <w:szCs w:val="18"/>
          <w:color w:val="000000"/>
        </w:rPr>
        <w:t>) for each Extension Tranche, if applicable, with respect to Lenders having Extended Revolving Loans or Extended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and (</w:t>
      </w:r>
      <w:r>
        <w:rPr>
          <w:rFonts w:ascii="Times New Roman" w:cs="Times New Roman" w:eastAsia="Times New Roman" w:hAnsi="Times New Roman"/>
          <w:sz w:val="18"/>
          <w:szCs w:val="18"/>
          <w:b w:val="1"/>
          <w:bCs w:val="1"/>
          <w:color w:val="FF0000"/>
          <w:strike w:val="1"/>
        </w:rPr>
        <w:t>h</w:t>
      </w:r>
      <w:r>
        <w:rPr>
          <w:rFonts w:ascii="Times New Roman" w:cs="Times New Roman" w:eastAsia="Times New Roman" w:hAnsi="Times New Roman"/>
          <w:sz w:val="18"/>
          <w:szCs w:val="18"/>
          <w:b w:val="1"/>
          <w:bCs w:val="1"/>
          <w:u w:val="single" w:color="auto"/>
          <w:color w:val="0000FF"/>
        </w:rPr>
        <w:t>g</w:t>
      </w:r>
      <w:r>
        <w:rPr>
          <w:rFonts w:ascii="Times New Roman" w:cs="Times New Roman" w:eastAsia="Times New Roman" w:hAnsi="Times New Roman"/>
          <w:sz w:val="18"/>
          <w:szCs w:val="18"/>
          <w:color w:val="000000"/>
        </w:rPr>
        <w:t>) for each Tranche of Other Term Loans, Non-Defaulting Lenders having more than 50% of the aggregate sum of such Other Term Loans and unutilized Other Term Loan Commitments of all Non-Defaulting Lenders then outstanding.</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 Requirement</w:t>
      </w:r>
      <w:r>
        <w:rPr>
          <w:rFonts w:ascii="Times New Roman" w:cs="Times New Roman" w:eastAsia="Times New Roman" w:hAnsi="Times New Roman"/>
          <w:sz w:val="18"/>
          <w:szCs w:val="18"/>
          <w:color w:val="auto"/>
        </w:rPr>
        <w:t>” shall mean,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of the United States for determining the maximum reserve requirement (including any emergency, supplemental or other marginal reserve requirement) with respect to LIBOR funding by member banks (currently referred to as “Eurocurrency liabilities”). The LIBO Rate for each outstanding LIBOR Loan shall be adjusted automatically as of the effective date of any change in the Reserve Requirement.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has the meaning set forth in Section 12.06(a).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the chief executive officer of Borrower, the president of Borrower (if not the chief executive officer), any senior or executive vice president of Borrower, the chief financial officer, the chief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96" w:right="239" w:bottom="1440" w:gutter="0" w:footer="0" w:header="0"/>
        </w:sectPr>
      </w:pPr>
    </w:p>
    <w:bookmarkStart w:id="147" w:name="page148"/>
    <w:bookmarkEnd w:id="1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accounting officer or treasurer of Borrower or, with respect to financial matters, the chief financial officer, chief accounting officer, senior financial officer or treasurer of Borrower.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Subsidiaries</w:t>
      </w:r>
      <w:r>
        <w:rPr>
          <w:rFonts w:ascii="Times New Roman" w:cs="Times New Roman" w:eastAsia="Times New Roman" w:hAnsi="Times New Roman"/>
          <w:sz w:val="18"/>
          <w:szCs w:val="18"/>
          <w:color w:val="auto"/>
        </w:rPr>
        <w:t>” shall mean all existing and future Subsidiaries of Borrower other than the Unrestricted Subsidiaries.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the Administrative Agent or the applicable L/C Lender shall reasonably determine or the Required Lenders shall require.</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Trigger Event</w:t>
      </w:r>
      <w:r>
        <w:rPr>
          <w:rFonts w:ascii="Times New Roman" w:cs="Times New Roman" w:eastAsia="Times New Roman" w:hAnsi="Times New Roman"/>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Revocation</w:t>
      </w:r>
      <w:r>
        <w:rPr>
          <w:rFonts w:ascii="Times New Roman" w:cs="Times New Roman" w:eastAsia="Times New Roman" w:hAnsi="Times New Roman"/>
          <w:sz w:val="18"/>
          <w:szCs w:val="18"/>
          <w:color w:val="auto"/>
        </w:rPr>
        <w:t>” has the meaning set forth in Section 9.12(b).</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Availability Period</w:t>
      </w:r>
      <w:r>
        <w:rPr>
          <w:rFonts w:ascii="Times New Roman" w:cs="Times New Roman" w:eastAsia="Times New Roman" w:hAnsi="Times New Roman"/>
          <w:sz w:val="18"/>
          <w:szCs w:val="18"/>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Borrowing</w:t>
      </w:r>
      <w:r>
        <w:rPr>
          <w:rFonts w:ascii="Times New Roman" w:cs="Times New Roman" w:eastAsia="Times New Roman" w:hAnsi="Times New Roman"/>
          <w:sz w:val="18"/>
          <w:szCs w:val="18"/>
          <w:color w:val="auto"/>
        </w:rPr>
        <w:t>” shall mean a Borrowing comprised of Revolving Loans.</w:t>
      </w:r>
    </w:p>
    <w:p>
      <w:pPr>
        <w:spacing w:after="0" w:line="22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w:t>
      </w:r>
      <w:r>
        <w:rPr>
          <w:rFonts w:ascii="Times New Roman" w:cs="Times New Roman" w:eastAsia="Times New Roman" w:hAnsi="Times New Roman"/>
          <w:sz w:val="18"/>
          <w:szCs w:val="18"/>
          <w:color w:val="auto"/>
        </w:rPr>
        <w:t xml:space="preserve">” shall mean, for each Revolving Lender, the obligation of such Lender to make Revolving Loans in an aggregate principal amount at any one time outstanding up to but not exceeding the amount set opposite the name of such Lender on </w:t>
      </w:r>
      <w:r>
        <w:rPr>
          <w:rFonts w:ascii="Times New Roman" w:cs="Times New Roman" w:eastAsia="Times New Roman" w:hAnsi="Times New Roman"/>
          <w:sz w:val="18"/>
          <w:szCs w:val="18"/>
          <w:u w:val="single" w:color="auto"/>
          <w:color w:val="auto"/>
        </w:rPr>
        <w:t>Annex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under the caption “Revolving Commitment,” or in the Assignment Agreement pursuant to which such Lender assumed its Revolving Commitment or in any Refinancing Amendment, as applicable, as the same may be (a) changed pursuant to Section 13.05(b), (b) reduced or terminated from time to time pursuant to Sections 2.04 and/or 11.01, as applicable, or (c) increased or otherwise adjusted from time to time in accordance with this Agreement, including pursuant to Section</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2.12 and Section 2.15; it being understood that a Revolving Lender’s Revolving Commitment shall include any Extended Revolving Commitments and Other Revolving Commitments of such Revolving Lender.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xml:space="preserve">” shall mean, with respect to any Lender at any time, the aggregate principal amount at such time of all outstanding Revolving Loans of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at such time of such Lender’s L/C Liability.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Extension Request</w:t>
      </w:r>
      <w:r>
        <w:rPr>
          <w:rFonts w:ascii="Times New Roman" w:cs="Times New Roman" w:eastAsia="Times New Roman" w:hAnsi="Times New Roman"/>
          <w:sz w:val="18"/>
          <w:szCs w:val="18"/>
          <w:color w:val="auto"/>
        </w:rPr>
        <w:t>” shall have the meaning provided in Section 2.13(b).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96" w:right="2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shall mean each credit facility comprising Revolving Commitments of a particular Tranche.</w:t>
      </w:r>
    </w:p>
    <w:p>
      <w:pPr>
        <w:spacing w:after="0" w:line="201"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Lenders</w:t>
      </w:r>
      <w:r>
        <w:rPr>
          <w:rFonts w:ascii="Times New Roman" w:cs="Times New Roman" w:eastAsia="Times New Roman" w:hAnsi="Times New Roman"/>
          <w:sz w:val="18"/>
          <w:szCs w:val="18"/>
          <w:color w:val="auto"/>
        </w:rPr>
        <w:t xml:space="preserve">” shall mean (a) on the Closing Date, the Lenders having a Revolving Commitment on </w:t>
      </w:r>
      <w:r>
        <w:rPr>
          <w:rFonts w:ascii="Times New Roman" w:cs="Times New Roman" w:eastAsia="Times New Roman" w:hAnsi="Times New Roman"/>
          <w:sz w:val="18"/>
          <w:szCs w:val="18"/>
          <w:u w:val="single" w:color="auto"/>
          <w:color w:val="auto"/>
        </w:rPr>
        <w:t>Annex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hereof and (b) thereafter, the Lenders from time to time holding Revolving Loans and/or a Revolving Commitment as in effect from time to time.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has the meaning set forth in Section 2.01(a).</w:t>
      </w:r>
    </w:p>
    <w:p>
      <w:pPr>
        <w:spacing w:after="0" w:line="20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Notes</w:t>
      </w:r>
      <w:r>
        <w:rPr>
          <w:rFonts w:ascii="Times New Roman" w:cs="Times New Roman" w:eastAsia="Times New Roman" w:hAnsi="Times New Roman"/>
          <w:sz w:val="18"/>
          <w:szCs w:val="18"/>
          <w:color w:val="auto"/>
        </w:rPr>
        <w:t xml:space="preserve">” shall mean the promissory notes substantially in the form of </w:t>
      </w:r>
      <w:r>
        <w:rPr>
          <w:rFonts w:ascii="Times New Roman" w:cs="Times New Roman" w:eastAsia="Times New Roman" w:hAnsi="Times New Roman"/>
          <w:sz w:val="18"/>
          <w:szCs w:val="18"/>
          <w:u w:val="single" w:color="auto"/>
          <w:color w:val="auto"/>
        </w:rPr>
        <w:t>Exhibit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Tranche Exposure</w:t>
      </w:r>
      <w:r>
        <w:rPr>
          <w:rFonts w:ascii="Times New Roman" w:cs="Times New Roman" w:eastAsia="Times New Roman" w:hAnsi="Times New Roman"/>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at such time of such Lender’s L/C Liability under its Revolving Commitment of such Tranche.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 of the United States or any successor thereto.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S</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9.04 Financials</w:t>
      </w:r>
      <w:r>
        <w:rPr>
          <w:rFonts w:ascii="Times New Roman" w:cs="Times New Roman" w:eastAsia="Times New Roman" w:hAnsi="Times New Roman"/>
          <w:sz w:val="18"/>
          <w:szCs w:val="18"/>
          <w:color w:val="auto"/>
        </w:rPr>
        <w:t>” shall mean the financial statements delivered, or required to be delivered, pursuant to Section 9.04(a) or (b), together with the accompanying certificate of a Responsible Officer of Borrower delivered, or required to be delivered, pursuant to Section 9.04(c).</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Cash Management Agreement</w:t>
      </w:r>
      <w:r>
        <w:rPr>
          <w:rFonts w:ascii="Times New Roman" w:cs="Times New Roman" w:eastAsia="Times New Roman" w:hAnsi="Times New Roman"/>
          <w:sz w:val="18"/>
          <w:szCs w:val="18"/>
          <w:color w:val="auto"/>
        </w:rPr>
        <w:t>” shall mean any Cash Management Agreement that is entered into by and between Borrower and/or any or all of its Restricted Subsidiaries and any Cash Management Bank.</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shall mean the Agents, the Lenders, any Swap Provider that is party to a Credit Swap Contract and any Cash Management Bank that is a party to a Secured Cash Management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and all rules and regulations of the SEC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shall mean a security agreement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among the Credit Parties and Collateral Agent, as the same may be amended in accordance with the terms thereof and hereof.</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shall mean the Security Agreement, the Mortgages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93" w:right="239" w:bottom="1440" w:gutter="0" w:footer="0" w:header="0"/>
        </w:sectPr>
      </w:pPr>
    </w:p>
    <w:bookmarkStart w:id="149" w:name="page150"/>
    <w:bookmarkEnd w:id="149"/>
    <w:p>
      <w:pPr>
        <w:jc w:val="both"/>
        <w:spacing w:after="0" w:line="256" w:lineRule="auto"/>
        <w:rPr>
          <w:sz w:val="20"/>
          <w:szCs w:val="20"/>
          <w:color w:val="auto"/>
        </w:rPr>
      </w:pPr>
      <w:r>
        <w:rPr>
          <w:rFonts w:ascii="Times New Roman" w:cs="Times New Roman" w:eastAsia="Times New Roman" w:hAnsi="Times New Roman"/>
          <w:sz w:val="18"/>
          <w:szCs w:val="18"/>
          <w:color w:val="auto"/>
        </w:rPr>
        <w:t>will be required to pay the probable liability of such Person on its debts as they become absolute and matured, (c) 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has the meaning specified in Section 11.03.</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Equity Issuance Proceeds</w:t>
      </w:r>
      <w:r>
        <w:rPr>
          <w:rFonts w:ascii="Times New Roman" w:cs="Times New Roman" w:eastAsia="Times New Roman" w:hAnsi="Times New Roman"/>
          <w:sz w:val="18"/>
          <w:szCs w:val="18"/>
          <w:color w:val="auto"/>
        </w:rPr>
        <w:t xml:space="preserve">” shall mean Equity Issuance Proceeds received by Borrower prior to the Wynn Las Vegas Reorganization to the extent financed by distributions made by the Wynn Las Vegas Entities to Wynn Resorts (except to the extent such distributions by Wynn Las Vegas to Wynn Resorts were related to Management Fees (as defined in the Wynn Las Vegas Notes) or fees payable by the Wynn Las Vegas Entities to Wynn Resorts and its Affiliates for the licensing of intellectual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Equity Insurance Proceeds shall be classified as Specified Equity Issuance Proceeds unless certified by a Responsible Officer of Borrower to Agent acting in good faith.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Letters of Credit</w:t>
      </w:r>
      <w:r>
        <w:rPr>
          <w:rFonts w:ascii="Times New Roman" w:cs="Times New Roman" w:eastAsia="Times New Roman" w:hAnsi="Times New Roman"/>
          <w:sz w:val="18"/>
          <w:szCs w:val="18"/>
          <w:color w:val="auto"/>
        </w:rPr>
        <w:t>” shall mean those Letters of Credit described on Schedule 2.03.</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 (d) Asset Sale, designation or redesignation of a Restricted Subsidiary that results in a Restricted Subsidiary ceasing to be a Restricted Subsidiary of Borrower and (e) Acquisition or Investment constituting an acquisition of assets constituting a business unit, line of business or division of another Person.</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w:t>
      </w:r>
      <w:r>
        <w:rPr>
          <w:rFonts w:ascii="Times New Roman" w:cs="Times New Roman" w:eastAsia="Times New Roman" w:hAnsi="Times New Roman"/>
          <w:sz w:val="18"/>
          <w:szCs w:val="18"/>
          <w:color w:val="auto"/>
        </w:rPr>
        <w:t xml:space="preserve">” for a currency shall mean the rate determined by the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or such L/C Lender may obtain such spot rate from another financial institution designated by the Administrative Agent or such L/C Lender if the Person acting in such capacity does not have as of the date of determination a spot buying rate for any such currency;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L/C Lender may use such spot rate quoted on the date as of which the foreign exchange computation is made in the case of any Letter of Credit denominated in an Alternate Currency.</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xml:space="preserve">” shall mean each Subordination Agreement, substantially in the form of </w:t>
      </w:r>
      <w:r>
        <w:rPr>
          <w:rFonts w:ascii="Times New Roman" w:cs="Times New Roman" w:eastAsia="Times New Roman" w:hAnsi="Times New Roman"/>
          <w:sz w:val="18"/>
          <w:szCs w:val="18"/>
          <w:u w:val="single" w:color="auto"/>
          <w:color w:val="auto"/>
        </w:rPr>
        <w:t>Exhibit T</w:t>
      </w:r>
      <w:r>
        <w:rPr>
          <w:rFonts w:ascii="Times New Roman" w:cs="Times New Roman" w:eastAsia="Times New Roman" w:hAnsi="Times New Roman"/>
          <w:sz w:val="18"/>
          <w:szCs w:val="18"/>
          <w:color w:val="auto"/>
        </w:rPr>
        <w:t>, among the Administrative Agent, the applicable Credit Parties and the providers of any Intercompany Contribution Indebtedness.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96" w:right="239" w:bottom="1440" w:gutter="0" w:footer="0" w:header="0"/>
        </w:sectPr>
      </w:pPr>
    </w:p>
    <w:bookmarkStart w:id="150" w:name="page151"/>
    <w:bookmarkEnd w:id="15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Substituted Consolidated EBITDA</w:t>
      </w:r>
      <w:r>
        <w:rPr>
          <w:rFonts w:ascii="Times New Roman" w:cs="Times New Roman" w:eastAsia="Times New Roman" w:hAnsi="Times New Roman"/>
          <w:sz w:val="18"/>
          <w:szCs w:val="18"/>
          <w:color w:val="auto"/>
        </w:rPr>
        <w:t>” shall mean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Contract</w:t>
      </w:r>
      <w:r>
        <w:rPr>
          <w:rFonts w:ascii="Times New Roman" w:cs="Times New Roman" w:eastAsia="Times New Roman" w:hAnsi="Times New Roman"/>
          <w:sz w:val="18"/>
          <w:szCs w:val="18"/>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Provider</w:t>
      </w:r>
      <w:r>
        <w:rPr>
          <w:rFonts w:ascii="Times New Roman" w:cs="Times New Roman" w:eastAsia="Times New Roman" w:hAnsi="Times New Roman"/>
          <w:sz w:val="18"/>
          <w:szCs w:val="18"/>
          <w:color w:val="auto"/>
        </w:rPr>
        <w:t>”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Agents</w:t>
      </w:r>
      <w:r>
        <w:rPr>
          <w:rFonts w:ascii="Times New Roman" w:cs="Times New Roman" w:eastAsia="Times New Roman" w:hAnsi="Times New Roman"/>
          <w:sz w:val="18"/>
          <w:szCs w:val="18"/>
          <w:color w:val="auto"/>
        </w:rPr>
        <w:t>” shall mean, collectively, Merrill Lynch, Pierce, Fenner &amp; Smith, Incorporated, Credit Agricole Corporate and Investment Bank, Fifth Third Bank, SunTrust Bank, The Bank of Nova Scotia, BNP Paribas Securities Corp., Sumitomo Mitsui Banking Corporation and UBS Securities LLC, in their capacities as syndication agents hereunder.</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T/C Percentage</w:t>
      </w:r>
      <w:r>
        <w:rPr>
          <w:rFonts w:ascii="Times New Roman" w:cs="Times New Roman" w:eastAsia="Times New Roman" w:hAnsi="Times New Roman"/>
          <w:sz w:val="18"/>
          <w:szCs w:val="18"/>
          <w:color w:val="auto"/>
        </w:rPr>
        <w:t xml:space="preserve">” of any Term Facility Lender with respect to a Tranche of Term Facility Commitments at any time shall mean a fraction (expressed as a percentage) the numerator of which is the Term Facility Commitment under such Tranche of such Term Facility Lender at such time and the denominator of which is the total Term Facility Commitments under such Tranche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T/C Percentage of any Term Facility Lender with respect to a Tranche of Term Facility Commitments is to be determined after the total Term Facility Commitments under such Tranche have been terminated, then the T/C Percentage of such Term Facility Lender under such Tranche of Term Facility Commitments shall be determined immediately prior (and without giving effect) to such termination but after giving effect to any assignments after termination of the Term Facility Commitments under such Tranche.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“T/C Term Facility II Percentage” of any Term Facility II Lender with respect to a Tranche of Term Facility II Commitments at any time shall mean a fraction (expressed as a percentage) the numerator of which is the Term Facility II Commitment under such Tranche of such Term Facility II Lender at such time and the denominator of which is the total Term Facility II Commitments under such Tranche at such time;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however</w:t>
      </w:r>
      <w:r>
        <w:rPr>
          <w:rFonts w:ascii="Times New Roman" w:cs="Times New Roman" w:eastAsia="Times New Roman" w:hAnsi="Times New Roman"/>
          <w:sz w:val="18"/>
          <w:szCs w:val="18"/>
          <w:b w:val="1"/>
          <w:bCs w:val="1"/>
          <w:u w:val="single" w:color="auto"/>
          <w:color w:val="0000FF"/>
        </w:rPr>
        <w:t>, that if the T/C Term Facility II Percentage of any Term Facility II Lender with respect to a Tranche of Term Facility II Commitments is to</w:t>
      </w:r>
      <w:r>
        <w:rPr>
          <w:rFonts w:ascii="Times New Roman" w:cs="Times New Roman" w:eastAsia="Times New Roman" w:hAnsi="Times New Roman"/>
          <w:sz w:val="18"/>
          <w:szCs w:val="18"/>
          <w:b w:val="1"/>
          <w:bCs w:val="1"/>
          <w:i w:val="1"/>
          <w:iCs w:val="1"/>
          <w:u w:val="single" w:color="auto"/>
          <w:color w:val="0000FF"/>
        </w:rPr>
        <w:t xml:space="preserve"> </w:t>
      </w:r>
      <w:r>
        <w:rPr>
          <w:rFonts w:ascii="Times New Roman" w:cs="Times New Roman" w:eastAsia="Times New Roman" w:hAnsi="Times New Roman"/>
          <w:sz w:val="18"/>
          <w:szCs w:val="18"/>
          <w:b w:val="1"/>
          <w:bCs w:val="1"/>
          <w:u w:val="single" w:color="auto"/>
          <w:color w:val="0000FF"/>
        </w:rPr>
        <w:t>be determined after the total Term Facility II Commitments under such Tranche have been terminated, then the T/C Term Facility II Percentage of such Term Facility II Lender under such Tranche of Term Facility II Commitments shall be determined immediately prior (and without giving effect) to such termination but after giving effect to any assignments after termination of the Term Facility II Commitments under such Tranche.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Taking</w:t>
      </w:r>
      <w:r>
        <w:rPr>
          <w:rFonts w:ascii="Times New Roman" w:cs="Times New Roman" w:eastAsia="Times New Roman" w:hAnsi="Times New Roman"/>
          <w:sz w:val="18"/>
          <w:szCs w:val="18"/>
          <w:color w:val="auto"/>
        </w:rPr>
        <w:t>” shall mean a taking or voluntary conveyance during the term of this Agreement of all or part of any Mortgaged Real Property, or any interest therein or right accruing thereto or use thereof, as the result of, or in settlement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92" w:right="239" w:bottom="1440" w:gutter="0" w:footer="0" w:header="0"/>
        </w:sectPr>
      </w:pPr>
    </w:p>
    <w:bookmarkStart w:id="151" w:name="page152"/>
    <w:bookmarkEnd w:id="1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any condemnation or other eminent domain proceeding by any Governmental Authority affecting any Mortgaged Real Property or any portion thereof, whether or not the same shall have actually been commenced.</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Payments</w:t>
      </w:r>
      <w:r>
        <w:rPr>
          <w:rFonts w:ascii="Times New Roman" w:cs="Times New Roman" w:eastAsia="Times New Roman" w:hAnsi="Times New Roman"/>
          <w:sz w:val="18"/>
          <w:szCs w:val="18"/>
          <w:color w:val="auto"/>
        </w:rPr>
        <w:t>” shall mean, with respect to any taxable period (i) for which Borrower and/or any of its Subsidiaries are members of a consolidated, combined or similar income tax group for applicable federal, state and/or local income tax purposes of which a direct or indirect parent of Borrower is the common parent (a “</w:t>
      </w:r>
      <w:r>
        <w:rPr>
          <w:rFonts w:ascii="Times New Roman" w:cs="Times New Roman" w:eastAsia="Times New Roman" w:hAnsi="Times New Roman"/>
          <w:sz w:val="18"/>
          <w:szCs w:val="18"/>
          <w:b w:val="1"/>
          <w:bCs w:val="1"/>
          <w:color w:val="auto"/>
        </w:rPr>
        <w:t>Tax Group</w:t>
      </w:r>
      <w:r>
        <w:rPr>
          <w:rFonts w:ascii="Times New Roman" w:cs="Times New Roman" w:eastAsia="Times New Roman" w:hAnsi="Times New Roman"/>
          <w:sz w:val="18"/>
          <w:szCs w:val="18"/>
          <w:color w:val="auto"/>
        </w:rPr>
        <w:t>”) or (ii) for which Borrower is a disregarded entity or a partnership with a direct or indirect corporate parent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 payments equal to the portion of any consolidated, combined or similar federal, state and/or local income taxes (as applicable) of such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Times New Roman" w:cs="Times New Roman" w:eastAsia="Times New Roman" w:hAnsi="Times New Roman"/>
          <w:sz w:val="18"/>
          <w:szCs w:val="18"/>
          <w:b w:val="1"/>
          <w:bCs w:val="1"/>
          <w:color w:val="auto"/>
        </w:rPr>
        <w:t>Corporate Parent Subsidiaries</w:t>
      </w:r>
      <w:r>
        <w:rPr>
          <w:rFonts w:ascii="Times New Roman" w:cs="Times New Roman" w:eastAsia="Times New Roman" w:hAnsi="Times New Roman"/>
          <w:sz w:val="18"/>
          <w:szCs w:val="18"/>
          <w:color w:val="auto"/>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 Massachusetts income tax liability of the Tax Group or Corporate Parent (or any applicable Corporate Parent 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Indemnification Agreement</w:t>
      </w:r>
      <w:r>
        <w:rPr>
          <w:rFonts w:ascii="Times New Roman" w:cs="Times New Roman" w:eastAsia="Times New Roman" w:hAnsi="Times New Roman"/>
          <w:sz w:val="18"/>
          <w:szCs w:val="18"/>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Facilities</w:t>
      </w:r>
      <w:r>
        <w:rPr>
          <w:rFonts w:ascii="Times New Roman" w:cs="Times New Roman" w:eastAsia="Times New Roman" w:hAnsi="Times New Roman"/>
          <w:sz w:val="18"/>
          <w:szCs w:val="18"/>
          <w:color w:val="auto"/>
        </w:rPr>
        <w:t xml:space="preserve">” shall mean, collectively, the credit facilities comprising the Term Facility Commitments, the Term Facility Loans, </w:t>
      </w:r>
      <w:r>
        <w:rPr>
          <w:rFonts w:ascii="Times New Roman" w:cs="Times New Roman" w:eastAsia="Times New Roman" w:hAnsi="Times New Roman"/>
          <w:sz w:val="18"/>
          <w:szCs w:val="18"/>
          <w:b w:val="1"/>
          <w:bCs w:val="1"/>
          <w:u w:val="single" w:color="auto"/>
          <w:color w:val="0000FF"/>
        </w:rPr>
        <w:t>the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Facility II Commitments, the Term Facility II 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any Extended Term Loans and any Other Term Loans.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 Availability Period</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8"/>
          <w:szCs w:val="18"/>
          <w:color w:val="auto"/>
        </w:rPr>
        <w:t xml:space="preserve"> with respect to the Tranche </w:t>
      </w: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8"/>
          <w:szCs w:val="18"/>
          <w:b w:val="1"/>
          <w:bCs w:val="1"/>
          <w:u w:val="single" w:color="auto"/>
          <w:color w:val="0000FF"/>
        </w:rPr>
        <w:t>D</w:t>
      </w:r>
      <w:r>
        <w:rPr>
          <w:rFonts w:ascii="Times New Roman" w:cs="Times New Roman" w:eastAsia="Times New Roman" w:hAnsi="Times New Roman"/>
          <w:sz w:val="18"/>
          <w:szCs w:val="18"/>
          <w:color w:val="auto"/>
        </w:rPr>
        <w:t xml:space="preserve"> Term Facility Commitments, the period from and including the Closing Date through but excluding the earlier of </w:t>
      </w:r>
      <w:r>
        <w:rPr>
          <w:rFonts w:ascii="Times New Roman" w:cs="Times New Roman" w:eastAsia="Times New Roman" w:hAnsi="Times New Roman"/>
          <w:sz w:val="18"/>
          <w:szCs w:val="18"/>
          <w:b w:val="1"/>
          <w:bCs w:val="1"/>
          <w:color w:val="FF0000"/>
          <w:strike w:val="1"/>
        </w:rPr>
        <w:t>November 21, 2015 and the date of termination of the Tranche A Term Facility Commitments,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with respect to the Tranche B Term Facility Commitments, the period from and including the Closing Date through but excluding the earlier of March 30</w:t>
      </w:r>
      <w:r>
        <w:rPr>
          <w:rFonts w:ascii="Times New Roman" w:cs="Times New Roman" w:eastAsia="Times New Roman" w:hAnsi="Times New Roman"/>
          <w:sz w:val="18"/>
          <w:szCs w:val="18"/>
          <w:b w:val="1"/>
          <w:bCs w:val="1"/>
          <w:u w:val="single" w:color="auto"/>
          <w:color w:val="0000FF"/>
          <w:strike w:val="1"/>
        </w:rPr>
        <w:t>December 31</w:t>
      </w:r>
      <w:r>
        <w:rPr>
          <w:rFonts w:ascii="Times New Roman" w:cs="Times New Roman" w:eastAsia="Times New Roman" w:hAnsi="Times New Roman"/>
          <w:sz w:val="18"/>
          <w:szCs w:val="18"/>
          <w:color w:val="000000"/>
          <w:strike w:val="1"/>
        </w:rPr>
        <w:t>, 2016 and the date of termination of the Tranche</w:t>
      </w:r>
      <w:r>
        <w:rPr>
          <w:rFonts w:ascii="Times New Roman" w:cs="Times New Roman" w:eastAsia="Times New Roman" w:hAnsi="Times New Roman"/>
          <w:sz w:val="18"/>
          <w:szCs w:val="18"/>
          <w:b w:val="1"/>
          <w:bCs w:val="1"/>
          <w:color w:val="FF0000"/>
          <w:strike w:val="1"/>
        </w:rPr>
        <w:t xml:space="preserve"> B</w:t>
      </w:r>
      <w:r>
        <w:rPr>
          <w:rFonts w:ascii="Times New Roman" w:cs="Times New Roman" w:eastAsia="Times New Roman" w:hAnsi="Times New Roman"/>
          <w:sz w:val="18"/>
          <w:szCs w:val="18"/>
          <w:b w:val="1"/>
          <w:bCs w:val="1"/>
          <w:u w:val="single" w:color="auto"/>
          <w:color w:val="0000FF"/>
          <w:strike w:val="1"/>
        </w:rPr>
        <w:t>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Term Facility Commitments</w:t>
      </w:r>
      <w:r>
        <w:rPr>
          <w:rFonts w:ascii="Times New Roman" w:cs="Times New Roman" w:eastAsia="Times New Roman" w:hAnsi="Times New Roman"/>
          <w:sz w:val="18"/>
          <w:szCs w:val="18"/>
          <w:b w:val="1"/>
          <w:bCs w:val="1"/>
          <w:color w:val="FF0000"/>
          <w:strike w:val="1"/>
        </w:rPr>
        <w:t>, (c) with respect to the Tranche C Term Facility</w:t>
      </w: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FF0000"/>
          <w:strike w:val="1"/>
        </w:rPr>
        <w:t>Commitments, the period from and including the Closing Date through but excluding the earlier of June 30, 2016 and the date of termination of the Tranche C Term Facility Commitments and (d) with respect to the Tranche D</w:t>
      </w:r>
      <w:r>
        <w:rPr>
          <w:rFonts w:ascii="Times New Roman" w:cs="Times New Roman" w:eastAsia="Times New Roman" w:hAnsi="Times New Roman"/>
          <w:sz w:val="18"/>
          <w:szCs w:val="18"/>
          <w:b w:val="1"/>
          <w:bCs w:val="1"/>
          <w:u w:val="single" w:color="auto"/>
          <w:color w:val="0000FF"/>
          <w:strike w:val="1"/>
        </w:rPr>
        <w: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“Term Facility Commitment” shall mean, for each Term Facility Lender, its Tranche D Term Facility Commitment. The aggregate principal amount of the Term Facility Commitments of all Term Facility Lenders on the Fourth Amendment Effective Date is $649,666,666.66.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96" w:right="239" w:bottom="1440" w:gutter="0" w:footer="0" w:header="0"/>
        </w:sectPr>
      </w:pPr>
    </w:p>
    <w:bookmarkStart w:id="152" w:name="page153"/>
    <w:bookmarkEnd w:id="15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“Term Facility Lenders” shall mean (a) in respect of any unutilized Term Facility Commitments, the Tranche D Term Facility Lenders, as applicable, and (b) in respect of any Term Facility Loans, the Lenders from time to time holding any Term Facility Loans after giving effect to any assignments thereof permitted by Section 13.05(b).</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“Term Facility Loans” shall mean collectively, delayed draw term loans made pursuant to Section 2.01(b). The aggregate principal amount of the Term Facility Loans on the Fourth Amendment Effective Date is $225,333,333.34.</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“Term Facility Maturity Date” shall mean the date that is the sixth anniversary of the Closing Date.</w:t>
      </w:r>
    </w:p>
    <w:p>
      <w:pPr>
        <w:spacing w:after="0" w:line="20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0000FF"/>
        </w:rPr>
        <w:t>“Term Facility Notes” shall mean the promissory notes substantially in the form of Exhibit A</w:t>
      </w:r>
      <w:r>
        <w:rPr>
          <w:rFonts w:ascii="MS PGothic" w:cs="MS PGothic" w:eastAsia="MS PGothic" w:hAnsi="MS PGothic"/>
          <w:sz w:val="18"/>
          <w:szCs w:val="18"/>
          <w:u w:val="single" w:color="auto"/>
          <w:color w:val="000000"/>
        </w:rPr>
        <w:t>‑</w:t>
      </w:r>
      <w:r>
        <w:rPr>
          <w:rFonts w:ascii="Times New Roman" w:cs="Times New Roman" w:eastAsia="Times New Roman" w:hAnsi="Times New Roman"/>
          <w:sz w:val="18"/>
          <w:szCs w:val="18"/>
          <w:b w:val="1"/>
          <w:bCs w:val="1"/>
          <w:u w:val="single" w:color="auto"/>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-38735</wp:posOffset>
            </wp:positionV>
            <wp:extent cx="3492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925" cy="13970"/>
                    </a:xfrm>
                    <a:prstGeom prst="rect">
                      <a:avLst/>
                    </a:prstGeom>
                    <a:noFill/>
                  </pic:spPr>
                </pic:pic>
              </a:graphicData>
            </a:graphic>
          </wp:anchor>
        </w:drawing>
      </w:r>
    </w:p>
    <w:p>
      <w:pPr>
        <w:spacing w:after="0" w:line="2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00"/>
        </w:rPr>
        <w:t>Term Facility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Commitments,</w:t>
      </w:r>
      <w:r>
        <w:rPr>
          <w:rFonts w:ascii="Times New Roman" w:cs="Times New Roman" w:eastAsia="Times New Roman" w:hAnsi="Times New Roman"/>
          <w:sz w:val="18"/>
          <w:szCs w:val="18"/>
          <w:b w:val="1"/>
          <w:bCs w:val="1"/>
          <w:u w:val="single" w:color="auto"/>
          <w:color w:val="0000FF"/>
        </w:rPr>
        <w:t>II Availability Period” shall mean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period from and including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Fourth Amendment Effective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through but excluding the earlier of December 31, 2016 and the date of termination of the </w:t>
      </w:r>
      <w:r>
        <w:rPr>
          <w:rFonts w:ascii="Times New Roman" w:cs="Times New Roman" w:eastAsia="Times New Roman" w:hAnsi="Times New Roman"/>
          <w:sz w:val="18"/>
          <w:szCs w:val="18"/>
          <w:b w:val="1"/>
          <w:bCs w:val="1"/>
          <w:color w:val="FF0000"/>
          <w:strike w:val="1"/>
        </w:rPr>
        <w:t>Tranche D</w:t>
      </w:r>
      <w:r>
        <w:rPr>
          <w:rFonts w:ascii="Times New Roman" w:cs="Times New Roman" w:eastAsia="Times New Roman" w:hAnsi="Times New Roman"/>
          <w:sz w:val="18"/>
          <w:szCs w:val="18"/>
          <w:color w:val="000000"/>
        </w:rPr>
        <w:t xml:space="preserve"> Term Facility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000000"/>
        </w:rPr>
        <w:t xml:space="preserve"> Commitments.</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shall mean, for each Term Facility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xml:space="preserve"> Lender, </w:t>
      </w:r>
      <w:r>
        <w:rPr>
          <w:rFonts w:ascii="Times New Roman" w:cs="Times New Roman" w:eastAsia="Times New Roman" w:hAnsi="Times New Roman"/>
          <w:sz w:val="18"/>
          <w:szCs w:val="18"/>
          <w:b w:val="1"/>
          <w:bCs w:val="1"/>
          <w:color w:val="FF0000"/>
          <w:strike w:val="1"/>
        </w:rPr>
        <w:t>its Tranche A</w:t>
      </w:r>
      <w:r>
        <w:rPr>
          <w:rFonts w:ascii="Times New Roman" w:cs="Times New Roman" w:eastAsia="Times New Roman" w:hAnsi="Times New Roman"/>
          <w:sz w:val="18"/>
          <w:szCs w:val="18"/>
          <w:b w:val="1"/>
          <w:bCs w:val="1"/>
          <w:u w:val="single" w:color="auto"/>
          <w:color w:val="0000FF"/>
        </w:rPr>
        <w:t>the obligation of such Lender to make</w:t>
      </w:r>
      <w:r>
        <w:rPr>
          <w:rFonts w:ascii="Times New Roman" w:cs="Times New Roman" w:eastAsia="Times New Roman" w:hAnsi="Times New Roman"/>
          <w:sz w:val="18"/>
          <w:szCs w:val="18"/>
          <w:color w:val="auto"/>
        </w:rPr>
        <w:t xml:space="preserve"> Term Facility </w:t>
      </w:r>
      <w:r>
        <w:rPr>
          <w:rFonts w:ascii="Times New Roman" w:cs="Times New Roman" w:eastAsia="Times New Roman" w:hAnsi="Times New Roman"/>
          <w:sz w:val="18"/>
          <w:szCs w:val="18"/>
          <w:b w:val="1"/>
          <w:bCs w:val="1"/>
          <w:color w:val="FF0000"/>
          <w:strike w:val="1"/>
        </w:rPr>
        <w:t>Commitment, Tranche B</w:t>
      </w:r>
      <w:r>
        <w:rPr>
          <w:rFonts w:ascii="Times New Roman" w:cs="Times New Roman" w:eastAsia="Times New Roman" w:hAnsi="Times New Roman"/>
          <w:sz w:val="18"/>
          <w:szCs w:val="18"/>
          <w:b w:val="1"/>
          <w:bCs w:val="1"/>
          <w:u w:val="single" w:color="auto"/>
          <w:color w:val="0000FF"/>
        </w:rPr>
        <w:t>II Loans pursuant to Section 2.01(d) hereof during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Term Facility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Commitment, Tranche C</w:t>
      </w:r>
      <w:r>
        <w:rPr>
          <w:rFonts w:ascii="Times New Roman" w:cs="Times New Roman" w:eastAsia="Times New Roman" w:hAnsi="Times New Roman"/>
          <w:sz w:val="18"/>
          <w:szCs w:val="18"/>
          <w:b w:val="1"/>
          <w:bCs w:val="1"/>
          <w:u w:val="single" w:color="auto"/>
          <w:color w:val="0000FF"/>
        </w:rPr>
        <w:t>II Availability Period in a</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principal amount not to exceed the amount of such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Term Facility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Commitment and/or Tranche D</w:t>
      </w:r>
      <w:r>
        <w:rPr>
          <w:rFonts w:ascii="Times New Roman" w:cs="Times New Roman" w:eastAsia="Times New Roman" w:hAnsi="Times New Roman"/>
          <w:sz w:val="18"/>
          <w:szCs w:val="18"/>
          <w:b w:val="1"/>
          <w:bCs w:val="1"/>
          <w:u w:val="single" w:color="auto"/>
          <w:color w:val="0000FF"/>
        </w:rPr>
        <w:t>II 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Term Facility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Commitment, 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applicable</w:t>
      </w:r>
      <w:r>
        <w:rPr>
          <w:rFonts w:ascii="Times New Roman" w:cs="Times New Roman" w:eastAsia="Times New Roman" w:hAnsi="Times New Roman"/>
          <w:sz w:val="18"/>
          <w:szCs w:val="18"/>
          <w:b w:val="1"/>
          <w:bCs w:val="1"/>
          <w:u w:val="single" w:color="auto"/>
          <w:color w:val="0000FF"/>
          <w:strike w:val="1"/>
        </w:rPr>
        <w:t>II Commitments as set forth in the Fourth Amendment or as set forth in the Assignment Agreement pursuant to which such Lender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assumed its Term Facility II Commitment, as applicable, as the same may be (a) changed pursuant to Section 13.05(b) or (b) reduced or terminated from time to time pursuant to Section 2.04 or Section 11.01</w:t>
      </w:r>
      <w:r>
        <w:rPr>
          <w:rFonts w:ascii="Times New Roman" w:cs="Times New Roman" w:eastAsia="Times New Roman" w:hAnsi="Times New Roman"/>
          <w:sz w:val="18"/>
          <w:szCs w:val="18"/>
          <w:color w:val="000000"/>
          <w:strike w:val="1"/>
        </w:rPr>
        <w:t>. The aggregate principal amount of the Term Facility</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II</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Commitments of all Term Facility</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II</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 xml:space="preserve">Lenders on the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strike w:val="1"/>
        </w:rPr>
        <w:t>Fourth</w:t>
      </w:r>
      <w:r>
        <w:rPr>
          <w:rFonts w:ascii="Times New Roman" w:cs="Times New Roman" w:eastAsia="Times New Roman" w:hAnsi="Times New Roman"/>
          <w:sz w:val="18"/>
          <w:szCs w:val="18"/>
          <w:color w:val="000000"/>
          <w:strike w:val="1"/>
        </w:rPr>
        <w:t xml:space="preserve"> Amendment Effective Date is $</w:t>
      </w:r>
      <w:r>
        <w:rPr>
          <w:rFonts w:ascii="Times New Roman" w:cs="Times New Roman" w:eastAsia="Times New Roman" w:hAnsi="Times New Roman"/>
          <w:sz w:val="18"/>
          <w:szCs w:val="18"/>
          <w:b w:val="1"/>
          <w:bCs w:val="1"/>
          <w:color w:val="FF0000"/>
          <w:strike w:val="1"/>
        </w:rPr>
        <w:t>875.0 million</w:t>
      </w:r>
      <w:r>
        <w:rPr>
          <w:rFonts w:ascii="Times New Roman" w:cs="Times New Roman" w:eastAsia="Times New Roman" w:hAnsi="Times New Roman"/>
          <w:sz w:val="18"/>
          <w:szCs w:val="18"/>
          <w:b w:val="1"/>
          <w:bCs w:val="1"/>
          <w:u w:val="single" w:color="auto"/>
          <w:color w:val="0000FF"/>
          <w:strike w:val="1"/>
        </w:rPr>
        <w:t>125,000,000</w:t>
      </w:r>
      <w:r>
        <w:rPr>
          <w:rFonts w:ascii="Times New Roman" w:cs="Times New Roman" w:eastAsia="Times New Roman" w:hAnsi="Times New Roman"/>
          <w:sz w:val="18"/>
          <w:szCs w:val="18"/>
          <w:color w:val="000000"/>
          <w:strike w:val="1"/>
        </w:rPr>
        <w:t>.</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shall mean (</w:t>
      </w: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xml:space="preserve">) in respect of </w:t>
      </w:r>
      <w:r>
        <w:rPr>
          <w:rFonts w:ascii="Times New Roman" w:cs="Times New Roman" w:eastAsia="Times New Roman" w:hAnsi="Times New Roman"/>
          <w:sz w:val="18"/>
          <w:szCs w:val="18"/>
          <w:b w:val="1"/>
          <w:bCs w:val="1"/>
          <w:color w:val="FF0000"/>
          <w:strike w:val="1"/>
        </w:rPr>
        <w:t>any unutilized</w:t>
      </w:r>
      <w:r>
        <w:rPr>
          <w:rFonts w:ascii="Times New Roman" w:cs="Times New Roman" w:eastAsia="Times New Roman" w:hAnsi="Times New Roman"/>
          <w:sz w:val="18"/>
          <w:szCs w:val="18"/>
          <w:color w:val="auto"/>
        </w:rPr>
        <w:t xml:space="preserve"> Term Facility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xml:space="preserve"> Commitments</w:t>
      </w:r>
      <w:r>
        <w:rPr>
          <w:rFonts w:ascii="Times New Roman" w:cs="Times New Roman" w:eastAsia="Times New Roman" w:hAnsi="Times New Roman"/>
          <w:sz w:val="18"/>
          <w:szCs w:val="18"/>
          <w:b w:val="1"/>
          <w:bCs w:val="1"/>
          <w:color w:val="FF0000"/>
          <w:strike w:val="1"/>
        </w:rPr>
        <w:t>, the Tranche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 as of the Fourth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 Effective Date,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Term Facility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w:t>
      </w:r>
      <w:r>
        <w:rPr>
          <w:rFonts w:ascii="Times New Roman" w:cs="Times New Roman" w:eastAsia="Times New Roman" w:hAnsi="Times New Roman"/>
          <w:sz w:val="18"/>
          <w:szCs w:val="18"/>
          <w:b w:val="1"/>
          <w:bCs w:val="1"/>
          <w:color w:val="FF0000"/>
          <w:strike w:val="1"/>
        </w:rPr>
        <w:t>, the Tranche B Term Facility Lenders, the Tranche C Term Facility Lenders and/or the</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FF0000"/>
          <w:strike w:val="1"/>
        </w:rPr>
        <w:t xml:space="preserve">Tranche D Term Facility Lenders, as applicable, and (b) in respect of any Term Facility Loans, </w:t>
      </w:r>
      <w:r>
        <w:rPr>
          <w:rFonts w:ascii="Times New Roman" w:cs="Times New Roman" w:eastAsia="Times New Roman" w:hAnsi="Times New Roman"/>
          <w:sz w:val="18"/>
          <w:szCs w:val="18"/>
          <w:b w:val="1"/>
          <w:bCs w:val="1"/>
          <w:u w:val="single" w:color="auto"/>
          <w:color w:val="0000FF"/>
          <w:strike w:val="1"/>
        </w:rPr>
        <w:t>(as defined in the Fourth Amendment) and (b)</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thereafter,</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the Lenders from time to time holding any</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unutilized</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Term Facility</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color w:val="FF0000"/>
          <w:strike w:val="1"/>
        </w:rPr>
        <w:t>Loans</w:t>
      </w:r>
      <w:r>
        <w:rPr>
          <w:rFonts w:ascii="Times New Roman" w:cs="Times New Roman" w:eastAsia="Times New Roman" w:hAnsi="Times New Roman"/>
          <w:sz w:val="18"/>
          <w:szCs w:val="18"/>
          <w:b w:val="1"/>
          <w:bCs w:val="1"/>
          <w:u w:val="single" w:color="auto"/>
          <w:color w:val="0000FF"/>
          <w:strike w:val="1"/>
        </w:rPr>
        <w:t>II Commitments</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after giving effect to any assignments thereof</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permitted by Section 13.05(b)</w:t>
      </w:r>
      <w:r>
        <w:rPr>
          <w:rFonts w:ascii="Times New Roman" w:cs="Times New Roman" w:eastAsia="Times New Roman" w:hAnsi="Times New Roman"/>
          <w:sz w:val="18"/>
          <w:szCs w:val="18"/>
          <w:b w:val="1"/>
          <w:bCs w:val="1"/>
          <w:u w:val="single" w:color="auto"/>
          <w:color w:val="0000FF"/>
          <w:strike w:val="1"/>
        </w:rPr>
        <w:t>, and (ii) in respect of any Term Facility II Loans, the Lenders from time to time holding any Term Facility II Loans</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u w:val="single" w:color="auto"/>
          <w:color w:val="0000FF"/>
          <w:strike w:val="1"/>
        </w:rPr>
        <w:t>after giving effect to any assignments permitted by Section 13.05(b)</w:t>
      </w:r>
      <w:r>
        <w:rPr>
          <w:rFonts w:ascii="Times New Roman" w:cs="Times New Roman" w:eastAsia="Times New Roman" w:hAnsi="Times New Roman"/>
          <w:sz w:val="18"/>
          <w:szCs w:val="18"/>
          <w:color w:val="000000"/>
          <w:strike w:val="1"/>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shall mean collectively, delayed draw term loans made pursuant to Section 2.01(</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8"/>
          <w:szCs w:val="18"/>
          <w:b w:val="1"/>
          <w:bCs w:val="1"/>
          <w:u w:val="single" w:color="auto"/>
          <w:color w:val="0000FF"/>
        </w:rPr>
        <w:t>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FF0000"/>
          <w:strike w:val="1"/>
        </w:rPr>
        <w:t>“Term Facility Maturity Date” shall mean the date that is the sixth anniversary of the Closing Date.</w:t>
      </w:r>
    </w:p>
    <w:p>
      <w:pPr>
        <w:spacing w:after="0" w:line="20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shall mean the promissory notes substantially in the form of </w:t>
      </w:r>
      <w:r>
        <w:rPr>
          <w:rFonts w:ascii="Times New Roman" w:cs="Times New Roman" w:eastAsia="Times New Roman" w:hAnsi="Times New Roman"/>
          <w:sz w:val="18"/>
          <w:szCs w:val="18"/>
          <w:u w:val="single" w:color="auto"/>
          <w:color w:val="auto"/>
        </w:rPr>
        <w:t>Exhibit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FF0000"/>
          <w:strike w:val="1"/>
        </w:rPr>
        <w:t>2</w:t>
      </w:r>
      <w:r>
        <w:rPr>
          <w:rFonts w:ascii="Times New Roman" w:cs="Times New Roman" w:eastAsia="Times New Roman" w:hAnsi="Times New Roman"/>
          <w:sz w:val="18"/>
          <w:szCs w:val="18"/>
          <w:b w:val="1"/>
          <w:bCs w:val="1"/>
          <w:u w:val="single" w:color="auto"/>
          <w:color w:val="0000FF"/>
        </w:rPr>
        <w:t>3</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“Term Facility II Proportion” shall mean, on any day, a percentage equal to the aggregate amount of Term Facility II Loans outstanding on such date divided by the aggregate amount of Term Loans outstanding on such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xml:space="preserve">” shall mean, collectively, (a) the Term Facility Commitments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b w:val="1"/>
          <w:bCs w:val="1"/>
          <w:u w:val="single" w:color="auto"/>
          <w:color w:val="0000FF"/>
        </w:rPr>
        <w:t>Term Facility II Commitments and (c)</w:t>
      </w:r>
      <w:r>
        <w:rPr>
          <w:rFonts w:ascii="Times New Roman" w:cs="Times New Roman" w:eastAsia="Times New Roman" w:hAnsi="Times New Roman"/>
          <w:sz w:val="18"/>
          <w:szCs w:val="18"/>
          <w:color w:val="auto"/>
        </w:rPr>
        <w:t xml:space="preserve"> any Other Term Loan Commitments.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Extension Request</w:t>
      </w:r>
      <w:r>
        <w:rPr>
          <w:rFonts w:ascii="Times New Roman" w:cs="Times New Roman" w:eastAsia="Times New Roman" w:hAnsi="Times New Roman"/>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17"/>
          <w:szCs w:val="17"/>
          <w:color w:val="auto"/>
        </w:rPr>
        <w:t xml:space="preserve">” shall mean, collectively, the Term Facility Loans, </w:t>
      </w:r>
      <w:r>
        <w:rPr>
          <w:rFonts w:ascii="Times New Roman" w:cs="Times New Roman" w:eastAsia="Times New Roman" w:hAnsi="Times New Roman"/>
          <w:sz w:val="17"/>
          <w:szCs w:val="17"/>
          <w:b w:val="1"/>
          <w:bCs w:val="1"/>
          <w:u w:val="single" w:color="auto"/>
          <w:color w:val="0000FF"/>
        </w:rPr>
        <w:t>the Term Facility II Loans,</w:t>
      </w:r>
      <w:r>
        <w:rPr>
          <w:rFonts w:ascii="Times New Roman" w:cs="Times New Roman" w:eastAsia="Times New Roman" w:hAnsi="Times New Roman"/>
          <w:sz w:val="17"/>
          <w:szCs w:val="17"/>
          <w:color w:val="auto"/>
        </w:rPr>
        <w:t xml:space="preserve"> any Extended Term Loans and any Other Term Loans.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92" w:right="239" w:bottom="1440" w:gutter="0" w:footer="0" w:header="0"/>
        </w:sectPr>
      </w:pPr>
    </w:p>
    <w:bookmarkStart w:id="153" w:name="page154"/>
    <w:bookmarkEnd w:id="15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shall mean that certain Third Amendment to Credit Agreement, dated as of June 21, 2016, by and among Borrower, the Guarantors party thereto, Administrative Agent, Collateral Agent and the other parties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 Effective Date</w:t>
      </w:r>
      <w:r>
        <w:rPr>
          <w:rFonts w:ascii="Times New Roman" w:cs="Times New Roman" w:eastAsia="Times New Roman" w:hAnsi="Times New Roman"/>
          <w:sz w:val="18"/>
          <w:szCs w:val="18"/>
          <w:color w:val="auto"/>
        </w:rPr>
        <w:t>” shall mean the “Agreement Effective Date” as defined in the Third Amendment.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Commitments</w:t>
      </w:r>
      <w:r>
        <w:rPr>
          <w:rFonts w:ascii="Times New Roman" w:cs="Times New Roman" w:eastAsia="Times New Roman" w:hAnsi="Times New Roman"/>
          <w:sz w:val="18"/>
          <w:szCs w:val="18"/>
          <w:color w:val="auto"/>
        </w:rPr>
        <w:t>” shall mean, at any time, the Revolving Commitments of all the Revolving Lenders at such time. The Total Revolving Commitments on the Closing Date are $375.0 million.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xml:space="preserve">” shall mean (i) when used with respect to the Lenders, each of the following classes of Lenders: (a) Lenders having Revolving Loans incurred pursuant to the Closing Date Revolving Commitment or Closing Date Revolving Commitments, (b) Lenders having such other Tranche of Revolving Loans or Revolving Commitments created pursuant to an Extension Amendment, (c) Lenders having Term Facility Loans, (d) Lenders having </w:t>
      </w:r>
      <w:r>
        <w:rPr>
          <w:rFonts w:ascii="Times New Roman" w:cs="Times New Roman" w:eastAsia="Times New Roman" w:hAnsi="Times New Roman"/>
          <w:sz w:val="18"/>
          <w:szCs w:val="18"/>
          <w:b w:val="1"/>
          <w:bCs w:val="1"/>
          <w:color w:val="FF0000"/>
          <w:strike w:val="1"/>
        </w:rPr>
        <w:t>Tranche A</w:t>
      </w:r>
      <w:r>
        <w:rPr>
          <w:rFonts w:ascii="Times New Roman" w:cs="Times New Roman" w:eastAsia="Times New Roman" w:hAnsi="Times New Roman"/>
          <w:sz w:val="18"/>
          <w:szCs w:val="18"/>
          <w:color w:val="auto"/>
        </w:rPr>
        <w:t xml:space="preserve"> Term Facility </w:t>
      </w:r>
      <w:r>
        <w:rPr>
          <w:rFonts w:ascii="Times New Roman" w:cs="Times New Roman" w:eastAsia="Times New Roman" w:hAnsi="Times New Roman"/>
          <w:sz w:val="18"/>
          <w:szCs w:val="18"/>
          <w:b w:val="1"/>
          <w:bCs w:val="1"/>
          <w:color w:val="FF0000"/>
          <w:strike w:val="1"/>
        </w:rPr>
        <w:t>Commitments</w:t>
      </w:r>
      <w:r>
        <w:rPr>
          <w:rFonts w:ascii="Times New Roman" w:cs="Times New Roman" w:eastAsia="Times New Roman" w:hAnsi="Times New Roman"/>
          <w:sz w:val="18"/>
          <w:szCs w:val="18"/>
          <w:b w:val="1"/>
          <w:bCs w:val="1"/>
          <w:u w:val="single" w:color="auto"/>
          <w:color w:val="0000FF"/>
        </w:rPr>
        <w:t>II Loans</w:t>
      </w:r>
      <w:r>
        <w:rPr>
          <w:rFonts w:ascii="Times New Roman" w:cs="Times New Roman" w:eastAsia="Times New Roman" w:hAnsi="Times New Roman"/>
          <w:sz w:val="18"/>
          <w:szCs w:val="18"/>
          <w:color w:val="auto"/>
        </w:rPr>
        <w:t xml:space="preserve">, (e) Lenders having Tranche </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8"/>
          <w:szCs w:val="18"/>
          <w:b w:val="1"/>
          <w:bCs w:val="1"/>
          <w:u w:val="single" w:color="auto"/>
          <w:color w:val="0000FF"/>
        </w:rPr>
        <w:t>D</w:t>
      </w:r>
      <w:r>
        <w:rPr>
          <w:rFonts w:ascii="Times New Roman" w:cs="Times New Roman" w:eastAsia="Times New Roman" w:hAnsi="Times New Roman"/>
          <w:sz w:val="18"/>
          <w:szCs w:val="18"/>
          <w:color w:val="auto"/>
        </w:rPr>
        <w:t xml:space="preserve"> Term Facility Commitments, (f) Lenders having </w:t>
      </w:r>
      <w:r>
        <w:rPr>
          <w:rFonts w:ascii="Times New Roman" w:cs="Times New Roman" w:eastAsia="Times New Roman" w:hAnsi="Times New Roman"/>
          <w:sz w:val="18"/>
          <w:szCs w:val="18"/>
          <w:b w:val="1"/>
          <w:bCs w:val="1"/>
          <w:color w:val="FF0000"/>
          <w:strike w:val="1"/>
        </w:rPr>
        <w:t>Tranche C</w:t>
      </w:r>
      <w:r>
        <w:rPr>
          <w:rFonts w:ascii="Times New Roman" w:cs="Times New Roman" w:eastAsia="Times New Roman" w:hAnsi="Times New Roman"/>
          <w:sz w:val="18"/>
          <w:szCs w:val="18"/>
          <w:color w:val="auto"/>
        </w:rPr>
        <w:t xml:space="preserve"> Term Facility </w:t>
      </w:r>
      <w:r>
        <w:rPr>
          <w:rFonts w:ascii="Times New Roman" w:cs="Times New Roman" w:eastAsia="Times New Roman" w:hAnsi="Times New Roman"/>
          <w:sz w:val="18"/>
          <w:szCs w:val="18"/>
          <w:b w:val="1"/>
          <w:bCs w:val="1"/>
          <w:color w:val="FF0000"/>
          <w:strike w:val="1"/>
        </w:rPr>
        <w:t>Commitments, (g) Lenders having Tranche D Term Facility</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Commitments and (</w:t>
      </w:r>
      <w:r>
        <w:rPr>
          <w:rFonts w:ascii="Times New Roman" w:cs="Times New Roman" w:eastAsia="Times New Roman" w:hAnsi="Times New Roman"/>
          <w:sz w:val="18"/>
          <w:szCs w:val="18"/>
          <w:b w:val="1"/>
          <w:bCs w:val="1"/>
          <w:color w:val="FF0000"/>
          <w:strike w:val="1"/>
        </w:rPr>
        <w:t>h</w:t>
      </w:r>
      <w:r>
        <w:rPr>
          <w:rFonts w:ascii="Times New Roman" w:cs="Times New Roman" w:eastAsia="Times New Roman" w:hAnsi="Times New Roman"/>
          <w:sz w:val="18"/>
          <w:szCs w:val="18"/>
          <w:b w:val="1"/>
          <w:bCs w:val="1"/>
          <w:u w:val="single" w:color="auto"/>
          <w:color w:val="0000FF"/>
        </w:rPr>
        <w:t>g</w:t>
      </w:r>
      <w:r>
        <w:rPr>
          <w:rFonts w:ascii="Times New Roman" w:cs="Times New Roman" w:eastAsia="Times New Roman" w:hAnsi="Times New Roman"/>
          <w:sz w:val="18"/>
          <w:szCs w:val="18"/>
          <w:color w:val="000000"/>
        </w:rPr>
        <w:t>) Lenders having such other Tranche of Term Loans or Term Loan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Commitments created pursuant to an Extension Amendment or Refinancing Amendment, and (ii) when used with respect to Loans or Commitments, each of the following classes of Loans or Commitments: (a) Revolving Loans incurred pursuant to the Closing Date Revolving Commitment or Closing Date Revolving Commitments, (b) such other Tranche of Revolving Loans or Revolving Commitments created pursuant to an Extension Amendment, (c) Term Facility Loans, (d) </w:t>
      </w:r>
      <w:r>
        <w:rPr>
          <w:rFonts w:ascii="Times New Roman" w:cs="Times New Roman" w:eastAsia="Times New Roman" w:hAnsi="Times New Roman"/>
          <w:sz w:val="18"/>
          <w:szCs w:val="18"/>
          <w:b w:val="1"/>
          <w:bCs w:val="1"/>
          <w:color w:val="FF0000"/>
          <w:strike w:val="1"/>
        </w:rPr>
        <w:t>Tranche A</w:t>
      </w:r>
      <w:r>
        <w:rPr>
          <w:rFonts w:ascii="Times New Roman" w:cs="Times New Roman" w:eastAsia="Times New Roman" w:hAnsi="Times New Roman"/>
          <w:sz w:val="18"/>
          <w:szCs w:val="18"/>
          <w:color w:val="000000"/>
        </w:rPr>
        <w:t xml:space="preserve"> Term Facility </w:t>
      </w:r>
      <w:r>
        <w:rPr>
          <w:rFonts w:ascii="Times New Roman" w:cs="Times New Roman" w:eastAsia="Times New Roman" w:hAnsi="Times New Roman"/>
          <w:sz w:val="18"/>
          <w:szCs w:val="18"/>
          <w:b w:val="1"/>
          <w:bCs w:val="1"/>
          <w:color w:val="FF0000"/>
          <w:strike w:val="1"/>
        </w:rPr>
        <w:t>Commitments</w:t>
      </w:r>
      <w:r>
        <w:rPr>
          <w:rFonts w:ascii="Times New Roman" w:cs="Times New Roman" w:eastAsia="Times New Roman" w:hAnsi="Times New Roman"/>
          <w:sz w:val="18"/>
          <w:szCs w:val="18"/>
          <w:b w:val="1"/>
          <w:bCs w:val="1"/>
          <w:u w:val="single" w:color="auto"/>
          <w:color w:val="0000FF"/>
        </w:rPr>
        <w:t>II Loans</w:t>
      </w:r>
      <w:r>
        <w:rPr>
          <w:rFonts w:ascii="Times New Roman" w:cs="Times New Roman" w:eastAsia="Times New Roman" w:hAnsi="Times New Roman"/>
          <w:sz w:val="18"/>
          <w:szCs w:val="18"/>
          <w:color w:val="000000"/>
        </w:rPr>
        <w:t xml:space="preserve">, (e) </w:t>
      </w:r>
      <w:r>
        <w:rPr>
          <w:rFonts w:ascii="Times New Roman" w:cs="Times New Roman" w:eastAsia="Times New Roman" w:hAnsi="Times New Roman"/>
          <w:sz w:val="18"/>
          <w:szCs w:val="18"/>
          <w:b w:val="1"/>
          <w:bCs w:val="1"/>
          <w:color w:val="FF0000"/>
          <w:strike w:val="1"/>
        </w:rPr>
        <w:t>Tranche B</w:t>
      </w:r>
      <w:r>
        <w:rPr>
          <w:rFonts w:ascii="Times New Roman" w:cs="Times New Roman" w:eastAsia="Times New Roman" w:hAnsi="Times New Roman"/>
          <w:sz w:val="18"/>
          <w:szCs w:val="18"/>
          <w:color w:val="000000"/>
        </w:rPr>
        <w:t xml:space="preserve"> Term Facility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000000"/>
        </w:rPr>
        <w:t xml:space="preserve"> Commitments, (f</w:t>
      </w:r>
      <w:r>
        <w:rPr>
          <w:rFonts w:ascii="Times New Roman" w:cs="Times New Roman" w:eastAsia="Times New Roman" w:hAnsi="Times New Roman"/>
          <w:sz w:val="18"/>
          <w:szCs w:val="18"/>
          <w:b w:val="1"/>
          <w:bCs w:val="1"/>
          <w:color w:val="FF0000"/>
          <w:strike w:val="1"/>
        </w:rPr>
        <w:t>) Tranche C Term Facility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Commitments, (g</w:t>
      </w:r>
      <w:r>
        <w:rPr>
          <w:rFonts w:ascii="Times New Roman" w:cs="Times New Roman" w:eastAsia="Times New Roman" w:hAnsi="Times New Roman"/>
          <w:sz w:val="18"/>
          <w:szCs w:val="18"/>
          <w:color w:val="000000"/>
        </w:rPr>
        <w:t>) Tranche D Term Facility Commitments and (</w:t>
      </w:r>
      <w:r>
        <w:rPr>
          <w:rFonts w:ascii="Times New Roman" w:cs="Times New Roman" w:eastAsia="Times New Roman" w:hAnsi="Times New Roman"/>
          <w:sz w:val="18"/>
          <w:szCs w:val="18"/>
          <w:b w:val="1"/>
          <w:bCs w:val="1"/>
          <w:color w:val="FF0000"/>
          <w:strike w:val="1"/>
        </w:rPr>
        <w:t>h</w:t>
      </w:r>
      <w:r>
        <w:rPr>
          <w:rFonts w:ascii="Times New Roman" w:cs="Times New Roman" w:eastAsia="Times New Roman" w:hAnsi="Times New Roman"/>
          <w:sz w:val="18"/>
          <w:szCs w:val="18"/>
          <w:b w:val="1"/>
          <w:bCs w:val="1"/>
          <w:u w:val="single" w:color="auto"/>
          <w:color w:val="0000FF"/>
        </w:rPr>
        <w:t>g</w:t>
      </w:r>
      <w:r>
        <w:rPr>
          <w:rFonts w:ascii="Times New Roman" w:cs="Times New Roman" w:eastAsia="Times New Roman" w:hAnsi="Times New Roman"/>
          <w:sz w:val="18"/>
          <w:szCs w:val="18"/>
          <w:color w:val="000000"/>
        </w:rPr>
        <w:t>) such other Tranche of Term Loans or Term Loan Commitments created pursuant to an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Extension Amendment or Refinancing Amendment.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FF0000"/>
          <w:strike w:val="1"/>
        </w:rPr>
        <w:t>“Tranche A Term Facility Commitment” shall mean, for each Tranche A Term Facility Lender, the obligation of such Lender to make Term Facility Loans pursuant to Section 2.01(b)(i) hereof during the applicable Term Facility Availability Period in a principal amount not to exceed the amount of such Tranche A Term Facility Lender’s Term Facility Commitments (as defined in the Existing Credit Agreement) immediately prior to the First Amendment Effective Date or as set forth in the Assignment Agreement pursuant to which such Lender assumed its Tranche A Term Facility Commitment, as applicable, as the same may be (a) changed pursuant to Section 13.05(b) or (b) reduced or terminated from time to time pursuant to Section 2.04 or Section 11.01. The aggregate principal amount of the Tranche A Term Facility Commitments of all Tranche A Term Facility Lenders on the First Amendment Effective Date is $70,000,000.00.</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“Tranche A Term Facility Lenders” shall mean (a) as of the First Amendment Effective Date, the Lenders having Term Facility Commitments other than the Tranche B Term Facility Lenders and the Tranche C Term Facility Lenders and (b) thereafter, the Lenders from time to time holding any unutilized Tranche A Term Facility Commitments after giving effect to any assignments thereof permitted by Section 13.05(b).</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FF0000"/>
          <w:strike w:val="1"/>
        </w:rPr>
        <w:t>“Tranche B Term Facility Commitment” shall mean, for each Tranche B Term Facility Lender, the obligation of such Lender to make Term Facility Loans pursuant to Section 2.01(b)(ii) hereof during the applicable Term Facility Availability Period in a principal amount not to exceed the amount of such Tranche B Term Facility Lender’s Term Facility Commitments (as defined in the Existing Credit Agreement) immediately prior to the First Amendment Effective Date or as set forth in the Assignment Agreement pursuant to which such Lender assumed its Tranche B Term Facility Commitment, as applicable, as the same may be (a) changed pursuant to Section 13.05(b) or (b) reduced or terminated from time to time pursuant to Section 2.04 or Section 11.01. The aggregate principal amount of the Tranche B Term Facility Commitments of all Tranche B Term Facility Lenders on the First Amendment Effective Date is $100,333,333.34.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793" w:right="239" w:bottom="1440" w:gutter="0" w:footer="0" w:header="0"/>
        </w:sectPr>
      </w:pPr>
    </w:p>
    <w:bookmarkStart w:id="154" w:name="page155"/>
    <w:bookmarkEnd w:id="154"/>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FF0000"/>
          <w:strike w:val="1"/>
        </w:rPr>
        <w:t>“Tranche B Term Facility Lenders” shall mean (a) as of the First Amendment Effective Date, the Consenting Lenders (as defined in the First Amendment) electing “Extension Option 1” in their respective Consenting Lender Agreements (as defined in the First Amendment) and (b) thereafter, the Lenders from time to time holding any unutilized Tranche B Term Facility Commitments after giving effect to any assignments thereof permitted by Section 13.05(b).</w:t>
      </w: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FF0000"/>
          <w:strike w:val="1"/>
        </w:rPr>
        <w:t xml:space="preserve">“Tranche C Term Facility Commitment” shall mean, for each Tranche C Term Facility Lender, the obligation of such Lender to make Term Facility Loans pursuant to Section 2.01(b)(iii) hereof during the applicable Term Facility Availability Period in a principal amount not to exceed the amount of such Tranche C Term Facility Lender’s Tranche C Term Facility Commitments (as defined in the Existing Credit Agreement) immediately prior to the Third Amendment Effective Date (or, in a principal amount not to exceed the amount of such Tranche C Term Facility Lender’s Tranche C Term Facility Commitments (as defined in the Existing Credit Agreement) immediately prior to the Third Amendment Effective Date </w:t>
      </w:r>
      <w:r>
        <w:rPr>
          <w:rFonts w:ascii="Times New Roman" w:cs="Times New Roman" w:eastAsia="Times New Roman" w:hAnsi="Times New Roman"/>
          <w:sz w:val="18"/>
          <w:szCs w:val="18"/>
          <w:b w:val="1"/>
          <w:bCs w:val="1"/>
          <w:i w:val="1"/>
          <w:iCs w:val="1"/>
          <w:color w:val="FF0000"/>
          <w:strike w:val="1"/>
        </w:rPr>
        <w:t>minus</w:t>
      </w:r>
      <w:r>
        <w:rPr>
          <w:rFonts w:ascii="Times New Roman" w:cs="Times New Roman" w:eastAsia="Times New Roman" w:hAnsi="Times New Roman"/>
          <w:sz w:val="18"/>
          <w:szCs w:val="18"/>
          <w:b w:val="1"/>
          <w:bCs w:val="1"/>
          <w:color w:val="FF0000"/>
          <w:strike w:val="1"/>
        </w:rPr>
        <w:t xml:space="preserve"> such Lender’s Partial Tranche D Term Facility Commitment Amount) or as set forth in the Assignment Agreement pursuant to which such Lender assumed its Tranche C Term Facility Commitment, as applicable, as the same may be (a) changed pursuant to Section 13.05(b) or (b) reduced or terminated from time to time pursuant to Section 2.04 or Section 11.01. The aggregate principal amount of the Tranche C Term Facility Commitments of all Tranche C Term Facility Lenders as of the Third Amendment Effective Date is $135,333,333.33 </w:t>
      </w:r>
      <w:r>
        <w:rPr>
          <w:rFonts w:ascii="Times New Roman" w:cs="Times New Roman" w:eastAsia="Times New Roman" w:hAnsi="Times New Roman"/>
          <w:sz w:val="18"/>
          <w:szCs w:val="18"/>
          <w:b w:val="1"/>
          <w:bCs w:val="1"/>
          <w:i w:val="1"/>
          <w:iCs w:val="1"/>
          <w:color w:val="FF0000"/>
          <w:strike w:val="1"/>
        </w:rPr>
        <w:t>minus</w:t>
      </w:r>
      <w:r>
        <w:rPr>
          <w:rFonts w:ascii="Times New Roman" w:cs="Times New Roman" w:eastAsia="Times New Roman" w:hAnsi="Times New Roman"/>
          <w:sz w:val="18"/>
          <w:szCs w:val="18"/>
          <w:b w:val="1"/>
          <w:bCs w:val="1"/>
          <w:color w:val="FF0000"/>
          <w:strike w:val="1"/>
        </w:rPr>
        <w:t>, if provided after the Third Amendment Effective Date in accordance with the terms of the Third Amendment, any Partial Tranche D Term Facility Commitment Amount.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FF0000"/>
          <w:strike w:val="1"/>
        </w:rPr>
        <w:t>“Tranche C Term Facility Lenders” shall mean (a) as of the Third Amendment Effective Date, the Tranche C Term Facility Lenders (as defined in the Existing Credit Agreement) that were not Consenting Lenders (as defined in the Third Amendment) and (b) thereafter, the Lenders from time to time holding any unutilized Tranche C Term Facility Commitments after giving effect to any assignments thereof permitted by Section 13.05(b).</w:t>
      </w: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Term Facility Commitment”</w:t>
      </w:r>
      <w:r>
        <w:rPr>
          <w:rFonts w:ascii="Times New Roman" w:cs="Times New Roman" w:eastAsia="Times New Roman" w:hAnsi="Times New Roman"/>
          <w:sz w:val="18"/>
          <w:szCs w:val="18"/>
          <w:color w:val="auto"/>
        </w:rPr>
        <w:t xml:space="preserve"> shall mean, for each Tranche D Term Facility Lender, the obligation of such Lender to make Term Facility Loans pursuant to Section 2.01(b)(iv) hereof during the applicable Term Facility Availability Period in a principal amount not to exceed the amount of such Tranche D Term Facility Lender’s Tranche C Term Facility Commitments (as defined in the Existing Credit Agreement) immediately prior to the Third Amendment Effective Date (or, in a principal amount not to exceed the partial amount of such Tranche D Term Facility Lender’s Tranche C Term Facility Commitments (as defined in the Existing Credit Agreement) immediately prior to the Third Amendment Effective Date as expressly indicated on such Lender’s signature page delivered in connection with and in accordance with the terms of the Third Amendment </w:t>
      </w:r>
      <w:r>
        <w:rPr>
          <w:rFonts w:ascii="Times New Roman" w:cs="Times New Roman" w:eastAsia="Times New Roman" w:hAnsi="Times New Roman"/>
          <w:sz w:val="18"/>
          <w:szCs w:val="18"/>
          <w:b w:val="1"/>
          <w:bCs w:val="1"/>
          <w:color w:val="FF0000"/>
          <w:strike w:val="1"/>
        </w:rPr>
        <w:t>(the aggregate amount of all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partially extended Tranche C Term Facility Commitments, the “Partial Tranche D Term Facility Commitment Amount”)</w:t>
      </w:r>
      <w:r>
        <w:rPr>
          <w:rFonts w:ascii="Times New Roman" w:cs="Times New Roman" w:eastAsia="Times New Roman" w:hAnsi="Times New Roman"/>
          <w:sz w:val="18"/>
          <w:szCs w:val="18"/>
          <w:color w:val="000000"/>
        </w:rPr>
        <w:t>) or as set forth in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Assignment Agreement pursuant to which such Lender assumed its Tranche D Term Facility Commitment, as applicable, as the same may be (a) changed pursuant to Section 13.05(b) or (b) reduced or terminated from time to time pursuant to Section 2.04 or Section 11.01. The aggregate principal amount of the Tranche D Term Facility Commitments of all Tranche D Term Facility Lenders as of the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Fourth</w:t>
      </w:r>
      <w:r>
        <w:rPr>
          <w:rFonts w:ascii="Times New Roman" w:cs="Times New Roman" w:eastAsia="Times New Roman" w:hAnsi="Times New Roman"/>
          <w:sz w:val="18"/>
          <w:szCs w:val="18"/>
          <w:color w:val="000000"/>
        </w:rPr>
        <w:t xml:space="preserve"> Amendment Effective Date is $</w:t>
      </w:r>
      <w:r>
        <w:rPr>
          <w:rFonts w:ascii="Times New Roman" w:cs="Times New Roman" w:eastAsia="Times New Roman" w:hAnsi="Times New Roman"/>
          <w:sz w:val="18"/>
          <w:szCs w:val="18"/>
          <w:b w:val="1"/>
          <w:bCs w:val="1"/>
          <w:color w:val="FF0000"/>
          <w:strike w:val="1"/>
        </w:rPr>
        <w:t>569,333,333.33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FF0000"/>
          <w:strike w:val="1"/>
        </w:rPr>
        <w:t>plus</w:t>
      </w:r>
      <w:r>
        <w:rPr>
          <w:rFonts w:ascii="Times New Roman" w:cs="Times New Roman" w:eastAsia="Times New Roman" w:hAnsi="Times New Roman"/>
          <w:sz w:val="18"/>
          <w:szCs w:val="18"/>
          <w:b w:val="1"/>
          <w:bCs w:val="1"/>
          <w:color w:val="FF0000"/>
          <w:strike w:val="1"/>
        </w:rPr>
        <w:t>, if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provided after the Third Amendment Effective Date in accordance with the terms of the Third Amendment, any Partial Tranche D Term Facility Commitment Amount</w:t>
      </w:r>
      <w:r>
        <w:rPr>
          <w:rFonts w:ascii="Times New Roman" w:cs="Times New Roman" w:eastAsia="Times New Roman" w:hAnsi="Times New Roman"/>
          <w:sz w:val="18"/>
          <w:szCs w:val="18"/>
          <w:b w:val="1"/>
          <w:bCs w:val="1"/>
          <w:u w:val="single" w:color="auto"/>
          <w:color w:val="0000FF"/>
          <w:strike w:val="1"/>
        </w:rPr>
        <w:t>649,666,666.66</w:t>
      </w:r>
      <w:r>
        <w:rPr>
          <w:rFonts w:ascii="Times New Roman" w:cs="Times New Roman" w:eastAsia="Times New Roman" w:hAnsi="Times New Roman"/>
          <w:sz w:val="18"/>
          <w:szCs w:val="18"/>
          <w:color w:val="000000"/>
          <w:strike w:val="1"/>
        </w:rPr>
        <w:t>.</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Term Facility Lenders</w:t>
      </w:r>
      <w:r>
        <w:rPr>
          <w:rFonts w:ascii="Times New Roman" w:cs="Times New Roman" w:eastAsia="Times New Roman" w:hAnsi="Times New Roman"/>
          <w:sz w:val="18"/>
          <w:szCs w:val="18"/>
          <w:color w:val="auto"/>
        </w:rPr>
        <w:t>” shall mean (a) as of the Third Amendment Effective Date, the Consenting Lenders (as defined in the Third Amendment) and (b) thereafter, the Lenders from time to time holding any unutilized Tranche D Term Facility Commitments after giving effect to any assignments thereof permitted by Section 13.05(b).</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mean, collectively, (a) the entering into of this Agreement and the other Credit Documents and the borrowings hereunder, if any, on the Closing Date, (b) the making of the Pre-Closing Equity Contribution prior to the Closing Date, and (c) the payment of fees and expenses in connection with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93" w:right="239" w:bottom="1440" w:gutter="0" w:footer="0" w:header="0"/>
        </w:sectPr>
      </w:pPr>
    </w:p>
    <w:bookmarkStart w:id="155" w:name="page156"/>
    <w:bookmarkEnd w:id="15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shall mean, with respect to any Letter of Credit, the Uniform Customs and Practice for Documentary Credits, International Chamber of Commerce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Publication No. 600 (or such later version thereof as may be in effect at the time of issuance).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Unaffiliated Joint Ventures</w:t>
      </w:r>
      <w:r>
        <w:rPr>
          <w:rFonts w:ascii="Times New Roman" w:cs="Times New Roman" w:eastAsia="Times New Roman" w:hAnsi="Times New Roman"/>
          <w:sz w:val="18"/>
          <w:szCs w:val="18"/>
          <w:color w:val="auto"/>
        </w:rPr>
        <w:t xml:space="preserve">” shall mean any joint venture of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un-reallocated portion</w:t>
      </w:r>
      <w:r>
        <w:rPr>
          <w:rFonts w:ascii="Times New Roman" w:cs="Times New Roman" w:eastAsia="Times New Roman" w:hAnsi="Times New Roman"/>
          <w:sz w:val="18"/>
          <w:szCs w:val="18"/>
          <w:color w:val="auto"/>
        </w:rPr>
        <w:t>” has the meaning set forth in Section 2.14(a).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has the meaning set forth in Section 2.03(e).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w:t>
      </w:r>
      <w:r>
        <w:rPr>
          <w:rFonts w:ascii="Times New Roman" w:cs="Times New Roman" w:eastAsia="Times New Roman" w:hAnsi="Times New Roman"/>
          <w:sz w:val="18"/>
          <w:szCs w:val="18"/>
          <w:color w:val="auto"/>
        </w:rPr>
        <w:t>” shall mean cash and Cash Equivalents of Borrower and its Restricted Subsidiaries that would not appear as “restricted” on a combined or consolidated balance sheet of the Consolidated Companies.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Subsidiaries</w:t>
      </w:r>
      <w:r>
        <w:rPr>
          <w:rFonts w:ascii="Times New Roman" w:cs="Times New Roman" w:eastAsia="Times New Roman" w:hAnsi="Times New Roman"/>
          <w:sz w:val="18"/>
          <w:szCs w:val="18"/>
          <w:color w:val="auto"/>
        </w:rPr>
        <w:t xml:space="preserve">” shall mean (a) as of the Closing Date, the Subsidiaries listed on </w:t>
      </w:r>
      <w:r>
        <w:rPr>
          <w:rFonts w:ascii="Times New Roman" w:cs="Times New Roman" w:eastAsia="Times New Roman" w:hAnsi="Times New Roman"/>
          <w:sz w:val="18"/>
          <w:szCs w:val="18"/>
          <w:u w:val="single" w:color="auto"/>
          <w:color w:val="auto"/>
        </w:rPr>
        <w:t>Schedule 8.12(c)</w:t>
      </w:r>
      <w:r>
        <w:rPr>
          <w:rFonts w:ascii="Times New Roman" w:cs="Times New Roman" w:eastAsia="Times New Roman" w:hAnsi="Times New Roman"/>
          <w:sz w:val="18"/>
          <w:szCs w:val="18"/>
          <w:color w:val="auto"/>
        </w:rPr>
        <w:t>, (b) any Subsidiary of Borrower designated as an “Unrestricted Subsidiary” pursuant to and in compliance with Section 9.12 and (c) any Subsidiary of an Unrestricted Subsidiary (in each case, unless such Subsidiary is no longer a Subsidiary of Borrower or is subsequently designated as a Restricted Subsidiary pursuant to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Unutilized R/C Commitment</w:t>
      </w:r>
      <w:r>
        <w:rPr>
          <w:rFonts w:ascii="Times New Roman" w:cs="Times New Roman" w:eastAsia="Times New Roman" w:hAnsi="Times New Roman"/>
          <w:sz w:val="18"/>
          <w:szCs w:val="18"/>
          <w:color w:val="auto"/>
        </w:rPr>
        <w:t>” 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set forth in Section 5.06(b)(ii).</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shall mean, on any date and with respect to the aggregate amount of the Term Loans (or any applicable portion thereof), an amount equal to (a) the scheduled repayments of such Term Loans to be made after such date, multiplied by the number of days from such date to the date of such scheduled repayments divided by (b) the aggregate principal amount of such Term Loans.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792" w:right="239" w:bottom="1440" w:gutter="0" w:footer="0" w:header="0"/>
        </w:sectPr>
      </w:pPr>
    </w:p>
    <w:bookmarkStart w:id="156" w:name="page157"/>
    <w:bookmarkEnd w:id="15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Restricted Subsidiary</w:t>
      </w:r>
      <w:r>
        <w:rPr>
          <w:rFonts w:ascii="Times New Roman" w:cs="Times New Roman" w:eastAsia="Times New Roman" w:hAnsi="Times New Roman"/>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color w:val="auto"/>
        </w:rPr>
        <w:t xml:space="preserve">” means, for any Person at any date, the amount (which may be a negative number) of the Consolidated Current Assets of such Person minus the Consolidated Current Liabilities of such Person at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 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“Write-Down and Conversion Powers”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w:t>
      </w:r>
      <w:r>
        <w:rPr>
          <w:rFonts w:ascii="Times New Roman" w:cs="Times New Roman" w:eastAsia="Times New Roman" w:hAnsi="Times New Roman"/>
          <w:sz w:val="18"/>
          <w:szCs w:val="18"/>
          <w:color w:val="auto"/>
        </w:rPr>
        <w:t>” shall mean Wynn Las Vegas LLC, a Nevada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2020 Notes</w:t>
      </w:r>
      <w:r>
        <w:rPr>
          <w:rFonts w:ascii="Times New Roman" w:cs="Times New Roman" w:eastAsia="Times New Roman" w:hAnsi="Times New Roman"/>
          <w:sz w:val="18"/>
          <w:szCs w:val="18"/>
          <w:color w:val="auto"/>
        </w:rPr>
        <w:t>” shall mean each of (a) the 7.875% First Mortgage Notes of Wynn Las Vegas due 2020 and (b) the 7.750% First Mortgage Notes of Wynn Las Vegas due 2020.</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2020 and 2022 Note Repayment</w:t>
      </w:r>
      <w:r>
        <w:rPr>
          <w:rFonts w:ascii="Times New Roman" w:cs="Times New Roman" w:eastAsia="Times New Roman" w:hAnsi="Times New Roman"/>
          <w:sz w:val="18"/>
          <w:szCs w:val="18"/>
          <w:color w:val="auto"/>
        </w:rPr>
        <w:t>” shall mean the repayment in full of the Wynn Las Vegas 2020 Notes and the Wynn Las Vegas 2022 Notes, whether pursuant to purchase, redemption or other acquisition for value of, or retirement, defeasance, discharge, refinancing or otherwise.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2022 Notes</w:t>
      </w:r>
      <w:r>
        <w:rPr>
          <w:rFonts w:ascii="Times New Roman" w:cs="Times New Roman" w:eastAsia="Times New Roman" w:hAnsi="Times New Roman"/>
          <w:sz w:val="18"/>
          <w:szCs w:val="18"/>
          <w:color w:val="auto"/>
        </w:rPr>
        <w:t>” shall mean the 5.375% First Mortgage Notes of Wynn Las Vegas due 2022 in the in the original aggregate principal amount of $900.0 million.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2023 Notes</w:t>
      </w:r>
      <w:r>
        <w:rPr>
          <w:rFonts w:ascii="Times New Roman" w:cs="Times New Roman" w:eastAsia="Times New Roman" w:hAnsi="Times New Roman"/>
          <w:sz w:val="18"/>
          <w:szCs w:val="18"/>
          <w:color w:val="auto"/>
        </w:rPr>
        <w:t>” shall mean the 4.250% Senior Notes of Wynn Las Vegas due 2023 in the in the original aggregate principal amount of $500.0 million.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Entities</w:t>
      </w:r>
      <w:r>
        <w:rPr>
          <w:rFonts w:ascii="Times New Roman" w:cs="Times New Roman" w:eastAsia="Times New Roman" w:hAnsi="Times New Roman"/>
          <w:sz w:val="18"/>
          <w:szCs w:val="18"/>
          <w:color w:val="auto"/>
        </w:rPr>
        <w:t>” shall mean Wynn Las Vegas and each of its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92" w:right="239" w:bottom="1440" w:gutter="0" w:footer="0" w:header="0"/>
        </w:sectPr>
      </w:pPr>
    </w:p>
    <w:bookmarkStart w:id="157" w:name="page158"/>
    <w:bookmarkEnd w:id="15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Notes</w:t>
      </w:r>
      <w:r>
        <w:rPr>
          <w:rFonts w:ascii="Times New Roman" w:cs="Times New Roman" w:eastAsia="Times New Roman" w:hAnsi="Times New Roman"/>
          <w:sz w:val="18"/>
          <w:szCs w:val="18"/>
          <w:color w:val="auto"/>
        </w:rPr>
        <w:t>” shall mean each of the Wynn Las Vegas 2020 Notes, the Wynn Las Vegas 2022 Notes and the Wynn Las Vegas 2023 Notes, together with, without duplication, any other Indebtedness permitted to be Incurred under Section 10.01(e) (for purposes of the definition of Permitted Refinancing, including under Section 10.01(e), the Wynn Las Vegas Entities shall be deemed to be Restricted Subsidiaries prior to the Wynn Las Vegas Reorganization).</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Pledge</w:t>
      </w:r>
      <w:r>
        <w:rPr>
          <w:rFonts w:ascii="Times New Roman" w:cs="Times New Roman" w:eastAsia="Times New Roman" w:hAnsi="Times New Roman"/>
          <w:sz w:val="18"/>
          <w:szCs w:val="18"/>
          <w:color w:val="auto"/>
        </w:rPr>
        <w:t>” shall mean the direct pledge of the Equity Interests in Wynn Las Vegas and related ancillary rights as collateral security in favor of the holders of the Wynn Las Vegas Notes.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Reorganization</w:t>
      </w:r>
      <w:r>
        <w:rPr>
          <w:rFonts w:ascii="Times New Roman" w:cs="Times New Roman" w:eastAsia="Times New Roman" w:hAnsi="Times New Roman"/>
          <w:sz w:val="18"/>
          <w:szCs w:val="18"/>
          <w:color w:val="auto"/>
        </w:rPr>
        <w:t>” shall mean a series of corporate restructurings and related transactions, including receipt of Gaming Approvals from relevant Gaming Authorities, pursuant to which the Wynn Las Vegas Entities become Subsidiaries of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Resort</w:t>
      </w:r>
      <w:r>
        <w:rPr>
          <w:rFonts w:ascii="Times New Roman" w:cs="Times New Roman" w:eastAsia="Times New Roman" w:hAnsi="Times New Roman"/>
          <w:sz w:val="18"/>
          <w:szCs w:val="18"/>
          <w:color w:val="auto"/>
        </w:rPr>
        <w:t>” means the Wynn Las Vegas hotel and casino resort.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Macau</w:t>
      </w:r>
      <w:r>
        <w:rPr>
          <w:rFonts w:ascii="Times New Roman" w:cs="Times New Roman" w:eastAsia="Times New Roman" w:hAnsi="Times New Roman"/>
          <w:sz w:val="18"/>
          <w:szCs w:val="18"/>
          <w:color w:val="auto"/>
        </w:rPr>
        <w:t>” shall mean Wynn Resorts (Macau), S.A., a company incorporated under the laws of Macau.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w:t>
      </w:r>
      <w:r>
        <w:rPr>
          <w:rFonts w:ascii="Times New Roman" w:cs="Times New Roman" w:eastAsia="Times New Roman" w:hAnsi="Times New Roman"/>
          <w:sz w:val="18"/>
          <w:szCs w:val="18"/>
          <w:color w:val="auto"/>
        </w:rPr>
        <w:t>” shall mean Wynn MA LLC, a Nevada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 Project</w:t>
      </w:r>
      <w:r>
        <w:rPr>
          <w:rFonts w:ascii="Times New Roman" w:cs="Times New Roman" w:eastAsia="Times New Roman" w:hAnsi="Times New Roman"/>
          <w:sz w:val="18"/>
          <w:szCs w:val="18"/>
          <w:color w:val="auto"/>
        </w:rPr>
        <w:t>” shall mean the casino resort and related amenities to be developed by Borrower and its Subsidiaries in Everett, Massachusetts.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 Project Opening Date</w:t>
      </w:r>
      <w:r>
        <w:rPr>
          <w:rFonts w:ascii="Times New Roman" w:cs="Times New Roman" w:eastAsia="Times New Roman" w:hAnsi="Times New Roman"/>
          <w:sz w:val="18"/>
          <w:szCs w:val="18"/>
          <w:color w:val="auto"/>
        </w:rPr>
        <w:t>” shall mean the date the Wynn Massachusetts Project is open to the general public.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Resorts</w:t>
      </w:r>
      <w:r>
        <w:rPr>
          <w:rFonts w:ascii="Times New Roman" w:cs="Times New Roman" w:eastAsia="Times New Roman" w:hAnsi="Times New Roman"/>
          <w:sz w:val="18"/>
          <w:szCs w:val="18"/>
          <w:color w:val="auto"/>
        </w:rPr>
        <w:t>” shall mean Wynn Resorts, Limited, a Nevada corporation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1.02. Accounting Terms and Determinations</w:t>
      </w:r>
      <w:r>
        <w:rPr>
          <w:rFonts w:ascii="Times New Roman" w:cs="Times New Roman" w:eastAsia="Times New Roman" w:hAnsi="Times New Roman"/>
          <w:sz w:val="18"/>
          <w:szCs w:val="18"/>
          <w:color w:val="auto"/>
        </w:rPr>
        <w:t>. Except as otherwise provided in this Agreement, all computations and determinations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1.03. Classes and Types of Loans</w:t>
      </w:r>
      <w:r>
        <w:rPr>
          <w:rFonts w:ascii="Times New Roman" w:cs="Times New Roman" w:eastAsia="Times New Roman" w:hAnsi="Times New Roman"/>
          <w:sz w:val="18"/>
          <w:szCs w:val="18"/>
          <w:color w:val="auto"/>
        </w:rPr>
        <w:t>. Loans hereunder are distinguished by “Class” and by “Type.” The “Class” of a Loan (or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Commitment to make a Loan) refers to whether such Loan is a Revolving Loan of any particular Tranche, a Term Facility Loan (or, in the case of a commitment to make a Term Facility Loan, a Tranche </w:t>
      </w:r>
      <w:r>
        <w:rPr>
          <w:rFonts w:ascii="Times New Roman" w:cs="Times New Roman" w:eastAsia="Times New Roman" w:hAnsi="Times New Roman"/>
          <w:sz w:val="18"/>
          <w:szCs w:val="18"/>
          <w:b w:val="1"/>
          <w:bCs w:val="1"/>
          <w:color w:val="FF0000"/>
          <w:strike w:val="1"/>
        </w:rPr>
        <w:t>A Term Facility Commitment, a Tranche B Term Facility Commitment, a Tranche C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Facility Commitment or a Tranche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 Term Facility Commitment</w:t>
      </w:r>
      <w:r>
        <w:rPr>
          <w:rFonts w:ascii="Times New Roman" w:cs="Times New Roman" w:eastAsia="Times New Roman" w:hAnsi="Times New Roman"/>
          <w:sz w:val="18"/>
          <w:szCs w:val="18"/>
          <w:b w:val="1"/>
          <w:bCs w:val="1"/>
          <w:color w:val="FF0000"/>
          <w:strike w:val="1"/>
        </w:rPr>
        <w:t>, as applicable)</w:t>
      </w:r>
      <w:r>
        <w:rPr>
          <w:rFonts w:ascii="Times New Roman" w:cs="Times New Roman" w:eastAsia="Times New Roman" w:hAnsi="Times New Roman"/>
          <w:sz w:val="18"/>
          <w:szCs w:val="18"/>
          <w:b w:val="1"/>
          <w:bCs w:val="1"/>
          <w:u w:val="single" w:color="auto"/>
          <w:color w:val="0000FF"/>
        </w:rPr>
        <w:t>), a Term Facility II Loan</w:t>
      </w:r>
      <w:r>
        <w:rPr>
          <w:rFonts w:ascii="Times New Roman" w:cs="Times New Roman" w:eastAsia="Times New Roman" w:hAnsi="Times New Roman"/>
          <w:sz w:val="18"/>
          <w:szCs w:val="18"/>
          <w:color w:val="000000"/>
        </w:rPr>
        <w:t>, or a Term Loan of any particular Tranche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Term Loans created pursuant to an Extension Amendment or a Refinancing Amendment, each of which constitutes a Class. The “Type” of a Loan refers to whether such Loan is an ABR Loan or a LIBOR Loan, each of which constitutes a Type. Loans may be identified by both Class and Type.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792" w:right="239" w:bottom="1440" w:gutter="0" w:footer="0" w:header="0"/>
        </w:sectPr>
      </w:pPr>
    </w:p>
    <w:bookmarkStart w:id="158" w:name="page159"/>
    <w:bookmarkEnd w:id="158"/>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1.04.</w:t>
      </w:r>
      <w:r>
        <w:rPr>
          <w:sz w:val="20"/>
          <w:szCs w:val="20"/>
          <w:color w:val="auto"/>
        </w:rPr>
        <w:tab/>
      </w:r>
      <w:r>
        <w:rPr>
          <w:rFonts w:ascii="Times New Roman" w:cs="Times New Roman" w:eastAsia="Times New Roman" w:hAnsi="Times New Roman"/>
          <w:sz w:val="17"/>
          <w:szCs w:val="17"/>
          <w:b w:val="1"/>
          <w:bCs w:val="1"/>
          <w:color w:val="auto"/>
        </w:rPr>
        <w:t>Rules of Construction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08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8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Credit Document, unless the context clearly requires otherwise (or such other Credit Document clearly provides otherwise),</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shall mean “amend, restate, amend and restate, supplement or modify”; and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shall have meanings correlative to the foregoing; (ii) in the computation of periods of time from a specified date to a later specified date,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shall mean “from and including”;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until</w:t>
      </w:r>
      <w:r>
        <w:rPr>
          <w:rFonts w:ascii="Times New Roman" w:cs="Times New Roman" w:eastAsia="Times New Roman" w:hAnsi="Times New Roman"/>
          <w:sz w:val="18"/>
          <w:szCs w:val="18"/>
          <w:color w:val="auto"/>
        </w:rPr>
        <w:t>” shall mean “to but excluding”; and “</w:t>
      </w:r>
      <w:r>
        <w:rPr>
          <w:rFonts w:ascii="Times New Roman" w:cs="Times New Roman" w:eastAsia="Times New Roman" w:hAnsi="Times New Roman"/>
          <w:sz w:val="18"/>
          <w:szCs w:val="18"/>
          <w:b w:val="1"/>
          <w:bCs w:val="1"/>
          <w:color w:val="auto"/>
        </w:rPr>
        <w:t>through</w:t>
      </w:r>
      <w:r>
        <w:rPr>
          <w:rFonts w:ascii="Times New Roman" w:cs="Times New Roman" w:eastAsia="Times New Roman" w:hAnsi="Times New Roman"/>
          <w:sz w:val="18"/>
          <w:szCs w:val="18"/>
          <w:color w:val="auto"/>
        </w:rPr>
        <w:t>” shall mean “to and including”; (iii)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terms) in any Credit Document refer to such Credit Document as a whole and not to any particular provision of such Credit Document; (iv)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(and similar terms) shall mean “including without limitation” (and similarly for similar terms); (v)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has the inclusive meaning represented by the phrase “and/or”;</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the date hereof</w:t>
      </w:r>
      <w:r>
        <w:rPr>
          <w:rFonts w:ascii="Times New Roman" w:cs="Times New Roman" w:eastAsia="Times New Roman" w:hAnsi="Times New Roman"/>
          <w:sz w:val="18"/>
          <w:szCs w:val="18"/>
          <w:color w:val="auto"/>
        </w:rPr>
        <w:t>” shall mean the date first set forth above; (vii) “</w:t>
      </w:r>
      <w:r>
        <w:rPr>
          <w:rFonts w:ascii="Times New Roman" w:cs="Times New Roman" w:eastAsia="Times New Roman" w:hAnsi="Times New Roman"/>
          <w:sz w:val="18"/>
          <w:szCs w:val="18"/>
          <w:b w:val="1"/>
          <w:bCs w:val="1"/>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have the same meaning and effect and refer to all tangible and intangible assets and property, whether real, personal or mixed and of every type and description; and (viii) a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is a reference to a fiscal year or fiscal quarter of Borrower.</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58" w:lineRule="auto"/>
        <w:tabs>
          <w:tab w:leader="none" w:pos="110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and (ii) references to any Requirement of Law shall include all statutory and regulatory provisions consolidating, amending, replacing, supplementing or interpreting such Requirement of Law.</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1.05.</w:t>
      </w:r>
      <w:r>
        <w:rPr>
          <w:sz w:val="20"/>
          <w:szCs w:val="20"/>
          <w:color w:val="auto"/>
        </w:rPr>
        <w:tab/>
      </w:r>
      <w:r>
        <w:rPr>
          <w:rFonts w:ascii="Times New Roman" w:cs="Times New Roman" w:eastAsia="Times New Roman" w:hAnsi="Times New Roman"/>
          <w:sz w:val="17"/>
          <w:szCs w:val="17"/>
          <w:b w:val="1"/>
          <w:bCs w:val="1"/>
          <w:color w:val="auto"/>
        </w:rPr>
        <w:t>Exchange Rates; Currency Equivalents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6" w:lineRule="auto"/>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793"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shall be such Dollar Equivalent amount as so determined by the Administrative Agent or the applicable L/C Lender, as applicable.</w:t>
      </w:r>
    </w:p>
    <w:p>
      <w:pPr>
        <w:spacing w:after="0" w:line="225" w:lineRule="exact"/>
        <w:rPr>
          <w:sz w:val="20"/>
          <w:szCs w:val="20"/>
          <w:color w:val="auto"/>
        </w:rPr>
      </w:pPr>
    </w:p>
    <w:p>
      <w:pPr>
        <w:jc w:val="both"/>
        <w:ind w:firstLine="656"/>
        <w:spacing w:after="0" w:line="261" w:lineRule="auto"/>
        <w:tabs>
          <w:tab w:leader="none" w:pos="11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the issuance, amendment or extension of a Letter of Credit, an amount, such as a required minimum or multiple amount, is expressed in Dollars, but such Borrowing, LIBOR Loan or Letter of Credit is denominated in an Alternate Currency, such amount shall be the relevant Alternative Currency Equivalent of such Dollar amount (rounded to the nearest unit of such Alternate Currency, with 0.5 of a unit being rounded upward), as determined by the Administrative Agent or the applicable L/C Lender, as the case may be.</w:t>
      </w:r>
    </w:p>
    <w:p>
      <w:pPr>
        <w:spacing w:after="0" w:line="180" w:lineRule="exact"/>
        <w:rPr>
          <w:sz w:val="20"/>
          <w:szCs w:val="20"/>
          <w:color w:val="auto"/>
        </w:rPr>
      </w:pPr>
    </w:p>
    <w:p>
      <w:pPr>
        <w:jc w:val="both"/>
        <w:ind w:firstLine="656"/>
        <w:spacing w:after="0" w:line="266" w:lineRule="auto"/>
        <w:tabs>
          <w:tab w:leader="none" w:pos="10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7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1.06.</w:t>
      </w:r>
      <w:r>
        <w:rPr>
          <w:sz w:val="20"/>
          <w:szCs w:val="20"/>
          <w:color w:val="auto"/>
        </w:rPr>
        <w:tab/>
      </w:r>
      <w:r>
        <w:rPr>
          <w:rFonts w:ascii="Times New Roman" w:cs="Times New Roman" w:eastAsia="Times New Roman" w:hAnsi="Times New Roman"/>
          <w:sz w:val="17"/>
          <w:szCs w:val="17"/>
          <w:b w:val="1"/>
          <w:bCs w:val="1"/>
          <w:color w:val="auto"/>
        </w:rPr>
        <w:t>Pro Forma Calculations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1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Consolidated EBITDA and the Consolidated Senior Secured Net Leverage Ratio shall be calculated in the manner prescribed by this Section 1.06;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clauses (b), (c) or (d) of this Section 1.06, when calculating Consolidated EBITDA and the Consolidated Senior Secured Net Leverage Ratio for purposes of determining actual compliance (and not compliance on a Pro Forma Basis) with the covenant pursuant to Section 10.08, the events described in this Section 1.06 that occurred subsequent to the end of the applicable Test Period shall not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0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calculating Consolidated EBITDA and the Consolidated Senior Secured Net Leverage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Section 1.06, then Consolidated EBITDA and the Consolidated Senior Secured Net Leverage Ratio shall be calculated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 accordance with this Section 1.06.</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 Specified Transaction, the pro forma calculations shall be made in good faith by a Responsible Officer of Borrower and include, for the avoidance of doubt, the amount of cost savings, operating expense reductions and synergies projected by Borrower in good faith to be realized as a result of specified actions taken or with respect to which steps have been initiated, or are reasonably expected to be initiated within fifteen (15) months of the closing date of such Specified Transaction (in the good faith determination of Borrower)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savings, operating expense reductions and synergies had been realized during the entirety of the applicable period), net of the amount of actual benefits realized during such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cost savings, operating expense reductions and synergies, the limitations and requirements set forth in clause (c) of the definitions of Consolidated EBITDA (other than the requirement set forth in clause (c) of Consolidated EBITDA that steps have been initiated or taken) shall apply;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be duplicative of one another.</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Borrower or any Restricted Subsidiary incurs (including by assumption or guarantees) or repays (including by redemption, repayment, prepayment, retirement, exchange or extinguishment) any Indebtedness included in the calculations of Consolidated EBITDA and the Consolidated Senior Secured Net Leverage Ratio, as the case may be (in each case, other than Indebtedness incurred or repaid under any revolving credit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797" w:right="239" w:bottom="1440" w:gutter="0" w:footer="0" w:header="0"/>
        </w:sectPr>
      </w:pPr>
    </w:p>
    <w:bookmarkStart w:id="160" w:name="page161"/>
    <w:bookmarkEnd w:id="16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facility), (i) during the applicable Test Period and/or (ii) subsequent to the end of the applicable Test Period and prior to or simultaneously with the event for which the calculation of any such ratio is made, then Consolidated EBITDA and the Consolidated Senior Secured Net Leverage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or repayment of Indebtedness, to the extent required, as if the same had occurred on the last day of the applicable Test Period in the case of Consolidated EBITDA or the Consolidated Senior Secured Net Leverage Ratio.</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1.07.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Dollar Equivalent of the stated amount of such Letter of Credit in effect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CREDITS</w:t>
      </w:r>
    </w:p>
    <w:p>
      <w:pPr>
        <w:spacing w:after="0" w:line="22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2.01.</w:t>
        <w:tab/>
        <w:t>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0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Each Revolving Lender agrees, severally and not jointly, on the terms and conditions of this Agreement, to make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(the “</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xml:space="preserve">”) to Borrower in Dollars from time to time, on any Business Day during, with respect to any Revolving Commitment of such Revolving Lender, the Revolving Availability Period applicable to such Revolving Commitment, in an aggregate principal amount at any one time outstanding not exceeding the amount of the Revolving Commitment of such Revolving Lender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LIBOR Loans.</w:t>
      </w:r>
    </w:p>
    <w:p>
      <w:pPr>
        <w:spacing w:after="0" w:line="19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Facility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[Reserved].</w:t>
      </w:r>
    </w:p>
    <w:p>
      <w:pPr>
        <w:spacing w:after="0" w:line="225"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[Reserved].</w:t>
      </w:r>
    </w:p>
    <w:p>
      <w:pPr>
        <w:spacing w:after="0" w:line="225" w:lineRule="exact"/>
        <w:rPr>
          <w:rFonts w:ascii="Times New Roman" w:cs="Times New Roman" w:eastAsia="Times New Roman" w:hAnsi="Times New Roman"/>
          <w:sz w:val="18"/>
          <w:szCs w:val="18"/>
          <w:color w:val="auto"/>
        </w:rPr>
      </w:pPr>
    </w:p>
    <w:p>
      <w:pPr>
        <w:ind w:left="2000" w:hanging="452"/>
        <w:spacing w:after="0"/>
        <w:tabs>
          <w:tab w:leader="none" w:pos="2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[Reserved].</w:t>
      </w:r>
    </w:p>
    <w:p>
      <w:pPr>
        <w:spacing w:after="0" w:line="225" w:lineRule="exact"/>
        <w:rPr>
          <w:sz w:val="20"/>
          <w:szCs w:val="20"/>
          <w:color w:val="auto"/>
        </w:rPr>
      </w:pPr>
    </w:p>
    <w:p>
      <w:pPr>
        <w:jc w:val="both"/>
        <w:ind w:left="660" w:firstLine="888"/>
        <w:spacing w:after="0" w:line="262" w:lineRule="auto"/>
        <w:tabs>
          <w:tab w:leader="none" w:pos="1778" w:val="left"/>
        </w:tabs>
        <w:numPr>
          <w:ilvl w:val="0"/>
          <w:numId w:val="6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Each Lender with a Tranche A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A Term Facility Commitment of such Term Facility Lender as in effect from time to time.</w:t>
      </w:r>
    </w:p>
    <w:p>
      <w:pPr>
        <w:spacing w:after="0" w:line="176" w:lineRule="exact"/>
        <w:rPr>
          <w:rFonts w:ascii="Times New Roman" w:cs="Times New Roman" w:eastAsia="Times New Roman" w:hAnsi="Times New Roman"/>
          <w:sz w:val="18"/>
          <w:szCs w:val="18"/>
          <w:b w:val="1"/>
          <w:bCs w:val="1"/>
          <w:color w:val="FF0000"/>
          <w:strike w:val="1"/>
        </w:rPr>
      </w:pPr>
    </w:p>
    <w:p>
      <w:pPr>
        <w:jc w:val="both"/>
        <w:ind w:left="660" w:firstLine="888"/>
        <w:spacing w:after="0" w:line="268" w:lineRule="auto"/>
        <w:tabs>
          <w:tab w:leader="none" w:pos="1827" w:val="left"/>
        </w:tabs>
        <w:numPr>
          <w:ilvl w:val="0"/>
          <w:numId w:val="6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Each Lender with a Tranche B Term Facility Commitment agrees, severally and not jointly, on the terms and conditions of this Agreement, to make Term Facility Loans to Borrower in Dollars from time to time, on any Business Day during the applicable Term Facility Availability Period,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797" w:right="239" w:bottom="1440" w:gutter="0" w:footer="0" w:header="0"/>
        </w:sectPr>
      </w:pPr>
    </w:p>
    <w:bookmarkStart w:id="161" w:name="page162"/>
    <w:bookmarkEnd w:id="161"/>
    <w:p>
      <w:pPr>
        <w:ind w:left="66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in an aggregate principal amount at any one time outstanding not exceeding the amount of the Tranche B Term Facility Commitment of such Term Facility Lender as in effect from time to time.</w:t>
      </w:r>
    </w:p>
    <w:p>
      <w:pPr>
        <w:spacing w:after="0" w:line="155" w:lineRule="exact"/>
        <w:rPr>
          <w:sz w:val="20"/>
          <w:szCs w:val="20"/>
          <w:color w:val="auto"/>
        </w:rPr>
      </w:pPr>
    </w:p>
    <w:p>
      <w:pPr>
        <w:jc w:val="both"/>
        <w:ind w:left="660" w:firstLine="888"/>
        <w:spacing w:after="0" w:line="262" w:lineRule="auto"/>
        <w:tabs>
          <w:tab w:leader="none" w:pos="1874" w:val="left"/>
        </w:tabs>
        <w:numPr>
          <w:ilvl w:val="1"/>
          <w:numId w:val="67"/>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Each Lender with a Tranche C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C Term Facility Commitment of such Term Facility Lender as in effect from time to time.</w:t>
      </w:r>
    </w:p>
    <w:p>
      <w:pPr>
        <w:spacing w:after="0" w:line="180" w:lineRule="exact"/>
        <w:rPr>
          <w:rFonts w:ascii="Times New Roman" w:cs="Times New Roman" w:eastAsia="Times New Roman" w:hAnsi="Times New Roman"/>
          <w:sz w:val="18"/>
          <w:szCs w:val="18"/>
          <w:b w:val="1"/>
          <w:bCs w:val="1"/>
          <w:color w:val="FF0000"/>
          <w:strike w:val="1"/>
        </w:rPr>
      </w:pPr>
    </w:p>
    <w:p>
      <w:pPr>
        <w:jc w:val="both"/>
        <w:ind w:left="660" w:firstLine="645"/>
        <w:spacing w:after="0" w:line="261" w:lineRule="auto"/>
        <w:tabs>
          <w:tab w:leader="none" w:pos="18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with a Tranche D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D Term Facility Commitment of such Term Facility Lender as in effect from time to time.</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is the understanding, agreement and intention that once made pursuant to this Section 2.01(b), any Term Facility Loans shall be part of the same Tranche, indistinguishable from one another.</w:t>
      </w:r>
    </w:p>
    <w:p>
      <w:pPr>
        <w:spacing w:after="0" w:line="158" w:lineRule="exact"/>
        <w:rPr>
          <w:sz w:val="20"/>
          <w:szCs w:val="20"/>
          <w:color w:val="auto"/>
        </w:rPr>
      </w:pPr>
    </w:p>
    <w:p>
      <w:pPr>
        <w:ind w:left="1040" w:hanging="384"/>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LIBOR Loans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645"/>
        <w:spacing w:after="0" w:line="282" w:lineRule="auto"/>
        <w:tabs>
          <w:tab w:leader="none" w:pos="174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twenty (20) separate Interest Periods in respect of LIBOR Loans may be outstanding at any one time in the aggregate under all of the facilities.</w:t>
      </w:r>
    </w:p>
    <w:p>
      <w:pPr>
        <w:spacing w:after="0" w:line="157"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76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auto"/>
        </w:rPr>
        <w:t xml:space="preserve"> Loans made under a Tranche of Term Facility Commitments </w:t>
      </w:r>
      <w:r>
        <w:rPr>
          <w:rFonts w:ascii="Times New Roman" w:cs="Times New Roman" w:eastAsia="Times New Roman" w:hAnsi="Times New Roman"/>
          <w:sz w:val="18"/>
          <w:szCs w:val="18"/>
          <w:b w:val="1"/>
          <w:bCs w:val="1"/>
          <w:u w:val="single" w:color="auto"/>
          <w:color w:val="0000FF"/>
        </w:rPr>
        <w:t>or Term Facility II Commitments</w:t>
      </w:r>
      <w:r>
        <w:rPr>
          <w:rFonts w:ascii="Times New Roman" w:cs="Times New Roman" w:eastAsia="Times New Roman" w:hAnsi="Times New Roman"/>
          <w:sz w:val="18"/>
          <w:szCs w:val="18"/>
          <w:color w:val="auto"/>
        </w:rPr>
        <w:t xml:space="preserve"> as LIBOR Loans, if at the time such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auto"/>
        </w:rPr>
        <w:t xml:space="preserve"> Loans (the “</w:t>
      </w:r>
      <w:r>
        <w:rPr>
          <w:rFonts w:ascii="Times New Roman" w:cs="Times New Roman" w:eastAsia="Times New Roman" w:hAnsi="Times New Roman"/>
          <w:sz w:val="18"/>
          <w:szCs w:val="18"/>
          <w:b w:val="1"/>
          <w:bCs w:val="1"/>
          <w:color w:val="auto"/>
        </w:rPr>
        <w:t>New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xml:space="preserve">”) are made, there are outstanding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auto"/>
        </w:rPr>
        <w:t xml:space="preserve"> Loans which were made under </w:t>
      </w:r>
      <w:r>
        <w:rPr>
          <w:rFonts w:ascii="Times New Roman" w:cs="Times New Roman" w:eastAsia="Times New Roman" w:hAnsi="Times New Roman"/>
          <w:sz w:val="18"/>
          <w:szCs w:val="18"/>
          <w:b w:val="1"/>
          <w:bCs w:val="1"/>
          <w:u w:val="single" w:color="auto"/>
          <w:color w:val="0000FF"/>
        </w:rPr>
        <w:t>(A) in respect of Term Facility Loans, the same or</w:t>
      </w:r>
      <w:r>
        <w:rPr>
          <w:rFonts w:ascii="Times New Roman" w:cs="Times New Roman" w:eastAsia="Times New Roman" w:hAnsi="Times New Roman"/>
          <w:sz w:val="18"/>
          <w:szCs w:val="18"/>
          <w:color w:val="auto"/>
        </w:rPr>
        <w:t xml:space="preserve"> any other Tranche of Term Facility Commitments </w:t>
      </w:r>
      <w:r>
        <w:rPr>
          <w:rFonts w:ascii="Times New Roman" w:cs="Times New Roman" w:eastAsia="Times New Roman" w:hAnsi="Times New Roman"/>
          <w:sz w:val="18"/>
          <w:szCs w:val="18"/>
          <w:b w:val="1"/>
          <w:bCs w:val="1"/>
          <w:u w:val="single" w:color="auto"/>
          <w:color w:val="0000FF"/>
        </w:rPr>
        <w:t>and (B) in the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of Term Facility II Loans, the Term Facility II Commitments, as 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color w:val="000000"/>
        </w:rPr>
        <w:t>Existing Term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Loans</w:t>
      </w:r>
      <w:r>
        <w:rPr>
          <w:rFonts w:ascii="Times New Roman" w:cs="Times New Roman" w:eastAsia="Times New Roman" w:hAnsi="Times New Roman"/>
          <w:sz w:val="18"/>
          <w:szCs w:val="18"/>
          <w:color w:val="000000"/>
        </w:rPr>
        <w:t>”), then (i) the initial Interest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Period(s) for all such New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000000"/>
        </w:rPr>
        <w:t xml:space="preserve"> Loans hereunder shall commence upon the making of such New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000000"/>
        </w:rPr>
        <w:t xml:space="preserve"> Loan and end on the last day of the Interest Period(s) applicable to the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color w:val="000000"/>
        </w:rPr>
        <w:t xml:space="preserve"> Existing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000000"/>
        </w:rPr>
        <w:t xml:space="preserve"> Loans (as of the date of the making of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such</w:t>
      </w:r>
      <w:r>
        <w:rPr>
          <w:rFonts w:ascii="Times New Roman" w:cs="Times New Roman" w:eastAsia="Times New Roman" w:hAnsi="Times New Roman"/>
          <w:sz w:val="18"/>
          <w:szCs w:val="18"/>
          <w:color w:val="000000"/>
        </w:rPr>
        <w:t xml:space="preserve"> New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000000"/>
        </w:rPr>
        <w:t xml:space="preserve"> Loans) and (ii) such New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000000"/>
        </w:rPr>
        <w:t xml:space="preserve"> Loans shall have the same LIBO Rate as the corresponding Existing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000000"/>
        </w:rPr>
        <w:t xml:space="preserve"> Loans (and, if there are multiple Interest Periods and/or multiple LIBO Rates applicable to the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color w:val="000000"/>
        </w:rPr>
        <w:t xml:space="preserve"> Existing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000000"/>
        </w:rPr>
        <w:t xml:space="preserve"> Loans as of such date of the making of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such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New Term</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Loans, then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such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New Term</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Loans shall have multiple Interest Periods ending on the same days (and having</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the same LIBO Rates) as such Interest Periods, and with respect to amounts proportionate to the amount of </w:t>
      </w:r>
      <w:r>
        <w:rPr>
          <w:rFonts w:ascii="Times New Roman" w:cs="Times New Roman" w:eastAsia="Times New Roman" w:hAnsi="Times New Roman"/>
          <w:sz w:val="18"/>
          <w:szCs w:val="18"/>
          <w:b w:val="1"/>
          <w:bCs w:val="1"/>
          <w:u w:val="single" w:color="auto"/>
          <w:color w:val="0000FF"/>
        </w:rPr>
        <w:t>such</w:t>
      </w:r>
      <w:r>
        <w:rPr>
          <w:rFonts w:ascii="Times New Roman" w:cs="Times New Roman" w:eastAsia="Times New Roman" w:hAnsi="Times New Roman"/>
          <w:sz w:val="18"/>
          <w:szCs w:val="18"/>
          <w:color w:val="000000"/>
        </w:rPr>
        <w:t xml:space="preserve"> Existing Term </w:t>
      </w:r>
      <w:r>
        <w:rPr>
          <w:rFonts w:ascii="Times New Roman" w:cs="Times New Roman" w:eastAsia="Times New Roman" w:hAnsi="Times New Roman"/>
          <w:sz w:val="18"/>
          <w:szCs w:val="18"/>
          <w:b w:val="1"/>
          <w:bCs w:val="1"/>
          <w:color w:val="FF0000"/>
          <w:strike w:val="1"/>
        </w:rPr>
        <w:t>Facility</w:t>
      </w:r>
      <w:r>
        <w:rPr>
          <w:rFonts w:ascii="Times New Roman" w:cs="Times New Roman" w:eastAsia="Times New Roman" w:hAnsi="Times New Roman"/>
          <w:sz w:val="18"/>
          <w:szCs w:val="18"/>
          <w:color w:val="000000"/>
        </w:rPr>
        <w:t xml:space="preserve"> Loans applicable to such Interest Periods).</w:t>
      </w:r>
    </w:p>
    <w:p>
      <w:pPr>
        <w:spacing w:after="0" w:line="183" w:lineRule="exact"/>
        <w:rPr>
          <w:rFonts w:ascii="Times New Roman" w:cs="Times New Roman" w:eastAsia="Times New Roman" w:hAnsi="Times New Roman"/>
          <w:sz w:val="18"/>
          <w:szCs w:val="18"/>
          <w:color w:val="auto"/>
        </w:rPr>
      </w:pPr>
    </w:p>
    <w:p>
      <w:pPr>
        <w:jc w:val="both"/>
        <w:ind w:firstLine="656"/>
        <w:spacing w:after="0" w:line="262" w:lineRule="auto"/>
        <w:tabs>
          <w:tab w:leader="none" w:pos="10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Term Facility II Loans. Each Lender with a Term Facility II Commitment agrees, severally and not jointly, on the terms and conditions of this Agreement, to make Term Facility II Loans to Borrower in Dollars from time to time, on any Business Day during the Term Facility II Availability Period, in an aggregate principal amount at any one time outstanding not exceeding the amount of the Term Facility II Commitment of such Term Facility II Lender as in effect from time to time.</w:t>
      </w:r>
    </w:p>
    <w:p>
      <w:pPr>
        <w:spacing w:after="0" w:line="1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2.02. Borrowings</w:t>
      </w:r>
      <w:r>
        <w:rPr>
          <w:rFonts w:ascii="Times New Roman" w:cs="Times New Roman" w:eastAsia="Times New Roman" w:hAnsi="Times New Roman"/>
          <w:sz w:val="18"/>
          <w:szCs w:val="18"/>
          <w:color w:val="auto"/>
        </w:rPr>
        <w:t>. Borrower shall give Administrative Agent notice of each borrowing hereunder as provided in Section 4.05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of a Notice of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its R/C Percentage. Each borrowing of Term Facility Loans shall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792" w:right="239" w:bottom="1440" w:gutter="0" w:footer="0" w:header="0"/>
        </w:sectPr>
      </w:pPr>
    </w:p>
    <w:bookmarkStart w:id="162" w:name="page163"/>
    <w:bookmarkEnd w:id="162"/>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be made by each Term Facility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its applicable T/C Percentage. </w:t>
      </w:r>
      <w:r>
        <w:rPr>
          <w:rFonts w:ascii="Times New Roman" w:cs="Times New Roman" w:eastAsia="Times New Roman" w:hAnsi="Times New Roman"/>
          <w:sz w:val="18"/>
          <w:szCs w:val="18"/>
          <w:b w:val="1"/>
          <w:bCs w:val="1"/>
          <w:u w:val="single" w:color="auto"/>
          <w:color w:val="0000FF"/>
        </w:rPr>
        <w:t>Each borrowing of Term Facility II Loans shall be made by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Term Facility II Lender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i w:val="1"/>
          <w:iCs w:val="1"/>
          <w:u w:val="single" w:color="auto"/>
          <w:color w:val="0000FF"/>
        </w:rPr>
        <w:t>pro rata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based on its applicable T/C Term Facility II Percentage.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amounts so received by Administrative Agent shall,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8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7"/>
          <w:szCs w:val="17"/>
          <w:b w:val="1"/>
          <w:bCs w:val="1"/>
          <w:color w:val="auto"/>
        </w:rPr>
        <w:t>Letters of Credit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the Revolving Commitments may be utilized, upon the request of Borrower, in addition to the Revolving Loans provided for by Section 2.01(a), for standby and commercial documentary letters of credit (herein collectively called “</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xml:space="preserve">”) issued by the applicable L/C Lender (which L/C Lenders agree to the terms and provisions of this Section 2.03 in reliance upon the agreements of the other Lenders set forth herein) for the account of Borrower or its Subsidiaries or, with respect to the Specified Letters of Credit (and any replacements thereof),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w:t>
      </w:r>
    </w:p>
    <w:p>
      <w:pPr>
        <w:spacing w:after="0" w:line="181" w:lineRule="exact"/>
        <w:rPr>
          <w:rFonts w:ascii="Times New Roman" w:cs="Times New Roman" w:eastAsia="Times New Roman" w:hAnsi="Times New Roman"/>
          <w:sz w:val="18"/>
          <w:szCs w:val="18"/>
          <w:color w:val="auto"/>
        </w:rPr>
      </w:pPr>
    </w:p>
    <w:p>
      <w:pPr>
        <w:ind w:left="660" w:firstLine="645"/>
        <w:spacing w:after="0" w:line="284" w:lineRule="auto"/>
        <w:tabs>
          <w:tab w:leader="none" w:pos="16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L/C Liabilities,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principal amount of all the Revolving Loans then outstanding, exceed at any time the Total Revolving Commitments as in effect at such time,</w:t>
      </w:r>
    </w:p>
    <w:p>
      <w:pPr>
        <w:spacing w:after="0" w:line="158" w:lineRule="exact"/>
        <w:rPr>
          <w:rFonts w:ascii="Times New Roman" w:cs="Times New Roman" w:eastAsia="Times New Roman" w:hAnsi="Times New Roman"/>
          <w:sz w:val="18"/>
          <w:szCs w:val="18"/>
          <w:color w:val="auto"/>
        </w:rPr>
      </w:pPr>
    </w:p>
    <w:p>
      <w:pPr>
        <w:ind w:left="660" w:firstLine="645"/>
        <w:spacing w:after="0" w:line="284" w:lineRule="auto"/>
        <w:tabs>
          <w:tab w:leader="none" w:pos="176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aggregate principal amount of all Revolving Loans of any Revolving Lender then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such Revolving Lender’s L/C Liability exceed at any time such Revolving Lender’s Revolving Commitment as in effect at such time,</w:t>
      </w:r>
    </w:p>
    <w:p>
      <w:pPr>
        <w:spacing w:after="0" w:line="160" w:lineRule="exact"/>
        <w:rPr>
          <w:rFonts w:ascii="Times New Roman" w:cs="Times New Roman" w:eastAsia="Times New Roman" w:hAnsi="Times New Roman"/>
          <w:sz w:val="18"/>
          <w:szCs w:val="18"/>
          <w:color w:val="auto"/>
        </w:rPr>
      </w:pPr>
    </w:p>
    <w:p>
      <w:pPr>
        <w:ind w:left="660" w:firstLine="645"/>
        <w:spacing w:after="0" w:line="282" w:lineRule="auto"/>
        <w:tabs>
          <w:tab w:leader="none" w:pos="178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161"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the Stated Amount of any Letter of Credit be less than $100,000 or such lesser amount as is acceptable to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 Lender,</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3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the Administrative Agent’s reasonable satisfaction, on or prior to the third Business Day preceding the latest R/C Maturity Date then in effect, subject to the ability of Borrower to request Auto-Extension Letters of Credit in accordance with Section 2.03(b),</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5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w:t>
      </w:r>
    </w:p>
    <w:p>
      <w:pPr>
        <w:spacing w:after="0" w:line="180"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be issued in a currency other than Dollars or an Alternate Currency nor at a tenor other than sight, or</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89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793" w:right="239" w:bottom="1440" w:gutter="0" w:footer="0" w:header="0"/>
        </w:sectPr>
      </w:pPr>
    </w:p>
    <w:bookmarkStart w:id="163" w:name="page164"/>
    <w:bookmarkEnd w:id="163"/>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Defaulting Lenders pursuant to Section 2.14(a)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w:t>
      </w:r>
    </w:p>
    <w:p>
      <w:pPr>
        <w:spacing w:after="0" w:line="180" w:lineRule="exact"/>
        <w:rPr>
          <w:sz w:val="20"/>
          <w:szCs w:val="20"/>
          <w:color w:val="auto"/>
        </w:rPr>
      </w:pPr>
    </w:p>
    <w:p>
      <w:pPr>
        <w:ind w:left="1080" w:hanging="424"/>
        <w:spacing w:after="0"/>
        <w:tabs>
          <w:tab w:leader="none" w:pos="1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Borrower requires the issuance of a Letter of Credit it shall give the applicable L/C Lender and Administrative Agent at least three</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6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or such other form as is reasonably acceptable to the applicable L/C Lender appropriately completed (each a “</w:t>
      </w:r>
      <w:r>
        <w:rPr>
          <w:rFonts w:ascii="Times New Roman" w:cs="Times New Roman" w:eastAsia="Times New Roman" w:hAnsi="Times New Roman"/>
          <w:sz w:val="18"/>
          <w:szCs w:val="18"/>
          <w:b w:val="1"/>
          <w:bCs w:val="1"/>
          <w:color w:val="auto"/>
        </w:rPr>
        <w:t>Letter of Credit Request</w:t>
      </w:r>
      <w:r>
        <w:rPr>
          <w:rFonts w:ascii="Times New Roman" w:cs="Times New Roman" w:eastAsia="Times New Roman" w:hAnsi="Times New Roman"/>
          <w:sz w:val="18"/>
          <w:szCs w:val="18"/>
          <w:color w:val="auto"/>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color w:val="auto"/>
        </w:rPr>
        <w:t>Non-Extension Notice Date</w:t>
      </w:r>
      <w:r>
        <w:rPr>
          <w:rFonts w:ascii="Times New Roman" w:cs="Times New Roman" w:eastAsia="Times New Roman" w:hAnsi="Times New Roman"/>
          <w:sz w:val="18"/>
          <w:szCs w:val="18"/>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the Administrative Agent’s reasonable satisfaction prior to the extension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L/C Lender shall not permit any such extension if</w:t>
      </w:r>
    </w:p>
    <w:p>
      <w:pPr>
        <w:spacing w:after="0" w:line="8"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L/C Lender has determined that it would not be permitted, or would have no obligation, at such time to issue such Letter of Credit in its revised form (as extended) under the terms hereof (by reason of the provisions of Section 2.03(a)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Borrower that one or more of the applicable conditions specified in Section 7.02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93"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797" w:right="239" w:bottom="1440" w:gutter="0" w:footer="0" w:header="0"/>
        </w:sectPr>
      </w:pPr>
    </w:p>
    <w:bookmarkStart w:id="164" w:name="page165"/>
    <w:bookmarkEnd w:id="164"/>
    <w:p>
      <w:pPr>
        <w:jc w:val="both"/>
        <w:spacing w:after="0" w:line="255" w:lineRule="auto"/>
        <w:rPr>
          <w:sz w:val="20"/>
          <w:szCs w:val="20"/>
          <w:color w:val="auto"/>
        </w:rPr>
      </w:pPr>
      <w:r>
        <w:rPr>
          <w:rFonts w:ascii="Times New Roman" w:cs="Times New Roman" w:eastAsia="Times New Roman" w:hAnsi="Times New Roman"/>
          <w:sz w:val="18"/>
          <w:szCs w:val="18"/>
          <w:color w:val="auto"/>
        </w:rPr>
        <w:t>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 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85" w:lineRule="exact"/>
        <w:rPr>
          <w:sz w:val="20"/>
          <w:szCs w:val="20"/>
          <w:color w:val="auto"/>
        </w:rPr>
      </w:pPr>
    </w:p>
    <w:p>
      <w:pPr>
        <w:jc w:val="both"/>
        <w:ind w:firstLine="656"/>
        <w:spacing w:after="0" w:line="253" w:lineRule="auto"/>
        <w:tabs>
          <w:tab w:leader="none" w:pos="10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L/C Lender has determined to honor a drawing under a Letter of Credit, such L/C Lender shall promptly notify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 Notice</w:t>
      </w:r>
      <w:r>
        <w:rPr>
          <w:rFonts w:ascii="Times New Roman" w:cs="Times New Roman" w:eastAsia="Times New Roman" w:hAnsi="Times New Roman"/>
          <w:sz w:val="18"/>
          <w:szCs w:val="18"/>
          <w:color w:val="auto"/>
        </w:rPr>
        <w:t>”) Administrative Agent and Borrower of the amount paid by such L/C Lender and the date on which payment is to be made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Section 1.05. Borrower hereby unconditionally agrees to pay and reimburse such L/C Lender, through the Administrative Agent, for the amount of payment under such Letter of Credit in Dollars, together with interest thereon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Section 3.02(b)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13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its receipt of a L/C Payment Notice referred to in Section 2.03(d),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Section 4.05. In the event that Borrower fails to reimburse any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specifying such Lender’s R/C Percentage thereof and requesting payment of such amount.</w:t>
      </w:r>
    </w:p>
    <w:p>
      <w:pPr>
        <w:spacing w:after="0" w:line="198"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Section 2.03(e) to such Revolving Lender requesting such payment and specifying such amount. Administrative Agent will promptly remit the funds so received to the applicable L/C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796" w:right="239" w:bottom="1440" w:gutter="0" w:footer="0" w:header="0"/>
        </w:sectPr>
      </w:pPr>
    </w:p>
    <w:bookmarkStart w:id="165" w:name="page166"/>
    <w:bookmarkEnd w:id="165"/>
    <w:p>
      <w:pPr>
        <w:jc w:val="both"/>
        <w:spacing w:after="0" w:line="258" w:lineRule="auto"/>
        <w:rPr>
          <w:sz w:val="20"/>
          <w:szCs w:val="20"/>
          <w:color w:val="auto"/>
        </w:rPr>
      </w:pPr>
      <w:r>
        <w:rPr>
          <w:rFonts w:ascii="Times New Roman" w:cs="Times New Roman" w:eastAsia="Times New Roman" w:hAnsi="Times New Roman"/>
          <w:sz w:val="18"/>
          <w:szCs w:val="18"/>
          <w:color w:val="auto"/>
        </w:rPr>
        <w:t>Lender in Dollars. Each such Revolving Lender’s obligation to make such payments to Administrative Agent for the account of L/C Lender under this Section 2.03(f), and the applicable L/C Lender’s right to receive the same, shall be absolute and unconditional and shall not be affected by any circumstance whatsoever, including (i) the failure of any other Revolving Lender to make its payment under this Section 2.03(f), (ii) the financial condition of Borrower or the existence of any Default or (iii) the termination of the Commitments. Each such payment to any L/C Lender shall be made without any offset, abatement, withholding or reduction whatsoever.</w:t>
      </w:r>
    </w:p>
    <w:p>
      <w:pPr>
        <w:spacing w:after="0" w:line="184" w:lineRule="exact"/>
        <w:rPr>
          <w:sz w:val="20"/>
          <w:szCs w:val="20"/>
          <w:color w:val="auto"/>
        </w:rPr>
      </w:pPr>
    </w:p>
    <w:p>
      <w:pPr>
        <w:jc w:val="both"/>
        <w:ind w:firstLine="656"/>
        <w:spacing w:after="0" w:line="253" w:lineRule="auto"/>
        <w:tabs>
          <w:tab w:leader="none" w:pos="10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each payment by a Revolving Lender, through the Administrative Agent, to an L/C Lender pursuant to Section 2.03(f)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Section 2.03(f),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Section 2.03(j).</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1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Applicable Margin for Revolving Loans of such Tranche made by such Revolving Lender that are LIBOR Loans in effect from time to time, multiplied by (y) the daily Dollar Equivalent of the Stated Amount of such Letter of Credit allocable to such Revolving Lender’s Revolving Commitments of such Tranche (such Dollar Equivalent to be determined in accordance with Section 1.05)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 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Section 1.07.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797" w:right="239" w:bottom="1440" w:gutter="0" w:footer="0" w:header="0"/>
        </w:sectPr>
      </w:pPr>
    </w:p>
    <w:bookmarkStart w:id="166" w:name="page167"/>
    <w:bookmarkEnd w:id="166"/>
    <w:p>
      <w:pPr>
        <w:ind w:right="20"/>
        <w:spacing w:after="0" w:line="282" w:lineRule="auto"/>
        <w:rPr>
          <w:sz w:val="20"/>
          <w:szCs w:val="20"/>
          <w:color w:val="auto"/>
        </w:rPr>
      </w:pPr>
      <w:r>
        <w:rPr>
          <w:rFonts w:ascii="Times New Roman" w:cs="Times New Roman" w:eastAsia="Times New Roman" w:hAnsi="Times New Roman"/>
          <w:sz w:val="18"/>
          <w:szCs w:val="18"/>
          <w:color w:val="auto"/>
        </w:rPr>
        <w:t>if so requested by a Revolving Lender, Administrative Agent shall deliver to such Revolving Lender a copy of such Letter of Credit or amendment or modification, as the case may be.</w:t>
      </w:r>
    </w:p>
    <w:p>
      <w:pPr>
        <w:spacing w:after="0" w:line="162" w:lineRule="exact"/>
        <w:rPr>
          <w:sz w:val="20"/>
          <w:szCs w:val="20"/>
          <w:color w:val="auto"/>
        </w:rPr>
      </w:pPr>
    </w:p>
    <w:p>
      <w:pPr>
        <w:jc w:val="both"/>
        <w:ind w:firstLine="656"/>
        <w:spacing w:after="0" w:line="255" w:lineRule="auto"/>
        <w:tabs>
          <w:tab w:leader="none" w:pos="101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any Revolving Lender fails to pay an amount required to be paid pursuant to Section 2.03(f) or 2.03(g)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Section 2.03(f) or 2.03(g), such partial payment shall be allocated pro rata to each Tranche based on the amount of Revolving Commitments of each Tranche held by such Revolving Lender.</w:t>
      </w:r>
    </w:p>
    <w:p>
      <w:pPr>
        <w:spacing w:after="0" w:line="185"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any L/C Lender of any amendment or modification to any Letter of Credit hereunder that would extend the expiry date or increase the Stated Amount thereof shall be subject to the same conditions applicable under this Section 2.03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Section 13.04) shall have consented thereto or (ii) if the beneficiary of the Letter of Credit does not accept the proposed terms of the Letter of Credit.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0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w:t>
      </w:r>
    </w:p>
    <w:p>
      <w:pPr>
        <w:spacing w:after="0" w:line="176"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any Credit Document or any L/C Document;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2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2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796" w:right="239" w:bottom="1440" w:gutter="0" w:footer="0" w:header="0"/>
        </w:sectPr>
      </w:pPr>
    </w:p>
    <w:bookmarkStart w:id="167" w:name="page168"/>
    <w:bookmarkEnd w:id="167"/>
    <w:p>
      <w:pPr>
        <w:ind w:left="660" w:firstLine="645"/>
        <w:spacing w:after="0" w:line="282" w:lineRule="auto"/>
        <w:tabs>
          <w:tab w:leader="none" w:pos="18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a L/C Lender of any requirement that exists for the L/C Lender’s protection and not the protection of Borrower or any waiver by the L/C Lender which does not in fact materially prejudice Borrower;</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 form of a draft;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88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any provision of any L/C Document is inconsistent with the provisions of this Section 2.03, the provisions of this Section 2.03 shall control.</w:t>
      </w:r>
    </w:p>
    <w:p>
      <w:pPr>
        <w:spacing w:after="0" w:line="162" w:lineRule="exact"/>
        <w:rPr>
          <w:sz w:val="20"/>
          <w:szCs w:val="20"/>
          <w:color w:val="auto"/>
        </w:rPr>
      </w:pPr>
    </w:p>
    <w:p>
      <w:pPr>
        <w:jc w:val="both"/>
        <w:ind w:firstLine="656"/>
        <w:spacing w:after="0" w:line="253" w:lineRule="auto"/>
        <w:tabs>
          <w:tab w:leader="none" w:pos="10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Section 2.03(n),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an Alternate Currency.</w:t>
      </w:r>
    </w:p>
    <w:p>
      <w:pPr>
        <w:spacing w:after="0" w:line="192" w:lineRule="exact"/>
        <w:rPr>
          <w:rFonts w:ascii="Times New Roman" w:cs="Times New Roman" w:eastAsia="Times New Roman" w:hAnsi="Times New Roman"/>
          <w:sz w:val="18"/>
          <w:szCs w:val="18"/>
          <w:color w:val="auto"/>
        </w:rPr>
      </w:pPr>
    </w:p>
    <w:p>
      <w:pPr>
        <w:jc w:val="both"/>
        <w:ind w:firstLine="656"/>
        <w:spacing w:after="0" w:line="254" w:lineRule="auto"/>
        <w:tabs>
          <w:tab w:leader="none" w:pos="11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the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assumption is not intended to, and shall not, preclude Borrower’s pursuing such rights and remedies as it may have against the beneficiary or transferee at law or under any other agreement. None of the L/C Lenders, the Administrative Agent, any of their respective Affiliates, directors, officers, employees, agents and advisors nor 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797" w:right="239" w:bottom="1440" w:gutter="0" w:footer="0" w:header="0"/>
        </w:sectPr>
      </w:pPr>
    </w:p>
    <w:bookmarkStart w:id="168" w:name="page169"/>
    <w:bookmarkEnd w:id="16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correspondent, participant or assignee of the L/C Lenders shall be liable or responsible for any of the matters described in clauses (i) through (viii) of Section 2.03(m);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anything in such clauses to the contrary notwithstanding, Borrower may have a claim against a L/C Lender, and a L/C Lender may be liable to Borrower, to the extent, but only to the extent, of any direct, as opposed to consequential or exemplary, damages suffered by Borrower 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b w:val="1"/>
          <w:bCs w:val="1"/>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193" w:lineRule="exact"/>
        <w:rPr>
          <w:sz w:val="20"/>
          <w:szCs w:val="20"/>
          <w:color w:val="auto"/>
        </w:rPr>
      </w:pPr>
    </w:p>
    <w:p>
      <w:pPr>
        <w:jc w:val="both"/>
        <w:ind w:firstLine="656"/>
        <w:spacing w:after="0" w:line="255" w:lineRule="auto"/>
        <w:tabs>
          <w:tab w:leader="none" w:pos="10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03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10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Lender may become an additional L/C Lender hereunder with the approval of the Administrative Agent (such approval not to be unreasonably withheld or delayed), Borrower and such Revolving Lender, pursuant to an agreement with, and in form and substance reasonably satisfactory to, the Administrative Agent, Borrower and such Revolving Lender. The Administrative Agent shall notify the Revolving Lenders of any such additional L/C Lender.</w:t>
      </w:r>
    </w:p>
    <w:p>
      <w:pPr>
        <w:spacing w:after="0" w:line="176"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2.04.</w:t>
      </w:r>
      <w:r>
        <w:rPr>
          <w:sz w:val="20"/>
          <w:szCs w:val="20"/>
          <w:color w:val="auto"/>
        </w:rPr>
        <w:tab/>
      </w:r>
      <w:r>
        <w:rPr>
          <w:rFonts w:ascii="Times New Roman" w:cs="Times New Roman" w:eastAsia="Times New Roman" w:hAnsi="Times New Roman"/>
          <w:sz w:val="17"/>
          <w:szCs w:val="17"/>
          <w:b w:val="1"/>
          <w:bCs w:val="1"/>
          <w:color w:val="auto"/>
        </w:rPr>
        <w:t>Termination and Reductions of Commitment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addition to any other mandatory commitment reductions pursuant to this Section 2.04, (A</w:t>
      </w:r>
      <w:r>
        <w:rPr>
          <w:rFonts w:ascii="Times New Roman" w:cs="Times New Roman" w:eastAsia="Times New Roman" w:hAnsi="Times New Roman"/>
          <w:sz w:val="18"/>
          <w:szCs w:val="18"/>
          <w:b w:val="1"/>
          <w:bCs w:val="1"/>
          <w:color w:val="FF0000"/>
          <w:strike w:val="1"/>
        </w:rPr>
        <w:t>) the aggregate amount of the Tranche A</w:t>
      </w:r>
    </w:p>
    <w:p>
      <w:pPr>
        <w:spacing w:after="0" w:line="31" w:lineRule="exact"/>
        <w:rPr>
          <w:rFonts w:ascii="Times New Roman" w:cs="Times New Roman" w:eastAsia="Times New Roman" w:hAnsi="Times New Roman"/>
          <w:sz w:val="18"/>
          <w:szCs w:val="18"/>
          <w:color w:val="auto"/>
        </w:rPr>
      </w:pPr>
    </w:p>
    <w:p>
      <w:pPr>
        <w:jc w:val="both"/>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FF0000"/>
          <w:strike w:val="1"/>
        </w:rPr>
        <w:t>Term Facility Commitments shall be automatically and permanently reduced by the amount of Term Facility Loans made in respect thereof from time to time, (B) the aggregate amount of the Tranche B Term Facility Commitments shall be automatically and permanently reduced by the amount of Term Facility Loans made in respect thereof from time to time, (C) the aggregate amount of the Tranche C Term Facility Commitments shall be automatically and permanently reduced by the amount of Term Facility Loans made in respect thereof from time to time and (D</w:t>
      </w:r>
      <w:r>
        <w:rPr>
          <w:rFonts w:ascii="Times New Roman" w:cs="Times New Roman" w:eastAsia="Times New Roman" w:hAnsi="Times New Roman"/>
          <w:sz w:val="17"/>
          <w:szCs w:val="17"/>
          <w:color w:val="000000"/>
          <w:strike w:val="1"/>
        </w:rPr>
        <w:t>) the aggregate</w:t>
      </w:r>
      <w:r>
        <w:rPr>
          <w:rFonts w:ascii="Times New Roman" w:cs="Times New Roman" w:eastAsia="Times New Roman" w:hAnsi="Times New Roman"/>
          <w:sz w:val="17"/>
          <w:szCs w:val="17"/>
          <w:b w:val="1"/>
          <w:bCs w:val="1"/>
          <w:color w:val="FF0000"/>
          <w:strike w:val="1"/>
        </w:rPr>
        <w:t xml:space="preserve"> </w:t>
      </w:r>
      <w:r>
        <w:rPr>
          <w:rFonts w:ascii="Times New Roman" w:cs="Times New Roman" w:eastAsia="Times New Roman" w:hAnsi="Times New Roman"/>
          <w:sz w:val="17"/>
          <w:szCs w:val="17"/>
          <w:color w:val="000000"/>
          <w:strike w:val="1"/>
        </w:rPr>
        <w:t xml:space="preserve">amount of the Tranche D Term Facility Commitments shall be automatically and permanently reduced by the amount of Term Facility Loans made in respect thereof from time to time </w:t>
      </w:r>
      <w:r>
        <w:rPr>
          <w:rFonts w:ascii="Times New Roman" w:cs="Times New Roman" w:eastAsia="Times New Roman" w:hAnsi="Times New Roman"/>
          <w:sz w:val="17"/>
          <w:szCs w:val="17"/>
          <w:b w:val="1"/>
          <w:bCs w:val="1"/>
          <w:u w:val="single" w:color="auto"/>
          <w:color w:val="0000FF"/>
          <w:strike w:val="1"/>
        </w:rPr>
        <w:t>and (B) the aggregate amount of the Term Facility II Commitments shall be automatically and permanently reduced by the</w:t>
      </w:r>
      <w:r>
        <w:rPr>
          <w:rFonts w:ascii="Times New Roman" w:cs="Times New Roman" w:eastAsia="Times New Roman" w:hAnsi="Times New Roman"/>
          <w:sz w:val="17"/>
          <w:szCs w:val="17"/>
          <w:color w:val="000000"/>
          <w:strike w:val="1"/>
        </w:rPr>
        <w:t xml:space="preserve"> </w:t>
      </w:r>
      <w:r>
        <w:rPr>
          <w:rFonts w:ascii="Times New Roman" w:cs="Times New Roman" w:eastAsia="Times New Roman" w:hAnsi="Times New Roman"/>
          <w:sz w:val="17"/>
          <w:szCs w:val="17"/>
          <w:b w:val="1"/>
          <w:bCs w:val="1"/>
          <w:u w:val="single" w:color="auto"/>
          <w:color w:val="0000FF"/>
          <w:strike w:val="1"/>
        </w:rPr>
        <w:t>amount of Term Facility II Loans made in respect thereof from time to time</w:t>
      </w:r>
      <w:r>
        <w:rPr>
          <w:rFonts w:ascii="Times New Roman" w:cs="Times New Roman" w:eastAsia="Times New Roman" w:hAnsi="Times New Roman"/>
          <w:sz w:val="17"/>
          <w:szCs w:val="17"/>
          <w:color w:val="000000"/>
          <w:strike w:val="1"/>
        </w:rPr>
        <w:t>. Notwithstanding any other provision of this Agreement, any outstanding</w:t>
      </w:r>
      <w:r>
        <w:rPr>
          <w:rFonts w:ascii="Times New Roman" w:cs="Times New Roman" w:eastAsia="Times New Roman" w:hAnsi="Times New Roman"/>
          <w:sz w:val="17"/>
          <w:szCs w:val="17"/>
          <w:b w:val="1"/>
          <w:bCs w:val="1"/>
          <w:color w:val="0000FF"/>
          <w:strike w:val="1"/>
        </w:rPr>
        <w:t xml:space="preserve"> </w:t>
      </w:r>
      <w:r>
        <w:rPr>
          <w:rFonts w:ascii="Times New Roman" w:cs="Times New Roman" w:eastAsia="Times New Roman" w:hAnsi="Times New Roman"/>
          <w:sz w:val="17"/>
          <w:szCs w:val="17"/>
          <w:color w:val="000000"/>
          <w:strike w:val="1"/>
        </w:rPr>
        <w:t>Term Facility Commitments shall automatically terminate upon the earlier of (x) such Term Facility Commitments being fully funded pursuant 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797" w:right="239" w:bottom="1440" w:gutter="0" w:footer="0" w:header="0"/>
        </w:sectPr>
      </w:pPr>
    </w:p>
    <w:bookmarkStart w:id="169" w:name="page170"/>
    <w:bookmarkEnd w:id="169"/>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2.01(b) and (y) at 5:00 p.m., New York City time, on the last Business Day of the applicable Term Facility Availability Period. </w:t>
      </w:r>
      <w:r>
        <w:rPr>
          <w:rFonts w:ascii="Times New Roman" w:cs="Times New Roman" w:eastAsia="Times New Roman" w:hAnsi="Times New Roman"/>
          <w:sz w:val="18"/>
          <w:szCs w:val="18"/>
          <w:b w:val="1"/>
          <w:bCs w:val="1"/>
          <w:u w:val="single" w:color="auto"/>
          <w:color w:val="0000FF"/>
        </w:rPr>
        <w:t>Notwithstanding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other provision of this Agreement, any outstanding Term Facility II Commitments shall automatically terminate upon the earlier of (x) such Term Facility II Commitments being fully funded pursuant to Section 2.01(d) and (y) at 5:00 p.m., New York City time, on the last Business Day of the Term Facility II Availability Period.</w:t>
      </w:r>
    </w:p>
    <w:p>
      <w:pPr>
        <w:spacing w:after="0" w:line="181" w:lineRule="exact"/>
        <w:rPr>
          <w:sz w:val="20"/>
          <w:szCs w:val="20"/>
          <w:color w:val="auto"/>
        </w:rPr>
      </w:pPr>
    </w:p>
    <w:p>
      <w:pPr>
        <w:jc w:val="both"/>
        <w:ind w:left="660" w:firstLine="645"/>
        <w:spacing w:after="0" w:line="266" w:lineRule="auto"/>
        <w:tabs>
          <w:tab w:leader="none" w:pos="172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the right at any time or from time to time (without premium or penalty except breakage costs (if any) pursuant to Section 5.05)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pro rata among the Revolving Lenders), (iii) to reduce (</w:t>
      </w:r>
      <w:r>
        <w:rPr>
          <w:rFonts w:ascii="Times New Roman" w:cs="Times New Roman" w:eastAsia="Times New Roman" w:hAnsi="Times New Roman"/>
          <w:sz w:val="18"/>
          <w:szCs w:val="18"/>
          <w:b w:val="1"/>
          <w:bCs w:val="1"/>
          <w:color w:val="FF0000"/>
          <w:strike w:val="1"/>
        </w:rPr>
        <w:t>w) the aggregate amount of the unutilized Tranche A Term Facility</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Commitments (which shall be pro rata among the Tranche A Term Facility Lenders), (x) to reduce the aggregate amount of the unutilized Tranche B Term Facility Commitments (which shall be pro rata among the Tranche B Term Facility Lenders), (y) to reduce the aggregate amount of the unutilized Tranche C Term Facility Commitments (which shall be pro rata among the Tranche C Term Facility Lenders), and (z) to reduce</w:t>
      </w:r>
      <w:r>
        <w:rPr>
          <w:rFonts w:ascii="Times New Roman" w:cs="Times New Roman" w:eastAsia="Times New Roman" w:hAnsi="Times New Roman"/>
          <w:sz w:val="18"/>
          <w:szCs w:val="18"/>
          <w:b w:val="1"/>
          <w:bCs w:val="1"/>
          <w:u w:val="single" w:color="auto"/>
          <w:color w:val="0000FF"/>
          <w:strike w:val="1"/>
        </w:rPr>
        <w:t>x)</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the</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 xml:space="preserve">aggregate amount of the unutilized Tranche D Term Facility Commitments (which shall be pro rata among the Tranche D Term Facility Lenders), and </w:t>
      </w:r>
      <w:r>
        <w:rPr>
          <w:rFonts w:ascii="Times New Roman" w:cs="Times New Roman" w:eastAsia="Times New Roman" w:hAnsi="Times New Roman"/>
          <w:sz w:val="18"/>
          <w:szCs w:val="18"/>
          <w:b w:val="1"/>
          <w:bCs w:val="1"/>
          <w:u w:val="single" w:color="auto"/>
          <w:color w:val="0000FF"/>
          <w:strike w:val="1"/>
        </w:rPr>
        <w:t>(y)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u w:val="single" w:color="auto"/>
          <w:color w:val="0000FF"/>
          <w:strike w:val="1"/>
        </w:rPr>
        <w:t>aggregate amount of the unutilized Term Facility II Commitments (which shall be pro rata among the Term Facility II Lenders), and</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(iv) so long as</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 xml:space="preserve">the remaining Total Revolving Commitments will equal or exceed the aggregate amount of outstanding Revolving Loans and L/C Liabilities, to reduce the aggregate amount of the Revolving Commitments (which shall be pro rata among the Revolving Lenders); provided, however,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strike w:val="1"/>
        </w:rPr>
        <w:t>,</w:t>
      </w:r>
      <w:r>
        <w:rPr>
          <w:rFonts w:ascii="Times New Roman" w:cs="Times New Roman" w:eastAsia="Times New Roman" w:hAnsi="Times New Roman"/>
          <w:sz w:val="18"/>
          <w:szCs w:val="18"/>
          <w:color w:val="000000"/>
          <w:strike w:val="1"/>
        </w:rPr>
        <w:t xml:space="preserve"> unutilized Term Facility Commitments of the applicable Tranche </w:t>
      </w:r>
      <w:r>
        <w:rPr>
          <w:rFonts w:ascii="Times New Roman" w:cs="Times New Roman" w:eastAsia="Times New Roman" w:hAnsi="Times New Roman"/>
          <w:sz w:val="18"/>
          <w:szCs w:val="18"/>
          <w:b w:val="1"/>
          <w:bCs w:val="1"/>
          <w:u w:val="single" w:color="auto"/>
          <w:color w:val="0000FF"/>
          <w:strike w:val="1"/>
        </w:rPr>
        <w:t>or unutilized Term Facility II Commitments</w:t>
      </w:r>
      <w:r>
        <w:rPr>
          <w:rFonts w:ascii="Times New Roman" w:cs="Times New Roman" w:eastAsia="Times New Roman" w:hAnsi="Times New Roman"/>
          <w:sz w:val="18"/>
          <w:szCs w:val="18"/>
          <w:color w:val="000000"/>
          <w:strike w:val="1"/>
        </w:rPr>
        <w:t>, as applicable.</w:t>
      </w:r>
    </w:p>
    <w:p>
      <w:pPr>
        <w:spacing w:after="0" w:line="19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once terminated or reduced may not be reinstated.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1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reduction or termination of any of the Commitments applicable to any Tranche pursuant to this Section 2.04 shall be applied ratably among the Lenders with such a Commitment, as the case may be, in accordance with their respective Commitment, as applicable.</w:t>
      </w:r>
    </w:p>
    <w:p>
      <w:pPr>
        <w:spacing w:after="0" w:line="15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2.05.</w:t>
      </w:r>
      <w:r>
        <w:rPr>
          <w:sz w:val="20"/>
          <w:szCs w:val="20"/>
          <w:color w:val="auto"/>
        </w:rPr>
        <w:tab/>
      </w:r>
      <w:r>
        <w:rPr>
          <w:rFonts w:ascii="Times New Roman" w:cs="Times New Roman" w:eastAsia="Times New Roman" w:hAnsi="Times New Roman"/>
          <w:sz w:val="17"/>
          <w:szCs w:val="17"/>
          <w:b w:val="1"/>
          <w:bCs w:val="1"/>
          <w:color w:val="auto"/>
        </w:rPr>
        <w:t>Fees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0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to Administrative Agent for the account of each Revolving Lender (other than a Defaulting Lender), with respect to such Revolving Lender’s Revolving Commitments of each Tranche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for the account of each Term Facility Lender (other than a Defaulting Lender), with respect to such Term Facility Lender’s Term Facility Commitments of each Tranche, </w:t>
      </w:r>
      <w:r>
        <w:rPr>
          <w:rFonts w:ascii="Times New Roman" w:cs="Times New Roman" w:eastAsia="Times New Roman" w:hAnsi="Times New Roman"/>
          <w:sz w:val="18"/>
          <w:szCs w:val="18"/>
          <w:b w:val="1"/>
          <w:bCs w:val="1"/>
          <w:u w:val="single" w:color="auto"/>
          <w:color w:val="0000FF"/>
        </w:rPr>
        <w:t>and for the account of each Term Facility II Lender (other than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Defaulting Lender), with respect to such Term Facility II Lender’s Term Facility II Commitments,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 commitment fee for the period from and including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Closing Date (or</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(x)</w:t>
      </w:r>
      <w:r>
        <w:rPr>
          <w:rFonts w:ascii="Times New Roman" w:cs="Times New Roman" w:eastAsia="Times New Roman" w:hAnsi="Times New Roman"/>
          <w:sz w:val="18"/>
          <w:szCs w:val="18"/>
          <w:color w:val="000000"/>
        </w:rPr>
        <w:t xml:space="preserve"> following the conversion of any such Revolving Commitment into another Tranche, the applicable Extension </w:t>
      </w:r>
      <w:r>
        <w:rPr>
          <w:rFonts w:ascii="Times New Roman" w:cs="Times New Roman" w:eastAsia="Times New Roman" w:hAnsi="Times New Roman"/>
          <w:sz w:val="18"/>
          <w:szCs w:val="18"/>
          <w:b w:val="1"/>
          <w:bCs w:val="1"/>
          <w:u w:val="single" w:color="auto"/>
          <w:color w:val="0000FF"/>
        </w:rPr>
        <w:t>Date and (y) with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respect to the Term Facility II Commitments, from and including the Fourth Amendment Effective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Date) to but not including (x) for Revolving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Commitments the earlier of (i) the date such Revolving Commitment is terminated or expires (or is modified to constitute another Tranche) and (ii) the R/C Maturity Date applicable to such Revolving Commitment,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color w:val="000000"/>
        </w:rPr>
        <w:t xml:space="preserve"> (y) for Term Facility Commitments the date such Term Facility </w:t>
      </w:r>
      <w:r>
        <w:rPr>
          <w:rFonts w:ascii="Times New Roman" w:cs="Times New Roman" w:eastAsia="Times New Roman" w:hAnsi="Times New Roman"/>
          <w:sz w:val="18"/>
          <w:szCs w:val="18"/>
          <w:b w:val="1"/>
          <w:bCs w:val="1"/>
          <w:u w:val="single" w:color="auto"/>
          <w:color w:val="0000FF"/>
        </w:rPr>
        <w:t>Commitment is terminated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or expires, and (z) for Term Facility II Commitments the date such Term Facility II</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 is terminated or expires, in each case, computed at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rate </w:t>
      </w:r>
      <w:r>
        <w:rPr>
          <w:rFonts w:ascii="Times New Roman" w:cs="Times New Roman" w:eastAsia="Times New Roman" w:hAnsi="Times New Roman"/>
          <w:sz w:val="18"/>
          <w:szCs w:val="18"/>
          <w:i w:val="1"/>
          <w:iCs w:val="1"/>
          <w:color w:val="000000"/>
        </w:rPr>
        <w:t>per annum</w:t>
      </w:r>
      <w:r>
        <w:rPr>
          <w:rFonts w:ascii="Times New Roman" w:cs="Times New Roman" w:eastAsia="Times New Roman" w:hAnsi="Times New Roman"/>
          <w:sz w:val="18"/>
          <w:szCs w:val="18"/>
          <w:color w:val="000000"/>
        </w:rPr>
        <w:t xml:space="preserve"> equal to the Applicable Fee Percentage in respect of such Tranche in effect from time to time during such period on the actual daily amount of such Revolving Lender’s Unutilized R/C Commitment in respect of such Tranche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000000"/>
        </w:rPr>
        <w:t xml:space="preserve"> such Term Facility Lender’s unutilized Term Facility Commitment in respect of such Tranche </w:t>
      </w:r>
      <w:r>
        <w:rPr>
          <w:rFonts w:ascii="Times New Roman" w:cs="Times New Roman" w:eastAsia="Times New Roman" w:hAnsi="Times New Roman"/>
          <w:sz w:val="18"/>
          <w:szCs w:val="18"/>
          <w:b w:val="1"/>
          <w:bCs w:val="1"/>
          <w:u w:val="single" w:color="auto"/>
          <w:color w:val="0000FF"/>
        </w:rPr>
        <w:t>or such Term Facility II Lender’s unutilized Term Facility II Commitment</w:t>
      </w:r>
      <w:r>
        <w:rPr>
          <w:rFonts w:ascii="Times New Roman" w:cs="Times New Roman" w:eastAsia="Times New Roman" w:hAnsi="Times New Roman"/>
          <w:sz w:val="18"/>
          <w:szCs w:val="18"/>
          <w:color w:val="000000"/>
        </w:rPr>
        <w:t>, as applicable. Notwithstanding anything to the contrary in the definition of “Unutilized R/C Commitments,” for purposes of determining Unutilized R/C Commitments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792" w:right="239" w:bottom="1440" w:gutter="0" w:footer="0" w:header="0"/>
        </w:sectPr>
      </w:pPr>
    </w:p>
    <w:bookmarkStart w:id="170" w:name="page171"/>
    <w:bookmarkEnd w:id="170"/>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Section 2.05(a) in respect of any Revolving Commitment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Term Facility Commitment </w:t>
      </w:r>
      <w:r>
        <w:rPr>
          <w:rFonts w:ascii="Times New Roman" w:cs="Times New Roman" w:eastAsia="Times New Roman" w:hAnsi="Times New Roman"/>
          <w:sz w:val="18"/>
          <w:szCs w:val="18"/>
          <w:b w:val="1"/>
          <w:bCs w:val="1"/>
          <w:u w:val="single" w:color="auto"/>
          <w:color w:val="0000FF"/>
        </w:rPr>
        <w:t>or Term Facility II Commitment</w:t>
      </w:r>
      <w:r>
        <w:rPr>
          <w:rFonts w:ascii="Times New Roman" w:cs="Times New Roman" w:eastAsia="Times New Roman" w:hAnsi="Times New Roman"/>
          <w:sz w:val="18"/>
          <w:szCs w:val="18"/>
          <w:color w:val="auto"/>
        </w:rPr>
        <w:t xml:space="preserve"> shall be payable in arrears on each Quarterly Date and on the earlier of (i) the date the applicable Revolving Commitment is modified to constitute another Tranche or such Term Facility Commitment is terminated or expires </w:t>
      </w:r>
      <w:r>
        <w:rPr>
          <w:rFonts w:ascii="Times New Roman" w:cs="Times New Roman" w:eastAsia="Times New Roman" w:hAnsi="Times New Roman"/>
          <w:sz w:val="18"/>
          <w:szCs w:val="18"/>
          <w:b w:val="1"/>
          <w:bCs w:val="1"/>
          <w:u w:val="single" w:color="auto"/>
          <w:color w:val="0000FF"/>
        </w:rPr>
        <w:t>or such Term Facility II Commitment is terminated or expires</w:t>
      </w:r>
      <w:r>
        <w:rPr>
          <w:rFonts w:ascii="Times New Roman" w:cs="Times New Roman" w:eastAsia="Times New Roman" w:hAnsi="Times New Roman"/>
          <w:sz w:val="18"/>
          <w:szCs w:val="18"/>
          <w:color w:val="auto"/>
        </w:rPr>
        <w:t xml:space="preserve">, as applicable, and (ii) for any Revolving Commitment, the R/C Maturity Date applicable to such Revolving Commitment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color w:val="auto"/>
        </w:rPr>
        <w:t>, for any Term Facility Commitment, the termination of the applicable Term Facility Availability Period</w:t>
      </w:r>
      <w:r>
        <w:rPr>
          <w:rFonts w:ascii="Times New Roman" w:cs="Times New Roman" w:eastAsia="Times New Roman" w:hAnsi="Times New Roman"/>
          <w:sz w:val="18"/>
          <w:szCs w:val="18"/>
          <w:b w:val="1"/>
          <w:bCs w:val="1"/>
          <w:u w:val="single" w:color="auto"/>
          <w:color w:val="0000FF"/>
        </w:rPr>
        <w:t>, and for any Term Facility II Commitment, the termination of the Term Facility II Availability Period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040" w:hanging="384"/>
        <w:spacing w:after="0"/>
        <w:tabs>
          <w:tab w:leader="none" w:pos="1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Administrative Agent for its own account the administrative fee separately agreed to in the Fee Letter.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9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Auction Manager for its own account, in connection with any Borrower Loan Purchase, such fees as may be agreed between Borrower and Auction Manager.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2.06. Lending Offices</w:t>
      </w:r>
      <w:r>
        <w:rPr>
          <w:rFonts w:ascii="Times New Roman" w:cs="Times New Roman" w:eastAsia="Times New Roman" w:hAnsi="Times New Roman"/>
          <w:sz w:val="18"/>
          <w:szCs w:val="18"/>
          <w:color w:val="auto"/>
        </w:rPr>
        <w:t>. The Loans of each Type made by each Lender shall be made and maintained at such Lender’s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Lending Office for Loans of such Type. Each Lender may, at its option but subject to Section 5.06 as if such branch or Affiliate was deemed a “Lender” thereunder for purposes of documentation delivered to the Administrative Agent and payments required to be made to Borrower thereunder, make any Loan by causing any domestic or foreign branch or Affiliate of such Lender to make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exercise of such option shall not affect in any manner the obligation of Borrower to repay such Loan in accordance with the terms of this Agreement.</w:t>
      </w:r>
    </w:p>
    <w:p>
      <w:pPr>
        <w:spacing w:after="0" w:line="3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2.07. Several Obligations of Lenders</w:t>
      </w:r>
      <w:r>
        <w:rPr>
          <w:rFonts w:ascii="Times New Roman" w:cs="Times New Roman" w:eastAsia="Times New Roman" w:hAnsi="Times New Roman"/>
          <w:sz w:val="18"/>
          <w:szCs w:val="18"/>
          <w:color w:val="auto"/>
        </w:rPr>
        <w:t>. The failure of any Lender to make any Loan to be made by it on the date specified therefor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2.08.</w:t>
      </w:r>
      <w:r>
        <w:rPr>
          <w:sz w:val="20"/>
          <w:szCs w:val="20"/>
          <w:color w:val="auto"/>
        </w:rPr>
        <w:tab/>
      </w:r>
      <w:r>
        <w:rPr>
          <w:rFonts w:ascii="Times New Roman" w:cs="Times New Roman" w:eastAsia="Times New Roman" w:hAnsi="Times New Roman"/>
          <w:sz w:val="17"/>
          <w:szCs w:val="17"/>
          <w:b w:val="1"/>
          <w:bCs w:val="1"/>
          <w:color w:val="auto"/>
        </w:rPr>
        <w:t>Notes; Register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20" w:lineRule="exact"/>
        <w:tabs>
          <w:tab w:leader="none" w:pos="105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Times New Roman" w:cs="Times New Roman" w:eastAsia="Times New Roman" w:hAnsi="Times New Roman"/>
          <w:sz w:val="18"/>
          <w:szCs w:val="18"/>
          <w:u w:val="single" w:color="auto"/>
          <w:color w:val="auto"/>
        </w:rPr>
        <w:t>Exhibits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 A-3</w:t>
      </w:r>
      <w:r>
        <w:rPr>
          <w:rFonts w:ascii="Times New Roman" w:cs="Times New Roman" w:eastAsia="Times New Roman" w:hAnsi="Times New Roman"/>
          <w:sz w:val="18"/>
          <w:szCs w:val="18"/>
          <w:color w:val="auto"/>
        </w:rPr>
        <w:t xml:space="preserve"> of such Lender’s Revolving Loans</w:t>
      </w:r>
      <w:r>
        <w:rPr>
          <w:rFonts w:ascii="Times New Roman" w:cs="Times New Roman" w:eastAsia="Times New Roman" w:hAnsi="Times New Roman"/>
          <w:sz w:val="18"/>
          <w:szCs w:val="18"/>
          <w:b w:val="1"/>
          <w:bCs w:val="1"/>
          <w:u w:val="single" w:color="auto"/>
          <w:color w:val="0000FF"/>
        </w:rPr>
        <w:t>, Term Facility Loans</w:t>
      </w:r>
      <w:r>
        <w:rPr>
          <w:rFonts w:ascii="Times New Roman" w:cs="Times New Roman" w:eastAsia="Times New Roman" w:hAnsi="Times New Roman"/>
          <w:sz w:val="18"/>
          <w:szCs w:val="18"/>
          <w:color w:val="auto"/>
        </w:rPr>
        <w:t xml:space="preserve"> and Term Facility </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xml:space="preserve"> Loans,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promissory notes issued in respect of Other Term Loans, Extended Term Loans or Extended Revolving Loans shall be in such form as mutually agreed by Borrower and Administrative Agent.</w:t>
      </w:r>
    </w:p>
    <w:p>
      <w:pPr>
        <w:spacing w:after="0" w:line="200"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designates Administrative Agent to serve as its nonfiduciary agent, solely for purposes of this Section 2.08, to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97" w:right="239" w:bottom="1440" w:gutter="0" w:footer="0" w:header="0"/>
        </w:sectPr>
      </w:pPr>
    </w:p>
    <w:bookmarkStart w:id="171" w:name="page172"/>
    <w:bookmarkEnd w:id="17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Administrative Agent agrees to record in the Register any assignment entered into pursuant to the term hereof promptly after the effectiveness of such assignment.</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2.09.</w:t>
      </w:r>
      <w:r>
        <w:rPr>
          <w:sz w:val="20"/>
          <w:szCs w:val="20"/>
          <w:color w:val="auto"/>
        </w:rPr>
        <w:tab/>
      </w:r>
      <w:r>
        <w:rPr>
          <w:rFonts w:ascii="Times New Roman" w:cs="Times New Roman" w:eastAsia="Times New Roman" w:hAnsi="Times New Roman"/>
          <w:sz w:val="17"/>
          <w:szCs w:val="17"/>
          <w:b w:val="1"/>
          <w:bCs w:val="1"/>
          <w:color w:val="auto"/>
        </w:rPr>
        <w:t>Optional Prepayments and Conversions or Continuations of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0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4.04,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Section 4.05 (and, upon the date specified in any such notice of prepayment, the amount to be prepaid shall become due and payable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If LIBOR Loans are prepaid or converted other than on the last day of an Interest Period therefor, Borrower shall at such time pay all expenses and costs required by Section 5.05.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 which event all Loans shall be converted (on the last day(s) of the respective Interest Periods therefor) or continued, as the case may be, as ABR Loans.</w:t>
      </w:r>
    </w:p>
    <w:p>
      <w:pPr>
        <w:spacing w:after="0" w:line="18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645"/>
        <w:spacing w:after="0" w:line="282" w:lineRule="auto"/>
        <w:tabs>
          <w:tab w:leader="none" w:pos="177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optional prepayments described in Section 2.09(a) shall be applied to prepay Loans outstanding in order of amortization, in amounts and to Tranches, all as determined by Borrower.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824"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foregoing, following the earlier of the Wynn Las Vegas Reorganization and the Wynn Massachusetts Project Opening Date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prior to the Initial Test Date, the Consolidated Senior Secured Net Leverage Ratio is less than 2.50 to 1.00 on a Pro Forma Basis (calculated assuming all amounts offered pursuant to this clause (b)(ii) were accepted as prepayment for the Loans and applied thereto) as of the most recent Calculation Date and (II) from and after the Initial Test Date,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to the Term Facility Loans, the </w:t>
      </w:r>
      <w:r>
        <w:rPr>
          <w:rFonts w:ascii="Times New Roman" w:cs="Times New Roman" w:eastAsia="Times New Roman" w:hAnsi="Times New Roman"/>
          <w:sz w:val="17"/>
          <w:szCs w:val="17"/>
          <w:b w:val="1"/>
          <w:bCs w:val="1"/>
          <w:u w:val="single" w:color="auto"/>
          <w:color w:val="0000FF"/>
        </w:rPr>
        <w:t>Term Facility II Loans, the</w:t>
      </w:r>
      <w:r>
        <w:rPr>
          <w:rFonts w:ascii="Times New Roman" w:cs="Times New Roman" w:eastAsia="Times New Roman" w:hAnsi="Times New Roman"/>
          <w:sz w:val="17"/>
          <w:szCs w:val="17"/>
          <w:color w:val="auto"/>
        </w:rPr>
        <w:t xml:space="preserve"> Extended Term Loans and the Other Term Loans then outstanding and apply any amounts rejected for such prepayment to repurchase, prepay, redeem, retire, acquire, defease or cancel Indebtedness or make Restricted Payments notwithstanding any then applicable limitations set forth in Section 10.09 or 10.06,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Facility Loan, </w:t>
      </w:r>
      <w:r>
        <w:rPr>
          <w:rFonts w:ascii="Times New Roman" w:cs="Times New Roman" w:eastAsia="Times New Roman" w:hAnsi="Times New Roman"/>
          <w:sz w:val="17"/>
          <w:szCs w:val="17"/>
          <w:b w:val="1"/>
          <w:bCs w:val="1"/>
          <w:color w:val="FF0000"/>
          <w:strike w:val="1"/>
        </w:rPr>
        <w:t>an</w:t>
      </w:r>
      <w:r>
        <w:rPr>
          <w:rFonts w:ascii="Times New Roman" w:cs="Times New Roman" w:eastAsia="Times New Roman" w:hAnsi="Times New Roman"/>
          <w:sz w:val="17"/>
          <w:szCs w:val="17"/>
          <w:b w:val="1"/>
          <w:bCs w:val="1"/>
          <w:u w:val="single" w:color="auto"/>
          <w:color w:val="0000FF"/>
        </w:rPr>
        <w:t>a Term Facility II Loan, an</w:t>
      </w:r>
      <w:r>
        <w:rPr>
          <w:rFonts w:ascii="Times New Roman" w:cs="Times New Roman" w:eastAsia="Times New Roman" w:hAnsi="Times New Roman"/>
          <w:sz w:val="17"/>
          <w:szCs w:val="17"/>
          <w:color w:val="auto"/>
        </w:rPr>
        <w:t xml:space="preserve"> Other Term Loan or an Extended Term Loan may elect, in its sole discretion, to reject such prepayment offer with respect to an amount equal to or less than (w) with respect to holders of Term Facility Loans, an amount equal to the aggregate amount so offered to prepay Term Facility Loans times a fraction, the numerator of which is the principal amount of Term Facility Loans owed to such holder and the denominator of which is the principal amount of Term Facility Loans outstanding, (x) with respect to holders of </w:t>
      </w:r>
      <w:r>
        <w:rPr>
          <w:rFonts w:ascii="Times New Roman" w:cs="Times New Roman" w:eastAsia="Times New Roman" w:hAnsi="Times New Roman"/>
          <w:sz w:val="17"/>
          <w:szCs w:val="17"/>
          <w:b w:val="1"/>
          <w:bCs w:val="1"/>
          <w:u w:val="single" w:color="auto"/>
          <w:color w:val="0000FF"/>
        </w:rPr>
        <w:t>Term</w:t>
      </w:r>
    </w:p>
    <w:p>
      <w:pPr>
        <w:spacing w:after="0" w:line="9" w:lineRule="exact"/>
        <w:rPr>
          <w:rFonts w:ascii="Times New Roman" w:cs="Times New Roman" w:eastAsia="Times New Roman" w:hAnsi="Times New Roman"/>
          <w:sz w:val="17"/>
          <w:szCs w:val="17"/>
          <w:color w:val="auto"/>
        </w:rPr>
      </w:pPr>
    </w:p>
    <w:p>
      <w:pPr>
        <w:jc w:val="both"/>
        <w:ind w:left="6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u w:val="single" w:color="auto"/>
          <w:color w:val="0000FF"/>
        </w:rPr>
        <w:t>Facility II Loans, an amount equal to the aggregate amount so offered to prepay Term Facility II Loans times a fraction, the numerator of which is the principal amount of Term Facility II Loans owed to such holder and the denominator of which is the principal amount of Term Facility II Loans outstanding, (y) with respect to holders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Other Term Loans, an amount equal to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796" w:right="239" w:bottom="1440" w:gutter="0" w:footer="0" w:header="0"/>
        </w:sectPr>
      </w:pPr>
    </w:p>
    <w:bookmarkStart w:id="172" w:name="page173"/>
    <w:bookmarkEnd w:id="172"/>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aggregate amount so offered to prepay Other Term Loans times a fraction, the numerator of which is the principal amount of Other Term Loans owed to such holder and the denominator of which is the principal amount of Other Term Loans outstanding and (</w:t>
      </w:r>
      <w:r>
        <w:rPr>
          <w:rFonts w:ascii="Times New Roman" w:cs="Times New Roman" w:eastAsia="Times New Roman" w:hAnsi="Times New Roman"/>
          <w:sz w:val="18"/>
          <w:szCs w:val="18"/>
          <w:b w:val="1"/>
          <w:bCs w:val="1"/>
          <w:color w:val="FF0000"/>
          <w:strike w:val="1"/>
        </w:rPr>
        <w:t>y</w:t>
      </w:r>
      <w:r>
        <w:rPr>
          <w:rFonts w:ascii="Times New Roman" w:cs="Times New Roman" w:eastAsia="Times New Roman" w:hAnsi="Times New Roman"/>
          <w:sz w:val="18"/>
          <w:szCs w:val="18"/>
          <w:b w:val="1"/>
          <w:bCs w:val="1"/>
          <w:u w:val="single" w:color="auto"/>
          <w:color w:val="0000FF"/>
        </w:rPr>
        <w:t>z</w:t>
      </w:r>
      <w:r>
        <w:rPr>
          <w:rFonts w:ascii="Times New Roman" w:cs="Times New Roman" w:eastAsia="Times New Roman" w:hAnsi="Times New Roman"/>
          <w:sz w:val="18"/>
          <w:szCs w:val="18"/>
          <w:color w:val="auto"/>
        </w:rPr>
        <w:t>)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Section 10.09 or 10.06, respectively.</w:t>
      </w:r>
    </w:p>
    <w:p>
      <w:pPr>
        <w:spacing w:after="0" w:line="18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Mandatory Prepayments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656"/>
        <w:spacing w:after="0" w:line="282" w:lineRule="auto"/>
        <w:tabs>
          <w:tab w:leader="none" w:pos="105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prepay the Loans as follows (each such prepayment to be effected in each case in the manner, order and to the extent specified in Section 2.10(b) below):</w:t>
      </w:r>
    </w:p>
    <w:p>
      <w:pPr>
        <w:spacing w:after="0" w:line="157" w:lineRule="exact"/>
        <w:rPr>
          <w:rFonts w:ascii="Times New Roman" w:cs="Times New Roman" w:eastAsia="Times New Roman" w:hAnsi="Times New Roman"/>
          <w:sz w:val="18"/>
          <w:szCs w:val="18"/>
          <w:color w:val="auto"/>
        </w:rPr>
      </w:pPr>
    </w:p>
    <w:p>
      <w:pPr>
        <w:jc w:val="both"/>
        <w:ind w:left="660" w:firstLine="645"/>
        <w:spacing w:after="0" w:line="262" w:lineRule="auto"/>
        <w:tabs>
          <w:tab w:leader="none" w:pos="172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Casualty Events</w:t>
      </w:r>
      <w:r>
        <w:rPr>
          <w:rFonts w:ascii="Times New Roman" w:cs="Times New Roman" w:eastAsia="Times New Roman" w:hAnsi="Times New Roman"/>
          <w:sz w:val="18"/>
          <w:szCs w:val="18"/>
          <w:color w:val="auto"/>
        </w:rPr>
        <w:t>. Within five (5) Business Days after Borrower or any Restricted Subsidiary receives any Net Available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any Casualty Event or any disposition pursuant to Section 10.05(l) (or notice of collection by Administrative Agent of the same), in an aggregate principal amount equal to 100% of such Net Available Proceeds (it being understood that applications pursuant to this Section 2.10(a)(i) shall not be duplicative of Section 2.10(a)(iii)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0" w:lineRule="exact"/>
        <w:rPr>
          <w:rFonts w:ascii="Times New Roman" w:cs="Times New Roman" w:eastAsia="Times New Roman" w:hAnsi="Times New Roman"/>
          <w:sz w:val="18"/>
          <w:szCs w:val="18"/>
          <w:color w:val="auto"/>
        </w:rPr>
      </w:pPr>
    </w:p>
    <w:p>
      <w:pPr>
        <w:jc w:val="both"/>
        <w:ind w:left="1300" w:firstLine="653"/>
        <w:spacing w:after="0" w:line="253" w:lineRule="auto"/>
        <w:tabs>
          <w:tab w:leader="none" w:pos="2359"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any Credit Party or repair, replace or restore the Property or other Property used or usable in the business of any Credit Party (in accordance with the provisions of the applicable Security Document in respect of which such Casualty Event has occurred, to the extent applicable), in each case within (A) twelve (12) months following receipt of such Net Available Proceeds or (B) if Borrower or the relevant Restricted Subsidiary enters into a legally binding commitment to reinvest such Net Available Proceeds within twelve (12) months following receipt thereof, within the later of</w:t>
      </w:r>
    </w:p>
    <w:p>
      <w:pPr>
        <w:spacing w:after="0" w:line="3" w:lineRule="exact"/>
        <w:rPr>
          <w:rFonts w:ascii="Times New Roman" w:cs="Times New Roman" w:eastAsia="Times New Roman" w:hAnsi="Times New Roman"/>
          <w:sz w:val="18"/>
          <w:szCs w:val="18"/>
          <w:color w:val="auto"/>
        </w:rPr>
      </w:pPr>
    </w:p>
    <w:p>
      <w:pPr>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one hundred and eighty (180) days following the date of such legally binding commitment and (2) twelve (12) months following receipt of such Net Available Proceeds, and</w:t>
      </w:r>
    </w:p>
    <w:p>
      <w:pPr>
        <w:spacing w:after="0" w:line="179"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384"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Net Available Proceeds not required to be applied to the prepayment of Loans pursuant to this Section 2.10(a)(i) is not so used within the period specified by clause (x) above, such remaining portion shall be applied on the last day of such period as specified in Section 2.10(b).</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2.10(a)(i) or otherwise, no mandatory prepayment shall be required pursuant to this Section 2.10(a)(i) in any fiscal year until the date on which the Net Available Proceeds required to be applied as mandatory prepayments pursuant to this Section 2.10(a)(i) in such fiscal year shall exceed $15.0 million (and thereafter only Net Available Proceeds in excess of such amount shall be required to be applied as mandatory prepayments pursuant to this Section 2.10(a)(i)).</w:t>
      </w:r>
    </w:p>
    <w:p>
      <w:pPr>
        <w:spacing w:after="0" w:line="176" w:lineRule="exact"/>
        <w:rPr>
          <w:sz w:val="20"/>
          <w:szCs w:val="20"/>
          <w:color w:val="auto"/>
        </w:rPr>
      </w:pPr>
    </w:p>
    <w:p>
      <w:pPr>
        <w:ind w:left="660" w:firstLine="645"/>
        <w:spacing w:after="0" w:line="286" w:lineRule="auto"/>
        <w:tabs>
          <w:tab w:leader="none" w:pos="172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Within five (5) Business Days after any Debt Issuance on or after the Closing Date, in an aggregate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100% of the Net Available Proceeds of such Debt Issuance.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797" w:right="239" w:bottom="1440" w:gutter="0" w:footer="0" w:header="0"/>
        </w:sectPr>
      </w:pPr>
    </w:p>
    <w:bookmarkStart w:id="173" w:name="page174"/>
    <w:bookmarkEnd w:id="173"/>
    <w:p>
      <w:pPr>
        <w:jc w:val="both"/>
        <w:ind w:firstLine="645"/>
        <w:spacing w:after="0" w:line="262" w:lineRule="auto"/>
        <w:tabs>
          <w:tab w:leader="none" w:pos="11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Asset Sales</w:t>
      </w:r>
      <w:r>
        <w:rPr>
          <w:rFonts w:ascii="Times New Roman" w:cs="Times New Roman" w:eastAsia="Times New Roman" w:hAnsi="Times New Roman"/>
          <w:sz w:val="18"/>
          <w:szCs w:val="18"/>
          <w:color w:val="auto"/>
        </w:rPr>
        <w:t>. Within five (5) Business Days after receipt by Borrower or any of its Restricted Subsidiaries of any Net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Proceeds from any Asset Sale pursuant to Section 10.05(c), in an aggregate principal amount equal to 100% of the Net Available Proceeds from such Asset Sale (it being understood that applications pursuant to this Section 2.10(a)(iii) shall not be duplicative of Section 2.10(a)(i)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0" w:lineRule="exact"/>
        <w:rPr>
          <w:rFonts w:ascii="Times New Roman" w:cs="Times New Roman" w:eastAsia="Times New Roman" w:hAnsi="Times New Roman"/>
          <w:sz w:val="18"/>
          <w:szCs w:val="18"/>
          <w:color w:val="auto"/>
        </w:rPr>
      </w:pPr>
    </w:p>
    <w:p>
      <w:pPr>
        <w:jc w:val="both"/>
        <w:ind w:left="640" w:firstLine="653"/>
        <w:spacing w:after="0" w:line="254" w:lineRule="auto"/>
        <w:tabs>
          <w:tab w:leader="none" w:pos="17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Net Available Proceeds from any Asset Sale pursuant to Section 10.05(c)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twelve (12) months following receipt of such Net Available Proceeds or (y) if Borrower or the relevant Restricted Subsidiary enters into a legally binding commitment to reinvest such Net Available Proceeds within twelve (12) months following receipt thereof, within the later of (A) one hundred and eighty (180) days following the date of such legally binding commitment and (B) twelve (12) months following receipt of such Net Available Proceeds (which certificate shall set forth the estimates of the proceeds to be so expended); and</w:t>
      </w:r>
    </w:p>
    <w:p>
      <w:pPr>
        <w:spacing w:after="0" w:line="186"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73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Section 2.10(b).</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2.10(a)(iii) or otherwise, no mandatory prepayment shall be required pursuant to this Section 2.10(a)(iii) in any fiscal year until the date on which the Net Available Proceeds required to be applied as mandatory prepayments pursuant to this Section 2.10(a)(iii) in such fiscal year shall exceed $15.0 million (and thereafter only Net Available Proceeds in excess of such amount shall be required be applied as mandatory prepayments pursuant to this Section 2.10(a)(iii)).</w:t>
      </w:r>
    </w:p>
    <w:p>
      <w:pPr>
        <w:spacing w:after="0" w:line="176" w:lineRule="exact"/>
        <w:rPr>
          <w:sz w:val="20"/>
          <w:szCs w:val="20"/>
          <w:color w:val="auto"/>
        </w:rPr>
      </w:pPr>
    </w:p>
    <w:p>
      <w:pPr>
        <w:jc w:val="both"/>
        <w:ind w:firstLine="645"/>
        <w:spacing w:after="0" w:line="252" w:lineRule="auto"/>
        <w:tabs>
          <w:tab w:leader="none" w:pos="114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Prepayments Not Required</w:t>
      </w:r>
      <w:r>
        <w:rPr>
          <w:rFonts w:ascii="Times New Roman" w:cs="Times New Roman" w:eastAsia="Times New Roman" w:hAnsi="Times New Roman"/>
          <w:sz w:val="18"/>
          <w:szCs w:val="18"/>
          <w:color w:val="auto"/>
        </w:rPr>
        <w:t>. Notwithstanding any other provisions of this Section 2.10(a), to the extent that any of or all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Proceeds of any Asset Sale or Casualty Event with respect to any property or assets of Foreign Subsidiaries are prohibited or delayed by applicable local law from being repatriated to the United States, the portion of such Net Available Proceeds so affected will not be required to be applied to repay Term Loans at the times provided in this Section 2.10(a) but may be retained by the applicable Foreign Subsidiary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any such Net Available Proceeds shall be reinvested pursuant to Section 2.10(a)(i) or (iii), as applicable, or applied pursuant to Section 2.10(b) within five (5) Business Days of such repatriation. To the extent Borrower determines in good faith that repatriation of any of or all the Net Available Proceeds of any Asset Sale or Casualty Event with respect to any property or assets of Foreign Subsidiaries would have a material adverse tax costs or consequences to Borrower or any of its Subsidiaries, such Net Available Proceeds so affected may be retained by the applicable Foreign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or before the date on which the Net Available Proceeds so retained would otherwise have been required to be applied to reinvestments or prepayments pursuant to Section 2.10(a)(i) or (iii), as applicable, unless previously repatriated (in which case, any such Net Available Proceeds shall be reinvested pursuant to Section 2.10(a)(i) or (iii), as applicable, or applied pursuant to Section 2.10(b) within five (5) Business Days of such repatriation), (A) Borrower shall apply an amount equal to such Net Available Proceeds to such reinvestments or prepayments as if such Net Available Proceeds had been received by Borrower rather than such Foreign Subsidiary, minus, the amount of additional taxes that would have been payable or reserved against if such Net Available Proceeds had been repatriated (or, if less, the Net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760"/>
          </w:cols>
          <w:pgMar w:left="900" w:top="793" w:right="239" w:bottom="1440" w:gutter="0" w:footer="0" w:header="0"/>
        </w:sectPr>
      </w:pPr>
    </w:p>
    <w:bookmarkStart w:id="174" w:name="page175"/>
    <w:bookmarkEnd w:id="174"/>
    <w:p>
      <w:pPr>
        <w:ind w:left="660"/>
        <w:spacing w:after="0" w:line="282" w:lineRule="auto"/>
        <w:rPr>
          <w:sz w:val="20"/>
          <w:szCs w:val="20"/>
          <w:color w:val="auto"/>
        </w:rPr>
      </w:pPr>
      <w:r>
        <w:rPr>
          <w:rFonts w:ascii="Times New Roman" w:cs="Times New Roman" w:eastAsia="Times New Roman" w:hAnsi="Times New Roman"/>
          <w:sz w:val="18"/>
          <w:szCs w:val="18"/>
          <w:color w:val="auto"/>
        </w:rPr>
        <w:t>Available Proceeds that would be calculated if received by such Foreign Subsidiary) pursuant to Section 2.10(b) or (B) such Net Available Proceeds shall be applied to the repayment of Indebtedness of a Foreign Subsidiary.</w:t>
      </w:r>
    </w:p>
    <w:p>
      <w:pPr>
        <w:spacing w:after="0" w:line="158" w:lineRule="exact"/>
        <w:rPr>
          <w:sz w:val="20"/>
          <w:szCs w:val="20"/>
          <w:color w:val="auto"/>
        </w:rPr>
      </w:pPr>
    </w:p>
    <w:p>
      <w:pPr>
        <w:jc w:val="both"/>
        <w:ind w:left="660" w:firstLine="645"/>
        <w:spacing w:after="0" w:line="253" w:lineRule="auto"/>
        <w:tabs>
          <w:tab w:leader="none" w:pos="183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Prepayments of Other First Lien Indebtedness. </w:t>
      </w:r>
      <w:r>
        <w:rPr>
          <w:rFonts w:ascii="Times New Roman" w:cs="Times New Roman" w:eastAsia="Times New Roman" w:hAnsi="Times New Roman"/>
          <w:sz w:val="18"/>
          <w:szCs w:val="18"/>
          <w:color w:val="auto"/>
        </w:rPr>
        <w:t>Notwithstanding the foregoing provisions of Section 2.10(a)(i), (ii), (iii)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any 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(determined on the basis of the aggregate outstanding principal amount of Term Loans and Other First Lien Indebtedness at such time) of such Net Available Proceeds relative to Lenders, in which case such Net Available Proceeds may only be applied to prepay the principal amount of Other First Lien Indebtedness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with outstanding Term Loans. To the extent the holders of Other First Lien Indebtedness decline to have such indebtedness repurchased,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8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The amount of any required prepayments described in Section 2.10(a) shall be applied to prepay Loans as follows:</w:t>
      </w:r>
    </w:p>
    <w:p>
      <w:pPr>
        <w:spacing w:after="0" w:line="225" w:lineRule="exact"/>
        <w:rPr>
          <w:rFonts w:ascii="Times New Roman" w:cs="Times New Roman" w:eastAsia="Times New Roman" w:hAnsi="Times New Roman"/>
          <w:sz w:val="18"/>
          <w:szCs w:val="18"/>
          <w:color w:val="auto"/>
        </w:rPr>
      </w:pPr>
    </w:p>
    <w:p>
      <w:pPr>
        <w:jc w:val="both"/>
        <w:ind w:left="660" w:firstLine="888"/>
        <w:spacing w:after="0" w:line="259" w:lineRule="auto"/>
        <w:tabs>
          <w:tab w:leader="none" w:pos="1915"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000FF"/>
        </w:rPr>
        <w:t>First</w:t>
      </w:r>
      <w:r>
        <w:rPr>
          <w:rFonts w:ascii="Times New Roman" w:cs="Times New Roman" w:eastAsia="Times New Roman" w:hAnsi="Times New Roman"/>
          <w:sz w:val="18"/>
          <w:szCs w:val="18"/>
          <w:b w:val="1"/>
          <w:bCs w:val="1"/>
          <w:u w:val="single" w:color="auto"/>
          <w:color w:val="0000FF"/>
        </w:rPr>
        <w:t>, an amount equal to the Term Facility II Proportion of any such payment shall be applied to prepay the Term Facility</w:t>
      </w:r>
      <w:r>
        <w:rPr>
          <w:rFonts w:ascii="Times New Roman" w:cs="Times New Roman" w:eastAsia="Times New Roman" w:hAnsi="Times New Roman"/>
          <w:sz w:val="18"/>
          <w:szCs w:val="18"/>
          <w:b w:val="1"/>
          <w:bCs w:val="1"/>
          <w:i w:val="1"/>
          <w:iCs w:val="1"/>
          <w:u w:val="single" w:color="auto"/>
          <w:color w:val="0000FF"/>
        </w:rPr>
        <w:t xml:space="preserve"> </w:t>
      </w:r>
      <w:r>
        <w:rPr>
          <w:rFonts w:ascii="Times New Roman" w:cs="Times New Roman" w:eastAsia="Times New Roman" w:hAnsi="Times New Roman"/>
          <w:sz w:val="18"/>
          <w:szCs w:val="18"/>
          <w:b w:val="1"/>
          <w:bCs w:val="1"/>
          <w:u w:val="single" w:color="auto"/>
          <w:color w:val="0000FF"/>
        </w:rPr>
        <w:t xml:space="preserve">II Loans;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b w:val="1"/>
          <w:bCs w:val="1"/>
          <w:u w:val="single" w:color="auto"/>
          <w:color w:val="0000FF"/>
        </w:rPr>
        <w:t xml:space="preserve"> that, each such prepayment shall, subject to the last paragraph of this Section 2.10(b), be applied to such Term Facility II Loans that are ABR Loans to the fullest extent thereof before application to Term Facility II Loans that are LIBOR Loans, and such prepayments of LIBOR Loans shall be applied in a manner that minimizes the amount of any payments required to be made by Borrower pursuant to Section 5.05;</w:t>
      </w:r>
    </w:p>
    <w:p>
      <w:pPr>
        <w:spacing w:after="0" w:line="179" w:lineRule="exact"/>
        <w:rPr>
          <w:rFonts w:ascii="Times New Roman" w:cs="Times New Roman" w:eastAsia="Times New Roman" w:hAnsi="Times New Roman"/>
          <w:sz w:val="18"/>
          <w:szCs w:val="18"/>
          <w:color w:val="auto"/>
        </w:rPr>
      </w:pPr>
    </w:p>
    <w:p>
      <w:pPr>
        <w:jc w:val="both"/>
        <w:ind w:left="660" w:firstLine="888"/>
        <w:spacing w:after="0" w:line="257" w:lineRule="auto"/>
        <w:tabs>
          <w:tab w:leader="none" w:pos="1951"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(i)</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i w:val="1"/>
          <w:iCs w:val="1"/>
          <w:color w:val="FF0000"/>
          <w:strike w:val="1"/>
        </w:rPr>
        <w:t>First</w:t>
      </w:r>
      <w:r>
        <w:rPr>
          <w:rFonts w:ascii="Times New Roman" w:cs="Times New Roman" w:eastAsia="Times New Roman" w:hAnsi="Times New Roman"/>
          <w:sz w:val="18"/>
          <w:szCs w:val="18"/>
          <w:b w:val="1"/>
          <w:bCs w:val="1"/>
          <w:i w:val="1"/>
          <w:iCs w:val="1"/>
          <w:u w:val="single" w:color="auto"/>
          <w:color w:val="0000FF"/>
        </w:rPr>
        <w:t>Second</w:t>
      </w:r>
      <w:r>
        <w:rPr>
          <w:rFonts w:ascii="Times New Roman" w:cs="Times New Roman" w:eastAsia="Times New Roman" w:hAnsi="Times New Roman"/>
          <w:sz w:val="18"/>
          <w:szCs w:val="18"/>
          <w:color w:val="000000"/>
        </w:rPr>
        <w:t>, to the reduction of Amortization Payments on the Term Loans required by Sections 3.01(b) and 3.01(c) and, in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case of the Term Facilities, to the remaining principal installments with respect thereto in direct order of maturity over the next succeeding four (4) quarterly installments and, thereafter, on a pro rata basis;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each such prepayment shall, subject to the last paragraph of this Section 2.10(b), be applied to such Term Loans that are ABR Loans to the fullest extent thereof before application to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000000"/>
        </w:rPr>
        <w:t xml:space="preserve"> Loans that are LIBOR Loans, and such prepayments of LIBOR Loans shall be applied in a manner that minimizes the amount of any payments required to be made by Borrower pursuant to Section 5.05;</w:t>
      </w:r>
    </w:p>
    <w:p>
      <w:pPr>
        <w:spacing w:after="0" w:line="182" w:lineRule="exact"/>
        <w:rPr>
          <w:rFonts w:ascii="Times New Roman" w:cs="Times New Roman" w:eastAsia="Times New Roman" w:hAnsi="Times New Roman"/>
          <w:sz w:val="18"/>
          <w:szCs w:val="18"/>
          <w:color w:val="auto"/>
        </w:rPr>
      </w:pPr>
    </w:p>
    <w:p>
      <w:pPr>
        <w:ind w:left="660" w:firstLine="888"/>
        <w:spacing w:after="0" w:line="286" w:lineRule="auto"/>
        <w:tabs>
          <w:tab w:leader="none" w:pos="2001"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(ii)</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i w:val="1"/>
          <w:iCs w:val="1"/>
          <w:color w:val="FF0000"/>
          <w:strike w:val="1"/>
        </w:rPr>
        <w:t>Second</w:t>
      </w:r>
      <w:r>
        <w:rPr>
          <w:rFonts w:ascii="Times New Roman" w:cs="Times New Roman" w:eastAsia="Times New Roman" w:hAnsi="Times New Roman"/>
          <w:sz w:val="18"/>
          <w:szCs w:val="18"/>
          <w:b w:val="1"/>
          <w:bCs w:val="1"/>
          <w:i w:val="1"/>
          <w:iCs w:val="1"/>
          <w:u w:val="single" w:color="auto"/>
          <w:color w:val="0000FF"/>
        </w:rPr>
        <w:t>Third</w:t>
      </w:r>
      <w:r>
        <w:rPr>
          <w:rFonts w:ascii="Times New Roman" w:cs="Times New Roman" w:eastAsia="Times New Roman" w:hAnsi="Times New Roman"/>
          <w:sz w:val="18"/>
          <w:szCs w:val="18"/>
          <w:color w:val="000000"/>
        </w:rPr>
        <w:t>, after such time as no Term Loans or Permitted First Priority Refinancing Debt remain outstanding, to prepay all</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outstanding Revolving Loans (in each case, without any reduction in Revolving Commitments); and</w:t>
      </w:r>
    </w:p>
    <w:p>
      <w:pPr>
        <w:spacing w:after="0" w:line="154" w:lineRule="exact"/>
        <w:rPr>
          <w:rFonts w:ascii="Times New Roman" w:cs="Times New Roman" w:eastAsia="Times New Roman" w:hAnsi="Times New Roman"/>
          <w:sz w:val="18"/>
          <w:szCs w:val="18"/>
          <w:color w:val="auto"/>
        </w:rPr>
      </w:pPr>
    </w:p>
    <w:p>
      <w:pPr>
        <w:ind w:left="660" w:right="20" w:firstLine="888"/>
        <w:spacing w:after="0" w:line="286" w:lineRule="auto"/>
        <w:tabs>
          <w:tab w:leader="none" w:pos="2018"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(iii)</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i w:val="1"/>
          <w:iCs w:val="1"/>
          <w:color w:val="FF0000"/>
          <w:strike w:val="1"/>
        </w:rPr>
        <w:t>Third</w:t>
      </w:r>
      <w:r>
        <w:rPr>
          <w:rFonts w:ascii="Times New Roman" w:cs="Times New Roman" w:eastAsia="Times New Roman" w:hAnsi="Times New Roman"/>
          <w:sz w:val="18"/>
          <w:szCs w:val="18"/>
          <w:b w:val="1"/>
          <w:bCs w:val="1"/>
          <w:i w:val="1"/>
          <w:iCs w:val="1"/>
          <w:u w:val="single" w:color="auto"/>
          <w:color w:val="0000FF"/>
        </w:rPr>
        <w:t>Fourth</w:t>
      </w:r>
      <w:r>
        <w:rPr>
          <w:rFonts w:ascii="Times New Roman" w:cs="Times New Roman" w:eastAsia="Times New Roman" w:hAnsi="Times New Roman"/>
          <w:sz w:val="18"/>
          <w:szCs w:val="18"/>
          <w:color w:val="000000"/>
        </w:rPr>
        <w:t>, after application of prepayments in accordance with clauses (i) and (ii) above, Borrower shall be permitted 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retain any such remaining excess.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Notwithstanding the foregoing, any Term Facility Lender </w:t>
      </w:r>
      <w:r>
        <w:rPr>
          <w:rFonts w:ascii="Times New Roman" w:cs="Times New Roman" w:eastAsia="Times New Roman" w:hAnsi="Times New Roman"/>
          <w:sz w:val="18"/>
          <w:szCs w:val="18"/>
          <w:b w:val="1"/>
          <w:bCs w:val="1"/>
          <w:u w:val="single" w:color="auto"/>
          <w:color w:val="0000FF"/>
        </w:rPr>
        <w:t>or Term Facility II Lender</w:t>
      </w:r>
      <w:r>
        <w:rPr>
          <w:rFonts w:ascii="Times New Roman" w:cs="Times New Roman" w:eastAsia="Times New Roman" w:hAnsi="Times New Roman"/>
          <w:sz w:val="18"/>
          <w:szCs w:val="18"/>
          <w:color w:val="auto"/>
        </w:rPr>
        <w:t xml:space="preserve"> may elect, by written notice to Administrative Agent at least one (1) Business Day prior to the prepayment date, to decline all or any portion of any prepayment of its Term Loans, pursuant to this Section 2.10, in which case the aggregate amount of the prepayment that would have been applied to prepay such Term Loans, but was so declined shall be ratably offered to each Term Facility Lender </w:t>
      </w:r>
      <w:r>
        <w:rPr>
          <w:rFonts w:ascii="Times New Roman" w:cs="Times New Roman" w:eastAsia="Times New Roman" w:hAnsi="Times New Roman"/>
          <w:sz w:val="18"/>
          <w:szCs w:val="18"/>
          <w:b w:val="1"/>
          <w:bCs w:val="1"/>
          <w:u w:val="single" w:color="auto"/>
          <w:color w:val="0000FF"/>
        </w:rPr>
        <w:t>and Term Facility II Lender</w:t>
      </w:r>
      <w:r>
        <w:rPr>
          <w:rFonts w:ascii="Times New Roman" w:cs="Times New Roman" w:eastAsia="Times New Roman" w:hAnsi="Times New Roman"/>
          <w:sz w:val="18"/>
          <w:szCs w:val="18"/>
          <w:color w:val="auto"/>
        </w:rPr>
        <w:t xml:space="preserve"> that initially accepted such prepayment. Any such re-offered amounts rejected by such Lenders shall be retained by Borrower (any such retained amounts, “</w:t>
      </w:r>
      <w:r>
        <w:rPr>
          <w:rFonts w:ascii="Times New Roman" w:cs="Times New Roman" w:eastAsia="Times New Roman" w:hAnsi="Times New Roman"/>
          <w:sz w:val="18"/>
          <w:szCs w:val="18"/>
          <w:b w:val="1"/>
          <w:bCs w:val="1"/>
          <w:color w:val="auto"/>
        </w:rPr>
        <w:t>Declined Amounts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797" w:right="239" w:bottom="1440" w:gutter="0" w:footer="0" w:header="0"/>
        </w:sectPr>
      </w:pPr>
    </w:p>
    <w:bookmarkStart w:id="175" w:name="page176"/>
    <w:bookmarkEnd w:id="17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amount of any prepayment of Loans required under this Section 2.10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LIBOR Loans on the last day of the then next-expiring Interest Period for LIBOR Loans (with all interest accruing thereon for the account of Borrower) or (ii) prepaid immediately, together with any amounts owing to the Lenders under Section 5.05. Notwithstanding any such deposit in the Collateral Account, interest shall continue to accrue on such Loans until prepayment.</w:t>
      </w:r>
    </w:p>
    <w:p>
      <w:pPr>
        <w:spacing w:after="0" w:line="184" w:lineRule="exact"/>
        <w:rPr>
          <w:sz w:val="20"/>
          <w:szCs w:val="20"/>
          <w:color w:val="auto"/>
        </w:rPr>
      </w:pPr>
    </w:p>
    <w:p>
      <w:pPr>
        <w:jc w:val="both"/>
        <w:ind w:firstLine="656"/>
        <w:spacing w:after="0" w:line="256" w:lineRule="auto"/>
        <w:tabs>
          <w:tab w:leader="none" w:pos="113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Credit Extension Reductions</w:t>
      </w:r>
      <w:r>
        <w:rPr>
          <w:rFonts w:ascii="Times New Roman" w:cs="Times New Roman" w:eastAsia="Times New Roman" w:hAnsi="Times New Roman"/>
          <w:sz w:val="18"/>
          <w:szCs w:val="18"/>
          <w:color w:val="auto"/>
        </w:rPr>
        <w:t>. Until the final R/C Maturity Date, Borrower shall from time to time immediately prepay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Revolving Loans (and/or provide Cash Collateral in an amount equal to the Minimum Collateral Amount for, or otherwise backstop (with a letter of credit on customary terms reasonably acceptable to the applicable L/C Lender and the Administrative Agent), outstanding L/C Liabilities) in such amounts as shall be necessary (I) so that at all times (a) the aggregate outstanding amount of the Revolving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outstanding L/C Liabilities under such Tranche shall not exceed the aggregate Revolving Commitments of such Tranche as in effect at such time and (II) to comply with Section 7.02(a)(iii).</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Outstanding Letters of Credit</w:t>
      </w:r>
      <w:r>
        <w:rPr>
          <w:rFonts w:ascii="Times New Roman" w:cs="Times New Roman" w:eastAsia="Times New Roman" w:hAnsi="Times New Roman"/>
          <w:sz w:val="18"/>
          <w:szCs w:val="18"/>
          <w:color w:val="auto"/>
        </w:rPr>
        <w:t>. If any Letter of Credit is outstanding on the 30th day prior to the next succeeding R/C Maturity Date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 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 (i) above, Borrower shall, on such 30th day (or on such later day as such Letters of Credit become incapable of being reallocated pursuant to clause</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the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90"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2.11.</w:t>
        <w:tab/>
        <w:t>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2" w:lineRule="auto"/>
        <w:tabs>
          <w:tab w:leader="none" w:pos="109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the right to replace any Lender (the “</w:t>
      </w:r>
      <w:r>
        <w:rPr>
          <w:rFonts w:ascii="Times New Roman" w:cs="Times New Roman" w:eastAsia="Times New Roman" w:hAnsi="Times New Roman"/>
          <w:sz w:val="18"/>
          <w:szCs w:val="18"/>
          <w:b w:val="1"/>
          <w:bCs w:val="1"/>
          <w:color w:val="auto"/>
        </w:rPr>
        <w:t>Replaced Lender</w:t>
      </w:r>
      <w:r>
        <w:rPr>
          <w:rFonts w:ascii="Times New Roman" w:cs="Times New Roman" w:eastAsia="Times New Roman" w:hAnsi="Times New Roman"/>
          <w:sz w:val="18"/>
          <w:szCs w:val="18"/>
          <w:color w:val="auto"/>
        </w:rPr>
        <w:t>”) with one or more other Eligible Assignees (collectively, the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if (x) such Lender is charging Borrower increased costs pursuant to Section 5.01 or 5.06 or such Lender becomes incapable of making LIBOR Loans as provided in Section 5.03 when other Lenders are generally able to do so, (y) such Lender is a Defaulting Lender or (z) such Lender is subject to Disqualification (and such Lender is notified by Borrower and Administrative Agent in writing of such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796" w:right="239" w:bottom="1440" w:gutter="0" w:footer="0" w:header="0"/>
        </w:sectPr>
      </w:pPr>
    </w:p>
    <w:bookmarkStart w:id="176" w:name="page177"/>
    <w:bookmarkEnd w:id="17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Disqualification);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at the time of any such replacement, the Replacement Lender shall enter into one or more Assignment Agreements (and with all fees payable pursuant to Section 13.05(b)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Section 5.05 if Borrower were prepaying a LIBOR Loan), as applicable, shall be paid in full to such Replaced Lender, as applicable, concurrently with such replacement, as the case may be.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applicable Replaced Lender does not execute the Assignment Agreement within three (3) Business Days after Borrower’s request, execution of such Assignment Agreement by the Replaced Lender shall not be required to effect such assignment.</w:t>
      </w:r>
    </w:p>
    <w:p>
      <w:pPr>
        <w:spacing w:after="0" w:line="191" w:lineRule="exact"/>
        <w:rPr>
          <w:sz w:val="20"/>
          <w:szCs w:val="20"/>
          <w:color w:val="auto"/>
        </w:rPr>
      </w:pPr>
    </w:p>
    <w:p>
      <w:pPr>
        <w:jc w:val="both"/>
        <w:ind w:firstLine="656"/>
        <w:spacing w:after="0" w:line="253" w:lineRule="auto"/>
        <w:tabs>
          <w:tab w:leader="none" w:pos="11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is subject to a Disqualification (and such Lender is notified by Borrower and Administrative Agent in writing of such Disqualification), Borrower shall have the right to replace such Lender with a Replacement Lender in accordance with Section 2.11(a) or prepay the Loans held by such Lender, in each case, in accordance with any applicable provisions of Section 2.11(a), even if a Default or an Event of Default exists (notwithstanding anything contained in such Section 2.11(a) to the contrary). Any such prepayment shall be deemed an optional prepayment, as set forth in Section 2.09 and shall not be required to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disqualified, commencing on the date the Gaming Authority provides the disqualification notice to Borrower, to the extent prohibited by law: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794" w:right="239" w:bottom="1440" w:gutter="0" w:footer="0" w:header="0"/>
        </w:sectPr>
      </w:pPr>
    </w:p>
    <w:bookmarkStart w:id="177" w:name="page178"/>
    <w:bookmarkEnd w:id="177"/>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2.12.</w:t>
        <w:tab/>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2.13.</w:t>
        <w:tab/>
        <w:t>Extensions of Loans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1" w:lineRule="auto"/>
        <w:tabs>
          <w:tab w:leader="none" w:pos="10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at any time request that all or a portion of the Term Loans of any Tranche (an “</w:t>
      </w:r>
      <w:r>
        <w:rPr>
          <w:rFonts w:ascii="Times New Roman" w:cs="Times New Roman" w:eastAsia="Times New Roman" w:hAnsi="Times New Roman"/>
          <w:sz w:val="18"/>
          <w:szCs w:val="18"/>
          <w:b w:val="1"/>
          <w:bCs w:val="1"/>
          <w:color w:val="auto"/>
        </w:rPr>
        <w:t>Existing Term Loan Tranche</w:t>
      </w:r>
      <w:r>
        <w:rPr>
          <w:rFonts w:ascii="Times New Roman" w:cs="Times New Roman" w:eastAsia="Times New Roman" w:hAnsi="Times New Roman"/>
          <w:sz w:val="18"/>
          <w:szCs w:val="18"/>
          <w:color w:val="auto"/>
        </w:rPr>
        <w:t>”) be modified to constitute another Tranche of Term Loans in order to extend the scheduled final maturity date thereof (any such Term Loans which have been so modified, “</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and to provide for other terms consistent with this Section 2.13. In order to establish any Extended Term Loans, Borrower shall provide a notice to Administrative Agent (who shall provide a copy of such notice to each of the Lenders of the applicable Existing Term Loan Tranche) (a “</w:t>
      </w:r>
      <w:r>
        <w:rPr>
          <w:rFonts w:ascii="Times New Roman" w:cs="Times New Roman" w:eastAsia="Times New Roman" w:hAnsi="Times New Roman"/>
          <w:sz w:val="18"/>
          <w:szCs w:val="18"/>
          <w:b w:val="1"/>
          <w:bCs w:val="1"/>
          <w:color w:val="auto"/>
        </w:rPr>
        <w:t>Term Loan Extension Request</w:t>
      </w:r>
      <w:r>
        <w:rPr>
          <w:rFonts w:ascii="Times New Roman" w:cs="Times New Roman" w:eastAsia="Times New Roman" w:hAnsi="Times New Roman"/>
          <w:sz w:val="18"/>
          <w:szCs w:val="18"/>
          <w:color w:val="auto"/>
        </w:rPr>
        <w:t xml:space="preserve">”) setting forth the proposed terms of the Extended Term Loans to be established, which terms shall be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fees (including prepayment or termination premiums) may be payable to the Lenders providing such Extended Term Loans in addition to or in lieu of any increased Applicable Margins contemplated by the preceding clause (A), in each case, to the extent provided in the applicable Extension Amendment, (iii) any Extended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(but not greater than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in any optional or mandatory prepayments or prepayment of Term Loans hereunder in each case as specified in the respective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Weighted Average Life to Maturity of such Extended Term Loans shall be no shorter than the Weighted Average Life to Maturity of the Term Loans of such Existing Term Loan Tranche and (v)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Section 4.02, 4.07(b) or 13.04). Except as provided above, each Lender holding Extended Term Loans shall be entitled to all the benefits afforded by this Agreement (including, without limitation, the provisions set forth in Section 2.09(b) and 2.10(b)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including, without limitation, the procurement of title insurance endorsements reasonably requested by and satisfactory to the Administrative Agent. No Lender shall have any obligation to agree to have any of its Term Loans of any Existing Term Loan Tranche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spacing w:after="0" w:line="204"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at any time request that all or a portion of the Revolving Commitments of any Tranche (an “</w:t>
      </w:r>
      <w:r>
        <w:rPr>
          <w:rFonts w:ascii="Times New Roman" w:cs="Times New Roman" w:eastAsia="Times New Roman" w:hAnsi="Times New Roman"/>
          <w:sz w:val="18"/>
          <w:szCs w:val="18"/>
          <w:b w:val="1"/>
          <w:bCs w:val="1"/>
          <w:color w:val="auto"/>
        </w:rPr>
        <w:t>Existing Revolving Tranche</w:t>
      </w:r>
      <w:r>
        <w:rPr>
          <w:rFonts w:ascii="Times New Roman" w:cs="Times New Roman" w:eastAsia="Times New Roman" w:hAnsi="Times New Roman"/>
          <w:sz w:val="18"/>
          <w:szCs w:val="18"/>
          <w:color w:val="auto"/>
        </w:rPr>
        <w:t>” and any related Revolving Loans thereunder, “</w:t>
      </w:r>
      <w:r>
        <w:rPr>
          <w:rFonts w:ascii="Times New Roman" w:cs="Times New Roman" w:eastAsia="Times New Roman" w:hAnsi="Times New Roman"/>
          <w:sz w:val="18"/>
          <w:szCs w:val="18"/>
          <w:b w:val="1"/>
          <w:bCs w:val="1"/>
          <w:color w:val="auto"/>
        </w:rPr>
        <w:t>Existing Revolving Loans</w:t>
      </w:r>
      <w:r>
        <w:rPr>
          <w:rFonts w:ascii="Times New Roman" w:cs="Times New Roman" w:eastAsia="Times New Roman" w:hAnsi="Times New Roman"/>
          <w:sz w:val="18"/>
          <w:szCs w:val="18"/>
          <w:color w:val="auto"/>
        </w:rPr>
        <w:t>”) be modified to constitute another Tranche of Revolving Commitments in order to extend the termination date thereof (any such Revolving Commitments which have been so modified, “</w:t>
      </w:r>
      <w:r>
        <w:rPr>
          <w:rFonts w:ascii="Times New Roman" w:cs="Times New Roman" w:eastAsia="Times New Roman" w:hAnsi="Times New Roman"/>
          <w:sz w:val="18"/>
          <w:szCs w:val="18"/>
          <w:b w:val="1"/>
          <w:bCs w:val="1"/>
          <w:color w:val="auto"/>
        </w:rPr>
        <w:t>Extended Revolving Commitments</w:t>
      </w:r>
      <w:r>
        <w:rPr>
          <w:rFonts w:ascii="Times New Roman" w:cs="Times New Roman" w:eastAsia="Times New Roman" w:hAnsi="Times New Roman"/>
          <w:sz w:val="18"/>
          <w:szCs w:val="18"/>
          <w:color w:val="auto"/>
        </w:rPr>
        <w:t>” and any related Revolving Loans, “</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and to provide for other terms consistent with this Section 2.13. In order to establish any Extended Revolving Commitments, Borrower shall provide a notice to Administrative Agent (who shall provide a copy of such notice to each of the Lenders of the applicable Existing Revolving Tranche) (a “</w:t>
      </w:r>
      <w:r>
        <w:rPr>
          <w:rFonts w:ascii="Times New Roman" w:cs="Times New Roman" w:eastAsia="Times New Roman" w:hAnsi="Times New Roman"/>
          <w:sz w:val="18"/>
          <w:szCs w:val="18"/>
          <w:b w:val="1"/>
          <w:bCs w:val="1"/>
          <w:color w:val="auto"/>
        </w:rPr>
        <w:t>Revolving Extension Request</w:t>
      </w:r>
      <w:r>
        <w:rPr>
          <w:rFonts w:ascii="Times New Roman" w:cs="Times New Roman" w:eastAsia="Times New Roman" w:hAnsi="Times New Roman"/>
          <w:sz w:val="18"/>
          <w:szCs w:val="18"/>
          <w:color w:val="auto"/>
        </w:rPr>
        <w:t>”) setting forth the proposed terms of the Extended Revolving Commitments to be established, which terms shall be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793" w:right="239" w:bottom="1440" w:gutter="0" w:footer="0" w:header="0"/>
        </w:sectPr>
      </w:pPr>
    </w:p>
    <w:bookmarkStart w:id="178" w:name="page179"/>
    <w:bookmarkEnd w:id="178"/>
    <w:p>
      <w:pPr>
        <w:jc w:val="both"/>
        <w:spacing w:after="0" w:line="252" w:lineRule="auto"/>
        <w:rPr>
          <w:sz w:val="20"/>
          <w:szCs w:val="20"/>
          <w:color w:val="auto"/>
        </w:rPr>
      </w:pPr>
      <w:r>
        <w:rPr>
          <w:rFonts w:ascii="Times New Roman" w:cs="Times New Roman" w:eastAsia="Times New Roman" w:hAnsi="Times New Roman"/>
          <w:sz w:val="18"/>
          <w:szCs w:val="18"/>
          <w:color w:val="auto"/>
        </w:rPr>
        <w:t>the date set forth in the applicable Extension Amendment, (ii) (A) the Applicable Margins with respect to the Extended Revolving Loans may be higher or lower than the Applicable Margins for the Revolving Loans of such Existing Revolving Tranche and/or (B) additional fees may be payable to the Lenders providing such Extended Revolving Commitments in addition to or in lieu of any increased Applicable Margins contemplated by the preceding clause (A), in each case, to the extent provided in the applicable Extension Amendment, (iii) the Applicable Fee Percentage with respect to the Extended Revolving Commitments may be higher or lower than the Applicable Fee Percentage for the Revolving Commitments of such Existing Revolving Tranche and (iv)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Revolving Commitments, by executing an Extension Amendment, agrees to be bound by such provisions and waives any inconsistent provisions set forth in Section 4.02, 4.07(b) or 13.04). Except as provided above, each Lender holding Extended Revolving Commitments shall be entitled to all the benefits afforded by this Agreement (including, without limitation, the provisions set forth in Sections 2.09(b) and 2.10(b)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including, without limitation, the procurement of title insurance endorsements reasonably requested by and satisfactory to the Administrative Agent. No Lender shall have any obligation to agree to have any of its Revolving Commitments of any Existing Revolving Tranche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w:t>
      </w:r>
    </w:p>
    <w:p>
      <w:pPr>
        <w:spacing w:after="0" w:line="189" w:lineRule="exact"/>
        <w:rPr>
          <w:sz w:val="20"/>
          <w:szCs w:val="20"/>
          <w:color w:val="auto"/>
        </w:rPr>
      </w:pPr>
    </w:p>
    <w:p>
      <w:pPr>
        <w:jc w:val="both"/>
        <w:ind w:firstLine="656"/>
        <w:spacing w:after="0" w:line="253" w:lineRule="auto"/>
        <w:tabs>
          <w:tab w:leader="none" w:pos="10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wishing to have all or a portion of its Term Loans or Revolving Commitments of the Existing Tranche subject to such Extension Request modified to constitute Extended Term Loans or Extended Revolving Commitments, as applicable, shall notify Administrative Agent (an “</w:t>
      </w:r>
      <w:r>
        <w:rPr>
          <w:rFonts w:ascii="Times New Roman" w:cs="Times New Roman" w:eastAsia="Times New Roman" w:hAnsi="Times New Roman"/>
          <w:sz w:val="18"/>
          <w:szCs w:val="18"/>
          <w:b w:val="1"/>
          <w:bCs w:val="1"/>
          <w:color w:val="auto"/>
        </w:rPr>
        <w:t>Extension Election</w:t>
      </w:r>
      <w:r>
        <w:rPr>
          <w:rFonts w:ascii="Times New Roman" w:cs="Times New Roman" w:eastAsia="Times New Roman" w:hAnsi="Times New Roman"/>
          <w:sz w:val="18"/>
          <w:szCs w:val="18"/>
          <w:color w:val="auto"/>
        </w:rPr>
        <w:t xml:space="preserve">”) on or prior to the date specified in such Extension Request of the amount of its Term Loans or Revolving Commitments of the Existing Tranche that it has elected to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modified to constitute Extended Term Loans or Extended Revolving Commitments, as applicable,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w:t>
      </w:r>
    </w:p>
    <w:p>
      <w:pPr>
        <w:spacing w:after="0" w:line="186" w:lineRule="exact"/>
        <w:rPr>
          <w:rFonts w:ascii="Times New Roman" w:cs="Times New Roman" w:eastAsia="Times New Roman" w:hAnsi="Times New Roman"/>
          <w:sz w:val="18"/>
          <w:szCs w:val="18"/>
          <w:color w:val="auto"/>
        </w:rPr>
      </w:pPr>
    </w:p>
    <w:p>
      <w:pPr>
        <w:jc w:val="both"/>
        <w:ind w:firstLine="656"/>
        <w:spacing w:after="0" w:line="257" w:lineRule="auto"/>
        <w:tabs>
          <w:tab w:leader="none" w:pos="111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Term Loans or Extended Revolving Commitments, as applicable, shall be established pursuant to an amendment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this Agreement (which shall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as applicable, or, in each case,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and (B) with respect to any extension of the Revolving Commitments that results in an extension of an L/C Lender’s obligations with respect to Letters of Credit, the consent of such L/C Lender). 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797" w:right="239" w:bottom="1440" w:gutter="0" w:footer="0" w:header="0"/>
        </w:sectPr>
      </w:pPr>
    </w:p>
    <w:bookmarkStart w:id="179" w:name="page180"/>
    <w:bookmarkEnd w:id="179"/>
    <w:p>
      <w:pPr>
        <w:jc w:val="both"/>
        <w:spacing w:after="0" w:line="255" w:lineRule="auto"/>
        <w:rPr>
          <w:sz w:val="20"/>
          <w:szCs w:val="20"/>
          <w:color w:val="auto"/>
        </w:rPr>
      </w:pPr>
      <w:r>
        <w:rPr>
          <w:rFonts w:ascii="Times New Roman" w:cs="Times New Roman" w:eastAsia="Times New Roman" w:hAnsi="Times New Roman"/>
          <w:sz w:val="18"/>
          <w:szCs w:val="18"/>
          <w:color w:val="auto"/>
        </w:rPr>
        <w:t>Extension Amendment may, subject to Sections 2.13(a) and (b), without the consent of any other Lenders, effect such amendments to this Agreement and the other Credit Documents as may be necessary or advisable, in the reasonable opinion of Administrative Agent and Borrower, to effect the provisions of this Section 2.13 (including, without limitation, (A) amendments to Section 2.04(b)(iii) and Section 2.09(b)(i) to permit reductions of Tranches of Revolving Commitments (and prepayments of the related Revolving Loans) with an R/C Maturity Date prior to the R/C Maturity Date applicable to a Tranche of Extended Revolving Commitments without a concurrent reduction of such Tranche of Extended Revolving Commitments and (B) such other technical amendments as may be necessary or advisable, in the reasonable opinion of Administrative Agent and Borrower, to give effect to the terms and provisions of any Extended Term Loans or Extended Revolving Commitments, as applicable).</w:t>
      </w:r>
    </w:p>
    <w:p>
      <w:pPr>
        <w:spacing w:after="0" w:line="18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2.14.</w:t>
      </w:r>
      <w:r>
        <w:rPr>
          <w:sz w:val="20"/>
          <w:szCs w:val="20"/>
          <w:color w:val="auto"/>
        </w:rPr>
        <w:tab/>
      </w:r>
      <w:r>
        <w:rPr>
          <w:rFonts w:ascii="Times New Roman" w:cs="Times New Roman" w:eastAsia="Times New Roman" w:hAnsi="Times New Roman"/>
          <w:sz w:val="17"/>
          <w:szCs w:val="17"/>
          <w:b w:val="1"/>
          <w:bCs w:val="1"/>
          <w:color w:val="auto"/>
        </w:rPr>
        <w:t>Defaulting Lender Provisions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56"/>
        <w:spacing w:after="0" w:line="282" w:lineRule="auto"/>
        <w:tabs>
          <w:tab w:leader="none" w:pos="107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 Lender becomes, and during the period it remains, a Defaulting Lender, the following provisions shall apply:</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73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sum of each Non-Defaulting Lender’s total Revolving Exposure may not in any event exceed the Revolving Commitment of such Non-Defaulting Lender as in effect at the time of such reallocation, (ii) </w:t>
      </w:r>
      <w:r>
        <w:rPr>
          <w:rFonts w:ascii="Times New Roman" w:cs="Times New Roman" w:eastAsia="Times New Roman" w:hAnsi="Times New Roman"/>
          <w:sz w:val="18"/>
          <w:szCs w:val="18"/>
          <w:b w:val="1"/>
          <w:bCs w:val="1"/>
          <w:u w:val="single" w:color="auto"/>
          <w:color w:val="0000FF"/>
        </w:rPr>
        <w:t>subject to Section 13.21,</w:t>
      </w:r>
      <w:r>
        <w:rPr>
          <w:rFonts w:ascii="Times New Roman" w:cs="Times New Roman" w:eastAsia="Times New Roman" w:hAnsi="Times New Roman"/>
          <w:sz w:val="18"/>
          <w:szCs w:val="18"/>
          <w:color w:val="auto"/>
        </w:rPr>
        <w:t xml:space="preserve">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 notified the Administrative Agent at such time, Borrower shall be deemed to have represented and warranted that no Event of Default exists and is continuing at such time);</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257" w:lineRule="auto"/>
        <w:tabs>
          <w:tab w:leader="none" w:pos="178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portion (the “</w:t>
      </w:r>
      <w:r>
        <w:rPr>
          <w:rFonts w:ascii="Times New Roman" w:cs="Times New Roman" w:eastAsia="Times New Roman" w:hAnsi="Times New Roman"/>
          <w:sz w:val="18"/>
          <w:szCs w:val="18"/>
          <w:b w:val="1"/>
          <w:bCs w:val="1"/>
          <w:color w:val="auto"/>
        </w:rPr>
        <w:t>un-reallocated portion</w:t>
      </w:r>
      <w:r>
        <w:rPr>
          <w:rFonts w:ascii="Times New Roman" w:cs="Times New Roman" w:eastAsia="Times New Roman" w:hAnsi="Times New Roman"/>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86"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not be required to pay any fees to such Defaulting Lender under Section 2.05(a); and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3" w:lineRule="auto"/>
        <w:tabs>
          <w:tab w:leader="none" w:pos="175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Section 4.07 shall be applied at such time or times as may be determined by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of any amounts owing by such Defaulting Lender to any L/C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Administrative Agent and Borrower, to be held in a non-interest bearing deposit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satisfy such Defaulting Lender’s potential future funding obligations with respect to Loans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payment of any amounts owing to the Lenders or the L/C Lender as a result of any judgment of a court of competent jurisdiction obtained by any Lender or any L/C Lender against such Defaulting Lender as a result of such Defaulting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797" w:right="239" w:bottom="1440" w:gutter="0" w:footer="0" w:header="0"/>
        </w:sectPr>
      </w:pPr>
    </w:p>
    <w:bookmarkStart w:id="180" w:name="page181"/>
    <w:bookmarkEnd w:id="180"/>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Section 7.02 were satisfied or waived, such payment shall be applied solely to pay the Loans of, and L/C Liabilities owed to,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Section 2.14(a)(iv) shall be deemed paid to and redirected by such Defaulting Lender, and each Lender irrevocably consents hereto.</w:t>
      </w:r>
    </w:p>
    <w:p>
      <w:pPr>
        <w:spacing w:after="0" w:line="184" w:lineRule="exact"/>
        <w:rPr>
          <w:sz w:val="20"/>
          <w:szCs w:val="20"/>
          <w:color w:val="auto"/>
        </w:rPr>
      </w:pPr>
    </w:p>
    <w:p>
      <w:pPr>
        <w:jc w:val="both"/>
        <w:ind w:firstLine="656"/>
        <w:spacing w:after="0" w:line="254" w:lineRule="auto"/>
        <w:tabs>
          <w:tab w:leader="none" w:pos="105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Cure</w:t>
      </w:r>
      <w:r>
        <w:rPr>
          <w:rFonts w:ascii="Times New Roman" w:cs="Times New Roman" w:eastAsia="Times New Roman" w:hAnsi="Times New Roman"/>
          <w:sz w:val="18"/>
          <w:szCs w:val="18"/>
          <w:color w:val="auto"/>
        </w:rPr>
        <w:t>. If Borrower, Administrative Agent, each L/C Lender agree in writing in their discretion that a Lender is no longer a Defaulting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2.14(a)), (x) 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Borrower while such Lender was a Defaulting Lender;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change hereunder from Defaulting Lender to Non-Defaulting Lender will constitute a waiver or release of any claim of any party hereunder arising from such Lender’s having been a Defaulting Lender, and (y) all Cash Collateral provided pursuant to Section 2.14(a)(ii) shall thereafter be promptly returned to Borrower.</w:t>
      </w:r>
    </w:p>
    <w:p>
      <w:pPr>
        <w:spacing w:after="0" w:line="18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Fees. </w:t>
      </w:r>
      <w:r>
        <w:rPr>
          <w:rFonts w:ascii="Times New Roman" w:cs="Times New Roman" w:eastAsia="Times New Roman" w:hAnsi="Times New Roman"/>
          <w:sz w:val="18"/>
          <w:szCs w:val="18"/>
          <w:color w:val="auto"/>
        </w:rPr>
        <w:t>Anything herein to the contrary notwithstanding, during such period as a Lender is a Defaulting Lender, such Defaulting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not be entitled to any fees accruing during such period pursuant to Section 2.05 or Section 2.03(h) (without prejudice to the rights of the Non-Defaulting Lenders in respect of such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to the extent that all or a portion of the L/C Liability of such Defaulting Lender is reallocated to the Non-Defaulting Lenders pursuant to Section 2.14, such fees that would have accrued for the benefit of such Defaulting Lender will instead accrue for the benefit of and be payable to such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provisions of Section 4.02 will automatically be deemed adjusted to reflect the provisions of this Section 2.14(c)).</w:t>
      </w:r>
    </w:p>
    <w:p>
      <w:pPr>
        <w:spacing w:after="0" w:line="18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2.15.</w:t>
      </w:r>
      <w:r>
        <w:rPr>
          <w:sz w:val="20"/>
          <w:szCs w:val="20"/>
          <w:color w:val="auto"/>
        </w:rPr>
        <w:tab/>
      </w:r>
      <w:r>
        <w:rPr>
          <w:rFonts w:ascii="Times New Roman" w:cs="Times New Roman" w:eastAsia="Times New Roman" w:hAnsi="Times New Roman"/>
          <w:sz w:val="17"/>
          <w:szCs w:val="17"/>
          <w:b w:val="1"/>
          <w:bCs w:val="1"/>
          <w:color w:val="auto"/>
        </w:rPr>
        <w:t>Refinancing Amendments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4" w:lineRule="auto"/>
        <w:tabs>
          <w:tab w:leader="none" w:pos="107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or Other Revolving Loans), in the form of Other Term Loans, Other Term Loan Commitments, Other Revolving Loans or Other Revolving Commitments pursuant to a Refinancing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this Section 2.15 or otherwise, (1) the borrowing and repayment (except for (A) payments of interest and fees at different rates on Other Revolving Commitments (and related outstanding), (B) repayments required upon the maturity date of the Other Revolving Commitments or any other Tranche of Revolving Commitments and (C) repayment made in connection with a permanent repayment and termination of commitments (subject to clause (2) below)) of Loans with respect to Other Revolving Commitments after the date of obtaining any Other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all other Revolving Commitments (subject to clauses (2) and (3) below), (2) the permanent repayment of Revolving Loans with respect to, and termination of, Other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794" w:right="239" w:bottom="1440" w:gutter="0" w:footer="0" w:header="0"/>
        </w:sectPr>
      </w:pPr>
    </w:p>
    <w:bookmarkStart w:id="181" w:name="page182"/>
    <w:bookmarkEnd w:id="181"/>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Revolving Commitments after the date of obtaining any Other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all other Revolving Commitments, except that Borrower shall be permitted to permanently repay and terminate commitments of any Class with an earlier maturity date on a better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compared to any other Class with a later maturity date than such Class and (3) assignments and participations of Other Revolving Commitments and Other Revolving Loans shall be governed by the same assignment and participation provisions applicable to other Revolving Commitments and Revolving Loans. Each issuance of Credit Agreement Refinancing Indebtedness under this Section 2.15(a) shall be in an aggregate principal amount that is (x) not less than $5.0 million and (y) an integral multiple of $1.0 million in excess thereof.</w:t>
      </w:r>
    </w:p>
    <w:p>
      <w:pPr>
        <w:spacing w:after="0" w:line="185" w:lineRule="exact"/>
        <w:rPr>
          <w:sz w:val="20"/>
          <w:szCs w:val="20"/>
          <w:color w:val="auto"/>
        </w:rPr>
      </w:pPr>
    </w:p>
    <w:p>
      <w:pPr>
        <w:jc w:val="both"/>
        <w:ind w:firstLine="656"/>
        <w:spacing w:after="0" w:line="252" w:lineRule="auto"/>
        <w:tabs>
          <w:tab w:leader="none" w:pos="10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effectiveness of any such Credit Agreement Refinancing Indebtedness shall subject to the consent required pursuant to Section 2.15(d),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(iii) the aggregate principal amount of any Credit Agreement Refinancing Indebtedness shall not exceed the principal amount so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premium or other payment required to be paid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reasonable and customary fees and expenses of Borrower or any of its Restricted Subsidiaries incurred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any unutilized commitments thereunder; (iv) to the extent reasonably requested by the Administrative Agent, receipt by the Administrative Agent and the Lenders of customary legal opinions and other documents; (v) to the extent reasonably requested by the Administrative Agent, execution of amendments to the Mortgages by the applicable Credit Parties and Collateral Agent, in form and substance reasonably satisfactory to the Administrative Agent and the Collateral Agent; (vi) to the extent reasonably requested by the Administrative Agent, delivery to the Administrative Agent of title insurance endorsements reasonably satisfactory to the Administrative Agent; and (vii) execution of a Refinancing Amendment by the Credit Parties, Administrative Agent and Lenders providing such Credit Agreement Refinancing Indebtedness.</w:t>
      </w:r>
    </w:p>
    <w:p>
      <w:pPr>
        <w:spacing w:after="0" w:line="197"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and Commitments established pursuant to this Section 2.15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19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effectiveness of any Refinancing Amendment pursuant to this Section 2.15, any Person providing the corresponding Credit Agreement Refinancing Indebtedness that was not a Lender hereunder immediately prior to such time shall, subject to consent of each L/C Lender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Section 2.15. Such amendments may include provisions allowing any Other Term Loans to be treated on the same basis as Term Facility Loans </w:t>
      </w:r>
      <w:r>
        <w:rPr>
          <w:rFonts w:ascii="Times New Roman" w:cs="Times New Roman" w:eastAsia="Times New Roman" w:hAnsi="Times New Roman"/>
          <w:sz w:val="18"/>
          <w:szCs w:val="18"/>
          <w:b w:val="1"/>
          <w:bCs w:val="1"/>
          <w:u w:val="single" w:color="auto"/>
          <w:color w:val="0000FF"/>
        </w:rPr>
        <w:t>and Term Facility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connection with declining prepayments.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795" w:right="239" w:bottom="1440" w:gutter="0" w:footer="0" w:header="0"/>
        </w:sectPr>
      </w:pPr>
    </w:p>
    <w:bookmarkStart w:id="182" w:name="page183"/>
    <w:bookmarkEnd w:id="182"/>
    <w:p>
      <w:pPr>
        <w:jc w:val="both"/>
        <w:ind w:firstLine="656"/>
        <w:spacing w:after="0" w:line="256" w:lineRule="auto"/>
        <w:tabs>
          <w:tab w:leader="none" w:pos="10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Section 2.15. This Section 2.15 shall supersede any provisions in Section 4.02, 4.07(b) or 13.04 to the contrary.</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1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Revolving Commitments are being refinanced on the effective date of any Refinancing Amendment, then each of the Revolving Lenders having a Revolving Commitment prior to the effective date of such Refinancing Amendment (such Revolving Lenders the “</w:t>
      </w:r>
      <w:r>
        <w:rPr>
          <w:rFonts w:ascii="Times New Roman" w:cs="Times New Roman" w:eastAsia="Times New Roman" w:hAnsi="Times New Roman"/>
          <w:sz w:val="18"/>
          <w:szCs w:val="18"/>
          <w:b w:val="1"/>
          <w:bCs w:val="1"/>
          <w:color w:val="auto"/>
        </w:rPr>
        <w:t>Pre-Refinancing Revolving Lenders</w:t>
      </w:r>
      <w:r>
        <w:rPr>
          <w:rFonts w:ascii="Times New Roman" w:cs="Times New Roman" w:eastAsia="Times New Roman" w:hAnsi="Times New Roman"/>
          <w:sz w:val="18"/>
          <w:szCs w:val="18"/>
          <w:color w:val="auto"/>
        </w:rPr>
        <w:t>”) shall assign or transfer to any Revolving Lender which is acquiring an Other Revolving Commitment on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amendment (the “</w:t>
      </w:r>
      <w:r>
        <w:rPr>
          <w:rFonts w:ascii="Times New Roman" w:cs="Times New Roman" w:eastAsia="Times New Roman" w:hAnsi="Times New Roman"/>
          <w:sz w:val="18"/>
          <w:szCs w:val="18"/>
          <w:b w:val="1"/>
          <w:bCs w:val="1"/>
          <w:color w:val="auto"/>
        </w:rPr>
        <w:t>Post-Refinancing Revolving Lenders</w:t>
      </w:r>
      <w:r>
        <w:rPr>
          <w:rFonts w:ascii="Times New Roman" w:cs="Times New Roman" w:eastAsia="Times New Roman" w:hAnsi="Times New Roman"/>
          <w:sz w:val="18"/>
          <w:szCs w:val="18"/>
          <w:color w:val="auto"/>
        </w:rPr>
        <w:t>”), and such Post-Refinancing Revolving Lenders shall purchase from each such Pre-Refinancing Revolving Lender, at the principal amount thereof, such interests in Revolving Loans and participation interests in L/C Liabilities (but not, for the avoidance of doubt, the related Revolving Commitments) outstanding on the effective date of such Refinancing Amendment as shall be necessary in order that, after giving effect to all such assignments or transfers and purchases, such Revolving Loans and participation interests in L/C Liabilities will be held by Pre-Refinancing Revolving Lenders and Post-Refinancing Revolving Lenders ratably in accordance with their Revolving Commitments and Other Revolving Commitments, as applicable, after giving effect to such Refinancing Amendment (and after giving effect to any Revolving Loans made on the effective date of such Refinancing Amendment). Such assignments or transfers and purchases shall be made pursuant to such procedures as may be designated by Administrative Agent and shall not be required to be effectuated in accordance with Section 13.05. For the avoidance of doubt, Revolving Loans and participation interests in L/C Liabilities assigned or transferred and purchased pursuant to this Section 2.15(f) shall, upon receipt thereof by the relevant Post-Increase Revolving Lenders, be deemed to be Other Revolving Loans and participation interests in L/C Liabilities in respect of the relevant Other Revolving Commitments acquired by such Post-Increase Revolving Lenders on the relevant amendment effective date and the terms of such Revolving Loans and participation interests (including, without limitation, the interest rate and maturity applicable thereto) shall be adjusted accordingly.</w:t>
      </w:r>
    </w:p>
    <w:p>
      <w:pPr>
        <w:spacing w:after="0" w:line="19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2.16.</w:t>
      </w:r>
      <w:r>
        <w:rPr>
          <w:sz w:val="20"/>
          <w:szCs w:val="20"/>
          <w:color w:val="auto"/>
        </w:rPr>
        <w:tab/>
      </w:r>
      <w:r>
        <w:rPr>
          <w:rFonts w:ascii="Times New Roman" w:cs="Times New Roman" w:eastAsia="Times New Roman" w:hAnsi="Times New Roman"/>
          <w:sz w:val="17"/>
          <w:szCs w:val="17"/>
          <w:b w:val="1"/>
          <w:bCs w:val="1"/>
          <w:color w:val="auto"/>
        </w:rPr>
        <w:t>Cash Collateral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6" w:lineRule="auto"/>
        <w:tabs>
          <w:tab w:leader="none" w:pos="106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Section 2.03(d) or (ii) Borrower shall be required to provide Cash Collateral pursuant to Section 11.01, Borrower shall, within one (1) Business Day (in the case of clause (i) above) or immediately (in the case of clause (ii) above) following any request by the Administrative Agent or the applicable L/C Lender, provide Cash Collateral in an amount not less than the applicable Minimum Collateral Amount.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1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Borrower, and to the extent provided by any Defaulting Lender, such Defaulting Lender, hereby grants to (and subjects to the control of) the Administrative Agent, for the benefit of the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Sections 2.03, 2.10(d), 2.10(d), 2.14, 2.16 or 11.01) may be applied pursuant to Section 2.16(c). If at any time the Administrative Agent determines that Cash Collateral is subject to any right or claim of any Person prior to the right or claim of the Administrative Agent or the L/C Lenders as herein provided, or that the total amount of such Cash Collateral is less than the Minimum Collateral Amount, Borrower will, promptly upon demand by the Administrative Agent, pay or provide to the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the Administrative Agent or as otherwise agreed to by the Administrative Agent. Borrower shall pay on demand therefor from time to time all customary account opening, activity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797" w:right="239" w:bottom="1440" w:gutter="0" w:footer="0" w:header="0"/>
        </w:sectPr>
      </w:pPr>
    </w:p>
    <w:bookmarkStart w:id="183" w:name="page184"/>
    <w:bookmarkEnd w:id="183"/>
    <w:p>
      <w:pPr>
        <w:spacing w:after="0" w:line="282" w:lineRule="auto"/>
        <w:rPr>
          <w:sz w:val="20"/>
          <w:szCs w:val="20"/>
          <w:color w:val="auto"/>
        </w:rPr>
      </w:pPr>
      <w:r>
        <w:rPr>
          <w:rFonts w:ascii="Times New Roman" w:cs="Times New Roman" w:eastAsia="Times New Roman" w:hAnsi="Times New Roman"/>
          <w:sz w:val="18"/>
          <w:szCs w:val="18"/>
          <w:color w:val="auto"/>
        </w:rPr>
        <w:t>and other administrative fees and charges in connection with the maintenance and disbursement of Cash Collateral in accordance with the account agreement governing such deposit account.</w:t>
      </w:r>
    </w:p>
    <w:p>
      <w:pPr>
        <w:spacing w:after="0" w:line="162" w:lineRule="exact"/>
        <w:rPr>
          <w:sz w:val="20"/>
          <w:szCs w:val="20"/>
          <w:color w:val="auto"/>
        </w:rPr>
      </w:pPr>
    </w:p>
    <w:p>
      <w:pPr>
        <w:jc w:val="both"/>
        <w:ind w:firstLine="656"/>
        <w:spacing w:after="0" w:line="261" w:lineRule="auto"/>
        <w:tabs>
          <w:tab w:leader="none" w:pos="104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Notwithstanding anything to the contrary contained in this Agreement, Cash Collateral provided under any of this Section 2.16 or Sections 2.03, 2.10(d), 2.10(d), 2.14 or 11.01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10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the Administrative Agent and the L/C Lenders that there exists excess Cash Collateral (which, in any event, shall exist at any time that the aggregate amount of Cash Collateral exceeds the Minimum Collateral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 any such release shall be without prejudice to, and any disbursement or other transfer of Cash Collateral shall be and remain subject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 OF PRINCIPAL AND INTEREST</w:t>
      </w:r>
    </w:p>
    <w:p>
      <w:pPr>
        <w:spacing w:after="0" w:line="22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3.01.</w:t>
        <w:tab/>
        <w:t>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8" w:lineRule="auto"/>
        <w:tabs>
          <w:tab w:leader="none" w:pos="10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Borrower hereby promises to pay to Administrative Agent for the account of each applicable Revolving Lender on each 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Date, the entire outstanding principal amount of such Revolving Lender’s Revolving Loans of the applicable Tranche, and each such Revolving Loan shall mature on the R/C Maturity Date applicable to such Tranche.</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107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Facility Loans</w:t>
      </w:r>
      <w:r>
        <w:rPr>
          <w:rFonts w:ascii="Times New Roman" w:cs="Times New Roman" w:eastAsia="Times New Roman" w:hAnsi="Times New Roman"/>
          <w:sz w:val="18"/>
          <w:szCs w:val="18"/>
          <w:color w:val="auto"/>
        </w:rPr>
        <w:t>. Borrower hereby promises to pay to Administrative Agent for the account of the Lenders with Term Facility Loans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repayment of the principal of the Term Facility Loans, on each date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that principal amount of Term Facility Loans, to the extent then outstanding, as is set forth opposite such date (subject to adjustment for any prepayments made under Section 2.09 or Section 2.10 or Section 2.11(b) or Section 13.04(b)(B) or as provided in Section 2.12, in Section 2.13 or in Section 2.15), and the remaining principal amount of Term Facility Loans on the Term Facility Maturity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12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Extended Term Loans; Other Term Loans</w:t>
      </w:r>
      <w:r>
        <w:rPr>
          <w:rFonts w:ascii="Times New Roman" w:cs="Times New Roman" w:eastAsia="Times New Roman" w:hAnsi="Times New Roman"/>
          <w:sz w:val="18"/>
          <w:szCs w:val="18"/>
          <w:color w:val="auto"/>
        </w:rPr>
        <w:t>. Extended Term Loans shall mature in installments as specified in the applicable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pursuant to which such Extended Term Loans were established, subject, however, to Section 2.13(a). Other Term Loans shall mature in installments as specified in the applicable Refinancing Amendment pursuant to which such Other Term Loans were established, subject, however, to Section 2.15(a).</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03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Term Facility II Loans. Borrower hereby promises to pay to Administrative Agent for the account of the Lenders with Term Facility II Loans in repayment of the principal of the Term Facility II Loans the remaining principal amount of Term Facility II Loans on the Term Facility Maturity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797" w:right="239" w:bottom="1440" w:gutter="0" w:footer="0" w:header="0"/>
        </w:sectPr>
      </w:pPr>
    </w:p>
    <w:bookmarkStart w:id="184" w:name="page185"/>
    <w:bookmarkEnd w:id="184"/>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3.02.</w:t>
      </w:r>
      <w:r>
        <w:rPr>
          <w:sz w:val="20"/>
          <w:szCs w:val="20"/>
          <w:color w:val="auto"/>
        </w:rPr>
        <w:tab/>
      </w: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3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660" w:firstLine="645"/>
        <w:spacing w:after="0" w:line="284" w:lineRule="auto"/>
        <w:tabs>
          <w:tab w:leader="none" w:pos="1663"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an ABR Loan, the Alternate Base Rate (as in effect from time to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applicable to such Loan, and</w:t>
      </w:r>
    </w:p>
    <w:p>
      <w:pPr>
        <w:spacing w:after="0" w:line="16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48"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 LIBOR Loan, for each Interest Period relating thereto, the LIBO Rate for such Loan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applicable to such Loan.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(i) upon the occurrence and during the continuance of an Event of Default (other than Events of Default under Sections 11.01(g) or 11.01(h)), overdue principal and overdue interest in respect of each Loan and all other Obligations not paid when due and (ii) upon the occurrence and during the continuance of an Event of Default under Section 11.01(g) or Section 11.01(h), all Obligations shall, in each case, automatically and without any action by any Person, bear interest at the Default Rate. Interest which accrues under this paragraph shall be payable on demand.</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w:t>
      </w:r>
    </w:p>
    <w:p>
      <w:pPr>
        <w:jc w:val="both"/>
        <w:ind w:firstLine="8"/>
        <w:spacing w:after="0" w:line="252" w:lineRule="auto"/>
        <w:tabs>
          <w:tab w:leader="none" w:pos="25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 PRO RATA TREATMENT; COMPUTATIONS; ETC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4.01.</w:t>
        <w:tab/>
        <w:t>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6" w:lineRule="auto"/>
        <w:tabs>
          <w:tab w:leader="none" w:pos="109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at the time of making each payment under this Agreement or any Note for the account of any Lender, specify (in accordance with Sections 2.09 and 2.10, if applicable) to Administrative Agent (which shall so notify the intended recipient(s) thereof) the Class and Type of Loans, Reimbursement Obligations or other amounts payable by Borrower hereunder to which such payment is to be applied.</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0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in the third sentence of Section 2.03(h), each payment received by Administrative Agent or by any L/C Lender (directly or through Administrative Agent) under this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793" w:right="239" w:bottom="1440" w:gutter="0" w:footer="0" w:header="0"/>
        </w:sectPr>
      </w:pPr>
    </w:p>
    <w:bookmarkStart w:id="185" w:name="page186"/>
    <w:bookmarkEnd w:id="185"/>
    <w:p>
      <w:pPr>
        <w:jc w:val="both"/>
        <w:spacing w:after="0" w:line="254" w:lineRule="auto"/>
        <w:rPr>
          <w:sz w:val="20"/>
          <w:szCs w:val="20"/>
          <w:color w:val="auto"/>
        </w:rPr>
      </w:pPr>
      <w:r>
        <w:rPr>
          <w:rFonts w:ascii="Times New Roman" w:cs="Times New Roman" w:eastAsia="Times New Roman" w:hAnsi="Times New Roman"/>
          <w:sz w:val="18"/>
          <w:szCs w:val="18"/>
          <w:color w:val="auto"/>
        </w:rPr>
        <w:t>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Rate from the date such amount was required to be paid to such Lender pursuant to the foregoing clauses until the date Administrative Agent or such L/C Lender (through Administrative Agent), as applicable, pays such Lender the full amount).</w:t>
      </w:r>
    </w:p>
    <w:p>
      <w:pPr>
        <w:spacing w:after="0" w:line="189" w:lineRule="exact"/>
        <w:rPr>
          <w:sz w:val="20"/>
          <w:szCs w:val="20"/>
          <w:color w:val="auto"/>
        </w:rPr>
      </w:pPr>
    </w:p>
    <w:p>
      <w:pPr>
        <w:jc w:val="both"/>
        <w:ind w:firstLine="656"/>
        <w:spacing w:after="0" w:line="266" w:lineRule="auto"/>
        <w:tabs>
          <w:tab w:leader="none" w:pos="10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4.02. Pro Rata Treatment</w:t>
      </w:r>
      <w:r>
        <w:rPr>
          <w:rFonts w:ascii="Times New Roman" w:cs="Times New Roman" w:eastAsia="Times New Roman" w:hAnsi="Times New Roman"/>
          <w:sz w:val="18"/>
          <w:szCs w:val="18"/>
          <w:color w:val="auto"/>
        </w:rPr>
        <w:t>. Except to the extent otherwise provided herein: (a) each borrowing of Loans of a particular Class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under Section 2.01 shall be made from the relevant Lenders, each payment of commitment fees under Section 2.05 in respect of Commitments of a particular Class shall be made for account of the relevant Lenders, and each termination or reduction of the amount of the Commitments of a particular Class under Section 2.04 shall be applied to the respective Commitments of such Class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of their respective Commitments of such Class; (b) except as otherwise provided in Section 5.04, LIBOR Loans of any Class having the same Interest Period shall be allocated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among the relevant Lenders according to the amounts of their respective Revolving Commitments and Term Loan Commitments (in the case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making of Loans) or their respective Revolving Loans and Term Loans (in the case of conversions and continuations of Loans); (c) except as otherwise provided in Section 2.09(b), Section 2.10(b), Section 2.12, Section 2.13, Section 2.14, Section 2.15, Section 13.04 or Section 13.05(d), each payment or prepayment of principal of any Class of Revolving Loans or of any particular Class of Term Loans shall be made for the account of the relevant Lenders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in accordance with the respective unpaid outstanding principal amounts of the Loans of such Class held by them; and (d) except as otherwise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2.09(b), Section 2.10(b), Section 2.12, Section 2.13, Section 2.14, Section 2.15, Section 13.04 or Section 13.05(d), each payment of interest on Revolving Loans and Term Loans shall be made for account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interest on such Loans then due and payable to the respective Lenders.</w:t>
      </w:r>
    </w:p>
    <w:p>
      <w:pPr>
        <w:spacing w:after="0" w:line="18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4.03. Computations</w:t>
      </w:r>
      <w:r>
        <w:rPr>
          <w:rFonts w:ascii="Times New Roman" w:cs="Times New Roman" w:eastAsia="Times New Roman" w:hAnsi="Times New Roman"/>
          <w:sz w:val="18"/>
          <w:szCs w:val="18"/>
          <w:color w:val="auto"/>
        </w:rPr>
        <w:t>. Interest on LIBOR Loans, commitment fees and Letter of Credit fees shall be computed on the basis of a year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360 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spacing w:after="0" w:line="1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4.04. Minimum Amounts</w:t>
      </w:r>
      <w:r>
        <w:rPr>
          <w:rFonts w:ascii="Times New Roman" w:cs="Times New Roman" w:eastAsia="Times New Roman" w:hAnsi="Times New Roman"/>
          <w:sz w:val="18"/>
          <w:szCs w:val="18"/>
          <w:color w:val="auto"/>
        </w:rPr>
        <w:t>. Except for mandatory prepayments made pursuant to Section 2.10 and conversions or prepayments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5.04, and Borrowings made to pay Reimbursement Obligations, each Borrowing, conversion and partial prepayment of principal of Loans shall be in an amount at least equal to (a) in the case of Term Loans (x) with respect to Borrowings, $50.0 million and (y) with respect to conversions and partial repayments of principal, $5.0 million and, in each case, in multiples of $100,000 in excess thereof or, if less, the remaining Term Loans and (b) in the case of Revolving Loans, $2.5 million with respect to ABR Loans and $2.5 million with respect to LIBOR Loans and in multiples of $100,000 in excess thereof (borrowings, conversions or prepayments of or into Loans of different Types or, in the case of LIBOR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LIBOR Loans having the same Interest Period shall be in an amount at least equal to $1.0 million and in multiples of $100,000 in excess thereof and, if any LIBOR Loans 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796" w:right="239" w:bottom="1440" w:gutter="0" w:footer="0" w:header="0"/>
        </w:sectPr>
      </w:pPr>
    </w:p>
    <w:bookmarkStart w:id="186" w:name="page187"/>
    <w:bookmarkEnd w:id="186"/>
    <w:p>
      <w:pPr>
        <w:jc w:val="both"/>
        <w:spacing w:after="0" w:line="282" w:lineRule="auto"/>
        <w:rPr>
          <w:sz w:val="20"/>
          <w:szCs w:val="20"/>
          <w:color w:val="auto"/>
        </w:rPr>
      </w:pPr>
      <w:r>
        <w:rPr>
          <w:rFonts w:ascii="Times New Roman" w:cs="Times New Roman" w:eastAsia="Times New Roman" w:hAnsi="Times New Roman"/>
          <w:sz w:val="18"/>
          <w:szCs w:val="18"/>
          <w:color w:val="auto"/>
        </w:rPr>
        <w:t>portions thereof would otherwise be in a lesser principal amount for any period, such Loans or portions, as the case may be, shall be ABR Loans during such period.</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4.05. Certain Notices</w:t>
      </w:r>
      <w:r>
        <w:rPr>
          <w:rFonts w:ascii="Times New Roman" w:cs="Times New Roman" w:eastAsia="Times New Roman" w:hAnsi="Times New Roman"/>
          <w:sz w:val="18"/>
          <w:szCs w:val="18"/>
          <w:color w:val="auto"/>
        </w:rPr>
        <w:t>. Notices by Borrower to Administrative Agent of terminations or reductions of the Commitments,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Borrowings, 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make any such notice conditional upon the occurrence of a Person’s acquisition or sale or any incurrence of indebtedness or issuance of Equity Interests.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NOTICE PERIODS</w:t>
            </w:r>
          </w:p>
        </w:tc>
        <w:tc>
          <w:tcPr>
            <w:tcW w:w="2480" w:type="dxa"/>
            <w:vAlign w:val="bottom"/>
          </w:tcPr>
          <w:p>
            <w:pPr>
              <w:spacing w:after="0"/>
              <w:rPr>
                <w:sz w:val="20"/>
                <w:szCs w:val="20"/>
                <w:color w:val="auto"/>
              </w:rPr>
            </w:pPr>
          </w:p>
        </w:tc>
      </w:tr>
      <w:tr>
        <w:trPr>
          <w:trHeight w:val="576"/>
        </w:trPr>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Number of</w:t>
            </w:r>
          </w:p>
        </w:tc>
      </w:tr>
      <w:tr>
        <w:trPr>
          <w:trHeight w:val="234"/>
        </w:trPr>
        <w:tc>
          <w:tcPr>
            <w:tcW w:w="8940" w:type="dxa"/>
            <w:vAlign w:val="bottom"/>
          </w:tcPr>
          <w:p>
            <w:pPr>
              <w:spacing w:after="0"/>
              <w:rPr>
                <w:sz w:val="20"/>
                <w:szCs w:val="20"/>
                <w:color w:val="auto"/>
              </w:rPr>
            </w:pPr>
          </w:p>
        </w:tc>
        <w:tc>
          <w:tcPr>
            <w:tcW w:w="2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Business Days Prior</w:t>
            </w:r>
          </w:p>
        </w:tc>
      </w:tr>
      <w:tr>
        <w:trPr>
          <w:trHeight w:val="432"/>
        </w:trPr>
        <w:tc>
          <w:tcPr>
            <w:tcW w:w="89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237"/>
        </w:trPr>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3</w:t>
            </w:r>
          </w:p>
        </w:tc>
      </w:tr>
      <w:tr>
        <w:trPr>
          <w:trHeight w:val="675"/>
        </w:trPr>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prepayment of, or conversions into, ABR Loans</w:t>
            </w:r>
          </w:p>
        </w:tc>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1</w:t>
            </w:r>
          </w:p>
        </w:tc>
      </w:tr>
      <w:tr>
        <w:trPr>
          <w:trHeight w:val="657"/>
        </w:trPr>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 or optional prepayment of, conversions into, continuations as, or duration of Interest Periods for, LIBOR</w:t>
            </w:r>
          </w:p>
        </w:tc>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3</w:t>
            </w:r>
          </w:p>
        </w:tc>
      </w:tr>
      <w:tr>
        <w:trPr>
          <w:trHeight w:val="234"/>
        </w:trPr>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2480" w:type="dxa"/>
            <w:vAlign w:val="bottom"/>
          </w:tcPr>
          <w:p>
            <w:pPr>
              <w:spacing w:after="0"/>
              <w:rPr>
                <w:sz w:val="20"/>
                <w:szCs w:val="20"/>
                <w:color w:val="auto"/>
              </w:rPr>
            </w:pPr>
          </w:p>
        </w:tc>
      </w:tr>
      <w:tr>
        <w:trPr>
          <w:trHeight w:val="675"/>
        </w:trPr>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 of ABR Loans</w:t>
            </w:r>
          </w:p>
        </w:tc>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same day</w:t>
            </w:r>
          </w:p>
        </w:tc>
      </w:tr>
    </w:tbl>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Section 4.04)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Section 4.05,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Section 4.05, such LIBOR Loan shall have an Interest Period of one month.</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4.06. Non-Receipt of Funds by Administrative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5" w:lineRule="auto"/>
        <w:tabs>
          <w:tab w:leader="none" w:pos="10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date of any Borrowing of LIBOR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ABR Loans, that such Lender has made such share available in accordance with and at the time required by Section 2.02) and may, in reliance upon such assumption, make available to Borrower a corresponding amount. In such event, if a Lender has not in fact made its share of the applicable Borrowing available to the Administrative Agent, then the applicable Lender and Borrower severally agree to pay to the Administrative Agent forthwith on demand such corresponding amount in immediately available funds with interest thereon, for each day from and including the date such amount is made available to Borrower to but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797" w:right="239" w:bottom="1440" w:gutter="0" w:footer="0" w:header="0"/>
        </w:sectPr>
      </w:pPr>
    </w:p>
    <w:bookmarkStart w:id="187" w:name="page188"/>
    <w:bookmarkEnd w:id="187"/>
    <w:p>
      <w:pPr>
        <w:jc w:val="both"/>
        <w:spacing w:after="0" w:line="255" w:lineRule="auto"/>
        <w:rPr>
          <w:sz w:val="20"/>
          <w:szCs w:val="20"/>
          <w:color w:val="auto"/>
        </w:rPr>
      </w:pPr>
      <w:r>
        <w:rPr>
          <w:rFonts w:ascii="Times New Roman" w:cs="Times New Roman" w:eastAsia="Times New Roman" w:hAnsi="Times New Roman"/>
          <w:sz w:val="18"/>
          <w:szCs w:val="18"/>
          <w:color w:val="auto"/>
        </w:rPr>
        <w:t>excluding the date of payment to the Administrative Agent, at (A) in the case of a payment to be made by such Lender, the Federal Funds Rate, plus any administrative, processing or similar fees customarily charged by the Administrative Agent in connection with the foregoing, and (B) in the case of a payment to be made by Borrower, the interest rate applicable to ABR Loans. If Borrower and such Lender shall pay such interest to the Administrative Agent for the same or an overlapping period, the Administrative Agent shall promptly remit to Borrower the amount of such interest paid by Borrower for such period. If such Lender pays its share of the applicable Borrowing to the Administrative Agent, then the amount so paid shall constitute such Lender’s Loan included in such Borrowing. Any payment by Borrower shall be without prejudice to any claim Borrower may have against a Lender that shall have failed to make such payment to the Administrative Agent.</w:t>
      </w:r>
    </w:p>
    <w:p>
      <w:pPr>
        <w:spacing w:after="0" w:line="189" w:lineRule="exact"/>
        <w:rPr>
          <w:sz w:val="20"/>
          <w:szCs w:val="20"/>
          <w:color w:val="auto"/>
        </w:rPr>
      </w:pPr>
    </w:p>
    <w:p>
      <w:pPr>
        <w:jc w:val="both"/>
        <w:ind w:firstLine="656"/>
        <w:spacing w:after="0" w:line="255" w:lineRule="auto"/>
        <w:tabs>
          <w:tab w:leader="none" w:pos="10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Borrower prior to the date on which any payment is due to the Administrative Agent for the account of the Lenders or the L/C Lenders hereunder that Borrower will not make such payment, the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the Administrative Agent forthwith on demand the amount so distributed to such Lender or L/C Lender, in immediately available funds with interest thereon, for each day from and including the date such amount is distributed to it to but excluding the date of payment to the Administrative Agent, at the Federal Funds Rate. A notice of the Administrative Agent to any Lender or Borrower with respect to any amount owing under this subsection (b) shall be conclusive, absent manifest error.</w:t>
      </w:r>
    </w:p>
    <w:p>
      <w:pPr>
        <w:spacing w:after="0" w:line="18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4.07.</w:t>
      </w:r>
      <w:r>
        <w:rPr>
          <w:sz w:val="20"/>
          <w:szCs w:val="20"/>
          <w:color w:val="auto"/>
        </w:rPr>
        <w:tab/>
      </w:r>
      <w:r>
        <w:rPr>
          <w:rFonts w:ascii="Times New Roman" w:cs="Times New Roman" w:eastAsia="Times New Roman" w:hAnsi="Times New Roman"/>
          <w:sz w:val="17"/>
          <w:szCs w:val="17"/>
          <w:b w:val="1"/>
          <w:bCs w:val="1"/>
          <w:color w:val="auto"/>
        </w:rPr>
        <w:t>Right of Setoff, Sharing of Payments;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0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the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Lender’s failure to give such notice shall not affect the validity thereof;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right of setoff, banker’s lien or counterclaim shall apply to any funds held for further distribution to any Governmental Authority.</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4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agrees that, if it should receive (other than pursuant to Section 2.09(b), Section 2.10(b), Section 2.11, Section 2.12, Section 2.13, Section 2.15, Article V, Section 13.04 or Section 13.05(d) or as otherwise specifically provided herein or in the Fee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797" w:right="239" w:bottom="1440" w:gutter="0" w:footer="0" w:header="0"/>
        </w:sectPr>
      </w:pPr>
    </w:p>
    <w:bookmarkStart w:id="188" w:name="page189"/>
    <w:bookmarkEnd w:id="188"/>
    <w:p>
      <w:pPr>
        <w:jc w:val="both"/>
        <w:ind w:firstLine="656"/>
        <w:spacing w:after="0" w:line="258" w:lineRule="auto"/>
        <w:tabs>
          <w:tab w:leader="none" w:pos="107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4.07, in the event that any Defaulting Lender exercises any right of setoff, (i) all amounts so set off will be paid over immediately to Administrative Agent for further application in accordance with the provisions of Section 2.14 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YIELD PROTECTION, ETC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5.01.</w:t>
        <w:tab/>
        <w:t>Additional Costs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040" w:hanging="384"/>
        <w:spacing w:after="0"/>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jc w:val="both"/>
        <w:ind w:left="660" w:firstLine="888"/>
        <w:spacing w:after="0" w:line="266" w:lineRule="auto"/>
        <w:tabs>
          <w:tab w:leader="none" w:pos="196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Lender or L/C Lender to any Taxes with respect to this Agreement, any Note, any Letter of Credit or any Lender’s participation therein, any L/C Document or any Loan made by it (except for (1) any reserve requirement reflected in the LIBO Rate, (2) Covered Taxes and (3) Excluded Taxes);</w:t>
      </w:r>
    </w:p>
    <w:p>
      <w:pPr>
        <w:spacing w:after="0" w:line="176" w:lineRule="exact"/>
        <w:rPr>
          <w:rFonts w:ascii="Times New Roman" w:cs="Times New Roman" w:eastAsia="Times New Roman" w:hAnsi="Times New Roman"/>
          <w:sz w:val="18"/>
          <w:szCs w:val="18"/>
          <w:color w:val="auto"/>
        </w:rPr>
      </w:pPr>
    </w:p>
    <w:p>
      <w:pPr>
        <w:jc w:val="both"/>
        <w:ind w:left="660" w:firstLine="888"/>
        <w:spacing w:after="0" w:line="266" w:lineRule="auto"/>
        <w:tabs>
          <w:tab w:leader="none" w:pos="198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or L/C Lender, in each case, that is not otherwise included in the determination of the LIBO Rate hereunder; or</w:t>
      </w:r>
    </w:p>
    <w:p>
      <w:pPr>
        <w:spacing w:after="0" w:line="176" w:lineRule="exact"/>
        <w:rPr>
          <w:rFonts w:ascii="Times New Roman" w:cs="Times New Roman" w:eastAsia="Times New Roman" w:hAnsi="Times New Roman"/>
          <w:sz w:val="18"/>
          <w:szCs w:val="18"/>
          <w:color w:val="auto"/>
        </w:rPr>
      </w:pPr>
    </w:p>
    <w:p>
      <w:pPr>
        <w:ind w:left="660" w:firstLine="888"/>
        <w:spacing w:after="0" w:line="282" w:lineRule="auto"/>
        <w:tabs>
          <w:tab w:leader="none" w:pos="206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L/C Lender or the London interbank market any other condition, cost or expense (other than Taxes) affecting this Agreement or LIBOR Loans made by such Lender or any Letter of Credit or participation therein;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is to materially increase the cost to such Lender or L/C Lender of making, converting into, continuing or maintaining LIBOR Loans (or of maintaining its obligation to make any LIBOR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If any Lender or L/C Lender becomes entitled to claim any additional amounts pursuant to this subsection, it shall promptly notify Borrower, through Administrative Agent, of the event by reason of which it has become so entitled.</w:t>
      </w:r>
    </w:p>
    <w:p>
      <w:pPr>
        <w:spacing w:after="0" w:line="188" w:lineRule="exact"/>
        <w:rPr>
          <w:sz w:val="20"/>
          <w:szCs w:val="20"/>
          <w:color w:val="auto"/>
        </w:rPr>
      </w:pPr>
    </w:p>
    <w:p>
      <w:pPr>
        <w:jc w:val="both"/>
        <w:ind w:firstLine="656"/>
        <w:spacing w:after="0" w:line="261" w:lineRule="auto"/>
        <w:tabs>
          <w:tab w:leader="none" w:pos="107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setting forth the calculation of such additional amounts pursuant to this Section 5.01 submitted by such Lender or L/C Lender, through Administrative Agent, to Borrower shall be conclusive in the absence of clearly demonstrable error. Without limiting the survival of any other covenant hereunder, this Section 5.01 shall survive the termination of this Agreement and the payment of the Notes and all other Obligations payable hereunder.</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04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Lender shall have determined that any Change in Law affecting such Lender or any Lending Office of such Lender or the Lender’s holding company with regard to capital or liquidity requirements,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797" w:right="239" w:bottom="1440" w:gutter="0" w:footer="0" w:header="0"/>
        </w:sectPr>
      </w:pPr>
    </w:p>
    <w:bookmarkStart w:id="189" w:name="page190"/>
    <w:bookmarkEnd w:id="189"/>
    <w:p>
      <w:pPr>
        <w:jc w:val="both"/>
        <w:spacing w:after="0" w:line="255" w:lineRule="auto"/>
        <w:rPr>
          <w:sz w:val="20"/>
          <w:szCs w:val="20"/>
          <w:color w:val="auto"/>
        </w:rPr>
      </w:pPr>
      <w:r>
        <w:rPr>
          <w:rFonts w:ascii="Times New Roman" w:cs="Times New Roman" w:eastAsia="Times New Roman" w:hAnsi="Times New Roman"/>
          <w:sz w:val="18"/>
          <w:szCs w:val="18"/>
          <w:color w:val="auto"/>
        </w:rPr>
        <w:t>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w:t>
      </w:r>
    </w:p>
    <w:p>
      <w:pPr>
        <w:spacing w:after="0" w:line="189" w:lineRule="exact"/>
        <w:rPr>
          <w:sz w:val="20"/>
          <w:szCs w:val="20"/>
          <w:color w:val="auto"/>
        </w:rPr>
      </w:pPr>
    </w:p>
    <w:p>
      <w:pPr>
        <w:jc w:val="both"/>
        <w:ind w:firstLine="656"/>
        <w:spacing w:after="0" w:line="256" w:lineRule="auto"/>
        <w:tabs>
          <w:tab w:leader="none" w:pos="105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5.01 shall not constitute a waiver of such Lender’s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5.02. Inability To Determine Interest Rate</w:t>
      </w:r>
      <w:r>
        <w:rPr>
          <w:rFonts w:ascii="Times New Roman" w:cs="Times New Roman" w:eastAsia="Times New Roman" w:hAnsi="Times New Roman"/>
          <w:sz w:val="18"/>
          <w:szCs w:val="18"/>
          <w:color w:val="auto"/>
        </w:rPr>
        <w:t>. If prior to the first day of any Interest Period: (a) Administrative Agent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(which determination shall be conclusive and binding upon Borrower) that, by reason of circumstances affecting the relevant market, adequate and reasonable means do not exist for ascertaining the LIBO Base Rate for such Interest Period or (b) Administrative Agent shall have received notice from the Required Lenders that Dollar deposits are not available in the relevant amount and for the relevant Interest Period available to the Required Lenders in the London interbank market or (c) the Required Lenders determine that the LIBO Rate for any requested Interest Period with respect to a proposed LIBOR Loan does not adequately and fairly reflect the cost to such Lenders of funding such LIBOR Loans (in each case, “</w:t>
      </w:r>
      <w:r>
        <w:rPr>
          <w:rFonts w:ascii="Times New Roman" w:cs="Times New Roman" w:eastAsia="Times New Roman" w:hAnsi="Times New Roman"/>
          <w:sz w:val="18"/>
          <w:szCs w:val="18"/>
          <w:b w:val="1"/>
          <w:bCs w:val="1"/>
          <w:color w:val="auto"/>
        </w:rPr>
        <w:t>Impacted Loans</w:t>
      </w:r>
      <w:r>
        <w:rPr>
          <w:rFonts w:ascii="Times New Roman" w:cs="Times New Roman" w:eastAsia="Times New Roman" w:hAnsi="Times New Roman"/>
          <w:sz w:val="18"/>
          <w:szCs w:val="18"/>
          <w:color w:val="auto"/>
        </w:rPr>
        <w:t>”), Administrative Agent shall give electronic mail or telephonic notice thereof to Borrower and the Lenders as soon as practicable thereof. If such notice is given,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the Administrative Agent agrees to do if the circumstances giving rise to such notice cease to exist), no further LIBOR Loans shall be made, or continued as such, nor shall Borrower have the right to convert Loans to, LIBOR Loans.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there are Impacted Loans as provided above, the Administrative Agent, in consultation with Borrower and the affected Lenders, may establish an alternative interest rate for the Impacted Loans, in which case, such alternative rate of interest shall apply with respect to the Impacted Loans (to the extent Borrower does not elect to maintain such Impacted Loans as ABR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Borrower written notice thereof.</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5.03. Illegality</w:t>
      </w:r>
      <w:r>
        <w:rPr>
          <w:rFonts w:ascii="Times New Roman" w:cs="Times New Roman" w:eastAsia="Times New Roman" w:hAnsi="Times New Roman"/>
          <w:sz w:val="18"/>
          <w:szCs w:val="18"/>
          <w:color w:val="auto"/>
        </w:rPr>
        <w:t>. Notwithstanding any other provision of this Agreement, in the event that any change after the date hereof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or in the interpretation or application thereof shall make it unlawful for any Lender or its Applicable Lending Office to honor its obligation to make or maintain LIBOR Loans or issue Letters of Credit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or issue Letters of Credit shall be suspended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797" w:right="239" w:bottom="1440" w:gutter="0" w:footer="0" w:header="0"/>
        </w:sectPr>
      </w:pPr>
    </w:p>
    <w:bookmarkStart w:id="190" w:name="page191"/>
    <w:bookmarkEnd w:id="190"/>
    <w:p>
      <w:pPr>
        <w:jc w:val="both"/>
        <w:spacing w:after="0" w:line="282" w:lineRule="auto"/>
        <w:rPr>
          <w:sz w:val="20"/>
          <w:szCs w:val="20"/>
          <w:color w:val="auto"/>
        </w:rPr>
      </w:pPr>
      <w:r>
        <w:rPr>
          <w:rFonts w:ascii="Times New Roman" w:cs="Times New Roman" w:eastAsia="Times New Roman" w:hAnsi="Times New Roman"/>
          <w:sz w:val="18"/>
          <w:szCs w:val="18"/>
          <w:color w:val="auto"/>
        </w:rPr>
        <w:t>until such time as such Lender or L/C Lender may again make and maintain LIBOR Loans or issue Letters of Credit (in which case the provisions of Section 5.04 shall be applicable).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5.04. Treatment of Affected Loans</w:t>
      </w:r>
      <w:r>
        <w:rPr>
          <w:rFonts w:ascii="Times New Roman" w:cs="Times New Roman" w:eastAsia="Times New Roman" w:hAnsi="Times New Roman"/>
          <w:sz w:val="18"/>
          <w:szCs w:val="18"/>
          <w:color w:val="auto"/>
        </w:rPr>
        <w:t>. If the obligation of any Lender to make LIBOR Loans or to continue, or to convert ABR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LIBOR Loans shall be suspended pursuant to Section 5.03, such Lender’s 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Section 5.03 which gave rise to such conversion no longer exist:</w:t>
      </w:r>
    </w:p>
    <w:p>
      <w:pPr>
        <w:spacing w:after="0" w:line="184" w:lineRule="exact"/>
        <w:rPr>
          <w:sz w:val="20"/>
          <w:szCs w:val="20"/>
          <w:color w:val="auto"/>
        </w:rPr>
      </w:pPr>
    </w:p>
    <w:p>
      <w:pPr>
        <w:ind w:left="660" w:firstLine="645"/>
        <w:spacing w:after="0" w:line="282" w:lineRule="auto"/>
        <w:tabs>
          <w:tab w:leader="none" w:pos="17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3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If such Lender gives notice to Borrower with a copy to Administrative Agent that the circumstances specified in Section 5.03 which gave rise to the conversion of such Lender’s LIBOR Loans pursuant to this Section 5.04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(as to principal amounts, Types and Interest Periods) in accordance with their respective Commitments.</w:t>
      </w:r>
    </w:p>
    <w:p>
      <w:pPr>
        <w:spacing w:after="0" w:line="184"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5.05.</w:t>
        <w:tab/>
        <w:t>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103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Sections 2.09 or 2.10 or as a result of an acceleration of Loans pursuant to Section 11.01 or as a result of the replacement of a Lender pursuant to Section 2.11 or 13.04(b))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calculation of all amounts payable to a Lender under this Section 5.05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Lender may fund each of its LIBOR Loans in any manner it sees fit, and the foregoing assumption shall be utilized only for the calculation of amounts payable under this subsection. Any Lender requesting compensation pursuant to this Section 5.05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8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5.06.</w:t>
      </w:r>
      <w:r>
        <w:rPr>
          <w:sz w:val="20"/>
          <w:szCs w:val="20"/>
          <w:color w:val="auto"/>
        </w:rPr>
        <w:tab/>
      </w:r>
      <w:r>
        <w:rPr>
          <w:rFonts w:ascii="Times New Roman" w:cs="Times New Roman" w:eastAsia="Times New Roman" w:hAnsi="Times New Roman"/>
          <w:sz w:val="17"/>
          <w:szCs w:val="17"/>
          <w:b w:val="1"/>
          <w:bCs w:val="1"/>
          <w:color w:val="auto"/>
        </w:rPr>
        <w:t>Net 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60" w:firstLine="656"/>
        <w:spacing w:after="0" w:line="282" w:lineRule="auto"/>
        <w:tabs>
          <w:tab w:leader="none" w:pos="102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5.06(a), all payments made by or on account of any obligation of any Credit Party hereunder or under any Note, Guarantee or other Credit Document will be made without setoff,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796" w:right="239" w:bottom="1440" w:gutter="0" w:footer="0" w:header="0"/>
        </w:sectPr>
      </w:pPr>
    </w:p>
    <w:bookmarkStart w:id="191" w:name="page192"/>
    <w:bookmarkEnd w:id="191"/>
    <w:p>
      <w:pPr>
        <w:ind w:right="60"/>
        <w:spacing w:after="0" w:line="252" w:lineRule="auto"/>
        <w:rPr>
          <w:sz w:val="20"/>
          <w:szCs w:val="20"/>
          <w:color w:val="auto"/>
        </w:rPr>
      </w:pPr>
      <w:r>
        <w:rPr>
          <w:rFonts w:ascii="Times New Roman" w:cs="Times New Roman" w:eastAsia="Times New Roman" w:hAnsi="Times New Roman"/>
          <w:sz w:val="18"/>
          <w:szCs w:val="18"/>
          <w:color w:val="auto"/>
        </w:rPr>
        <w:t>counterclaim or other defense. Except as required by law, all such payments will be made free and clear of, and without deduction or withholding for, any Taxes (including Taxes imposed or asserted on amounts payable under this Section 5.06). If, however, applicable laws require any withholding agent to withhold or deduct any Tax, such Tax shall be withheld or deducted in accordance with such laws as reasonably determined by such withholding agent. The applicable withholding agent shall timely pay the amount of any Taxes deducted or withheld in respect of a payment made by a Credit Party hereunder or under any note, Guarantee or other Credit Document to the relevant Governmental Authority in accordance with applicable law. If any Credit Party is the applicable withholding agent, Borrower shall furnish to Administrative Agent within 45 days after the date the payment of any Taxes is due pursuant to applicable law documentation reasonably satisfactory to the Administrative Agent evidencing such payment by the applicable Credit Party. If any Covered Taxes are so deducted or withheld by any applicable withholding agent, then the applicable Credit Party agrees to increase the sum payable by such Credit Party so that, after such deduction or withholding (including such deduction or withholding on account of Covered Taxes applicable to additional sums payable under this Section 5.06) the amount received by each Lender or, in the case of payments made to the Administrative Agent for its own account, the Administrative Agent, will not be less than the amount such recipient would have received had no such withholding or deduction been made. The Credit Parties agree to jointly and severally indemnify and hold harmless the Administrative Agent and each Lender, and reimburse any of them upon written request, for the amount of any Covered Taxes that are levied or imposed and paid by such indemnitee (including Covered Taxes imposed or asserted on amounts payable under this Section 5.06) and for any reasonable expenses arising therefrom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setting forth in reasonable detail the basis of such request and such certificate, absent manifest error, shall be conclusive.</w:t>
      </w:r>
    </w:p>
    <w:p>
      <w:pPr>
        <w:spacing w:after="0" w:line="195" w:lineRule="exact"/>
        <w:rPr>
          <w:sz w:val="20"/>
          <w:szCs w:val="20"/>
          <w:color w:val="auto"/>
        </w:rPr>
      </w:pPr>
    </w:p>
    <w:p>
      <w:pPr>
        <w:jc w:val="both"/>
        <w:ind w:firstLine="656"/>
        <w:spacing w:after="0" w:line="254" w:lineRule="auto"/>
        <w:tabs>
          <w:tab w:leader="none" w:pos="10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any payments made under any Credit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5.06(b)(ii), (c), and (d)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5.06(b), no Lender shall be required to provide any documentation that such Lender is not legally eligible to deliver.</w:t>
      </w:r>
    </w:p>
    <w:p>
      <w:pPr>
        <w:spacing w:after="0" w:line="186"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1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Borrower and the Administrative Agent on or prior to the date on which such Lender becomes a Lender under this Agreement (and from time to time thereafter upon the reasonable request of Borrower or the Administrative Agent), two executed original copies of IRS Form W-9 certifying that such Lender is exempt from U.S. federal backup withholding.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whichever of the following is applicable: (1) in the case of a Foreign Lender claiming the benefits of an income tax treaty to which the United States is a party IRS Form W-8BEN or W-8BEN-E establishing an exemption from, or reduction of, U.S. federal withholding Tax pursuant to an applicable income tax treaty; (2) IRS Form W-8ECI; (3)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Borrower within the meaning of Section 881(c)(3)(B) of the Code, or a “controlled foreign corporation” described in Section 881(c)(3)(C) of the Code (a “U.S. Tax Compliance Certificate”) and that no interest payments in connection with any Credit Documents are effectively connected with such Foreign Lender’s conduct of a U.S. trade or business and (y) IRS Form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797" w:right="239" w:bottom="1440" w:gutter="0" w:footer="0" w:header="0"/>
        </w:sectPr>
      </w:pPr>
    </w:p>
    <w:bookmarkStart w:id="192" w:name="page193"/>
    <w:bookmarkEnd w:id="19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W-8BEN or W-8BEN-E; or (4) to the extent a Foreign Lender is not the beneficial owner (for example, where the Foreign Lender is a partnership or participating Lender), IRS Form W-8IMY, accompanied by IRS Form W-8ECI, IRS Form W-8BEN or W-8BEN-E, a U.S. Tax Compliance Certificate substantially in the form of Exhibit D-2 or Exhibit D-3, IRS Form W-9, and/or other certification documents from each beneficial owner, as applicable;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Foreign Lender is a partnership and not a participating Lender and one or more direct or indirect partners of such Foreign Lender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claiming the portfolio interest exemption, such Foreign Lender may provide a U.S. Tax Compliance Certificate substantially in the form of Exhibit D-4 on behalf of each such direct and indirect partner.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Each Lender agrees that if any form or certification it previously delivered expires or becomes obsolete or inaccurate in any respect, it shall update such form or certification or promptly notify Borrower and the Administrative Agent in writing of its legal ineligibility to do so.</w:t>
      </w:r>
    </w:p>
    <w:p>
      <w:pPr>
        <w:spacing w:after="0" w:line="191" w:lineRule="exact"/>
        <w:rPr>
          <w:sz w:val="20"/>
          <w:szCs w:val="20"/>
          <w:color w:val="auto"/>
        </w:rPr>
      </w:pPr>
    </w:p>
    <w:p>
      <w:pPr>
        <w:jc w:val="both"/>
        <w:ind w:firstLine="656"/>
        <w:spacing w:after="0" w:line="266" w:lineRule="auto"/>
        <w:tabs>
          <w:tab w:leader="none" w:pos="112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Closing Date, the Administrative Agent shall provide Borrower with two executed original copies of IRS Form W-8IMY (or any applicable successor forms) properly completed and duly executed to treat the Administrative Agent as a U.S. person (as described in U.S. Treasury Regulations Section 1.1441-1T(e)(3)(v).</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13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or to determine the amount, if any, to deduct and withhold from such payment.</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05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Borrower agrees to timely pay any present or future stamp, documentary, recording, intangible, filing or similar Taxes which arise from any payment made hereunder or under any other Credit Document or from the execution, delivery, filing, performance, enforcement, recordation or registration of, or otherwise with respect to, any Credit Document, except any such Taxes that are imposed with respect to an assignment (other than an assignment made pursuant to Section 2.11(a) at the request of Borrower) if such Tax is imposed as a result of a present or former connection of the transferor or transferee with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Credit Document) (hereinafter referred to as “</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61"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Lender claiming any additional amounts payable pursuant to this Section 5.06 agrees to use (at the Credit Parties’ expense) reasonable efforts (consistent with its internal policy and legal and regulatory restrictions) to change the jurisdiction of its Applicable Lending Office if the making of such change would avoid the need for, or in the opinion of such Lender, materially reduce the amount of, any such additional amounts that may thereafter accrue and would not, in the sole judgment of such Lender, be otherwise disadvantageous to such Lender.</w:t>
      </w:r>
    </w:p>
    <w:p>
      <w:pPr>
        <w:spacing w:after="0" w:line="180"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137"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party determines, in its sole discretion exercised in good faith, that it has received a refund of any Taxes as to which it has been indemnified pursuant to this Section 5.06 (including by the payment of additional amounts pursuant to this Section 5.06),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797" w:right="239" w:bottom="1440" w:gutter="0" w:footer="0" w:header="0"/>
        </w:sectPr>
      </w:pPr>
    </w:p>
    <w:bookmarkStart w:id="193" w:name="page194"/>
    <w:bookmarkEnd w:id="193"/>
    <w:p>
      <w:pPr>
        <w:jc w:val="both"/>
        <w:spacing w:after="0" w:line="256" w:lineRule="auto"/>
        <w:rPr>
          <w:sz w:val="20"/>
          <w:szCs w:val="20"/>
          <w:color w:val="auto"/>
        </w:rPr>
      </w:pPr>
      <w:r>
        <w:rPr>
          <w:rFonts w:ascii="Times New Roman" w:cs="Times New Roman" w:eastAsia="Times New Roman" w:hAnsi="Times New Roman"/>
          <w:sz w:val="18"/>
          <w:szCs w:val="18"/>
          <w:color w:val="auto"/>
        </w:rPr>
        <w:t>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GUARANTEES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6.01. The Guarantees</w:t>
      </w:r>
      <w:r>
        <w:rPr>
          <w:rFonts w:ascii="Times New Roman" w:cs="Times New Roman" w:eastAsia="Times New Roman" w:hAnsi="Times New Roman"/>
          <w:sz w:val="18"/>
          <w:szCs w:val="18"/>
          <w:color w:val="auto"/>
        </w:rPr>
        <w:t>. Each (a) Guarantor, jointly and severally with each other Guarantor, hereby guarantees as primary obligor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as surety to each Secured Party and its successors and assigns the prompt payment and performance in full when due (whether at stated maturity, by acceleration, demand or otherwise) of the principal of and interest (including any interest, fees, costs or charges that would accrue but for the provisions of the Bankruptcy Code after any bankruptcy or insolvency petition under the Bankruptcy Code)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(including any interest, fees, costs or charges that would accrue but for the provisions of the Bankruptcy Code after any bankruptcy or insolvency petition under the Bankruptcy Code) of all other Obligations from time to time owing to the Secured Parties by any other Credit Party under any Credit Document, any Swap Contract entered into with a Swap Provider or any Cash Management Agreement entered into with a Cash Management Bank, in each case now or hereinafter created, incurred or made, whether absolute or contingent, liquidated or unliquidated and strictly in accordance with the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(it being understood that the Guaranteed Obligations of Borrower shall be limited to those referred to in clause (b) above)).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6.02. Obligations Unconditional</w:t>
      </w:r>
      <w:r>
        <w:rPr>
          <w:rFonts w:ascii="Times New Roman" w:cs="Times New Roman" w:eastAsia="Times New Roman" w:hAnsi="Times New Roman"/>
          <w:sz w:val="18"/>
          <w:szCs w:val="18"/>
          <w:color w:val="auto"/>
        </w:rPr>
        <w:t>. The obligations of the Credit Parties under Section 6.01 shall constitute a guaranty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797" w:right="239" w:bottom="1440" w:gutter="0" w:footer="0" w:header="0"/>
        </w:sectPr>
      </w:pPr>
    </w:p>
    <w:bookmarkStart w:id="194" w:name="page195"/>
    <w:bookmarkEnd w:id="194"/>
    <w:p>
      <w:pPr>
        <w:ind w:left="660" w:firstLine="888"/>
        <w:spacing w:after="0" w:line="282" w:lineRule="auto"/>
        <w:tabs>
          <w:tab w:leader="none" w:pos="19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61" w:lineRule="exact"/>
        <w:rPr>
          <w:rFonts w:ascii="Times New Roman" w:cs="Times New Roman" w:eastAsia="Times New Roman" w:hAnsi="Times New Roman"/>
          <w:sz w:val="18"/>
          <w:szCs w:val="18"/>
          <w:color w:val="auto"/>
        </w:rPr>
      </w:pPr>
    </w:p>
    <w:p>
      <w:pPr>
        <w:jc w:val="both"/>
        <w:ind w:left="660" w:firstLine="888"/>
        <w:spacing w:after="0" w:line="261" w:lineRule="auto"/>
        <w:tabs>
          <w:tab w:leader="none" w:pos="198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0" w:lineRule="exact"/>
        <w:rPr>
          <w:rFonts w:ascii="Times New Roman" w:cs="Times New Roman" w:eastAsia="Times New Roman" w:hAnsi="Times New Roman"/>
          <w:sz w:val="18"/>
          <w:szCs w:val="18"/>
          <w:color w:val="auto"/>
        </w:rPr>
      </w:pPr>
    </w:p>
    <w:p>
      <w:pPr>
        <w:ind w:left="2000" w:hanging="452"/>
        <w:spacing w:after="0"/>
        <w:tabs>
          <w:tab w:leader="none" w:pos="2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other Credit Party pursuant to Section 6.08;</w:t>
      </w:r>
    </w:p>
    <w:p>
      <w:pPr>
        <w:spacing w:after="0" w:line="225" w:lineRule="exact"/>
        <w:rPr>
          <w:rFonts w:ascii="Times New Roman" w:cs="Times New Roman" w:eastAsia="Times New Roman" w:hAnsi="Times New Roman"/>
          <w:sz w:val="18"/>
          <w:szCs w:val="18"/>
          <w:color w:val="auto"/>
        </w:rPr>
      </w:pPr>
    </w:p>
    <w:p>
      <w:pPr>
        <w:ind w:left="660" w:right="20" w:firstLine="888"/>
        <w:spacing w:after="0" w:line="282" w:lineRule="auto"/>
        <w:tabs>
          <w:tab w:leader="none" w:pos="20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61" w:lineRule="exact"/>
        <w:rPr>
          <w:rFonts w:ascii="Times New Roman" w:cs="Times New Roman" w:eastAsia="Times New Roman" w:hAnsi="Times New Roman"/>
          <w:sz w:val="18"/>
          <w:szCs w:val="18"/>
          <w:color w:val="auto"/>
        </w:rPr>
      </w:pPr>
    </w:p>
    <w:p>
      <w:pPr>
        <w:jc w:val="both"/>
        <w:ind w:left="660" w:firstLine="888"/>
        <w:spacing w:after="0" w:line="261" w:lineRule="auto"/>
        <w:tabs>
          <w:tab w:leader="none" w:pos="197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80" w:lineRule="exact"/>
        <w:rPr>
          <w:rFonts w:ascii="Times New Roman" w:cs="Times New Roman" w:eastAsia="Times New Roman" w:hAnsi="Times New Roman"/>
          <w:sz w:val="18"/>
          <w:szCs w:val="18"/>
          <w:color w:val="auto"/>
        </w:rPr>
      </w:pPr>
    </w:p>
    <w:p>
      <w:pPr>
        <w:ind w:left="660" w:firstLine="888"/>
        <w:spacing w:after="0" w:line="282" w:lineRule="auto"/>
        <w:tabs>
          <w:tab w:leader="none" w:pos="199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61" w:lineRule="exact"/>
        <w:rPr>
          <w:rFonts w:ascii="Times New Roman" w:cs="Times New Roman" w:eastAsia="Times New Roman" w:hAnsi="Times New Roman"/>
          <w:sz w:val="18"/>
          <w:szCs w:val="18"/>
          <w:color w:val="auto"/>
        </w:rPr>
      </w:pPr>
    </w:p>
    <w:p>
      <w:pPr>
        <w:ind w:left="660" w:firstLine="888"/>
        <w:spacing w:after="0" w:line="282" w:lineRule="auto"/>
        <w:tabs>
          <w:tab w:leader="none" w:pos="207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61" w:lineRule="exact"/>
        <w:rPr>
          <w:rFonts w:ascii="Times New Roman" w:cs="Times New Roman" w:eastAsia="Times New Roman" w:hAnsi="Times New Roman"/>
          <w:sz w:val="18"/>
          <w:szCs w:val="18"/>
          <w:color w:val="auto"/>
        </w:rPr>
      </w:pPr>
    </w:p>
    <w:p>
      <w:pPr>
        <w:jc w:val="both"/>
        <w:ind w:left="660" w:firstLine="888"/>
        <w:spacing w:after="0" w:line="258" w:lineRule="auto"/>
        <w:tabs>
          <w:tab w:leader="none" w:pos="223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or</w:t>
      </w:r>
    </w:p>
    <w:p>
      <w:pPr>
        <w:spacing w:after="0" w:line="183" w:lineRule="exact"/>
        <w:rPr>
          <w:rFonts w:ascii="Times New Roman" w:cs="Times New Roman" w:eastAsia="Times New Roman" w:hAnsi="Times New Roman"/>
          <w:sz w:val="18"/>
          <w:szCs w:val="18"/>
          <w:color w:val="auto"/>
        </w:rPr>
      </w:pPr>
    </w:p>
    <w:p>
      <w:pPr>
        <w:jc w:val="both"/>
        <w:ind w:left="660" w:firstLine="888"/>
        <w:spacing w:after="0" w:line="258" w:lineRule="auto"/>
        <w:tabs>
          <w:tab w:leader="none" w:pos="20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Article 6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or the Notes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797" w:right="239" w:bottom="1440" w:gutter="0" w:footer="0" w:header="0"/>
        </w:sectPr>
      </w:pPr>
    </w:p>
    <w:bookmarkStart w:id="195" w:name="page196"/>
    <w:bookmarkEnd w:id="195"/>
    <w:p>
      <w:pPr>
        <w:jc w:val="both"/>
        <w:spacing w:after="0" w:line="254" w:lineRule="auto"/>
        <w:rPr>
          <w:sz w:val="20"/>
          <w:szCs w:val="20"/>
          <w:color w:val="auto"/>
        </w:rPr>
      </w:pPr>
      <w:r>
        <w:rPr>
          <w:rFonts w:ascii="Times New Roman" w:cs="Times New Roman" w:eastAsia="Times New Roman" w:hAnsi="Times New Roman"/>
          <w:sz w:val="18"/>
          <w:szCs w:val="18"/>
          <w:color w:val="auto"/>
        </w:rPr>
        <w:t>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in this Section 6.02 shall permit amendments to the Credit Documents or an acceleration of the Obligations other than as set forth in the Credit Documents.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6.03. Reinstatement</w:t>
      </w:r>
      <w:r>
        <w:rPr>
          <w:rFonts w:ascii="Times New Roman" w:cs="Times New Roman" w:eastAsia="Times New Roman" w:hAnsi="Times New Roman"/>
          <w:sz w:val="18"/>
          <w:szCs w:val="18"/>
          <w:color w:val="auto"/>
        </w:rPr>
        <w:t>. The obligations of the Credit Parties under this Article VI shall be automatically reinstated if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any reason any payment by or on behalf of any Credit Party in respect of the Guaranteed Obligations is rescinded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6.04. Subrogation; Subordination</w:t>
      </w:r>
      <w:r>
        <w:rPr>
          <w:rFonts w:ascii="Times New Roman" w:cs="Times New Roman" w:eastAsia="Times New Roman" w:hAnsi="Times New Roman"/>
          <w:sz w:val="18"/>
          <w:szCs w:val="18"/>
          <w:color w:val="auto"/>
        </w:rPr>
        <w:t>. Each Credit Party hereby agrees that until the payment and satisfaction in full in cash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Obligations and the expiration and termination of the Commitments of the Lenders under this Agreement it shall not exercise any right or remedy arising by reason of any performance by it of its guarantee in Section 6.01,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6.05. Remedies</w:t>
      </w:r>
      <w:r>
        <w:rPr>
          <w:rFonts w:ascii="Times New Roman" w:cs="Times New Roman" w:eastAsia="Times New Roman" w:hAnsi="Times New Roman"/>
          <w:sz w:val="18"/>
          <w:szCs w:val="18"/>
          <w:color w:val="auto"/>
        </w:rPr>
        <w:t>. The Credit Parties jointly and severally agree that, as between the Credit Parties and the Lenders, the obligations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Credit Party under this Agreement and the Notes may be declared to be forthwith due and payable as provided in Article XI (and shall be deemed to have become automatically due and payable in the circumstances provided in said Article XI) for purposes of Section 6.01,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Section 6.01.</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6.06. Continuing Guarantee</w:t>
      </w:r>
      <w:r>
        <w:rPr>
          <w:rFonts w:ascii="Times New Roman" w:cs="Times New Roman" w:eastAsia="Times New Roman" w:hAnsi="Times New Roman"/>
          <w:sz w:val="18"/>
          <w:szCs w:val="18"/>
          <w:color w:val="auto"/>
        </w:rPr>
        <w:t>. The guarantee in this Article VI is a continuing guarantee of payment, and shall apply to all Guaranteed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whenever arising.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797" w:right="239" w:bottom="1440" w:gutter="0" w:footer="0" w:header="0"/>
        </w:sectPr>
      </w:pPr>
    </w:p>
    <w:bookmarkStart w:id="196" w:name="page197"/>
    <w:bookmarkEnd w:id="19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6.07. General Limitation on Guarantee Obligations</w:t>
      </w:r>
      <w:r>
        <w:rPr>
          <w:rFonts w:ascii="Times New Roman" w:cs="Times New Roman" w:eastAsia="Times New Roman" w:hAnsi="Times New Roman"/>
          <w:sz w:val="18"/>
          <w:szCs w:val="18"/>
          <w:color w:val="auto"/>
        </w:rPr>
        <w:t>. In any action or proceeding involving any state corporate law, or any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or foreign bankruptcy, insolvency, reorganization or other law affecting the rights of creditors generally, if the obligations of any Credit Party under Section 6.01 would otherwise be held or determined to be void, voidable, invalid or unenforceable, or subordinated to the claims of any other creditors, on account of the amount of its liability under Section 6.01,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6.08. Release of Guarantors</w:t>
      </w:r>
      <w:r>
        <w:rPr>
          <w:rFonts w:ascii="Times New Roman" w:cs="Times New Roman" w:eastAsia="Times New Roman" w:hAnsi="Times New Roman"/>
          <w:sz w:val="18"/>
          <w:szCs w:val="18"/>
          <w:color w:val="auto"/>
        </w:rPr>
        <w:t>. If, in compliance with the terms and provisions of the Credit Documents, (i) the Equity Interests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are directly or indirectly sold or otherwise transferred such that such Guarantor no longer constitutes a Restricted Subsidiary (a “</w:t>
      </w:r>
      <w:r>
        <w:rPr>
          <w:rFonts w:ascii="Times New Roman" w:cs="Times New Roman" w:eastAsia="Times New Roman" w:hAnsi="Times New Roman"/>
          <w:sz w:val="18"/>
          <w:szCs w:val="18"/>
          <w:b w:val="1"/>
          <w:bCs w:val="1"/>
          <w:color w:val="auto"/>
        </w:rPr>
        <w:t>Transferred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to a Person or Persons, none of which is Borrower or a Restricted Subsidiary, or (ii) any Restricted Subsidiary is designated as or becomes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Unrestricted Subsidiary, Transferred Guarantor, upon the consummation of such sale or transfer, and such Person so designated or which becomes such an Unrestricted Subsidiary, shall be automatically released from its obligations under this Agreement (including under Section 13.03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Section 6.08 in accordance with the relevant provisions of the Security Documents and this Agreement.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6.09. 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such funds or other support as may be needed from time to time by each other Credit Party to honor all of its obligations under the Guarantee in respect of Swap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Qualified ECP Guarantor shall only be liable under this Section 6.09 for the maximum amount of such liability that can be hereby incurred without rendering its obligations under this Section 6.09,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a discharge of Guaranteed Obligations. Each Qualified ECP Guarantor intends that this Section 6.09 constitute, and this Section 6.09 shall be deemed to constitute, a "keepwell, support, or other agreement" for the benefit of each other Credit Party for all purposes of Section 1a(18)(A)(v)(II) of the Commodity Exchange Act.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6.10. Right of Contribution</w:t>
      </w:r>
      <w:r>
        <w:rPr>
          <w:rFonts w:ascii="Times New Roman" w:cs="Times New Roman" w:eastAsia="Times New Roman" w:hAnsi="Times New Roman"/>
          <w:sz w:val="18"/>
          <w:szCs w:val="18"/>
          <w:color w:val="auto"/>
        </w:rPr>
        <w:t>. Each Credit Party hereby agrees that to the extent that a Credit Party (a “</w:t>
      </w:r>
      <w:r>
        <w:rPr>
          <w:rFonts w:ascii="Times New Roman" w:cs="Times New Roman" w:eastAsia="Times New Roman" w:hAnsi="Times New Roman"/>
          <w:sz w:val="18"/>
          <w:szCs w:val="18"/>
          <w:b w:val="1"/>
          <w:bCs w:val="1"/>
          <w:color w:val="auto"/>
        </w:rPr>
        <w:t>Funding Credit Party</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Section 6.04. The provisions of this Section 6.10 shall in no respect limit the obligations and liabilities of any Credit Party to the Secured Parties, and each Credit Party shall remain liable to the Secured Parties for the full amount guaranteed by such Credit Party hereunder. “</w:t>
      </w:r>
      <w:r>
        <w:rPr>
          <w:rFonts w:ascii="Times New Roman" w:cs="Times New Roman" w:eastAsia="Times New Roman" w:hAnsi="Times New Roman"/>
          <w:sz w:val="18"/>
          <w:szCs w:val="18"/>
          <w:b w:val="1"/>
          <w:b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with respect to a Credit Party as of any date of determination, an amount equal to (i) the ratio of (A) the Adjusted Maximum Amount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Times New Roman" w:cs="Times New Roman" w:eastAsia="Times New Roman" w:hAnsi="Times New Roman"/>
          <w:sz w:val="18"/>
          <w:szCs w:val="18"/>
          <w:b w:val="1"/>
          <w:bCs w:val="1"/>
          <w:color w:val="auto"/>
        </w:rPr>
        <w:t>Fair Share Shortfall</w:t>
      </w:r>
      <w:r>
        <w:rPr>
          <w:rFonts w:ascii="Times New Roman" w:cs="Times New Roman" w:eastAsia="Times New Roman" w:hAnsi="Times New Roman"/>
          <w:sz w:val="18"/>
          <w:szCs w:val="18"/>
          <w:color w:val="auto"/>
        </w:rPr>
        <w:t>” means, with respect to a Credit Party as of any date of determination, the excess, if any, of the Fair Share of such Credit Party over the Aggregate Payments of such Credit Party. “</w:t>
      </w:r>
      <w:r>
        <w:rPr>
          <w:rFonts w:ascii="Times New Roman" w:cs="Times New Roman" w:eastAsia="Times New Roman" w:hAnsi="Times New Roman"/>
          <w:sz w:val="18"/>
          <w:szCs w:val="18"/>
          <w:b w:val="1"/>
          <w:bCs w:val="1"/>
          <w:color w:val="auto"/>
        </w:rPr>
        <w:t>Adjusted Maximum Amount</w:t>
      </w:r>
      <w:r>
        <w:rPr>
          <w:rFonts w:ascii="Times New Roman" w:cs="Times New Roman" w:eastAsia="Times New Roman" w:hAnsi="Times New Roman"/>
          <w:sz w:val="18"/>
          <w:szCs w:val="18"/>
          <w:color w:val="auto"/>
        </w:rPr>
        <w:t xml:space="preserve">” means, with respect to a Credit Party as of any date of determination, the maximum aggregate amount of the obligations of such Credit Party under this Article VI;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calculating the “Adjusted Maximum Amount” with respect to any Credit Party for purposes of this Section 6.10, any assets or liabilities of such Credit Party arising by virtue of any rights to subrogation, reimbursement or indemnification or any rights to or obligations of contribution hereunder shall not be considered as assets or liabilities of such Credit Party. “</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means, with respect to a Credit Party as of any date of determination, an amount equal to (i) the aggregate amount of all payments and distributions made on or before such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792" w:right="239" w:bottom="1440" w:gutter="0" w:footer="0" w:header="0"/>
        </w:sectPr>
      </w:pPr>
    </w:p>
    <w:bookmarkStart w:id="197" w:name="page198"/>
    <w:bookmarkEnd w:id="19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date by such Credit party in respect of this Article VI (including in respect of this Section 6.10) minus (ii) the aggregate amount of all payments received on or before such date by such Credit Party from the other Credit Parties as contributions under this Section 6.10. The amounts payable as contributions hereunder shall be determined as of the date on which the related payment or distribution is made by the applicable Funding Credit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u w:val="single" w:color="auto"/>
          <w:color w:val="auto"/>
        </w:rPr>
        <w:t>CONDITIONS PRECEDENT</w:t>
      </w:r>
    </w:p>
    <w:p>
      <w:pPr>
        <w:spacing w:after="0" w:line="22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7"/>
          <w:szCs w:val="17"/>
          <w:b w:val="1"/>
          <w:bCs w:val="1"/>
          <w:color w:val="auto"/>
        </w:rPr>
        <w:t>Conditions to Initial Extensions of Credit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Lenders to enter into this Agreement on the Closing Date are subject to the satisfaction of the following:</w:t>
      </w:r>
    </w:p>
    <w:p>
      <w:pPr>
        <w:spacing w:after="0" w:line="221" w:lineRule="exact"/>
        <w:rPr>
          <w:sz w:val="20"/>
          <w:szCs w:val="20"/>
          <w:color w:val="auto"/>
        </w:rPr>
      </w:pPr>
    </w:p>
    <w:p>
      <w:pPr>
        <w:jc w:val="both"/>
        <w:ind w:firstLine="656"/>
        <w:spacing w:after="0" w:line="259" w:lineRule="auto"/>
        <w:tabs>
          <w:tab w:leader="none" w:pos="10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 Administrative Agent shall have received copies of the Organizational Documents of each Credit Party and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179" w:lineRule="exact"/>
        <w:rPr>
          <w:rFonts w:ascii="Times New Roman" w:cs="Times New Roman" w:eastAsia="Times New Roman" w:hAnsi="Times New Roman"/>
          <w:sz w:val="18"/>
          <w:szCs w:val="18"/>
          <w:color w:val="auto"/>
        </w:rPr>
      </w:pPr>
    </w:p>
    <w:p>
      <w:pPr>
        <w:ind w:firstLine="656"/>
        <w:spacing w:after="0" w:line="286" w:lineRule="auto"/>
        <w:tabs>
          <w:tab w:leader="none" w:pos="103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Administrative Agent shall have received an Officer’s Certificate of Borrower, dated the Closing Date, certifying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Sections 7.02(a)(i) and 7.02(a)(ii) (giving effect to the provisions contained therein) have been satisfied.</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0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Opinions of Counsel</w:t>
      </w:r>
      <w:r>
        <w:rPr>
          <w:rFonts w:ascii="Times New Roman" w:cs="Times New Roman" w:eastAsia="Times New Roman" w:hAnsi="Times New Roman"/>
          <w:sz w:val="18"/>
          <w:szCs w:val="18"/>
          <w:color w:val="auto"/>
        </w:rPr>
        <w:t>. Administrative Agent shall have received the following opinions, each of which shall be addressed to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the Collateral Agent and the Lenders, dated the Closing Date and covering such matters as the Administrative Agent shall reasonably request in a manner customary for transactions of this type:</w:t>
      </w:r>
    </w:p>
    <w:p>
      <w:pPr>
        <w:spacing w:after="0" w:line="174"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Latham &amp; Watkins LLP, special counsel to the Credit Parties; and</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opinions of local counsel to the Credit Parties in such jurisdictions as are set forth in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20" w:firstLine="656"/>
        <w:spacing w:after="0" w:line="286" w:lineRule="auto"/>
        <w:tabs>
          <w:tab w:leader="none" w:pos="107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Administrative Agent shall have received copies of the Notes, duly completed and executed, for each Lender that requested a Note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three (3) Business Days prior to the Closing Date.</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0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Administrative Agent shall have received this Agreement (a) executed and delivered by a duly authorized officer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and (b) executed and delivered by a duly authorized officer of each Person that is a Lender on the Closing Date.</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10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Filings and Lien Searches</w:t>
      </w:r>
      <w:r>
        <w:rPr>
          <w:rFonts w:ascii="Times New Roman" w:cs="Times New Roman" w:eastAsia="Times New Roman" w:hAnsi="Times New Roman"/>
          <w:sz w:val="18"/>
          <w:szCs w:val="18"/>
          <w:color w:val="auto"/>
        </w:rPr>
        <w:t>. Administrative Agent shall have received (i) UCC financing statements in form appropriate for filing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organization of each Credit Party, (ii) results of lien searches conducted in the jurisdictions in which Borrower and its Restricted Subsidiaries are organized and such other jurisdictions as may be requested by the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06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(i) Administrative Agent shall have received the Security Agreement and the Initial Perfection Certificate, in each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797" w:right="239" w:bottom="1440" w:gutter="0" w:footer="0" w:header="0"/>
        </w:sectPr>
      </w:pPr>
    </w:p>
    <w:bookmarkStart w:id="198" w:name="page199"/>
    <w:bookmarkEnd w:id="198"/>
    <w:p>
      <w:pPr>
        <w:jc w:val="both"/>
        <w:spacing w:after="0" w:line="256" w:lineRule="auto"/>
        <w:rPr>
          <w:sz w:val="20"/>
          <w:szCs w:val="20"/>
          <w:color w:val="auto"/>
        </w:rPr>
      </w:pPr>
      <w:r>
        <w:rPr>
          <w:rFonts w:ascii="Times New Roman" w:cs="Times New Roman" w:eastAsia="Times New Roman" w:hAnsi="Times New Roman"/>
          <w:sz w:val="18"/>
          <w:szCs w:val="18"/>
          <w:color w:val="auto"/>
        </w:rPr>
        <w:t>representing the certificated Pledged Securities (as defined in the Security Agreement) required to be delivered to Collateral Agent 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84" w:lineRule="exact"/>
        <w:rPr>
          <w:sz w:val="20"/>
          <w:szCs w:val="20"/>
          <w:color w:val="auto"/>
        </w:rPr>
      </w:pPr>
    </w:p>
    <w:p>
      <w:pPr>
        <w:jc w:val="both"/>
        <w:ind w:firstLine="656"/>
        <w:spacing w:after="0" w:line="268" w:lineRule="auto"/>
        <w:tabs>
          <w:tab w:leader="none" w:pos="110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Documents in Full Force and Effect; Fee Letter</w:t>
      </w:r>
      <w:r>
        <w:rPr>
          <w:rFonts w:ascii="Times New Roman" w:cs="Times New Roman" w:eastAsia="Times New Roman" w:hAnsi="Times New Roman"/>
          <w:sz w:val="18"/>
          <w:szCs w:val="18"/>
          <w:color w:val="auto"/>
        </w:rPr>
        <w:t>. The Credit Documents required to be executed and delivered on or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shall be in full force and effect. Borrower shall have complied, or shall comply substantially concurrently with the funding of the Loans hereunder, in all respects with its payment obligations under the Fee Letter required to be performed on the Closing Date.</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02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Consummation of Transactions</w:t>
      </w:r>
      <w:r>
        <w:rPr>
          <w:rFonts w:ascii="Times New Roman" w:cs="Times New Roman" w:eastAsia="Times New Roman" w:hAnsi="Times New Roman"/>
          <w:sz w:val="18"/>
          <w:szCs w:val="18"/>
          <w:color w:val="auto"/>
        </w:rPr>
        <w:t>. The Transactions shall have been consummated and the consummation thereof shall be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106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w:t>
      </w:r>
      <w:r>
        <w:rPr>
          <w:rFonts w:ascii="Times New Roman" w:cs="Times New Roman" w:eastAsia="Times New Roman" w:hAnsi="Times New Roman"/>
          <w:sz w:val="18"/>
          <w:szCs w:val="18"/>
          <w:color w:val="auto"/>
        </w:rPr>
        <w:t>. Other than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7.01(j)</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Section 8.06 or Section 8.15, all necessary Governmental Authority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03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Administrative Agent shall have received a certificate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Responsible Officer of Borrower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Solvency of Borrower (on a consolidated basis with its Restricted Subsidiaries), immediately after giving effect to the consummation of the Transactions.</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06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To the extent invoiced at least five (5) Business Days prior to the closing date, all reasonable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of Administrative Agent, Lead Arrangers, Arrangers and (in the case of fees only) the Lenders required to be paid by this Agreement, the Fee Letter or as otherwise agreed by Borrower, in each case, payable to Administrative Agent, Lead Arrangers, Arrangers and/or Lenders in respect of the Transactions, shall have been paid to the extent due.</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115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On or prior to the Closing Date, Administrative Agent shall have received at least five (5) days prior to the Closing Date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11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Wynn Resorts Financials</w:t>
      </w:r>
      <w:r>
        <w:rPr>
          <w:rFonts w:ascii="Times New Roman" w:cs="Times New Roman" w:eastAsia="Times New Roman" w:hAnsi="Times New Roman"/>
          <w:sz w:val="18"/>
          <w:szCs w:val="18"/>
          <w:color w:val="auto"/>
        </w:rPr>
        <w:t>. Borrower has delivered to the Administrative Agent or made publically available (a) the audited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sheets of Wynn Resorts as of December 31, 2013, and the related statements of earnings, changes in stockholders’ equity and cash flows for the fiscal years ended on those dates, together with reports thereon by Ernst &amp; Young LLP, certified public accountants and (b) the unaudited interim consolidated balance sheet of Wynn Resorts and the related statements of earnings, changes in stockholders’ equity and cash flows for the most recent fiscal quarter ending after December 31, 2013 (other than the fourth fiscal quarter of any fiscal year) and at least 45 days prior to the Closing Date.</w:t>
      </w:r>
    </w:p>
    <w:p>
      <w:pPr>
        <w:spacing w:after="0" w:line="180"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7.02. Conditions to All Extensions of Credit</w:t>
      </w:r>
      <w:r>
        <w:rPr>
          <w:rFonts w:ascii="Times New Roman" w:cs="Times New Roman" w:eastAsia="Times New Roman" w:hAnsi="Times New Roman"/>
          <w:sz w:val="18"/>
          <w:szCs w:val="18"/>
          <w:color w:val="auto"/>
        </w:rPr>
        <w:t>. The obligations of the Lenders to make any Loan or otherwise extend any credit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upon the occasion of each Borrowing or other extension of credit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797"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(whether by making a Loan or issuing a Letter of Credit) hereunder (including the initial borrowing) is subject to the further conditions precedent that:</w:t>
      </w:r>
    </w:p>
    <w:p>
      <w:pPr>
        <w:spacing w:after="0" w:line="221" w:lineRule="exact"/>
        <w:rPr>
          <w:sz w:val="20"/>
          <w:szCs w:val="20"/>
          <w:color w:val="auto"/>
        </w:rPr>
      </w:pPr>
    </w:p>
    <w:p>
      <w:pPr>
        <w:ind w:firstLine="656"/>
        <w:spacing w:after="0" w:line="286" w:lineRule="auto"/>
        <w:tabs>
          <w:tab w:leader="none" w:pos="112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Default or Event of Default; Representations and Warranties True</w:t>
      </w:r>
      <w:r>
        <w:rPr>
          <w:rFonts w:ascii="Times New Roman" w:cs="Times New Roman" w:eastAsia="Times New Roman" w:hAnsi="Times New Roman"/>
          <w:sz w:val="18"/>
          <w:szCs w:val="18"/>
          <w:color w:val="auto"/>
        </w:rPr>
        <w:t>. Both immediately prior to the making of such Loan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of credit and also after giving effect thereto and to the intended use thereof:</w:t>
      </w:r>
    </w:p>
    <w:p>
      <w:pPr>
        <w:spacing w:after="0" w:line="158"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6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the Credit Parties in Article VIII and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 and</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0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December 31, 2015 and until the Wynn Massachusetts Project Opening Date, if the Credit Parties have not received Equity Contributions as of such date in an amount equal to or greater than the Equity Contribution Threshold, the aggregate amount of all Revolving Loans outstanding (after giving effect to the requested Revolving Loan) shall not exceed the amount of the Equity Contributions made on or prior to the date such Revolving Loan is made;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that prior to the Wynn Massachusetts Project Opening Date Borrower shall not be required to satisfy the conditions in this Section 7.02(a)</w:t>
      </w:r>
    </w:p>
    <w:p>
      <w:pPr>
        <w:spacing w:after="0" w:line="27" w:lineRule="exact"/>
        <w:rPr>
          <w:sz w:val="20"/>
          <w:szCs w:val="20"/>
          <w:color w:val="auto"/>
        </w:rPr>
      </w:pPr>
    </w:p>
    <w:p>
      <w:pPr>
        <w:ind w:firstLine="8"/>
        <w:spacing w:after="0" w:line="261" w:lineRule="auto"/>
        <w:tabs>
          <w:tab w:leader="none" w:pos="31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Loan requested by Borrower to be utilized solely to pay interest or fees due and payable or to become due and payable under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109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Administrative Agent shall have received a Notice of Borrowing and/or Letter of Credit Request, as applicable,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and complying with Section 4.05.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Sections 7.01 or 7.02, as the case may be, have been satisfied.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represents and warrants to Administrative Agent, the Collateral Agent and Lenders that, at and as of each Funding Date, in each case immediately before and immediately after giving effect to the transactions to occur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representations and warranties made on the Closing Date shall be made giving effect to the Transactions):</w:t>
      </w:r>
    </w:p>
    <w:p>
      <w:pPr>
        <w:spacing w:after="0" w:line="17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8.01.</w:t>
        <w:tab/>
        <w:t>Corporate Existence; Compliance with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6" w:lineRule="auto"/>
        <w:tabs>
          <w:tab w:leader="none" w:pos="110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Restricted Subsidiary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796" w:right="239" w:bottom="1440" w:gutter="0" w:footer="0" w:header="0"/>
        </w:sectPr>
      </w:pPr>
    </w:p>
    <w:bookmarkStart w:id="200" w:name="page201"/>
    <w:bookmarkEnd w:id="200"/>
    <w:p>
      <w:pPr>
        <w:ind w:right="140" w:firstLine="656"/>
        <w:spacing w:after="0" w:line="266" w:lineRule="auto"/>
        <w:tabs>
          <w:tab w:leader="none" w:pos="103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8.02. Material Adverse Effect</w:t>
      </w:r>
      <w:r>
        <w:rPr>
          <w:rFonts w:ascii="Times New Roman" w:cs="Times New Roman" w:eastAsia="Times New Roman" w:hAnsi="Times New Roman"/>
          <w:sz w:val="18"/>
          <w:szCs w:val="18"/>
          <w:color w:val="auto"/>
        </w:rPr>
        <w:t>. Since December 31, 2013, there shall not have occurred any event or circumstance that has had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reasonably be expected to have, either individually or in the aggregate, a Material Adverse Effect.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8.03. Litigation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8.03</w:t>
      </w:r>
      <w:r>
        <w:rPr>
          <w:rFonts w:ascii="Times New Roman" w:cs="Times New Roman" w:eastAsia="Times New Roman" w:hAnsi="Times New Roman"/>
          <w:sz w:val="18"/>
          <w:szCs w:val="18"/>
          <w:color w:val="auto"/>
        </w:rPr>
        <w:t>, there is no Proceeding (other than 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to which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8.03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8.04.</w:t>
      </w:r>
      <w:r>
        <w:rPr>
          <w:sz w:val="20"/>
          <w:szCs w:val="20"/>
          <w:color w:val="auto"/>
        </w:rPr>
        <w:tab/>
      </w:r>
      <w:r>
        <w:rPr>
          <w:rFonts w:ascii="Times New Roman" w:cs="Times New Roman" w:eastAsia="Times New Roman" w:hAnsi="Times New Roman"/>
          <w:sz w:val="17"/>
          <w:szCs w:val="17"/>
          <w:b w:val="1"/>
          <w:bCs w:val="1"/>
          <w:color w:val="auto"/>
        </w:rPr>
        <w:t>No Breach; No Default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06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Section 13.13,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w:t>
      </w:r>
    </w:p>
    <w:p>
      <w:pPr>
        <w:spacing w:after="0" w:line="18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8.05. Action</w:t>
      </w:r>
      <w:r>
        <w:rPr>
          <w:rFonts w:ascii="Times New Roman" w:cs="Times New Roman" w:eastAsia="Times New Roman" w:hAnsi="Times New Roman"/>
          <w:sz w:val="18"/>
          <w:szCs w:val="18"/>
          <w:color w:val="auto"/>
        </w:rPr>
        <w:t>. Borrower and each Restricted Subsidiary has all necessary corporate or other organizational power, authority and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8.06. Approvals</w:t>
      </w:r>
      <w:r>
        <w:rPr>
          <w:rFonts w:ascii="Times New Roman" w:cs="Times New Roman" w:eastAsia="Times New Roman" w:hAnsi="Times New Roman"/>
          <w:sz w:val="18"/>
          <w:szCs w:val="18"/>
          <w:color w:val="auto"/>
        </w:rPr>
        <w:t>. No authorizations, approvals or consents of, and no filings or registrations with, any Governmental Authority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Section 8.14, (v) satisfaction of 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797" w:right="239" w:bottom="1440" w:gutter="0" w:footer="0" w:header="0"/>
        </w:sectPr>
      </w:pPr>
    </w:p>
    <w:bookmarkStart w:id="201" w:name="page202"/>
    <w:bookmarkEnd w:id="201"/>
    <w:p>
      <w:pPr>
        <w:jc w:val="both"/>
        <w:spacing w:after="0" w:line="257" w:lineRule="auto"/>
        <w:rPr>
          <w:sz w:val="20"/>
          <w:szCs w:val="20"/>
          <w:color w:val="auto"/>
        </w:rPr>
      </w:pPr>
      <w:r>
        <w:rPr>
          <w:rFonts w:ascii="Times New Roman" w:cs="Times New Roman" w:eastAsia="Times New Roman" w:hAnsi="Times New Roman"/>
          <w:sz w:val="18"/>
          <w:szCs w:val="18"/>
          <w:color w:val="auto"/>
        </w:rPr>
        <w:t>waiver by the Gaming Authorities of any qualification requirement on the part of the Lenders who do not otherwise qualify, (vi) prior approval of the Transactions by the Gaming Authorities, which approval has been obtained on or prior to the Closing Date, (vii) consents, authorizations and filings that have been obtained or made and are in full force and effect or the failure of which to obtain would not reasonably be expected to have a Material Adverse Effect,</w:t>
      </w:r>
    </w:p>
    <w:p>
      <w:pPr>
        <w:spacing w:after="0" w:line="2" w:lineRule="exact"/>
        <w:rPr>
          <w:sz w:val="20"/>
          <w:szCs w:val="20"/>
          <w:color w:val="auto"/>
        </w:rPr>
      </w:pPr>
    </w:p>
    <w:p>
      <w:pPr>
        <w:jc w:val="both"/>
        <w:ind w:firstLine="8"/>
        <w:spacing w:after="0" w:line="254" w:lineRule="auto"/>
        <w:tabs>
          <w:tab w:leader="none" w:pos="41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Section 13.13) and (ix) prior approval from the Nevada Gaming Commission of the pledge of any Pledged Nevada Gaming Interests (as defined in the Security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8.07. ERISA and Employee Benefit Plan Matters</w:t>
      </w:r>
      <w:r>
        <w:rPr>
          <w:rFonts w:ascii="Times New Roman" w:cs="Times New Roman" w:eastAsia="Times New Roman" w:hAnsi="Times New Roman"/>
          <w:sz w:val="18"/>
          <w:szCs w:val="18"/>
          <w:color w:val="auto"/>
        </w:rPr>
        <w:t>. No ERISA Event has occurred or is reasonably expected to occur that,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taken together with all other such ERISA Events for which liability is reasonably expected to occur, would reasonably be expected to result in a Material Adverse Effect. Except as set forth on </w:t>
      </w:r>
      <w:r>
        <w:rPr>
          <w:rFonts w:ascii="Times New Roman" w:cs="Times New Roman" w:eastAsia="Times New Roman" w:hAnsi="Times New Roman"/>
          <w:sz w:val="18"/>
          <w:szCs w:val="18"/>
          <w:u w:val="single" w:color="auto"/>
          <w:color w:val="auto"/>
        </w:rPr>
        <w:t>Schedule 8.07</w:t>
      </w:r>
      <w:r>
        <w:rPr>
          <w:rFonts w:ascii="Times New Roman" w:cs="Times New Roman" w:eastAsia="Times New Roman" w:hAnsi="Times New Roman"/>
          <w:sz w:val="18"/>
          <w:szCs w:val="18"/>
          <w:color w:val="auto"/>
        </w:rPr>
        <w:t>, as of the Closing Date, no member of the ERISA Group maintains or contributes to any Pension Plan. Each ERISA Entity is in compliance with the presently applicable provisions of ERISA and the Code with respect to each Employee Benefit Plan (other than to the extent such failure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8.08. Taxes</w:t>
      </w:r>
      <w:r>
        <w:rPr>
          <w:rFonts w:ascii="Times New Roman" w:cs="Times New Roman" w:eastAsia="Times New Roman" w:hAnsi="Times New Roman"/>
          <w:sz w:val="18"/>
          <w:szCs w:val="18"/>
          <w:color w:val="auto"/>
        </w:rPr>
        <w:t>. Except as would not, individually or in the aggregate, reasonably be expected to have a Material Adverse Effect, (i)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returns, statements, reports and forms required to be filed with any Governmental Authority by, or with respect to, Borrower and each of its Restricted Subsidiaries have been timely filed (taking into account any applicable extensions) in accordance with all applicable laws;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 and (iii) Borrower and each of its Restricted Subsidiaries has made adequate provision in accordance with GAAP for all Taxes payable by Borrower or such Restricted Subsidiary that are not yet due and payable. Neither Borrower nor any of its Restricted Subsidiaries has received written notice of any proposed or pending Tax assessment, audit or deficiency against Borrower or such Restricted Subsidiary that would in the aggregate reasonably be expected to have a Material Adverse Effect.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8.09. Investment Company Act</w:t>
      </w:r>
      <w:r>
        <w:rPr>
          <w:rFonts w:ascii="Times New Roman" w:cs="Times New Roman" w:eastAsia="Times New Roman" w:hAnsi="Times New Roman"/>
          <w:sz w:val="18"/>
          <w:szCs w:val="18"/>
          <w:color w:val="auto"/>
        </w:rPr>
        <w:t>. Neither Borrower nor any of its Restricted Subsidiaries is an “investment company,” or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an “investment company” required to be regulated under the Investment Company Act of 1940, as amended.</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8.10. Environmental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would not, individually or in the aggregate,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a Material Adverse Effect: (i) each of Borrower and its Restricted Subsidiaries and each of their businesses, operations and Real Property is in material compliance 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796" w:right="239" w:bottom="1440" w:gutter="0" w:footer="0" w:header="0"/>
        </w:sectPr>
      </w:pPr>
    </w:p>
    <w:bookmarkStart w:id="202" w:name="page203"/>
    <w:bookmarkEnd w:id="202"/>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8.11.</w:t>
        <w:tab/>
        <w:t>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040" w:hanging="384"/>
        <w:spacing w:after="0"/>
        <w:tabs>
          <w:tab w:leader="none" w:pos="1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use the proceeds of:</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70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Facility Loans and Revolving Loans made on the Closing Date to finance the Transactions and for general corporate purposes (including Capital Expenditures with respect to the Wynn Massachusetts Project) and for any other purposes not prohibited by this Agreement, and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3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Loans and Term Loans made after the Closing Date for working capital, capital expenditures, Permitted Acquisitions (and other Acquisitions not prohibited hereunder) and general corporate purposes and for any other purposes not prohibited by this Agreement (including Capital Expenditures with respect to the Wynn Massachusetts Project).</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10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pacing w:after="0" w:line="184"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8.12.</w:t>
      </w:r>
      <w:r>
        <w:rPr>
          <w:sz w:val="20"/>
          <w:szCs w:val="20"/>
          <w:color w:val="auto"/>
        </w:rPr>
        <w:tab/>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8.12(a)</w:t>
      </w:r>
      <w:r>
        <w:rPr>
          <w:rFonts w:ascii="Times New Roman" w:cs="Times New Roman" w:eastAsia="Times New Roman" w:hAnsi="Times New Roman"/>
          <w:sz w:val="18"/>
          <w:szCs w:val="18"/>
          <w:color w:val="auto"/>
        </w:rPr>
        <w:t xml:space="preserve"> sets forth a true and complete list of the following: (i) all the Subsidiaries of Borrower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8.12(b)</w:t>
      </w:r>
      <w:r>
        <w:rPr>
          <w:rFonts w:ascii="Times New Roman" w:cs="Times New Roman" w:eastAsia="Times New Roman" w:hAnsi="Times New Roman"/>
          <w:sz w:val="18"/>
          <w:szCs w:val="18"/>
          <w:color w:val="auto"/>
        </w:rPr>
        <w:t xml:space="preserve"> sets forth a true and complete list of all the Immaterial Subsidiaries as of the Closing Date.</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8.12(c)</w:t>
      </w:r>
      <w:r>
        <w:rPr>
          <w:rFonts w:ascii="Times New Roman" w:cs="Times New Roman" w:eastAsia="Times New Roman" w:hAnsi="Times New Roman"/>
          <w:sz w:val="18"/>
          <w:szCs w:val="18"/>
          <w:color w:val="auto"/>
        </w:rPr>
        <w:t xml:space="preserve"> sets forth a true and complete list of all the Unrestricted Subsidiaries as of the Closing Date.</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8.13. Ownership of Property; Liens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8.13</w:t>
      </w:r>
      <w:r>
        <w:rPr>
          <w:rFonts w:ascii="Times New Roman" w:cs="Times New Roman" w:eastAsia="Times New Roman" w:hAnsi="Times New Roman"/>
          <w:sz w:val="18"/>
          <w:szCs w:val="18"/>
          <w:color w:val="auto"/>
        </w:rPr>
        <w:t>, (a) Borrower and each of its Restricted Subsidiaries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8.14. Security Interest; Absence of Financing Statements; Etc</w:t>
      </w:r>
      <w:r>
        <w:rPr>
          <w:rFonts w:ascii="Times New Roman" w:cs="Times New Roman" w:eastAsia="Times New Roman" w:hAnsi="Times New Roman"/>
          <w:sz w:val="18"/>
          <w:szCs w:val="18"/>
          <w:color w:val="auto"/>
        </w:rPr>
        <w:t>. The Security Documents, once executed and delivered, will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793" w:right="239" w:bottom="1440" w:gutter="0" w:footer="0" w:header="0"/>
        </w:sectPr>
      </w:pPr>
    </w:p>
    <w:bookmarkStart w:id="203" w:name="page204"/>
    <w:bookmarkEnd w:id="203"/>
    <w:p>
      <w:pPr>
        <w:jc w:val="both"/>
        <w:spacing w:after="0" w:line="258" w:lineRule="auto"/>
        <w:rPr>
          <w:sz w:val="20"/>
          <w:szCs w:val="20"/>
          <w:color w:val="auto"/>
        </w:rPr>
      </w:pPr>
      <w:r>
        <w:rPr>
          <w:rFonts w:ascii="Times New Roman" w:cs="Times New Roman" w:eastAsia="Times New Roman" w:hAnsi="Times New Roman"/>
          <w:sz w:val="18"/>
          <w:szCs w:val="18"/>
          <w:color w:val="auto"/>
        </w:rPr>
        <w:t>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8.15. Licenses and Permits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8.15</w:t>
      </w:r>
      <w:r>
        <w:rPr>
          <w:rFonts w:ascii="Times New Roman" w:cs="Times New Roman" w:eastAsia="Times New Roman" w:hAnsi="Times New Roman"/>
          <w:sz w:val="18"/>
          <w:szCs w:val="18"/>
          <w:color w:val="auto"/>
        </w:rPr>
        <w:t>, Borrower and each of its Restricted Subsidiaries hold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for Permits the failure of which to obtain would not reasonably be expected to have a Material Adverse Effect.</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8.16. Disclosure</w:t>
      </w:r>
      <w:r>
        <w:rPr>
          <w:rFonts w:ascii="Times New Roman" w:cs="Times New Roman" w:eastAsia="Times New Roman" w:hAnsi="Times New Roman"/>
          <w:sz w:val="18"/>
          <w:szCs w:val="18"/>
          <w:color w:val="auto"/>
        </w:rPr>
        <w:t>. The information, reports, financial statements, exhibits and schedules furnished in writing by or on behalf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Party to any Secured Party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furnished at any time by any Credit Party to any Secured Party pursuant to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8.17. Solvency</w:t>
      </w:r>
      <w:r>
        <w:rPr>
          <w:rFonts w:ascii="Times New Roman" w:cs="Times New Roman" w:eastAsia="Times New Roman" w:hAnsi="Times New Roman"/>
          <w:sz w:val="18"/>
          <w:szCs w:val="18"/>
          <w:color w:val="auto"/>
        </w:rPr>
        <w:t>. As of each Funding Date (i) with respect to representations made as of the Closing Date, immediately prior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following the consummation of the Transactions and the extensions of credit to occur on the Closing Date and (ii) with respect to representations made as of any other Funding Date, immediately following the extensions of credit to occur on such Funding Date, Borrower (on a consolidated basis with its Restricted Subsidiaries) is and will be Solvent (after giving effect to Section 6.07).</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8.18. Intellectual Property</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8.18</w:t>
      </w:r>
      <w:r>
        <w:rPr>
          <w:rFonts w:ascii="Times New Roman" w:cs="Times New Roman" w:eastAsia="Times New Roman" w:hAnsi="Times New Roman"/>
          <w:sz w:val="18"/>
          <w:szCs w:val="18"/>
          <w:color w:val="auto"/>
        </w:rPr>
        <w:t>, Borrower and each of its Restricted Subsidiaries owns or possesses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licenses or otherwise has the right to use all of the patents, patent applications, trademarks, trademark applications, service marks, service mark applications, trade names, copyrights, trade secrets, know-how and processes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 registrations would not, individually or in the aggregate, reasonably be expected to have a Material Adverse Effect. Except as set forth on </w:t>
      </w:r>
      <w:r>
        <w:rPr>
          <w:rFonts w:ascii="Times New Roman" w:cs="Times New Roman" w:eastAsia="Times New Roman" w:hAnsi="Times New Roman"/>
          <w:sz w:val="18"/>
          <w:szCs w:val="18"/>
          <w:u w:val="single" w:color="auto"/>
          <w:color w:val="auto"/>
        </w:rPr>
        <w:t>Schedule 8.18</w:t>
      </w:r>
      <w:r>
        <w:rPr>
          <w:rFonts w:ascii="Times New Roman" w:cs="Times New Roman" w:eastAsia="Times New Roman" w:hAnsi="Times New Roman"/>
          <w:sz w:val="18"/>
          <w:szCs w:val="18"/>
          <w:color w:val="auto"/>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Times New Roman" w:cs="Times New Roman" w:eastAsia="Times New Roman" w:hAnsi="Times New Roman"/>
          <w:sz w:val="18"/>
          <w:szCs w:val="18"/>
          <w:u w:val="single" w:color="auto"/>
          <w:color w:val="auto"/>
        </w:rPr>
        <w:t>Schedule 8.18</w:t>
      </w:r>
      <w:r>
        <w:rPr>
          <w:rFonts w:ascii="Times New Roman" w:cs="Times New Roman" w:eastAsia="Times New Roman" w:hAnsi="Times New Roman"/>
          <w:sz w:val="18"/>
          <w:szCs w:val="18"/>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18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8.19. Regulation H</w:t>
      </w:r>
      <w:r>
        <w:rPr>
          <w:rFonts w:ascii="Times New Roman" w:cs="Times New Roman" w:eastAsia="Times New Roman" w:hAnsi="Times New Roman"/>
          <w:sz w:val="18"/>
          <w:szCs w:val="18"/>
          <w:color w:val="auto"/>
        </w:rPr>
        <w:t>. Except for the Real Property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as of the Closing Date, no Mortgage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encumbers improved real property which is located in an area that has been identified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797" w:right="239" w:bottom="1440" w:gutter="0" w:footer="0" w:header="0"/>
        </w:sectPr>
      </w:pPr>
    </w:p>
    <w:bookmarkStart w:id="204" w:name="page205"/>
    <w:bookmarkEnd w:id="204"/>
    <w:p>
      <w:pPr>
        <w:jc w:val="both"/>
        <w:spacing w:after="0" w:line="282" w:lineRule="auto"/>
        <w:rPr>
          <w:sz w:val="20"/>
          <w:szCs w:val="20"/>
          <w:color w:val="auto"/>
        </w:rPr>
      </w:pPr>
      <w:r>
        <w:rPr>
          <w:rFonts w:ascii="Times New Roman" w:cs="Times New Roman" w:eastAsia="Times New Roman" w:hAnsi="Times New Roman"/>
          <w:sz w:val="18"/>
          <w:szCs w:val="18"/>
          <w:color w:val="auto"/>
        </w:rPr>
        <w:t>by the Secretary of Housing and Urban Development as an area having special flood hazards and in which flood insurance has been made available under the National Flood Insurance Act of 1968.</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8.20. Insurance</w:t>
      </w:r>
      <w:r>
        <w:rPr>
          <w:rFonts w:ascii="Times New Roman" w:cs="Times New Roman" w:eastAsia="Times New Roman" w:hAnsi="Times New Roman"/>
          <w:sz w:val="18"/>
          <w:szCs w:val="18"/>
          <w:color w:val="auto"/>
        </w:rPr>
        <w:t>. Borrower and each of its Restricted Subsidiaries are insured by insurers of recognized financial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8.21.</w:t>
      </w:r>
      <w:r>
        <w:rPr>
          <w:sz w:val="20"/>
          <w:szCs w:val="20"/>
          <w:color w:val="auto"/>
        </w:rPr>
        <w:tab/>
      </w:r>
      <w:r>
        <w:rPr>
          <w:rFonts w:ascii="Times New Roman" w:cs="Times New Roman" w:eastAsia="Times New Roman" w:hAnsi="Times New Roman"/>
          <w:sz w:val="17"/>
          <w:szCs w:val="17"/>
          <w:b w:val="1"/>
          <w:bCs w:val="1"/>
          <w:color w:val="auto"/>
        </w:rPr>
        <w:t>Real Estate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10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8.21(a)</w:t>
      </w:r>
      <w:r>
        <w:rPr>
          <w:rFonts w:ascii="Times New Roman" w:cs="Times New Roman" w:eastAsia="Times New Roman" w:hAnsi="Times New Roman"/>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8.21(b)</w:t>
      </w:r>
      <w:r>
        <w:rPr>
          <w:rFonts w:ascii="Times New Roman" w:cs="Times New Roman" w:eastAsia="Times New Roman" w:hAnsi="Times New Roman"/>
          <w:sz w:val="18"/>
          <w:szCs w:val="18"/>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72"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8.22.</w:t>
      </w:r>
      <w:r>
        <w:rPr>
          <w:sz w:val="20"/>
          <w:szCs w:val="20"/>
          <w:color w:val="auto"/>
        </w:rPr>
        <w:tab/>
      </w:r>
      <w:r>
        <w:rPr>
          <w:rFonts w:ascii="Times New Roman" w:cs="Times New Roman" w:eastAsia="Times New Roman" w:hAnsi="Times New Roman"/>
          <w:sz w:val="17"/>
          <w:szCs w:val="17"/>
          <w:b w:val="1"/>
          <w:bCs w:val="1"/>
          <w:color w:val="auto"/>
        </w:rPr>
        <w:t>Anti-Terrorism Law</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03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spacing w:after="0" w:line="161"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listed in the annex to, or is otherwise subject to the provisions of, the Executive Order;</w:t>
      </w:r>
    </w:p>
    <w:p>
      <w:pPr>
        <w:spacing w:after="0" w:line="225" w:lineRule="exact"/>
        <w:rPr>
          <w:rFonts w:ascii="Times New Roman" w:cs="Times New Roman" w:eastAsia="Times New Roman" w:hAnsi="Times New Roman"/>
          <w:sz w:val="18"/>
          <w:szCs w:val="18"/>
          <w:color w:val="auto"/>
        </w:rPr>
      </w:pPr>
    </w:p>
    <w:p>
      <w:pPr>
        <w:ind w:left="660" w:firstLine="888"/>
        <w:spacing w:after="0" w:line="282" w:lineRule="auto"/>
        <w:tabs>
          <w:tab w:leader="none" w:pos="198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w:t>
      </w:r>
    </w:p>
    <w:p>
      <w:pPr>
        <w:spacing w:after="0" w:line="161" w:lineRule="exact"/>
        <w:rPr>
          <w:rFonts w:ascii="Times New Roman" w:cs="Times New Roman" w:eastAsia="Times New Roman" w:hAnsi="Times New Roman"/>
          <w:sz w:val="18"/>
          <w:szCs w:val="18"/>
          <w:color w:val="auto"/>
        </w:rPr>
      </w:pPr>
    </w:p>
    <w:p>
      <w:pPr>
        <w:ind w:left="2000" w:hanging="452"/>
        <w:spacing w:after="0"/>
        <w:tabs>
          <w:tab w:leader="none" w:pos="2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which any Lender is prohibited from dealing or otherwise engaging in any transaction by any Anti-Terrorism Law;</w:t>
      </w:r>
    </w:p>
    <w:p>
      <w:pPr>
        <w:spacing w:after="0" w:line="225"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commits, threatens or conspires to commit or supports “terrorism” as defined in the Executive Order;</w:t>
      </w:r>
    </w:p>
    <w:p>
      <w:pPr>
        <w:spacing w:after="0" w:line="225" w:lineRule="exact"/>
        <w:rPr>
          <w:rFonts w:ascii="Times New Roman" w:cs="Times New Roman" w:eastAsia="Times New Roman" w:hAnsi="Times New Roman"/>
          <w:sz w:val="18"/>
          <w:szCs w:val="18"/>
          <w:color w:val="auto"/>
        </w:rPr>
      </w:pPr>
    </w:p>
    <w:p>
      <w:pPr>
        <w:jc w:val="both"/>
        <w:ind w:left="660" w:firstLine="888"/>
        <w:spacing w:after="0" w:line="266" w:lineRule="auto"/>
        <w:tabs>
          <w:tab w:leader="none" w:pos="202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 or that is owned 50% or more by any such Persons; or</w:t>
      </w:r>
    </w:p>
    <w:p>
      <w:pPr>
        <w:spacing w:after="0" w:line="176"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located, organized or resident in a Designated Jurisdiction.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796" w:right="239" w:bottom="1440" w:gutter="0" w:footer="0" w:header="0"/>
        </w:sectPr>
      </w:pPr>
    </w:p>
    <w:bookmarkStart w:id="205" w:name="page206"/>
    <w:bookmarkEnd w:id="20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8.23. Anti-Corruption Laws/Bribery</w:t>
      </w:r>
      <w:r>
        <w:rPr>
          <w:rFonts w:ascii="Times New Roman" w:cs="Times New Roman" w:eastAsia="Times New Roman" w:hAnsi="Times New Roman"/>
          <w:sz w:val="18"/>
          <w:szCs w:val="18"/>
          <w:color w:val="auto"/>
        </w:rPr>
        <w:t>. Neither Borrower, nor any of its Subsidiaries nor, to the knowledge of any Responsible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Borrower, none of its Affiliates, directors, brokers or agents acting in any capacity in connection with the Loans or Letters of Credit, is in violation in any material respect of any Requirement of Law relating to any anti-bribery or anti-corruption laws or regulations in any applicable jurisdiction.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8.24. Labor Matters</w:t>
      </w:r>
      <w:r>
        <w:rPr>
          <w:rFonts w:ascii="Times New Roman" w:cs="Times New Roman" w:eastAsia="Times New Roman" w:hAnsi="Times New Roman"/>
          <w:sz w:val="18"/>
          <w:szCs w:val="18"/>
          <w:color w:val="auto"/>
        </w:rPr>
        <w:t>. Except as would not reasonably be expected, individually or in the aggregate, to have a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 there are no strikes or other labor disputes against Borrower or any of its Restricted Subsidiaries pending or, to the knowledge of Borrower, threatened and (b) the hours worked by and payments made to employees of Borrower or any of its Restricted Subsidiaries have not been in violation of the Fair Labor Standards Act or any other applicable Law dealing with such matters.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for itself and on behalf of its Restricted Subsidiaries, covenants and agrees with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7"/>
          <w:szCs w:val="17"/>
          <w:b w:val="1"/>
          <w:bCs w:val="1"/>
          <w:color w:val="auto"/>
        </w:rPr>
        <w:t>Existence; Business Properties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4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Restricted Subsidiaries shall do or cause to be done all things necessary to preserve, renew and keep in full force and effect its legal existence, except in a transaction permitted by Section 10.05 or, in the case of any Restricted Subsidiary, where the failure to perform such obligations, individually or in the aggregate, would not reasonably be expected to result in a Material Adverse Effect.</w:t>
      </w:r>
    </w:p>
    <w:p>
      <w:pPr>
        <w:spacing w:after="0" w:line="176" w:lineRule="exact"/>
        <w:rPr>
          <w:rFonts w:ascii="Times New Roman" w:cs="Times New Roman" w:eastAsia="Times New Roman" w:hAnsi="Times New Roman"/>
          <w:sz w:val="18"/>
          <w:szCs w:val="18"/>
          <w:color w:val="auto"/>
        </w:rPr>
      </w:pPr>
    </w:p>
    <w:p>
      <w:pPr>
        <w:jc w:val="both"/>
        <w:ind w:firstLine="656"/>
        <w:spacing w:after="0" w:line="253" w:lineRule="auto"/>
        <w:tabs>
          <w:tab w:leader="none" w:pos="10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Section 9.01(b) shall prevent (i) sales, conveyances, transfers or other dispositions of assets, consolidations or mergers by or involving any Company or any other transaction in accordance with Section 10.05;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8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9.02.</w:t>
        <w:tab/>
        <w:t>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8" w:lineRule="auto"/>
        <w:tabs>
          <w:tab w:leader="none" w:pos="11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and its Restricted Subsidiaries shall not be required to maintain insurance with respect to wind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793" w:right="239" w:bottom="1440" w:gutter="0" w:footer="0" w:header="0"/>
        </w:sectPr>
      </w:pPr>
    </w:p>
    <w:bookmarkStart w:id="206" w:name="page207"/>
    <w:bookmarkEnd w:id="206"/>
    <w:p>
      <w:pPr>
        <w:jc w:val="both"/>
        <w:spacing w:after="0" w:line="258" w:lineRule="auto"/>
        <w:rPr>
          <w:sz w:val="20"/>
          <w:szCs w:val="20"/>
          <w:color w:val="auto"/>
        </w:rPr>
      </w:pPr>
      <w:r>
        <w:rPr>
          <w:rFonts w:ascii="Times New Roman" w:cs="Times New Roman" w:eastAsia="Times New Roman" w:hAnsi="Times New Roman"/>
          <w:sz w:val="18"/>
          <w:szCs w:val="18"/>
          <w:color w:val="auto"/>
        </w:rPr>
        <w:t>and flood damage on any property for any insurance coverage period unless, and to the extent, such insurance is required by an applicable Requirement of Law. The Collateral Agent shall be named as an additional insured on all third-party liability insurance policies of Borrower and each of its Restricted Subsidiaries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spacing w:after="0" w:line="184" w:lineRule="exact"/>
        <w:rPr>
          <w:sz w:val="20"/>
          <w:szCs w:val="20"/>
          <w:color w:val="auto"/>
        </w:rPr>
      </w:pPr>
    </w:p>
    <w:p>
      <w:pPr>
        <w:jc w:val="both"/>
        <w:ind w:firstLine="656"/>
        <w:spacing w:after="0" w:line="256" w:lineRule="auto"/>
        <w:tabs>
          <w:tab w:leader="none" w:pos="103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9.03. Taxes</w:t>
      </w:r>
      <w:r>
        <w:rPr>
          <w:rFonts w:ascii="Times New Roman" w:cs="Times New Roman" w:eastAsia="Times New Roman" w:hAnsi="Times New Roman"/>
          <w:sz w:val="18"/>
          <w:szCs w:val="18"/>
          <w:color w:val="auto"/>
        </w:rPr>
        <w:t>. Borrower and each of its Restricted Subsidiaries shall timely file all Tax returns, statements, reports and forms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filed by it and pay and discharge before the same shall become delinquent all Taxes imposed upon it or upon its income or profits or in respect of its property,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filing or payment and discharge shall not be required in the event the failure to file or make payment and discharge would not reasonably be expected, individually or in the aggregate, to result in a Material Adverse Effect.</w:t>
      </w:r>
    </w:p>
    <w:p>
      <w:pPr>
        <w:spacing w:after="0" w:line="183"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SECTION 9.04.</w:t>
      </w:r>
      <w:r>
        <w:rPr>
          <w:sz w:val="20"/>
          <w:szCs w:val="20"/>
          <w:color w:val="auto"/>
        </w:rPr>
        <w:tab/>
      </w:r>
      <w:r>
        <w:rPr>
          <w:rFonts w:ascii="Times New Roman" w:cs="Times New Roman" w:eastAsia="Times New Roman" w:hAnsi="Times New Roman"/>
          <w:sz w:val="18"/>
          <w:szCs w:val="18"/>
          <w:b w:val="1"/>
          <w:bCs w:val="1"/>
          <w:color w:val="auto"/>
        </w:rPr>
        <w:t>Financial Statements, Etc</w:t>
      </w:r>
      <w:r>
        <w:rPr>
          <w:rFonts w:ascii="Times New Roman" w:cs="Times New Roman" w:eastAsia="Times New Roman" w:hAnsi="Times New Roman"/>
          <w:sz w:val="18"/>
          <w:szCs w:val="18"/>
          <w:color w:val="auto"/>
        </w:rPr>
        <w:t>. Borrower shall deliver to Administrative Agent for distribution by Administrative Agent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(unless a Lender expressly declines in writing to accept):</w:t>
      </w:r>
    </w:p>
    <w:p>
      <w:pPr>
        <w:spacing w:after="0" w:line="203" w:lineRule="exact"/>
        <w:rPr>
          <w:sz w:val="20"/>
          <w:szCs w:val="20"/>
          <w:color w:val="auto"/>
        </w:rPr>
      </w:pPr>
    </w:p>
    <w:p>
      <w:pPr>
        <w:jc w:val="both"/>
        <w:ind w:firstLine="656"/>
        <w:spacing w:after="0" w:line="254" w:lineRule="auto"/>
        <w:tabs>
          <w:tab w:leader="none" w:pos="10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Financials</w:t>
      </w:r>
      <w:r>
        <w:rPr>
          <w:rFonts w:ascii="Times New Roman" w:cs="Times New Roman" w:eastAsia="Times New Roman" w:hAnsi="Times New Roman"/>
          <w:sz w:val="18"/>
          <w:szCs w:val="18"/>
          <w:color w:val="auto"/>
        </w:rPr>
        <w:t>. As soon as available and in any event within 45 days (or, in the case of each fiscal quarter ending prior to the first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quarter following the fiscal quarter in which the earlier of the Wynn Las Vegas Reorganization or the Wynn Massachusetts Project Opening Date occurs, within 75 days following the end of such fiscal quarter) after the end of each of the first three quarterly fiscal periods of each fiscal year beginning with the fiscal quarter ending March 30, 2015,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18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3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Financials</w:t>
      </w:r>
      <w:r>
        <w:rPr>
          <w:rFonts w:ascii="Times New Roman" w:cs="Times New Roman" w:eastAsia="Times New Roman" w:hAnsi="Times New Roman"/>
          <w:sz w:val="18"/>
          <w:szCs w:val="18"/>
          <w:color w:val="auto"/>
        </w:rPr>
        <w:t>. As soon as available and in any event within 90 days after the end of each fiscal year beginning with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2014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any fiscal year ending prior to the earlier of the Wynn Las Vegas Reorganization or the Wynn Massachusetts Project Opening Date, such information shall be delivered as soon as available and in any event within 105 days after the end of such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the maturity or refinancing of Indebtedness under the Credit Documents or Credit Agreement Refinancing Indebtedness or prospective compliance with the financial maintenance covenants), thereon of Ernst &amp;</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796" w:right="239" w:bottom="1440" w:gutter="0" w:footer="0" w:header="0"/>
        </w:sectPr>
      </w:pPr>
    </w:p>
    <w:bookmarkStart w:id="207" w:name="page208"/>
    <w:bookmarkEnd w:id="207"/>
    <w:p>
      <w:pPr>
        <w:jc w:val="both"/>
        <w:spacing w:after="0" w:line="266" w:lineRule="auto"/>
        <w:rPr>
          <w:sz w:val="20"/>
          <w:szCs w:val="20"/>
          <w:color w:val="auto"/>
        </w:rPr>
      </w:pPr>
      <w:r>
        <w:rPr>
          <w:rFonts w:ascii="Times New Roman" w:cs="Times New Roman" w:eastAsia="Times New Roman" w:hAnsi="Times New Roman"/>
          <w:sz w:val="18"/>
          <w:szCs w:val="18"/>
          <w:color w:val="auto"/>
        </w:rPr>
        <w:t>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72" w:lineRule="exact"/>
        <w:rPr>
          <w:sz w:val="20"/>
          <w:szCs w:val="20"/>
          <w:color w:val="auto"/>
        </w:rPr>
      </w:pPr>
    </w:p>
    <w:p>
      <w:pPr>
        <w:jc w:val="both"/>
        <w:ind w:firstLine="656"/>
        <w:spacing w:after="0" w:line="256" w:lineRule="auto"/>
        <w:tabs>
          <w:tab w:leader="none" w:pos="109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time Borrower furnishes each set of financial statements pursuant to Section 9.04(a) or Section 9.04(b),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of a Responsible Officer of Borrower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from and after the Initial Test Date, setting forth in reasonable detail the computations necessary to determine whether Borrower and its Restricted Subsidiaries are in compliance with Section 10.08 as of the end of the respective fiscal quarter or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certificate demonstrates an Event of Default with respect to the financial maintenance covenants set forth in Section 10.08, Borrower may deliver, prior to or together with such certificate, a notice of intent to cure (a “</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pursuant to Section 11.03 to the extent permitted thereunder;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68" w:lineRule="auto"/>
        <w:tabs>
          <w:tab w:leader="none" w:pos="109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Promptly after any Responsible Officer of any Company knows that any Default has occurred, a notice of such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or violation describing the same in reasonable detail and a description of the action that the Companies have taken and propose to take with respect thereto;</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109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Written notice of any claim, release of Hazardous Material, condition, circumstance, occurrence or event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Environmental Law which would reasonably be expected to have, individually or in the aggregate, a Material Adverse Effect;</w:t>
      </w:r>
    </w:p>
    <w:p>
      <w:pPr>
        <w:spacing w:after="0" w:line="154" w:lineRule="exact"/>
        <w:rPr>
          <w:rFonts w:ascii="Times New Roman" w:cs="Times New Roman" w:eastAsia="Times New Roman" w:hAnsi="Times New Roman"/>
          <w:sz w:val="18"/>
          <w:szCs w:val="18"/>
          <w:color w:val="auto"/>
        </w:rPr>
      </w:pPr>
    </w:p>
    <w:p>
      <w:pPr>
        <w:jc w:val="both"/>
        <w:ind w:firstLine="656"/>
        <w:spacing w:after="0" w:line="255" w:lineRule="auto"/>
        <w:tabs>
          <w:tab w:leader="none" w:pos="103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Budgets</w:t>
      </w:r>
      <w:r>
        <w:rPr>
          <w:rFonts w:ascii="Times New Roman" w:cs="Times New Roman" w:eastAsia="Times New Roman" w:hAnsi="Times New Roman"/>
          <w:sz w:val="18"/>
          <w:szCs w:val="18"/>
          <w:color w:val="auto"/>
        </w:rPr>
        <w:t>. Beginning with the fiscal year of Borrower commencing on January 1, 2015, as soon as practicable and in any event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days after the approval thereof by the Board of Directors of Borrower (but not later than 90 days (or, if prior to the earlier of the Wynn Las Vegas Reorganization and the Wynn Massachusetts Project Opening Date, 105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81" w:lineRule="exact"/>
        <w:rPr>
          <w:rFonts w:ascii="Times New Roman" w:cs="Times New Roman" w:eastAsia="Times New Roman" w:hAnsi="Times New Roman"/>
          <w:sz w:val="18"/>
          <w:szCs w:val="18"/>
          <w:color w:val="auto"/>
        </w:rPr>
      </w:pPr>
    </w:p>
    <w:p>
      <w:pPr>
        <w:jc w:val="both"/>
        <w:ind w:firstLine="656"/>
        <w:spacing w:after="0" w:line="259" w:lineRule="auto"/>
        <w:tabs>
          <w:tab w:leader="none" w:pos="1146"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 Reports</w:t>
      </w:r>
      <w:r>
        <w:rPr>
          <w:rFonts w:ascii="Times New Roman" w:cs="Times New Roman" w:eastAsia="Times New Roman" w:hAnsi="Times New Roman"/>
          <w:sz w:val="18"/>
          <w:szCs w:val="18"/>
          <w:color w:val="auto"/>
        </w:rPr>
        <w:t>. Promptly upon receipt thereof, copies of all annual, interim or special reports issued to Borrower or any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reports shall only be made available to Administrative Agent and to those Lenders who request such reports through Administrative Agent;</w:t>
      </w:r>
    </w:p>
    <w:p>
      <w:pPr>
        <w:spacing w:after="0" w:line="179"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Casualty and Damage to Collateral; Perfection Certificate Updates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660" w:hanging="355"/>
        <w:spacing w:after="0"/>
        <w:tabs>
          <w:tab w:leader="none" w:pos="1660" w:val="left"/>
        </w:tabs>
        <w:numPr>
          <w:ilvl w:val="1"/>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 written notice of any Casualty Event or other insured damage to any material portion of the Collateral; and</w:t>
      </w:r>
    </w:p>
    <w:p>
      <w:pPr>
        <w:spacing w:after="0" w:line="225" w:lineRule="exact"/>
        <w:rPr>
          <w:rFonts w:ascii="Times New Roman" w:cs="Times New Roman" w:eastAsia="Times New Roman" w:hAnsi="Times New Roman"/>
          <w:sz w:val="18"/>
          <w:szCs w:val="18"/>
          <w:b w:val="1"/>
          <w:bCs w:val="1"/>
          <w:color w:val="auto"/>
        </w:rPr>
      </w:pPr>
    </w:p>
    <w:p>
      <w:pPr>
        <w:jc w:val="both"/>
        <w:ind w:left="660" w:firstLine="645"/>
        <w:spacing w:after="0" w:line="266" w:lineRule="auto"/>
        <w:tabs>
          <w:tab w:leader="none" w:pos="1714" w:val="left"/>
        </w:tabs>
        <w:numPr>
          <w:ilvl w:val="1"/>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year, at the time of delivery of annual financial statements with respect to the preceding fiscal year pursuant to Section 9.04(b), a certificate of a Responsible Officer of Borrower setting forth the information required pursuant to </w:t>
      </w:r>
      <w:r>
        <w:rPr>
          <w:rFonts w:ascii="Times New Roman" w:cs="Times New Roman" w:eastAsia="Times New Roman" w:hAnsi="Times New Roman"/>
          <w:sz w:val="18"/>
          <w:szCs w:val="18"/>
          <w:u w:val="single" w:color="auto"/>
          <w:color w:val="auto"/>
        </w:rPr>
        <w:t>Schedules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to the Perfection Certificate or confirming that there has been no change in such information since the date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797" w:right="2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18"/>
          <w:szCs w:val="18"/>
          <w:color w:val="auto"/>
        </w:rPr>
        <w:t>the Initial Perfection Certificate or the date of the most recent certificate delivered pursuant to this Section 9.04(h)(ii);</w:t>
      </w:r>
    </w:p>
    <w:p>
      <w:pPr>
        <w:spacing w:after="0" w:line="221" w:lineRule="exact"/>
        <w:rPr>
          <w:sz w:val="20"/>
          <w:szCs w:val="20"/>
          <w:color w:val="auto"/>
        </w:rPr>
      </w:pPr>
    </w:p>
    <w:p>
      <w:pPr>
        <w:jc w:val="both"/>
        <w:ind w:firstLine="656"/>
        <w:spacing w:after="0" w:line="268" w:lineRule="auto"/>
        <w:tabs>
          <w:tab w:leader="none" w:pos="1025"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Material Adverse Effect or Covenant Suspension Period</w:t>
      </w:r>
      <w:r>
        <w:rPr>
          <w:rFonts w:ascii="Times New Roman" w:cs="Times New Roman" w:eastAsia="Times New Roman" w:hAnsi="Times New Roman"/>
          <w:sz w:val="18"/>
          <w:szCs w:val="18"/>
          <w:color w:val="auto"/>
        </w:rPr>
        <w:t>. Written notice (i) of the occurrence of any event or occurrence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 or would reasonably be expected to have a Material Adverse Effect or (ii) Borrower’s determination of the commencement or termination of a Covenant Suspension Period;</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103"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ERISA Information</w:t>
      </w:r>
      <w:r>
        <w:rPr>
          <w:rFonts w:ascii="Times New Roman" w:cs="Times New Roman" w:eastAsia="Times New Roman" w:hAnsi="Times New Roman"/>
          <w:sz w:val="18"/>
          <w:szCs w:val="18"/>
          <w:color w:val="auto"/>
        </w:rPr>
        <w:t>. Promptly after the occurrence of any ERISA Event that, alone or together with any other ERISA Events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 and</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7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Promptly, such financial information, reports, documents and other information with respect to Borrower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Subsidiaries as Administrative Agent or the Required Lenders may from time to time reasonably request;</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nothing in this Section 9.04 shall require delivery of financial information, reports, documents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Reports and documents required to be delivered pursuant to Section 9.04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Section 13.02;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Section 9.04(c)(ii) to Administrative Agent in the form of an original paper copy or a .pdf or facsimile copy of the original paper copy.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Concurrently with the delivery of financial statements pursuant to Sections 9.04(a) and 9.04(b)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Borrower hereby acknowledges that (a) Administrative Agent will make available to the Lenders and the L/C Lenders materials and/or information provided by or on behalf of Borrower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Borrower Materials on IntraLinks/IntraAgency or another similar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797" w:right="239" w:bottom="1440" w:gutter="0" w:footer="0" w:header="0"/>
        </w:sectPr>
      </w:pPr>
    </w:p>
    <w:bookmarkStart w:id="209" w:name="page210"/>
    <w:bookmarkEnd w:id="209"/>
    <w:p>
      <w:pPr>
        <w:jc w:val="both"/>
        <w:spacing w:after="0" w:line="257" w:lineRule="auto"/>
        <w:rPr>
          <w:sz w:val="20"/>
          <w:szCs w:val="20"/>
          <w:color w:val="auto"/>
        </w:rPr>
      </w:pPr>
      <w:r>
        <w:rPr>
          <w:rFonts w:ascii="Times New Roman" w:cs="Times New Roman" w:eastAsia="Times New Roman" w:hAnsi="Times New Roman"/>
          <w:sz w:val="18"/>
          <w:szCs w:val="18"/>
          <w:color w:val="auto"/>
        </w:rPr>
        <w:t>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to the extent such Borrower Materials constitute information of the type subject to Section 13.10, they shall be treated as set forth in Section 13.10);</w:t>
      </w:r>
    </w:p>
    <w:p>
      <w:pPr>
        <w:spacing w:after="0" w:line="2" w:lineRule="exact"/>
        <w:rPr>
          <w:sz w:val="20"/>
          <w:szCs w:val="20"/>
          <w:color w:val="auto"/>
        </w:rPr>
      </w:pPr>
    </w:p>
    <w:p>
      <w:pPr>
        <w:ind w:left="260" w:hanging="252"/>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Borrower Materials marked “PUBLIC” are permitted to be made available through a portion of the Platform designated “Public Side Information;” and</w:t>
      </w:r>
    </w:p>
    <w:p>
      <w:pPr>
        <w:spacing w:after="0" w:line="9" w:lineRule="exact"/>
        <w:rPr>
          <w:rFonts w:ascii="Times New Roman" w:cs="Times New Roman" w:eastAsia="Times New Roman" w:hAnsi="Times New Roman"/>
          <w:sz w:val="18"/>
          <w:szCs w:val="18"/>
          <w:color w:val="auto"/>
        </w:rPr>
      </w:pPr>
    </w:p>
    <w:p>
      <w:pPr>
        <w:ind w:firstLine="8"/>
        <w:spacing w:after="0" w:line="261" w:lineRule="auto"/>
        <w:tabs>
          <w:tab w:leader="none" w:pos="24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be entitled to treat any Borrower Materials that are not marked “PUBLIC” as being suitable only for posting on a portion of the Platform not designated “Public Side Information.”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9.05. Maintaining Records; Access to Properties and Inspections</w:t>
      </w:r>
      <w:r>
        <w:rPr>
          <w:rFonts w:ascii="Times New Roman" w:cs="Times New Roman" w:eastAsia="Times New Roman" w:hAnsi="Times New Roman"/>
          <w:sz w:val="18"/>
          <w:szCs w:val="18"/>
          <w:color w:val="auto"/>
        </w:rPr>
        <w:t>. Borrower and its Restricted Subsidiaries shall keep proper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9.06. Use of Proceeds; FCPA</w:t>
      </w:r>
      <w:r>
        <w:rPr>
          <w:rFonts w:ascii="Times New Roman" w:cs="Times New Roman" w:eastAsia="Times New Roman" w:hAnsi="Times New Roman"/>
          <w:sz w:val="18"/>
          <w:szCs w:val="18"/>
          <w:color w:val="auto"/>
        </w:rPr>
        <w:t>. Borrower shall use the proceeds of the Loans only for the purposes set forth in Section 8.11. No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proceeds of the Loans or Letters of Credit will be used by Borrower, directly or indirectly, and Borrower will not lend, contribute or otherwise make available such proceeds to any Subsidiary, joint venture partner or other Person, in any case for the purpose of (i)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will maintain in effect and enforce policies and procedures designed to monitor compliance by Borrower, its Subsidiaries and their respective directors, officers, employees and agents with applicable Sanctions and laws related to bribery and anti-corruption.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9.07. Compliance with Environmental Law</w:t>
      </w:r>
      <w:r>
        <w:rPr>
          <w:rFonts w:ascii="Times New Roman" w:cs="Times New Roman" w:eastAsia="Times New Roman" w:hAnsi="Times New Roman"/>
          <w:sz w:val="18"/>
          <w:szCs w:val="18"/>
          <w:color w:val="auto"/>
        </w:rPr>
        <w:t>. Borrower and its Restricted Subsidiaries shall (a) comply with Environmental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 appropriate response (as reasonably determined by Borrower)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797" w:right="239" w:bottom="1440" w:gutter="0" w:footer="0" w:header="0"/>
        </w:sectPr>
      </w:pPr>
    </w:p>
    <w:bookmarkStart w:id="210" w:name="page211"/>
    <w:bookmarkEnd w:id="21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with any Hazardous Material on, at, under or emanating from such Real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19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9.08.</w:t>
      </w:r>
      <w:r>
        <w:rPr>
          <w:sz w:val="20"/>
          <w:szCs w:val="20"/>
          <w:color w:val="auto"/>
        </w:rPr>
        <w:tab/>
      </w:r>
      <w:r>
        <w:rPr>
          <w:rFonts w:ascii="Times New Roman" w:cs="Times New Roman" w:eastAsia="Times New Roman" w:hAnsi="Times New Roman"/>
          <w:sz w:val="17"/>
          <w:szCs w:val="17"/>
          <w:b w:val="1"/>
          <w:bCs w:val="1"/>
          <w:color w:val="auto"/>
        </w:rPr>
        <w:t>Pledge of Property or Mortgage of Real Property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07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Gaming Laws, if, on or after the Closing Date any Credit Party shall acquire any Property (other than any Real Property or any Property that is subject to a Lien permitted under Section 10.02(i) or Section 10.02(k)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90" w:lineRule="exact"/>
        <w:rPr>
          <w:rFonts w:ascii="Times New Roman" w:cs="Times New Roman" w:eastAsia="Times New Roman" w:hAnsi="Times New Roman"/>
          <w:sz w:val="18"/>
          <w:szCs w:val="18"/>
          <w:color w:val="auto"/>
        </w:rPr>
      </w:pPr>
    </w:p>
    <w:p>
      <w:pPr>
        <w:jc w:val="both"/>
        <w:ind w:firstLine="656"/>
        <w:spacing w:after="0" w:line="253" w:lineRule="auto"/>
        <w:tabs>
          <w:tab w:leader="none" w:pos="109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Closing Date, any Credit Party (x) acquires, including, without limitation, pursuant to any Permitted Acquisition, a fee or leasehold interest in Real Property located in the United States which Real Property has a fair market value in excess of $75.0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$150.0 million, determined on an as-developed basis, in each case, with respect to which a Mortgage was not previously entered into in favor of Collateral Agent (in each case, other than to the extent such Real Property is subject to a Lien permitted under Section 10.02(i) or 10.02(k) securing Indebtedness to the extent and for so long as the contract or other agreement in which such Lien is granted validly prohibits the creation of Liens securing the Obligations on such Real Property), such Credit Party shall, subject to clause (e) below, within ninety (90) days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19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5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795" w:right="239" w:bottom="1440" w:gutter="0" w:footer="0" w:header="0"/>
        </w:sectPr>
      </w:pPr>
    </w:p>
    <w:bookmarkStart w:id="211" w:name="page212"/>
    <w:bookmarkEnd w:id="211"/>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76" w:lineRule="exact"/>
        <w:rPr>
          <w:sz w:val="20"/>
          <w:szCs w:val="20"/>
          <w:color w:val="auto"/>
        </w:rPr>
      </w:pPr>
    </w:p>
    <w:p>
      <w:pPr>
        <w:jc w:val="both"/>
        <w:ind w:left="660" w:firstLine="645"/>
        <w:spacing w:after="0" w:line="255" w:lineRule="auto"/>
        <w:tabs>
          <w:tab w:leader="none" w:pos="179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such Mortgaged Real Property,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 reasonable terms as the Collateral Agent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all Mortgaged Real Property acquired for the Wynn Massachusetts Project, Borrower and its Restricted Subsidiaries shall not be required to obtain title insurance policies related thereto in an amount greater than $1,100.0 million in the aggregate;</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survey of each Mortgaged Real Property in such form as shall (x) be required by the title company to remove the standard survey exceptions from the Title Policy with respect to such Mortgaged Real Property and (y) comply with the minimum detail requirements of the American Land Title Association and locate all improvements, public streets and recorded easements affecting such Mortgaged Real Property;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Mortgage entered into pursuant to clause (1) above, opinions addressed to the Administrative Agent and the Collateral Agent for its benefit and for the benefit of the Secured Parties of (A) local counsel for Borrower or its Restricted Subsidiaries in each jurisdiction where such Mortgaged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the Administrative Agent;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the Credit Parties shall not be required to grant a Mortgage on (i) any leasehold interest in any Real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w:t>
      </w:r>
    </w:p>
    <w:p>
      <w:pPr>
        <w:spacing w:after="0" w:line="182" w:lineRule="exact"/>
        <w:rPr>
          <w:sz w:val="20"/>
          <w:szCs w:val="20"/>
          <w:color w:val="auto"/>
        </w:rPr>
      </w:pPr>
    </w:p>
    <w:p>
      <w:pPr>
        <w:jc w:val="both"/>
        <w:ind w:firstLine="656"/>
        <w:spacing w:after="0" w:line="258" w:lineRule="auto"/>
        <w:tabs>
          <w:tab w:leader="none" w:pos="10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Sections 9.08(a) and 9.08(b) to the contrary, in each case, it is understood and agreed that no Lien(s) and/or Mortgage(s) in favor of Collateral Agent on any after acquired Property of the applicable Credit Party shall be required to be granted or delivered at such time as provided in such Sections (as applicable) as a result of such Lien(s) and/or Mortgage(s) being prohibited by (i) the applicable Gaming Authorities or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Lien(s) and/or Mortgage(s) relating to any Property acquired by any Credit Party on or after the Closing Date or any Property of any Additional Credit Party or with respect to any Guarantee of any Additional Credit Party, in each case that were not granted or delivered pursuant to Section 9.08(c) or to the second paragraph in Section 9.11,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796" w:right="239" w:bottom="1440" w:gutter="0" w:footer="0" w:header="0"/>
        </w:sectPr>
      </w:pPr>
    </w:p>
    <w:bookmarkStart w:id="212" w:name="page213"/>
    <w:bookmarkEnd w:id="212"/>
    <w:p>
      <w:pPr>
        <w:ind w:left="240" w:hanging="232"/>
        <w:spacing w:after="0"/>
        <w:tabs>
          <w:tab w:leader="none" w:pos="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Guarantee and, if such approval is so obtained), comply with Sections 9.08(a) and/or 9.08(b) or with Section 9.11, as the case may be.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no actions shall be required pursuant to Section 9.08(b) with respect to any Real Property until May 31, 2015, after which time the Credit Parties shall have ninety (90) days (or such longer period that is reasonably acceptable to Administrative Agent) to satisfy the requirements of Section 9.08(b) with respect to any Real Property previously acquired.</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9.09. Security Interests; Further Assurances</w:t>
      </w:r>
      <w:r>
        <w:rPr>
          <w:rFonts w:ascii="Times New Roman" w:cs="Times New Roman" w:eastAsia="Times New Roman" w:hAnsi="Times New Roman"/>
          <w:sz w:val="18"/>
          <w:szCs w:val="18"/>
          <w:color w:val="auto"/>
        </w:rPr>
        <w:t>. Each Credit Party shall, promptly, upon the reasonable request of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so 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9.10. Wynn Las Vegas Reorganization</w:t>
      </w:r>
      <w:r>
        <w:rPr>
          <w:rFonts w:ascii="Times New Roman" w:cs="Times New Roman" w:eastAsia="Times New Roman" w:hAnsi="Times New Roman"/>
          <w:sz w:val="18"/>
          <w:szCs w:val="18"/>
          <w:color w:val="auto"/>
        </w:rPr>
        <w:t>. Borrower shall use commercially reasonable efforts to cause the Wynn Las Vegas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Reorganization to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prior to giving effect to the consummation of the Wynn Las Vegas Reorganization, the aggregate amount of Indebtedness outstanding at Wynn Las Vegas and its Restricted Subsidiaries shall not exceed an amount equal to the sum of (a) the principal amount of the Wynn Las Vegas 2020 Notes as of the Closing Date, (b) the principal amount of any additional Indebtedness incurred substantially concurrently with the repayment or refinancing of all or a portion of the Wynn Las Vegas 2020 Notes, and (c) 105% of all Indebtedness (other than the Wynn Las Vegas 2020 Notes) outstanding at Wynn Las Vegas and its Restricted Subsidiaries as of the Closing Date.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9.11. Additional Credit Parties</w:t>
      </w:r>
      <w:r>
        <w:rPr>
          <w:rFonts w:ascii="Times New Roman" w:cs="Times New Roman" w:eastAsia="Times New Roman" w:hAnsi="Times New Roman"/>
          <w:sz w:val="18"/>
          <w:szCs w:val="18"/>
          <w:color w:val="auto"/>
        </w:rPr>
        <w:t>. Upon (i) any Credit Party creating or acquiring any Subsidiary that is a Wholly Owned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(other than any Excluded Subsidiary) after the Closing Date, (ii) any Wholly Owned Restricted Subsidiary of a Credit Party ceasing to be an Excluded Subsidiary (including, without limitation, an Immaterial Subsidiary being designated pursuant to Section 9.13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Times New Roman" w:cs="Times New Roman" w:eastAsia="Times New Roman" w:hAnsi="Times New Roman"/>
          <w:sz w:val="18"/>
          <w:szCs w:val="18"/>
          <w:b w:val="1"/>
          <w:bCs w:val="1"/>
          <w:color w:val="auto"/>
        </w:rPr>
        <w:t>Additional Credit Party</w:t>
      </w:r>
      <w:r>
        <w:rPr>
          <w:rFonts w:ascii="Times New Roman" w:cs="Times New Roman" w:eastAsia="Times New Roman" w:hAnsi="Times New Roman"/>
          <w:sz w:val="18"/>
          <w:szCs w:val="18"/>
          <w:color w:val="auto"/>
        </w:rPr>
        <w:t>”), such Credit Party shall, assuming and to the extent that it does 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797" w:right="239" w:bottom="1440" w:gutter="0" w:footer="0" w:header="0"/>
        </w:sectPr>
      </w:pPr>
    </w:p>
    <w:bookmarkStart w:id="213" w:name="page214"/>
    <w:bookmarkEnd w:id="213"/>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 required under, or excluded from the requirements under, the Security Agreement) the Security Agreement and all other Property (limited, in the case of any first-tier Foreign Subsidiary or CFC Holdco, to 65% of the voting Equity Interests and 100% of the non-voting Equity Interests of such Foreign Subsidiary or CFC Holdco) of such Additional Credit Party in accordance with the provisions of Section 9.08 hereof with respect to such Additional 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Borrower shall use its commercially reasonable efforts to obtain such approvals for any Mortgage(s) and Lien(s) (including pledge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Equity Interests of such Subsidiary) to be granted by such Additional Credit Party and for the Guarantee of such Additional Credit Party as soon as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solely with respect of the Wynn Las Vegas Entities (including the Wynn Las Vegas Pledge), the requirements of subclause (B) above shall be subject to the limitations in any then outstanding Wynn Las Vegas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with respect to the Wynn Las Vegas Entities, the Borrower shall comply with the requirements of subclause (B) above to the maximum extent permitted by any then outstanding Wynn Las Vegas Notes, including, without limitation, Section 4.09 of the indenture governing the Wynn Las Vegas 2023 Notes and (ii) in connection with the Borrower’s compliance with clause (i) of this proviso, (x) the Borrower and the Administrative Agent shall amend or otherwise modify, without the consent of any other party, the Security Documents to the extent necessary to effectuate such compliance) and (y) the Administrative Agent shall enter into such intercreditor agreements (in forms reasonably satisfactory to the Administrative Agent) with respect to the Wynn Las Vegas Pledge with the holders of the Wynn Las Vegas Notes to the extent necessary to effectuate such compliance. All of the foregoing actions shall be at the sole cost and expense of the Credit Parties.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this Section 9.11 to the contrary, it is understood and agreed that no Lien(s), Mortgage(s) and/or Guarantee of the applicable Additional Credit Party shall be required to be granted or delivered at such time as provided in the paragraph above in this Section 9.11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9.12.</w:t>
      </w:r>
      <w:r>
        <w:rPr>
          <w:sz w:val="20"/>
          <w:szCs w:val="20"/>
          <w:color w:val="auto"/>
        </w:rPr>
        <w:tab/>
      </w:r>
      <w:r>
        <w:rPr>
          <w:rFonts w:ascii="Times New Roman" w:cs="Times New Roman" w:eastAsia="Times New Roman" w:hAnsi="Times New Roman"/>
          <w:sz w:val="17"/>
          <w:szCs w:val="17"/>
          <w:b w:val="1"/>
          <w:bCs w:val="1"/>
          <w:color w:val="auto"/>
        </w:rPr>
        <w:t>Limitation on Designations of Unrestricted Subsidiaries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3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on or after the earlier of the Wynn Las Vegas Reorganization and the Wynn Massachusetts Project Opening Date, designate any Subsidiary of Borrower (other than a Subsidiary of Borrower which owns one or more Principal Assets) as an “Unrestricted Subsidiary” under this Agreement (a “</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only if:</w:t>
      </w:r>
    </w:p>
    <w:p>
      <w:pPr>
        <w:spacing w:after="0" w:line="176"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at the time of or immediately after giving effect to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3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would be permitted under this Agreement to make an Investment at the time of Designation (assuming the effectiveness of such Designation) in an amount (the “</w:t>
      </w:r>
      <w:r>
        <w:rPr>
          <w:rFonts w:ascii="Times New Roman" w:cs="Times New Roman" w:eastAsia="Times New Roman" w:hAnsi="Times New Roman"/>
          <w:sz w:val="18"/>
          <w:szCs w:val="18"/>
          <w:b w:val="1"/>
          <w:bCs w:val="1"/>
          <w:color w:val="auto"/>
        </w:rPr>
        <w:t>Designation Amount</w:t>
      </w:r>
      <w:r>
        <w:rPr>
          <w:rFonts w:ascii="Times New Roman" w:cs="Times New Roman" w:eastAsia="Times New Roman" w:hAnsi="Times New Roman"/>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797" w:right="239" w:bottom="1440" w:gutter="0" w:footer="0" w:header="0"/>
        </w:sectPr>
      </w:pPr>
    </w:p>
    <w:bookmarkStart w:id="214" w:name="page215"/>
    <w:bookmarkEnd w:id="214"/>
    <w:p>
      <w:pPr>
        <w:jc w:val="both"/>
        <w:ind w:left="660" w:right="20" w:firstLine="645"/>
        <w:spacing w:after="0" w:line="261" w:lineRule="auto"/>
        <w:tabs>
          <w:tab w:leader="none" w:pos="187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Designation,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any such Designation, Borrower and its Restricted Subsidiaries shall be deemed to have made an Investment in such Unrestricted Subsidiary in an amount equal to the Designation Amount.</w:t>
      </w:r>
    </w:p>
    <w:p>
      <w:pPr>
        <w:spacing w:after="0" w:line="158" w:lineRule="exact"/>
        <w:rPr>
          <w:sz w:val="20"/>
          <w:szCs w:val="20"/>
          <w:color w:val="auto"/>
        </w:rPr>
      </w:pPr>
    </w:p>
    <w:p>
      <w:pPr>
        <w:ind w:firstLine="656"/>
        <w:spacing w:after="0" w:line="286" w:lineRule="auto"/>
        <w:tabs>
          <w:tab w:leader="none" w:pos="10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revoke any Designation of a Subsidiary as an Unrestricted Subsidiary (a “</w:t>
      </w:r>
      <w:r>
        <w:rPr>
          <w:rFonts w:ascii="Times New Roman" w:cs="Times New Roman" w:eastAsia="Times New Roman" w:hAnsi="Times New Roman"/>
          <w:sz w:val="18"/>
          <w:szCs w:val="18"/>
          <w:b w:val="1"/>
          <w:bCs w:val="1"/>
          <w:color w:val="auto"/>
        </w:rPr>
        <w:t>Revocation</w:t>
      </w:r>
      <w:r>
        <w:rPr>
          <w:rFonts w:ascii="Times New Roman" w:cs="Times New Roman" w:eastAsia="Times New Roman" w:hAnsi="Times New Roman"/>
          <w:sz w:val="18"/>
          <w:szCs w:val="18"/>
          <w:color w:val="auto"/>
        </w:rPr>
        <w:t>”), whereupon such Subsidiary shall then constitute a Restricted Subsidiary, if:</w:t>
      </w:r>
    </w:p>
    <w:p>
      <w:pPr>
        <w:spacing w:after="0" w:line="158" w:lineRule="exact"/>
        <w:rPr>
          <w:rFonts w:ascii="Times New Roman" w:cs="Times New Roman" w:eastAsia="Times New Roman" w:hAnsi="Times New Roman"/>
          <w:sz w:val="18"/>
          <w:szCs w:val="18"/>
          <w:color w:val="auto"/>
        </w:rPr>
      </w:pPr>
    </w:p>
    <w:p>
      <w:pPr>
        <w:ind w:left="1780" w:hanging="475"/>
        <w:spacing w:after="0"/>
        <w:tabs>
          <w:tab w:leader="none" w:pos="17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at the time and immediately after giving effect to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Revocation,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 and</w:t>
      </w:r>
    </w:p>
    <w:p>
      <w:pPr>
        <w:spacing w:after="0" w:line="18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9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Designations and Revocations occurring after the Closing Date must be evidenced by an Officer’s Certificate of Borrower delivered to Administrative Agent with the Responsible Officer so executing such certificate certifying compliance with the foregoing provisions of Section 9.12(a) (in the case of any such Designations) and of Section 9.12(b) (in the case of any such Revocations).</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 designates a Guarantor as an Unrestricted Subsidiary in accordance with this Section 9.12,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8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9.13.</w:t>
      </w:r>
      <w:r>
        <w:rPr>
          <w:sz w:val="20"/>
          <w:szCs w:val="20"/>
          <w:color w:val="auto"/>
        </w:rPr>
        <w:tab/>
      </w:r>
      <w:r>
        <w:rPr>
          <w:rFonts w:ascii="Times New Roman" w:cs="Times New Roman" w:eastAsia="Times New Roman" w:hAnsi="Times New Roman"/>
          <w:sz w:val="17"/>
          <w:szCs w:val="17"/>
          <w:b w:val="1"/>
          <w:bCs w:val="1"/>
          <w:color w:val="auto"/>
        </w:rPr>
        <w:t>Limitation on Designation of Immaterial Subsidiaries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06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Times New Roman" w:cs="Times New Roman" w:eastAsia="Times New Roman" w:hAnsi="Times New Roman"/>
          <w:sz w:val="18"/>
          <w:szCs w:val="18"/>
          <w:b w:val="1"/>
          <w:bCs w:val="1"/>
          <w:color w:val="auto"/>
        </w:rPr>
        <w:t>Excluded Designation</w:t>
      </w:r>
      <w:r>
        <w:rPr>
          <w:rFonts w:ascii="Times New Roman" w:cs="Times New Roman" w:eastAsia="Times New Roman" w:hAnsi="Times New Roman"/>
          <w:sz w:val="18"/>
          <w:szCs w:val="18"/>
          <w:color w:val="auto"/>
        </w:rPr>
        <w:t>”) one or more Immaterial Subsidiaries as no longer constituting Immaterial Subsidiaries for all purposes of this Agreement (an “</w:t>
      </w:r>
      <w:r>
        <w:rPr>
          <w:rFonts w:ascii="Times New Roman" w:cs="Times New Roman" w:eastAsia="Times New Roman" w:hAnsi="Times New Roman"/>
          <w:sz w:val="18"/>
          <w:szCs w:val="18"/>
          <w:b w:val="1"/>
          <w:bCs w:val="1"/>
          <w:color w:val="auto"/>
        </w:rPr>
        <w:t>Excluded Immaterial Subsidiary</w:t>
      </w:r>
      <w:r>
        <w:rPr>
          <w:rFonts w:ascii="Times New Roman" w:cs="Times New Roman" w:eastAsia="Times New Roman" w:hAnsi="Times New Roman"/>
          <w:sz w:val="18"/>
          <w:szCs w:val="18"/>
          <w:color w:val="auto"/>
        </w:rPr>
        <w:t>”) as may be necessary to ensure that the Immaterial Subsidiary Threshold is satisfied. Borrower may redesignate (a “</w:t>
      </w:r>
      <w:r>
        <w:rPr>
          <w:rFonts w:ascii="Times New Roman" w:cs="Times New Roman" w:eastAsia="Times New Roman" w:hAnsi="Times New Roman"/>
          <w:sz w:val="18"/>
          <w:szCs w:val="18"/>
          <w:b w:val="1"/>
          <w:bCs w:val="1"/>
          <w:color w:val="auto"/>
        </w:rPr>
        <w:t>Redesignation</w:t>
      </w:r>
      <w:r>
        <w:rPr>
          <w:rFonts w:ascii="Times New Roman" w:cs="Times New Roman" w:eastAsia="Times New Roman" w:hAnsi="Times New Roman"/>
          <w:sz w:val="18"/>
          <w:szCs w:val="18"/>
          <w:color w:val="auto"/>
        </w:rPr>
        <w:t>”)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797" w:right="239" w:bottom="1440" w:gutter="0" w:footer="0" w:header="0"/>
        </w:sectPr>
      </w:pPr>
    </w:p>
    <w:bookmarkStart w:id="215" w:name="page216"/>
    <w:bookmarkEnd w:id="215"/>
    <w:p>
      <w:pPr>
        <w:ind w:right="20"/>
        <w:spacing w:after="0" w:line="282" w:lineRule="auto"/>
        <w:rPr>
          <w:sz w:val="20"/>
          <w:szCs w:val="20"/>
          <w:color w:val="auto"/>
        </w:rPr>
      </w:pPr>
      <w:r>
        <w:rPr>
          <w:rFonts w:ascii="Times New Roman" w:cs="Times New Roman" w:eastAsia="Times New Roman" w:hAnsi="Times New Roman"/>
          <w:sz w:val="18"/>
          <w:szCs w:val="18"/>
          <w:color w:val="auto"/>
        </w:rPr>
        <w:t>Immaterial Subsidiary as an Immaterial Subsidiary) to exceed the Immaterial Subsidiary Threshold Amount. For purposes of this Section 9.13(a), fair market value shall be determined as of the most recent Calculation Date.</w:t>
      </w:r>
    </w:p>
    <w:p>
      <w:pPr>
        <w:spacing w:after="0" w:line="162" w:lineRule="exact"/>
        <w:rPr>
          <w:sz w:val="20"/>
          <w:szCs w:val="20"/>
          <w:color w:val="auto"/>
        </w:rPr>
      </w:pPr>
    </w:p>
    <w:p>
      <w:pPr>
        <w:ind w:firstLine="656"/>
        <w:spacing w:after="0" w:line="282" w:lineRule="auto"/>
        <w:tabs>
          <w:tab w:leader="none" w:pos="103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Excluded Designation or Redesignation must be evidenced by an Officer’s Certificate of Borrower delivered to Administrative Agent with the Responsible Officer executing such certificate certifying compliance with the foregoing provisions of Section 9.13(a).</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7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 redesignates an Excluded Immaterial Subsidiary as an Immaterial Subsidiary in accordance with this Section 9.13, so long as no Default or Event of Default exists, the Obligations of such Excluded Immaterial 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9.14. Wynn Las Vegas Distributions</w:t>
      </w:r>
      <w:r>
        <w:rPr>
          <w:rFonts w:ascii="Times New Roman" w:cs="Times New Roman" w:eastAsia="Times New Roman" w:hAnsi="Times New Roman"/>
          <w:sz w:val="18"/>
          <w:szCs w:val="18"/>
          <w:color w:val="auto"/>
        </w:rPr>
        <w:t>. From and after the occurrence of the Wynn Las Vegas Reorganization and until the Wynn Las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Vegas 2020 and 2022 Note Repayment and to the maximum extent permitted by the Wynn Las Vegas Notes and other Contractual Obligations and applicable law, Borrower shall cause Wynn Las Vegas to distribute to Borrower or such other Credit Parties on a quarterly basis all unrestricted cash and Cash Equivalents held by the Wynn Las Vegas Subsidiaries that are Restricted Subsidiaries other than such unrestricted cash and cash equivalents that in the good faith determination of Wynn Las Vegas is necessary or advisable to maintain with such Wynn Las Vegas Subsidiaries for general corporate purposes, including without limitation anticipated future Capital Expenditures.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9.15. Ratings</w:t>
      </w:r>
      <w:r>
        <w:rPr>
          <w:rFonts w:ascii="Times New Roman" w:cs="Times New Roman" w:eastAsia="Times New Roman" w:hAnsi="Times New Roman"/>
          <w:sz w:val="18"/>
          <w:szCs w:val="18"/>
          <w:color w:val="auto"/>
        </w:rPr>
        <w:t>. Borrower shall use commercially reasonable efforts to obtain ratings from each of Moody’s and S&amp;P for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Loans prior to the date that is 270 days after the Closing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for itself and on behalf of its Restricted Subsidiaries, covenants and agrees with the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2"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Borrower and its Restricted Subsidiaries will not incur any Indebtedness, except:</w:t>
      </w:r>
    </w:p>
    <w:p>
      <w:pPr>
        <w:spacing w:after="0" w:line="229" w:lineRule="exact"/>
        <w:rPr>
          <w:sz w:val="20"/>
          <w:szCs w:val="20"/>
          <w:color w:val="auto"/>
        </w:rPr>
      </w:pPr>
    </w:p>
    <w:p>
      <w:pPr>
        <w:ind w:left="1040" w:hanging="384"/>
        <w:spacing w:after="0"/>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pursuant to this Agreement and the other Credit Documents;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Closing Date and listed on </w:t>
      </w:r>
      <w:r>
        <w:rPr>
          <w:rFonts w:ascii="Times New Roman" w:cs="Times New Roman" w:eastAsia="Times New Roman" w:hAnsi="Times New Roman"/>
          <w:sz w:val="18"/>
          <w:szCs w:val="18"/>
          <w:u w:val="single" w:color="auto"/>
          <w:color w:val="auto"/>
        </w:rPr>
        <w:t>Schedule 10.01</w:t>
      </w:r>
      <w:r>
        <w:rPr>
          <w:rFonts w:ascii="Times New Roman" w:cs="Times New Roman" w:eastAsia="Times New Roman" w:hAnsi="Times New Roman"/>
          <w:sz w:val="18"/>
          <w:szCs w:val="18"/>
          <w:color w:val="auto"/>
        </w:rPr>
        <w:t>, and any Permitted Refinancings thereof;</w:t>
      </w:r>
    </w:p>
    <w:p>
      <w:pPr>
        <w:spacing w:after="0" w:line="223" w:lineRule="exact"/>
        <w:rPr>
          <w:rFonts w:ascii="Times New Roman" w:cs="Times New Roman" w:eastAsia="Times New Roman" w:hAnsi="Times New Roman"/>
          <w:sz w:val="18"/>
          <w:szCs w:val="18"/>
          <w:color w:val="auto"/>
        </w:rPr>
      </w:pPr>
    </w:p>
    <w:p>
      <w:pPr>
        <w:ind w:right="20" w:firstLine="656"/>
        <w:spacing w:after="0" w:line="284"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under any Swap Contracts (including, without limitation, any Interest Rate Protection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Swap Contracts are entered into for bona fide hedging activities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796" w:right="239" w:bottom="1440" w:gutter="0" w:footer="0" w:header="0"/>
        </w:sectPr>
      </w:pPr>
    </w:p>
    <w:bookmarkStart w:id="216" w:name="page217"/>
    <w:bookmarkEnd w:id="216"/>
    <w:p>
      <w:pPr>
        <w:ind w:left="1040" w:hanging="384"/>
        <w:spacing w:after="0"/>
        <w:tabs>
          <w:tab w:leader="none" w:pos="10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of Borrower and the Restricted Subsidiaries to Borrower or other Restricted Subsidiaries;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Wynn Las Vegas Reorganization, Indebtedness under the Wynn Las Vegas Notes, any other Indebtedness permitted pursuant to Section 9.10 and, if the Wynn Las Vegas 2020 Notes have not been refinanced prior to the Wynn Las Vegas Reorganization, the principal amount of any additional Indebtedness incurred substantially concurrently with the repayment or refinancing of all or a portion of the Wynn Las Vegas 2020 Notes and, in each case, Permitted Refinancings thereof;</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04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is extinguished within five (5) Business Days of its incurrence;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(other than Indebtedness referred to in Section 10.01(b)) in respect of Purchase Money Obligations and Capital Lease Obligations and refinancings or renewals thereof in an aggregate principal amount not to exceed at any time outstanding $150.0 million;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in connection with endorsement of instruments for deposit in the ordinary course of business;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0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Borrower or Restricted Subsidiaries of Indebtedness otherwise permitted to be incurred by Borrower or any Restricted Subsidiary under this Section 10.01;</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that becomes a Subsidiary of Borrower or any of its Restricted Subsidiaries after the date hereof in connection with a Permitted Acquisition or other Acquisition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existed at the time such Person became a Subsidiary and was not created in anticipation or contemplation thereof, and Permitted Refinancings thereof;</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03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and after the earlier of the Wynn Las Vegas Reorganization and the Wynn Massachusetts Project Opening Date, Permitted Unsecured Indebtedness and Permitted Second Lien Indebtedness in an aggregate principal amount not to exceed $1.0 billion prior to the Wynn Massachusetts Project Opening Date and $1.5 billion from and after the Wynn Massachusetts Project Opening Date, so long as in any such case (x) prior to the Initial Test Date, immediately after giving effect to such Indebtedness, the Consolidated Senior Secured Net Leverage Ratio calculated on a Pro Forma Basis shall not exceed 2.50 to 1.00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(x) in the case of Permitted Refinancings of Permitted Second Lien Indebtedness, such Permitted Refinancings qualify as either Permitted Second Lien Indebtedness or Permitted Unsecured Indebtedness or (y) in the case of Permitted Refinancings of Permitted Unsecured Indebtedness, such Permitted Refinancings qualify as Permitted Unsecured Indebtedness;</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111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and after the earlier of the Wynn Las Vegas Reorganization and the Wynn Massachusetts Project Opening Date, Permitted First Lien Indebtedness in an aggregate principal amount not to exceed the sum of (A) $</w:t>
      </w:r>
      <w:r>
        <w:rPr>
          <w:rFonts w:ascii="Times New Roman" w:cs="Times New Roman" w:eastAsia="Times New Roman" w:hAnsi="Times New Roman"/>
          <w:sz w:val="18"/>
          <w:szCs w:val="18"/>
          <w:b w:val="1"/>
          <w:bCs w:val="1"/>
          <w:color w:val="FF0000"/>
          <w:strike w:val="1"/>
        </w:rPr>
        <w:t>250.0</w:t>
      </w:r>
      <w:r>
        <w:rPr>
          <w:rFonts w:ascii="Times New Roman" w:cs="Times New Roman" w:eastAsia="Times New Roman" w:hAnsi="Times New Roman"/>
          <w:sz w:val="18"/>
          <w:szCs w:val="18"/>
          <w:b w:val="1"/>
          <w:bCs w:val="1"/>
          <w:u w:val="single" w:color="auto"/>
          <w:color w:val="0000FF"/>
        </w:rPr>
        <w:t>125.0</w:t>
      </w:r>
      <w:r>
        <w:rPr>
          <w:rFonts w:ascii="Times New Roman" w:cs="Times New Roman" w:eastAsia="Times New Roman" w:hAnsi="Times New Roman"/>
          <w:sz w:val="18"/>
          <w:szCs w:val="18"/>
          <w:color w:val="auto"/>
        </w:rPr>
        <w:t xml:space="preserve"> million prior to the Wynn Massachusetts Project Opening Date and $</w:t>
      </w:r>
      <w:r>
        <w:rPr>
          <w:rFonts w:ascii="Times New Roman" w:cs="Times New Roman" w:eastAsia="Times New Roman" w:hAnsi="Times New Roman"/>
          <w:sz w:val="18"/>
          <w:szCs w:val="18"/>
          <w:b w:val="1"/>
          <w:bCs w:val="1"/>
          <w:color w:val="FF0000"/>
          <w:strike w:val="1"/>
        </w:rPr>
        <w:t>500.0</w:t>
      </w:r>
      <w:r>
        <w:rPr>
          <w:rFonts w:ascii="Times New Roman" w:cs="Times New Roman" w:eastAsia="Times New Roman" w:hAnsi="Times New Roman"/>
          <w:sz w:val="18"/>
          <w:szCs w:val="18"/>
          <w:b w:val="1"/>
          <w:bCs w:val="1"/>
          <w:u w:val="single" w:color="auto"/>
          <w:color w:val="0000FF"/>
        </w:rPr>
        <w:t>375.0</w:t>
      </w:r>
      <w:r>
        <w:rPr>
          <w:rFonts w:ascii="Times New Roman" w:cs="Times New Roman" w:eastAsia="Times New Roman" w:hAnsi="Times New Roman"/>
          <w:sz w:val="18"/>
          <w:szCs w:val="18"/>
          <w:color w:val="auto"/>
        </w:rPr>
        <w:t xml:space="preserve"> million from and after the Wynn Massachusetts Project Opening Date and (B) the aggregate principal amount of Development Financing (including Permitted Refinancings thereof) that no longer qualifies as Development Financing pursuant to clause (B) of the definition thereof, so long as in any such case (x) prior to the Initial Test Date, immediately after giving effect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797" w:right="239" w:bottom="1440" w:gutter="0" w:footer="0" w:header="0"/>
        </w:sectPr>
      </w:pPr>
    </w:p>
    <w:bookmarkStart w:id="217" w:name="page218"/>
    <w:bookmarkEnd w:id="217"/>
    <w:p>
      <w:pPr>
        <w:jc w:val="both"/>
        <w:spacing w:after="0" w:line="258" w:lineRule="auto"/>
        <w:rPr>
          <w:sz w:val="20"/>
          <w:szCs w:val="20"/>
          <w:color w:val="auto"/>
        </w:rPr>
      </w:pPr>
      <w:r>
        <w:rPr>
          <w:rFonts w:ascii="Times New Roman" w:cs="Times New Roman" w:eastAsia="Times New Roman" w:hAnsi="Times New Roman"/>
          <w:sz w:val="18"/>
          <w:szCs w:val="18"/>
          <w:color w:val="auto"/>
        </w:rPr>
        <w:t>to such Indebtedness the Consolidated Senior Secured Net Leverage Ratio shall not exceed 2.50 to 1.00 on a Pro Forma Basis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such Permitted Refinancings qualify as Permitted First Lien Indebtedness, Permitted Second Lien Indebtedness or Permitted Unsecured Indebtedness;</w:t>
      </w:r>
    </w:p>
    <w:p>
      <w:pPr>
        <w:spacing w:after="0" w:line="184" w:lineRule="exact"/>
        <w:rPr>
          <w:sz w:val="20"/>
          <w:szCs w:val="20"/>
          <w:color w:val="auto"/>
        </w:rPr>
      </w:pPr>
    </w:p>
    <w:p>
      <w:pPr>
        <w:jc w:val="both"/>
        <w:ind w:firstLine="656"/>
        <w:spacing w:after="0" w:line="256" w:lineRule="auto"/>
        <w:tabs>
          <w:tab w:leader="none" w:pos="106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earlier of the Wynn Las Vegas Reorganization and the Wynn Massachusetts Project Opening Date, 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 (ii) (x) prior to the Initial Test Date, the Consolidated Senior Secured Net Leverage Ratio shall not exceed 2.50 to 1.00 on a Pro Forma Basis as of the most recent Calculation Date and (y) from and after the Initial Test Date, Borrower and its Restricted Subsidiaries shall be in compliance with the Financial Maintenance Covenant (whether or not then in effect) on a Pro Forma Basis as of the most recent Calculation Date (whether or not then in effect);</w:t>
      </w:r>
    </w:p>
    <w:p>
      <w:pPr>
        <w:spacing w:after="0" w:line="18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Permitted First Priority Refinancing Debt and Permitted Second Priority Refinancing Debt;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Foreign Subsidiaries in an aggregate principal amount not to exceed (x) prior to the earlier of the Wynn Las Vegas Reorganization and the Wynn Massachusetts Project Opening Date, $5.0 million and (y) thereafter, $100.0 million at any time outstanding, so long as such Indebtedness is not guaranteed by any Credit Party;</w:t>
      </w:r>
    </w:p>
    <w:p>
      <w:pPr>
        <w:spacing w:after="0" w:line="176"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Borrower or any Restricted Subsidiary in an aggregate principal amount not to exceed as of the time of incurrence thereof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w:t>
      </w:r>
    </w:p>
    <w:p>
      <w:pPr>
        <w:spacing w:after="0" w:line="206"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in the ordinary course of business;</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under Section 10.04(l), 10.04(q), 10.04(s) and 10.04(w) consisting of guarantees;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Financing (including Permitted Refinancings thereof);</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Contribution Indebtedness (it being acknowledged that Wynn Resorts may fund its obligations under the Completion Guaranty in the form of Intercompany Contribution Indebtedness);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Wynn Las Vegas Reorganization, the incurrence of Indebtedness in an amount not to exceed the greater of (i) the Aircraft Note and (ii) 100% of the fair market value of the Aircraft, which in either case is secured only by Liens permitted by Section 10.02(ii).</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Section 10.01, (A) Indebtedness need not be permitted solely by reference to one category of permitted Indebtedness described in Sections 10.01(a) through (x) but may be permitted in part under any combination thereof and (B) in the event that an item of Indebtedness (or any portion thereof) meets the criteria of one or more of the categories of permitted Indebtedness described in Sections 10.01(a) through (x), Borrower shall, in its sole discretion, classify or reclassify, or later divide, classify or reclassify, such item of Indebtedness (or any portion thereof) in any manner that complies with this Section 10.01 and will only be required to include the amount and type of such item of Indebtedness (or any portion thereof) in one of the above clauses and such item of Indebtedness (or any portion thereof) shall be treated as having been incurred or existing pursuant to only one of such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Indebtedness under this Agreement outstanding on the Closing Date shall at all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797" w:right="239" w:bottom="1440" w:gutter="0" w:footer="0" w:header="0"/>
        </w:sectPr>
      </w:pPr>
    </w:p>
    <w:bookmarkStart w:id="218" w:name="page219"/>
    <w:bookmarkEnd w:id="218"/>
    <w:p>
      <w:pPr>
        <w:jc w:val="both"/>
        <w:spacing w:after="0" w:line="266" w:lineRule="auto"/>
        <w:rPr>
          <w:sz w:val="20"/>
          <w:szCs w:val="20"/>
          <w:color w:val="auto"/>
        </w:rPr>
      </w:pPr>
      <w:r>
        <w:rPr>
          <w:rFonts w:ascii="Times New Roman" w:cs="Times New Roman" w:eastAsia="Times New Roman" w:hAnsi="Times New Roman"/>
          <w:sz w:val="18"/>
          <w:szCs w:val="18"/>
          <w:color w:val="auto"/>
        </w:rPr>
        <w:t>times be deemed to have been incurred pursuant to clause (a) of this Section 10.01 and may not be reclassified. In addition, with respect to any Indebtedness that was permitted to be incurred hereunder on the date of such incurrence, any Increased Amount of such Indebtedness shall also be permitted hereunder after the date of such incurrence.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for purposes of determining compliance with Section 10.01,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the Administrative Agent.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10.02. Liens</w:t>
      </w:r>
      <w:r>
        <w:rPr>
          <w:rFonts w:ascii="Times New Roman" w:cs="Times New Roman" w:eastAsia="Times New Roman" w:hAnsi="Times New Roman"/>
          <w:sz w:val="18"/>
          <w:szCs w:val="18"/>
          <w:color w:val="auto"/>
        </w:rPr>
        <w:t>. Neither Borrower nor any Restricted Subsidiary shall create, incur, grant, assume or permit to exist,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any Lien on any Property now owned or hereafter acquired by it or on any income or revenues or rights in respect of any thereof, except (the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656"/>
        <w:spacing w:after="0" w:line="282" w:lineRule="auto"/>
        <w:tabs>
          <w:tab w:leader="none" w:pos="107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and payable or delinquent, or which are being contested in good faith by appropriate proceedings and for which adequate reserves have been established in accordance with GAAP;</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6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$10.0 million in the aggregate;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pursuant to Section 10.01(b) and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Section 10.01(b);</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15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w:t>
      </w:r>
    </w:p>
    <w:p>
      <w:pPr>
        <w:spacing w:after="0" w:line="1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judgments or awards not resulting in an Event of Default;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796" w:right="239" w:bottom="1440" w:gutter="0" w:footer="0" w:header="0"/>
        </w:sectPr>
      </w:pPr>
    </w:p>
    <w:bookmarkStart w:id="219" w:name="page220"/>
    <w:bookmarkEnd w:id="21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Borrower’s or any of its Subsidiaries’ Gaming License applications or to secure the performance of surety or other bonds issued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such Liens are not imposed by Law, such Liens shall in no event encumber any Property other than cash and Cash Equivalents or, in the case of clause (iii), proceeds of insurance policies;</w:t>
      </w:r>
    </w:p>
    <w:p>
      <w:pPr>
        <w:spacing w:after="0" w:line="184" w:lineRule="exact"/>
        <w:rPr>
          <w:sz w:val="20"/>
          <w:szCs w:val="20"/>
          <w:color w:val="auto"/>
        </w:rPr>
      </w:pPr>
    </w:p>
    <w:p>
      <w:pPr>
        <w:jc w:val="both"/>
        <w:ind w:firstLine="656"/>
        <w:spacing w:after="0" w:line="254" w:lineRule="auto"/>
        <w:tabs>
          <w:tab w:leader="none" w:pos="105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(including the Wynn Las Vegas Reorganization))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request of Borrower, the Collateral Agent shall enter into a customary subordination and non-disturbance and attornment agreement in connection with any such Lease;</w:t>
      </w:r>
    </w:p>
    <w:p>
      <w:pPr>
        <w:spacing w:after="0" w:line="186" w:lineRule="exact"/>
        <w:rPr>
          <w:rFonts w:ascii="Times New Roman" w:cs="Times New Roman" w:eastAsia="Times New Roman" w:hAnsi="Times New Roman"/>
          <w:sz w:val="18"/>
          <w:szCs w:val="18"/>
          <w:color w:val="auto"/>
        </w:rPr>
      </w:pPr>
    </w:p>
    <w:p>
      <w:pPr>
        <w:ind w:right="20" w:firstLine="656"/>
        <w:spacing w:after="0" w:line="282" w:lineRule="auto"/>
        <w:tabs>
          <w:tab w:leader="none" w:pos="10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10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pursuant to Purchase Money Obligations or Capital Lease Obligations (and refinancings or renewals thereof), in each case, incurred pursuant to Section 10.01(h);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the fees and expenses related thereto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Section 10.01(h));</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such Liens are non-consensual and arise by operation of law, in no case shall any such Liens secure (either directly or indirectly) the repayment of any Indebtedness;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a Person existing at the time such Person is acquired or merged with or into or consolidated with Borrower or any Restricted Subsidiary (and not created in connection with or in anticipation or contemplation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05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Liens otherwise permitted by this Section 10.02, other Liens incurred with respect to any Indebtedness or other obligations of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aggregate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797" w:right="239" w:bottom="1440" w:gutter="0" w:footer="0" w:header="0"/>
        </w:sectPr>
      </w:pPr>
    </w:p>
    <w:bookmarkStart w:id="220" w:name="page221"/>
    <w:bookmarkEnd w:id="220"/>
    <w:p>
      <w:pPr>
        <w:jc w:val="both"/>
        <w:spacing w:after="0" w:line="266" w:lineRule="auto"/>
        <w:rPr>
          <w:sz w:val="20"/>
          <w:szCs w:val="20"/>
          <w:color w:val="auto"/>
        </w:rPr>
      </w:pPr>
      <w:r>
        <w:rPr>
          <w:rFonts w:ascii="Times New Roman" w:cs="Times New Roman" w:eastAsia="Times New Roman" w:hAnsi="Times New Roman"/>
          <w:sz w:val="18"/>
          <w:szCs w:val="18"/>
          <w:color w:val="auto"/>
        </w:rPr>
        <w:t>principal amount of such Indebtedness secured by such Liens shall not exceed as of the time of incurrence $75.0 million in the aggregate, and (B) any such Liens on Collateral shall be junior or otherwise subordinated in all respects to any Liens in favor of Collateral Agent on any of the Collateral to the reasonable satisfaction of Administrative Agent;</w:t>
      </w:r>
    </w:p>
    <w:p>
      <w:pPr>
        <w:spacing w:after="0" w:line="176" w:lineRule="exact"/>
        <w:rPr>
          <w:sz w:val="20"/>
          <w:szCs w:val="20"/>
          <w:color w:val="auto"/>
        </w:rPr>
      </w:pPr>
    </w:p>
    <w:p>
      <w:pPr>
        <w:ind w:firstLine="656"/>
        <w:spacing w:after="0" w:line="282" w:lineRule="auto"/>
        <w:tabs>
          <w:tab w:leader="none" w:pos="109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the Credit Documents, including, without limitation, Liens related to Cash Collateralizations;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associated with the Wynn Las Vegas Pledge;</w:t>
      </w:r>
    </w:p>
    <w:p>
      <w:pPr>
        <w:spacing w:after="0" w:line="223" w:lineRule="exact"/>
        <w:rPr>
          <w:rFonts w:ascii="Times New Roman" w:cs="Times New Roman" w:eastAsia="Times New Roman" w:hAnsi="Times New Roman"/>
          <w:sz w:val="18"/>
          <w:szCs w:val="18"/>
          <w:color w:val="auto"/>
        </w:rPr>
      </w:pPr>
    </w:p>
    <w:p>
      <w:pPr>
        <w:ind w:firstLine="656"/>
        <w:spacing w:after="0" w:line="284" w:lineRule="auto"/>
        <w:tabs>
          <w:tab w:leader="none" w:pos="106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applicable Gaming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Lien constitutes a Lien securing repayment of Indebtedness for borrowed money;</w:t>
      </w:r>
    </w:p>
    <w:p>
      <w:pPr>
        <w:spacing w:after="0" w:line="160"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pursuant to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1" w:lineRule="exact"/>
        <w:rPr>
          <w:rFonts w:ascii="Times New Roman" w:cs="Times New Roman" w:eastAsia="Times New Roman" w:hAnsi="Times New Roman"/>
          <w:sz w:val="18"/>
          <w:szCs w:val="18"/>
          <w:color w:val="auto"/>
        </w:rPr>
      </w:pPr>
    </w:p>
    <w:p>
      <w:pPr>
        <w:ind w:firstLine="656"/>
        <w:spacing w:after="0" w:line="284" w:lineRule="auto"/>
        <w:tabs>
          <w:tab w:leader="none" w:pos="10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Indebtedness incurred pursuant to Section 10.01(p);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encumber any Property of Borrower or any Restricted Subsidiary other than any Foreign Subsidiary;</w:t>
      </w:r>
    </w:p>
    <w:p>
      <w:pPr>
        <w:spacing w:after="0" w:line="160"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Mortgage Liens with respect to the applicable Mortgaged Real Property;</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deposited to Discharge, redeem or defease Indebtedness that was permitted to so be repaid;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1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UCC financing statements filings regarding operating leases or consignment of goods entered into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securing (i) Permitted First Lien Indebtedness permitted under Section 10.01(m) or Permitted First Priority Refinancing Debt and, in each case, subject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 (ii) Permitted Second Lien Indebtedness permitted under Sections 10.01(l) or 10.01(m) or Permitted Second Priority Refinancing Debt and, in each case, subject to the Second Lien Intercreditor Agreement (as “Second Priority Liens”);</w:t>
      </w:r>
    </w:p>
    <w:p>
      <w:pPr>
        <w:spacing w:after="0" w:line="1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Liens on its Equity Interests securing obligations of such joint ventures;</w:t>
      </w:r>
    </w:p>
    <w:p>
      <w:pPr>
        <w:spacing w:after="0" w:line="1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transactions relating to the selling, factoring or discounting of accounts receivable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796" w:right="239" w:bottom="1440" w:gutter="0" w:footer="0" w:header="0"/>
        </w:sectPr>
      </w:pPr>
    </w:p>
    <w:bookmarkStart w:id="221" w:name="page222"/>
    <w:bookmarkEnd w:id="221"/>
    <w:p>
      <w:pPr>
        <w:ind w:firstLine="656"/>
        <w:spacing w:after="0" w:line="282" w:lineRule="auto"/>
        <w:tabs>
          <w:tab w:leader="none" w:pos="124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leases or subleases granted to other Persons not materially interfering with the conduct of the business of Borrower and its Subsidiaries taken as a whole;</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licensee or licensor under any lease or license agreement permitted by this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3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of any Person in respect of employee deferred compensation and benefit plans in connection with “rabbi trusts” or other similar arrangements;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trade-related letters of credit, bank guarantees or similar obligations permitted under Section 10.01 and covering the property (or the documents of title in respect of such property) financed by such letters of credit, bank guarantees or similar obligations and the proceeds and products thereof;</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secures only the obligations of Borrower or such Subsidiaries in respect of such letter of credit, bank guarantee or banker’s acceptance to the extent permitted under Section 10.01;</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pursuant to Indebtedness incurred pursuant to Section 10.01(u) in an aggregate principal amount not to exceed $250.0 million at any time outstanding, at the direction of Borrower subject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 the Second Lien Intercreditor Agreement, as may be applicable;</w:t>
      </w:r>
    </w:p>
    <w:p>
      <w:pPr>
        <w:spacing w:after="0" w:line="17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Aircraft Assets to secure Indebtedness of World Travel, LLC, which is permitted to be incurred pursuant to Section 10.01(x);</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7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reversion, subdivision or final map(s), record(s) of survey and/or amendments to any of the foregoing over Real Property the gross acreage and footprint of any applicable Mortgaged Real Property remains unaffected in any material respect;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granting of Liens of the types described in this Section 10.02 by Borrower of any of its Restricted Subsidiaries, Administrative Agent and Collateral Agent shall be authorized to take any actions deemed appropriate by it in connection therewith (including, without limitation, by entering into or amending appropriate lien subordination or intercreditor agreements). For purposes of determining compliance with this Section 10.02, (A) a Lien securing an item of Indebtedness need not be permitted solely by reference to one category of permitted Liens described in Sections 10.02(a) through (ii) but may be permitted in part under any combination thereof and (B) in the event that a Lien securing an item of Indebtedness (or any portion thereof) meets the criteria of one or more of the categories of permitted Liens described in Sections 10.02(a) through (ii), Borrower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(or any portion thereof) secured by such Lien in one of the above clauses and such Lien securing such item of Indebtedness (or any portion thereof) will be treated as being incurred or existing pursuant to only one of such clauses.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89"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SECTION 10.03.</w:t>
        <w:tab/>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797" w:right="239" w:bottom="1440" w:gutter="0" w:footer="0" w:header="0"/>
        </w:sectPr>
      </w:pPr>
    </w:p>
    <w:bookmarkStart w:id="222" w:name="page223"/>
    <w:bookmarkEnd w:id="222"/>
    <w:p>
      <w:pPr>
        <w:ind w:left="660"/>
        <w:spacing w:after="0"/>
        <w:tabs>
          <w:tab w:leader="none" w:pos="2280" w:val="left"/>
        </w:tabs>
        <w:rPr>
          <w:sz w:val="20"/>
          <w:szCs w:val="20"/>
          <w:color w:val="auto"/>
        </w:rPr>
      </w:pPr>
      <w:r>
        <w:rPr>
          <w:rFonts w:ascii="Times New Roman" w:cs="Times New Roman" w:eastAsia="Times New Roman" w:hAnsi="Times New Roman"/>
          <w:sz w:val="18"/>
          <w:szCs w:val="18"/>
          <w:b w:val="1"/>
          <w:bCs w:val="1"/>
          <w:color w:val="auto"/>
        </w:rPr>
        <w:t>SECTION 10.04.</w:t>
      </w:r>
      <w:r>
        <w:rPr>
          <w:sz w:val="20"/>
          <w:szCs w:val="20"/>
          <w:color w:val="auto"/>
        </w:rPr>
        <w:tab/>
      </w:r>
      <w:r>
        <w:rPr>
          <w:rFonts w:ascii="Times New Roman" w:cs="Times New Roman" w:eastAsia="Times New Roman" w:hAnsi="Times New Roman"/>
          <w:sz w:val="18"/>
          <w:szCs w:val="18"/>
          <w:b w:val="1"/>
          <w:bCs w:val="1"/>
          <w:color w:val="auto"/>
        </w:rPr>
        <w:t>Investments, Loans and Advances</w:t>
      </w:r>
      <w:r>
        <w:rPr>
          <w:rFonts w:ascii="Times New Roman" w:cs="Times New Roman" w:eastAsia="Times New Roman" w:hAnsi="Times New Roman"/>
          <w:sz w:val="18"/>
          <w:szCs w:val="18"/>
          <w:color w:val="auto"/>
        </w:rPr>
        <w:t>. Neither Borrower nor any Restricted Subsidiary will, directly or indirectly, make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except for the following:</w:t>
      </w:r>
    </w:p>
    <w:p>
      <w:pPr>
        <w:spacing w:after="0" w:line="207" w:lineRule="exact"/>
        <w:rPr>
          <w:sz w:val="20"/>
          <w:szCs w:val="20"/>
          <w:color w:val="auto"/>
        </w:rPr>
      </w:pPr>
    </w:p>
    <w:p>
      <w:pPr>
        <w:ind w:firstLine="656"/>
        <w:spacing w:after="0" w:line="282" w:lineRule="auto"/>
        <w:tabs>
          <w:tab w:leader="none" w:pos="10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outstanding on the Closing Date and identified on </w:t>
      </w:r>
      <w:r>
        <w:rPr>
          <w:rFonts w:ascii="Times New Roman" w:cs="Times New Roman" w:eastAsia="Times New Roman" w:hAnsi="Times New Roman"/>
          <w:sz w:val="18"/>
          <w:szCs w:val="18"/>
          <w:u w:val="single" w:color="auto"/>
          <w:color w:val="auto"/>
        </w:rPr>
        <w:t>Schedule 10.04</w:t>
      </w:r>
      <w:r>
        <w:rPr>
          <w:rFonts w:ascii="Times New Roman" w:cs="Times New Roman" w:eastAsia="Times New Roman" w:hAnsi="Times New Roman"/>
          <w:sz w:val="18"/>
          <w:szCs w:val="18"/>
          <w:color w:val="auto"/>
        </w:rPr>
        <w:t xml:space="preserve"> and any Investments received in respect thereof without the payment of additional consideration (other than through the issuance of or exchange of Qualified Capital Stock);</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 (including Investments that were Cash Equivalents when made);</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enter into Swap Contracts to the extent permitted by Section 10.01(c);</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by Borrower in any Restricted Subsidiary, (ii) by any Restricted Subsidiary in Borrower and (iii) by a Restricted Subsidiary in another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intercompany loan (it being understood and agreed that intercompany receivables or advances made in the ordinary course of business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sell or transfer assets to the extent permitted by Section 10.05;</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0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securities of trade creditors or customers received pursuant to any plan of reorganization or similar arrangement upon the bankruptcy or insolvency of such trade creditors or customers or in settlement of delinquent or overdue accounts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9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by Borrower or any Restricted Subsidiary with, or as a result of, consideration received in connection with an Asset Sale made in compliance with Section 10.05;</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to officers, directors and employees in the ordinary course of business not to exceed $10.0 million in the aggregate at any time outstanding;</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security deposits, prepayments (including prepayments of expenses), credits and extensions of trade credit (including to gaming customers) in the ordinary course of business;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resulting from pledges and deposits permitted under Section 10.02;</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2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permitted by this Section 10.04, from and after the earlier of the Wynn Las Vegas Reorganization and the Wynn Massachusetts Project Opening Date, Investments by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amount of such Investments to be made pursuant to this Section 10.04(l) do not exceed the Available Amount determined at the time such Investment is made, (ii) immediately before and after giving effect thereto, no Event of Default has occurred and is continuing and (iii)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86"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793" w:right="239" w:bottom="1440" w:gutter="0" w:footer="0" w:header="0"/>
        </w:sectPr>
      </w:pPr>
    </w:p>
    <w:bookmarkStart w:id="223" w:name="page224"/>
    <w:bookmarkEnd w:id="223"/>
    <w:p>
      <w:pPr>
        <w:ind w:firstLine="656"/>
        <w:spacing w:after="0" w:line="282" w:lineRule="auto"/>
        <w:tabs>
          <w:tab w:leader="none" w:pos="104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2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in existence on the date of such acquisition, merger or consolidation;</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nature of pledges or deposits with respect to leases or utilities provided to third parties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earlier of the Wynn Las Vegas Reorganization and the Wynn Massachusetts Project Opening Date, Investments in Unrestricted Subsidiaries in an amount as of the time of incurrence not to exceed $100.0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spacing w:after="0" w:line="18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Reverse Trigger Event under any applicable Transfer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104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Investments in an aggregate amount not in excess of an amount equal to $225.0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Restricted Payments made pursuant to Section 10.06(i)(i) and the aggregate amount of Junior Prepayments made pursuant to Section 10.09(a)(i);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w:t>
      </w:r>
    </w:p>
    <w:p>
      <w:pPr>
        <w:spacing w:after="0" w:line="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such person continues to be a Restricted Subsidiary of Borrower;</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04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with (or such Investments are received substantially contemporaneously in exchange for) Qualified Capital Stock of Borrower or any parent entity of Borrower;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1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5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or contribution of intellectual property pursuant to joint marketing or other arrangements with other persons in the ordinary course of business;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5"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Joint Ventures established to develop or operate nightclubs, bars, restaurants, recreation, exercise or gym facilities, or entertainment or retail venues or similar, related or other establishments or facilities within any Facility not to exceed as of the time of incurrence in the aggregate (x) prior to the earlier of the Wynn Las Vegas Reorganization and the Wynn Massachusetts Project Opening Date, $5.0 million and (y) thereafter $100.0 million (in each case plus the amounts received by Borrower and its Restricted Subsidiaries with respect to such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797" w:right="239" w:bottom="1440" w:gutter="0" w:footer="0" w:header="0"/>
        </w:sectPr>
      </w:pPr>
    </w:p>
    <w:bookmarkStart w:id="224" w:name="page225"/>
    <w:bookmarkEnd w:id="224"/>
    <w:p>
      <w:pPr>
        <w:spacing w:after="0" w:line="282" w:lineRule="auto"/>
        <w:rPr>
          <w:sz w:val="20"/>
          <w:szCs w:val="20"/>
          <w:color w:val="auto"/>
        </w:rPr>
      </w:pPr>
      <w:r>
        <w:rPr>
          <w:rFonts w:ascii="Times New Roman" w:cs="Times New Roman" w:eastAsia="Times New Roman" w:hAnsi="Times New Roman"/>
          <w:sz w:val="18"/>
          <w:szCs w:val="18"/>
          <w:color w:val="auto"/>
        </w:rPr>
        <w:t>Investments (including with respect to contracts related to such Investments and including principal, interest, dividends, distributions, sale proceeds, payments under contracts relating to such Investments or other amounts));</w:t>
      </w:r>
    </w:p>
    <w:p>
      <w:pPr>
        <w:spacing w:after="0" w:line="162" w:lineRule="exact"/>
        <w:rPr>
          <w:sz w:val="20"/>
          <w:szCs w:val="20"/>
          <w:color w:val="auto"/>
        </w:rPr>
      </w:pPr>
    </w:p>
    <w:p>
      <w:pPr>
        <w:jc w:val="both"/>
        <w:ind w:firstLine="656"/>
        <w:spacing w:after="0" w:line="255" w:lineRule="auto"/>
        <w:tabs>
          <w:tab w:leader="none" w:pos="11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make Investments in an aggregate amount not in excess of an amount equal to $50.0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Restricted Payments made pursuant to Section 10.06(l) and the aggregate amount of Junior Prepayments made pursuant to Section 10.09(i);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 and</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109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permitted by this Section 10.04, Investments by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Investments to be made pursuant to this Section 10.04(y) do not exceed the Available Equity Amount determined at the time such Investment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Investment in any person other than a Restricted Subsidiary that is otherwise permitted by this Section 10.04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10.05. Mergers, Consolidations and Sales of Assets</w:t>
      </w:r>
      <w:r>
        <w:rPr>
          <w:rFonts w:ascii="Times New Roman" w:cs="Times New Roman" w:eastAsia="Times New Roman" w:hAnsi="Times New Roman"/>
          <w:sz w:val="18"/>
          <w:szCs w:val="18"/>
          <w:color w:val="auto"/>
        </w:rPr>
        <w:t>. Neither Borrower nor any Restricted Subsidiary will wind up, liquidate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dissolve its 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all or substantially all of its business, property or assets, except for:</w:t>
      </w:r>
    </w:p>
    <w:p>
      <w:pPr>
        <w:spacing w:after="0" w:line="181" w:lineRule="exact"/>
        <w:rPr>
          <w:sz w:val="20"/>
          <w:szCs w:val="20"/>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by Borrower and the Restricted Subsidiaries;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178" w:lineRule="exact"/>
        <w:rPr>
          <w:rFonts w:ascii="Times New Roman" w:cs="Times New Roman" w:eastAsia="Times New Roman" w:hAnsi="Times New Roman"/>
          <w:sz w:val="18"/>
          <w:szCs w:val="18"/>
          <w:color w:val="auto"/>
        </w:rPr>
      </w:pPr>
    </w:p>
    <w:p>
      <w:pPr>
        <w:jc w:val="both"/>
        <w:ind w:firstLine="656"/>
        <w:spacing w:after="0" w:line="256" w:lineRule="auto"/>
        <w:tabs>
          <w:tab w:leader="none" w:pos="10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Sales by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of such Asset Sale, no Event of Default then exists or would arise therefrom, (ii)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all of its Restricted Subsidiaries shall have been validly released by all applicable creditors in writing, (B) any securities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797" w:right="239" w:bottom="1440" w:gutter="0" w:footer="0" w:header="0"/>
        </w:sectPr>
      </w:pPr>
    </w:p>
    <w:bookmarkStart w:id="225" w:name="page226"/>
    <w:bookmarkEnd w:id="225"/>
    <w:p>
      <w:pPr>
        <w:jc w:val="both"/>
        <w:spacing w:after="0" w:line="256" w:lineRule="auto"/>
        <w:rPr>
          <w:sz w:val="20"/>
          <w:szCs w:val="20"/>
          <w:color w:val="auto"/>
        </w:rPr>
      </w:pPr>
      <w:r>
        <w:rPr>
          <w:rFonts w:ascii="Times New Roman" w:cs="Times New Roman" w:eastAsia="Times New Roman" w:hAnsi="Times New Roman"/>
          <w:sz w:val="18"/>
          <w:szCs w:val="18"/>
          <w:color w:val="auto"/>
        </w:rPr>
        <w:t>received by such Restricted Subsidiary from such transferee that are converted by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$75.0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Section 2.10(a)(iii);</w:t>
      </w:r>
    </w:p>
    <w:p>
      <w:pPr>
        <w:spacing w:after="0" w:line="188" w:lineRule="exact"/>
        <w:rPr>
          <w:sz w:val="20"/>
          <w:szCs w:val="20"/>
          <w:color w:val="auto"/>
        </w:rPr>
      </w:pPr>
    </w:p>
    <w:p>
      <w:pPr>
        <w:ind w:firstLine="656"/>
        <w:spacing w:after="0" w:line="282" w:lineRule="auto"/>
        <w:tabs>
          <w:tab w:leader="none" w:pos="109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by Section 10.02, Investments may be made to the extent permitted by Sections 10.04 and Restricted Payments may be made to the extent permitted by Section 10.06;</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dispose of cash and Cash Equivalents;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lease (as lessor or sublessor) real or personal property to the extent permitted under 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10.02;</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17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by Borrower or any of its Restricted Subsidiaries of software and Intellectual Property in the ordinary course of business shall be permitted;</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116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Borrower or any Restricted Subsidiary may transfer or lease property to or acquire or lease property from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sum of (x) the aggregate fair market value of all Property transferred by Borrower and Domestic Subsidiaries of Borrower that are Restricted Subsidiaries to Foreign Subsidiaries of Borrower under this clause (A) plus (y) all lease payments made by Borrower and Domestic Subsidiaries of Borrower that are Restricted Subsidiaries to Foreign Subsidiaries of Borrower in respect of leasing of property by Borrower and Domestic Subsidiaries of Borrower that are Restricted Subsidiaries from Foreign Subsidiaries shall not exceed in any fiscal year of Borrower, (x) prior to the earlier of the Wynn Las Vegas Reorganization and the Wynn Massachusetts Project Opening Date, $5.0 million and (y) thereafter $25.0 million;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Section 10.05);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each case with respect to clauses (A), (B) and (C) of this Section 10.05(h) (other than in the case of a transfer to a Foreign Subsidiary permitted under clause (A) above), the Lien on such property granted in favor of Collateral Agent under the Security Documents shall be maintained in accordance with the provisions of this Agreement and the applicable Security Documents;</w:t>
      </w:r>
    </w:p>
    <w:p>
      <w:pPr>
        <w:spacing w:after="0" w:line="197"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terminations of Swap Contracts and other assets or contracts in the ordinary course of business;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conveyances, sales, leases, transfers or other dispositions which do not constitute Asset Sales;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taking by a Governmental Authority of assets or property, or any part thereof, under the power of eminent domain or condemnation;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sales, transfers or other dispositions of property subject to a Casualty Event;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796" w:right="239" w:bottom="1440" w:gutter="0" w:footer="0" w:header="0"/>
        </w:sectPr>
      </w:pPr>
    </w:p>
    <w:bookmarkStart w:id="226" w:name="page227"/>
    <w:bookmarkEnd w:id="226"/>
    <w:p>
      <w:pPr>
        <w:jc w:val="both"/>
        <w:ind w:firstLine="656"/>
        <w:spacing w:after="0" w:line="266" w:lineRule="auto"/>
        <w:tabs>
          <w:tab w:leader="none" w:pos="108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factoring or discounting of accounts receivable (including defaulted receivables) in the ordinary course of business;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amalgamation in order to effect a Permitted Acquisition;</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Wynn Las Vegas Reorganization, the transfer or sale or disposition of any Aircraft Assets; and</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Equity Interests of any Restricted Subsidiary or any Gaming Facility in connection with the occurrence of a Trigger Event.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any Collateral is sold, transferred or otherwise disposed of as permitted by this Section 10.05 or in connection with a transaction approved by the Required Lenders, in each case, to a Person other than a Credit Party, so long as no Event of Default exists, such Collateral (unless sold to Borrower or a Guarantor) shall, except as set forth in the proviso to Section 10.05(h),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so long as no Event of Default exists,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10.06. Restricted Payments</w:t>
      </w:r>
      <w:r>
        <w:rPr>
          <w:rFonts w:ascii="Times New Roman" w:cs="Times New Roman" w:eastAsia="Times New Roman" w:hAnsi="Times New Roman"/>
          <w:sz w:val="18"/>
          <w:szCs w:val="18"/>
          <w:color w:val="auto"/>
        </w:rPr>
        <w:t>. Neither Borrower nor any of its Restricted Subsidiaries shall, directly or indirectly, declare or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Payment at any time, except, without duplication, (a) Borrower or any Restricted Subsidiary may make Restricted Payments to the extent permitted pursuant to Section 2.09(b)(ii), (b) any Restricted Subsidiary of Borrower may declare and make Restricted Payments to Borrower or any Wholly Owned Subsidiary of Borrower which is a Restricted Subsidiary, (c)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 (d) Borrower and its Restricted Subsidiaries may engage in transactions to the extent permitted by Section 10.04 and Section 10.05, (e) Borrower and its Restricted Subsidiaries may make Restricted Payments in respect of Disqualified Capital Stock issued in compliance with the terms hereof, (f) from and after the earlier of the Wynn Las Vegas Reorganization and the Wynn Massachusetts Project Opening Date, Borrower may repurchase (or make Restricted Payments in respect thereof) common stock or common stock options (including those issued by Wynn Resorts or such other parent entity of Borrower) from present or former officers, directors or employees (or heirs of, estates of or trusts formed by such Persons) of any Company or Wynn Resorts upon the death, disability, retirement or termination of employment of such officer, director or employee or pursuant to the terms of any stock option plan or like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aggregate amount of payments under this clause (f) shall not exceed $10.0 million in any fiscal year of Borrower, (g) from and after the earlier of the Wynn Las Vegas Reorganization and the Wynn Massachusetts Project Opening Date, Borrower and its Restricted Subsidiaries may (i) repurchase (or make Restricted Payments in respect thereof) Equity Interests (including those issued by Wynn Resorts or such other parent entity of Borrower) 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797" w:right="239" w:bottom="1440" w:gutter="0" w:footer="0" w:header="0"/>
        </w:sectPr>
      </w:pPr>
    </w:p>
    <w:bookmarkStart w:id="227" w:name="page228"/>
    <w:bookmarkEnd w:id="227"/>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the exercise of stock options or grant, vesting or delivery of Equity Interests, (h) from and after the earlier of the Wynn Las Vegas Reorganization and the Wynn Massachusetts Project Opening Date,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 (i) 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Restricted Payments in an aggregate amount not to exceed (i) $225.0 million,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Junior Prepayments made pursuant to Section 10.09(a)(i) and the aggregate amount of Investments made (and as calculated) pursuant to Section 10.04(s),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Available Amount, (j) to the extent constituting Restricted Payments, Borrower may make payments to counterparties under Swap Contracts entered into in connection with the issuance of convertible or exchangeable debt, (k) Borrower and its Restricted Subsidiaries may make Tax Payments to the direct or indirect owners of Borrower or any of the Restricted Subsidiaries, (l) Borrower and its Restricted Subsidiaries may make Restricted Payments in an aggregate amount not to exceed $50.0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Junior Prepayments made pursuant to Section 10.09(i) and the aggregate amount of Investments made (and as calculated) pursuant to Section 10.04(x) million, (m) Borrower may pay Allocable Overhead to Wynn Resorts in respect of each Qualifying Project of Borrower and its Restricted Subsidiaries, (n) Borrower may pay Management Fees and IP Licensing Fees, (o) Borrower may make dividends or distributions to Wynn Resorts of amounts necessary for Wynn Resorts to pay amounts then due and payable under the Tax Indemnification Agreement, as in effect on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aggregate amount of payments under this clause (o) shall not exceed $20.0 million in any fiscal year of Borrower and (p) Borrower and its Restricted Subsidiaries may make Restricted Payments in an aggregate amount not to exceed the Available Equity Amount.</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10.07. Transactions with Affiliates</w:t>
      </w:r>
      <w:r>
        <w:rPr>
          <w:rFonts w:ascii="Times New Roman" w:cs="Times New Roman" w:eastAsia="Times New Roman" w:hAnsi="Times New Roman"/>
          <w:sz w:val="18"/>
          <w:szCs w:val="18"/>
          <w:color w:val="auto"/>
        </w:rPr>
        <w:t>. Neither Borrower nor any of its Restricted Subsidiaries shall enter into any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without limitation, any purchase, sale, lease or exchange of Property, the rendering of any service or the payment of any management, advisory or similar fees, with any Affiliate (other than Borrower or any Restricted Subsidiary) involving aggregate consideration in excess of $20.0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w:t>
      </w:r>
    </w:p>
    <w:p>
      <w:pPr>
        <w:spacing w:after="0" w:line="9" w:lineRule="exact"/>
        <w:rPr>
          <w:sz w:val="20"/>
          <w:szCs w:val="20"/>
          <w:color w:val="auto"/>
        </w:rPr>
      </w:pPr>
    </w:p>
    <w:p>
      <w:pPr>
        <w:jc w:val="both"/>
        <w:ind w:firstLine="8"/>
        <w:spacing w:after="0" w:line="253" w:lineRule="auto"/>
        <w:tabs>
          <w:tab w:leader="none" w:pos="26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Investments and Restricted Payments permitted hereunder, (iii) from and after the earlier of the Wynn Las Vegas Reorganization and the Wynn Massachusetts Project Opening Date,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797" w:right="239" w:bottom="1440" w:gutter="0" w:footer="0" w:header="0"/>
        </w:sectPr>
      </w:pPr>
    </w:p>
    <w:bookmarkStart w:id="228" w:name="page229"/>
    <w:bookmarkEnd w:id="228"/>
    <w:p>
      <w:pPr>
        <w:jc w:val="both"/>
        <w:spacing w:after="0" w:line="254" w:lineRule="auto"/>
        <w:rPr>
          <w:sz w:val="20"/>
          <w:szCs w:val="20"/>
          <w:color w:val="auto"/>
        </w:rPr>
      </w:pPr>
      <w:r>
        <w:rPr>
          <w:rFonts w:ascii="Times New Roman" w:cs="Times New Roman" w:eastAsia="Times New Roman" w:hAnsi="Times New Roman"/>
          <w:sz w:val="18"/>
          <w:szCs w:val="18"/>
          <w:color w:val="auto"/>
        </w:rPr>
        <w:t>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transactions, taken as a whole, are not materially adverse to Borrower and the Subsidiaries (as determined by Borrower in good faith); (vi) may enter into any transaction subject to Section 13.05; (vii) may enter into any transactions described in the Tax Indemnification Agreement or on </w:t>
      </w:r>
      <w:r>
        <w:rPr>
          <w:rFonts w:ascii="Times New Roman" w:cs="Times New Roman" w:eastAsia="Times New Roman" w:hAnsi="Times New Roman"/>
          <w:sz w:val="18"/>
          <w:szCs w:val="18"/>
          <w:u w:val="single" w:color="auto"/>
          <w:color w:val="auto"/>
        </w:rPr>
        <w:t>Schedule 10.07</w:t>
      </w:r>
      <w:r>
        <w:rPr>
          <w:rFonts w:ascii="Times New Roman" w:cs="Times New Roman" w:eastAsia="Times New Roman" w:hAnsi="Times New Roman"/>
          <w:sz w:val="18"/>
          <w:szCs w:val="18"/>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from and after the Wynn Las Vegas Reorganization, the transfer or sale or other disposition (including leasing or making available for use) of any Aircraft Assets; and (x) may incur any Indebtedness permitted pursuant to Section 10.01(w).</w:t>
      </w:r>
    </w:p>
    <w:p>
      <w:pPr>
        <w:spacing w:after="0" w:line="18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SECTION 10.08.</w:t>
        <w:tab/>
        <w:t>Financial Covenant.</w:t>
      </w:r>
    </w:p>
    <w:p>
      <w:pPr>
        <w:spacing w:after="0" w:line="225" w:lineRule="exact"/>
        <w:rPr>
          <w:sz w:val="20"/>
          <w:szCs w:val="20"/>
          <w:color w:val="auto"/>
        </w:rPr>
      </w:pPr>
    </w:p>
    <w:p>
      <w:pPr>
        <w:jc w:val="both"/>
        <w:ind w:firstLine="656"/>
        <w:spacing w:after="0" w:line="268" w:lineRule="auto"/>
        <w:tabs>
          <w:tab w:leader="none" w:pos="115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Consolidated Senior Secured Net Leverage Ratio. </w:t>
      </w:r>
      <w:r>
        <w:rPr>
          <w:rFonts w:ascii="Times New Roman" w:cs="Times New Roman" w:eastAsia="Times New Roman" w:hAnsi="Times New Roman"/>
          <w:sz w:val="18"/>
          <w:szCs w:val="18"/>
          <w:color w:val="auto"/>
        </w:rPr>
        <w:t>Borrower shall not permit the Consolidated Senior Secured Net Leverage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Ratio as of the last day of any fiscal quarter of Borrower commencing with the second full fiscal quarter ending after the fiscal quarter in which the Wynn Massachusetts Project Opening Date occurs (the last day of such fiscal quarter, the “</w:t>
      </w:r>
      <w:r>
        <w:rPr>
          <w:rFonts w:ascii="Times New Roman" w:cs="Times New Roman" w:eastAsia="Times New Roman" w:hAnsi="Times New Roman"/>
          <w:sz w:val="18"/>
          <w:szCs w:val="18"/>
          <w:b w:val="1"/>
          <w:bCs w:val="1"/>
          <w:color w:val="auto"/>
        </w:rPr>
        <w:t>Initial Test Date</w:t>
      </w:r>
      <w:r>
        <w:rPr>
          <w:rFonts w:ascii="Times New Roman" w:cs="Times New Roman" w:eastAsia="Times New Roman" w:hAnsi="Times New Roman"/>
          <w:sz w:val="18"/>
          <w:szCs w:val="18"/>
          <w:color w:val="auto"/>
        </w:rPr>
        <w:t>”) to exceed 2.75 to 1.00.</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11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Minimum Consolidated EBITDA</w:t>
      </w:r>
      <w:r>
        <w:rPr>
          <w:rFonts w:ascii="Times New Roman" w:cs="Times New Roman" w:eastAsia="Times New Roman" w:hAnsi="Times New Roman"/>
          <w:sz w:val="18"/>
          <w:szCs w:val="18"/>
          <w:color w:val="auto"/>
        </w:rPr>
        <w:t>. Borrower shall not permit Consolidated EBITDA as of the last day of any fiscal quarter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with the first full fiscal quarter ending after the fiscal quarter in which the Wynn Las Vegas Reorganization occurs and ending with the fiscal quarter prior to the fiscal quarter in which the Initial Test Date occurs to be less than $200.0 million.</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10.09. Certain Payments of Indebtedness</w:t>
      </w:r>
      <w:r>
        <w:rPr>
          <w:rFonts w:ascii="Times New Roman" w:cs="Times New Roman" w:eastAsia="Times New Roman" w:hAnsi="Times New Roman"/>
          <w:sz w:val="18"/>
          <w:szCs w:val="18"/>
          <w:color w:val="auto"/>
        </w:rPr>
        <w:t>. None of Borrower or any of its Restricted Subsidiaries will, nor will they permit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Subsidiary to voluntarily prepay, redeem, purchase, defease or otherwise satisfy prior to the scheduled maturity thereof (or within one year thereof) in any manner (it being understood that payments of regularly scheduled principal and interest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Times New Roman" w:cs="Times New Roman" w:eastAsia="Times New Roman" w:hAnsi="Times New Roman"/>
          <w:sz w:val="18"/>
          <w:szCs w:val="18"/>
          <w:b w:val="1"/>
          <w:bCs w:val="1"/>
          <w:color w:val="auto"/>
        </w:rPr>
        <w:t>Junior Prepayments</w:t>
      </w:r>
      <w:r>
        <w:rPr>
          <w:rFonts w:ascii="Times New Roman" w:cs="Times New Roman" w:eastAsia="Times New Roman" w:hAnsi="Times New Roman"/>
          <w:sz w:val="18"/>
          <w:szCs w:val="18"/>
          <w:color w:val="auto"/>
        </w:rPr>
        <w:t xml:space="preserve">”), except (a) from and after the earlier of the Wynn Las Vegas Reorganization and the Wynn Massachusetts Project Opening Date, long as no Event of Default shall have occurred and be continuing or would result therefrom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may make Junior Prepayments in an aggregate amount not to exceed (i) $225.0 million,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Restricted Payments made pursuant to Section 10.06(i)(i) and the aggregate amount of Investments made (and as calculated) pursuant to Section 10.04(s),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Available Amount, (b) a Permitted Refinancing of any such Indebtedness (including through exchange offers and similar transactions), (c) the conversion of any such Indebtedness to Equity Interests (or exchange of any such Indebtedness for Equity Interests) of Borrower or any direct or indirect parent of Borrower (other than Disqualified Capital Stock), (d) with respect to intercompany subordinated indebtedness, to the extent consistent with the subordination terms thereof and permitted under this Section 10.09 (other than pursuant to this clause (d)), (e) exchanges of Indebtedness issued in private placements and resold in reliance on Regulation S or Rule 144A for Indebtedness having substantially equivalent terms pursuant to customary exchange offers, (f) prepayment, redemption, purchase, defeasance or satisfaction of Indebtedness of Persons acquired pursuant to, or Indebtedness assumed in connection with, Permitted Acquisition or Investment (including any other Acquisition) not prohibited by this Agreement, (g) Junior Prepayments made pursuant to Section 2.09(b)(ii), (h) Junior Prepayments in respect of intercompany Indebtedness owing to Borrower or its Restricted Subsidiaries will be permitted, (i) scheduled payments thereon necessary to avoid the Other Junior Indebtedness constituting “applicable high yield discount obligations” within the meaning of Section 163(i)(1) of the Code, (j) Borrower may make Junior Prepayments in an aggregate amount not to exceed $50.0 million,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Restricted Payments made pursuant to Section 10.06(l) and the aggregate amount of Investments made (and as calculated) pursuant to Section 10.04(x), (k) prepayments, redemptions, purchases, defeasance or satisfaction of Disqualified Capital Stock with the proceeds of any issuance of Disqualified Capital Stock permitted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797" w:right="239" w:bottom="1440" w:gutter="0" w:footer="0" w:header="0"/>
        </w:sectPr>
      </w:pPr>
    </w:p>
    <w:bookmarkStart w:id="229" w:name="page230"/>
    <w:bookmarkEnd w:id="2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 issued hereunder or in exchange for Disqualified Capital Stock or other Equity Interests permitted to be issued hereunder, and (l) Borrower may make Junior Prepayments in an aggregate amount not to exceed the Available Equity Amount.</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SECTION 10.10. Limitation on Certain Restrictions Affecting Subsidiaries</w:t>
      </w:r>
      <w:r>
        <w:rPr>
          <w:rFonts w:ascii="Times New Roman" w:cs="Times New Roman" w:eastAsia="Times New Roman" w:hAnsi="Times New Roman"/>
          <w:sz w:val="18"/>
          <w:szCs w:val="18"/>
          <w:color w:val="auto"/>
        </w:rPr>
        <w:t>. None of Borrower or any of its Restricted Subsidiaries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directly or indirectly, create any consensual encumbrance or restriction on the ability of any Restricted Subsidiary (other than any Foreign Subsidiary or Immaterial Subsidiary) of Borrower to (a)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(b) make Investments in or to Borrower or any of its Restricted Subsidiaries, (c) transfer any of its Property to Borrower or any of its Restricted Subsidiaries or (d) in the case of any Guarantor, guarantee the Obligations hereunder or, in the case of any Credit Party, subject its portion of the Collateral to the Liens securing the Obligations in favor of the Secured Parties, except that each of the following shall be permitted: (i) any such encumbrances or restrictions existing under or by reason of (x) applicable Law (including any Gaming Law and any regulations, order or decrees of any Gaming Authority or other applicable Governmental Authority) or (y) the Credit Documents, (ii) restrictions on the transfer of Property, or the granting of Liens on Property, in each case, subject to Permitted Liens, (iii) customary restrictions on subletting or assignment of any lease or sublease governing a leasehold interest of any Company, (iv) restrictions on the transfer of any Property, or the granting of Liens on Property, subject to a contract with respect to an Asset Sale or other transfer, sale, conveyance or disposition permitted under this Agreement, (v) restrictions contained in the existing Indebtedness listed on </w:t>
      </w:r>
      <w:r>
        <w:rPr>
          <w:rFonts w:ascii="Times New Roman" w:cs="Times New Roman" w:eastAsia="Times New Roman" w:hAnsi="Times New Roman"/>
          <w:sz w:val="18"/>
          <w:szCs w:val="18"/>
          <w:u w:val="single" w:color="auto"/>
          <w:color w:val="auto"/>
        </w:rPr>
        <w:t>Schedule 10.01</w:t>
      </w:r>
      <w:r>
        <w:rPr>
          <w:rFonts w:ascii="Times New Roman" w:cs="Times New Roman" w:eastAsia="Times New Roman" w:hAnsi="Times New Roman"/>
          <w:sz w:val="18"/>
          <w:szCs w:val="18"/>
          <w:color w:val="auto"/>
        </w:rPr>
        <w:t xml:space="preserve">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restrictive provisions in any such Permitted Refinancing, taken as a whole and as determined by Borrower in good faith, are not materially more restrictive than the restrictive provisions in the Indebtedness being refinanced, (vi) restrictions contained in Indebtedness of Persons acquired pursuant to, or assumed in connection with, Permitted Acquisitions or other Acquisitions not prohibited hereunder after the Closing Date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 (vii) with respect to clauses (a), (b) and (c) above, restrictions contained in any Permitted Unsecured Indebtedness and Permitted Refinancings thereof, or any Permitted Second Lien Indebtedness and Permitted Refinancings thereof, or any Permitted First Lien Indebtedness and Permitted Refinancings thereof, or any other Indebtedness permitted hereunder, in each case, taken as a whole and as determined by Borrower in good faith, to the extent not materially more restrictive than those contained in this Agreement, (viii) with respect to clauses (a), (b) and (c) above, restrictions contained in any Indebtedness permitted hereunder, in each case, taken as a whole and as determined by Borrower in good faith, to the extent not materially more restrictive than those contained in this Agreement, (ix) customary restrictions in joint venture arrangements or management contracts;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are limited to the assets of such joint ventures and the Equity Interests of the Persons party to such joint venture arrangements or the assignment of such management contract, as applicable, (x) customary non-assignment provisions or other customary restrictions arising under licenses, leases and other contracts entered into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restrictions are limited to the assets subject to such licenses, leases and contracts and the Equity Interests of the Persons party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licenses and contracts, (xi) restrictions contained in Indebtedness of Foreign Subsidiaries incurred pursuant to Section 10.01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apply only to the Foreign Subsidiaries incurring such Indebtedness and their Subsidiaries (and the assets thereof), (xii) restrictions contained in Indebtedness used to finance, or incurred for the purpose of financing (including Development Financing), Expansion Capital Expenditures and/or Investments, Capital Expenditures or other expenditures with respect to Development Projects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restrictions apply only to the asset (or the Person owning such asset) being financed pursuant to such Indebtedness, (xiii)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contained in subordination provisions applicable to intercompany debt owed by the Credit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intercompany debt is subordinated to the Obligations on terms at least as favorable to the Lenders as the subordination of such intercompany debt to any other obligations as determined by Borrower in good faith, (xiv) from and after the Wynn Las Vegas Reorganization, 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 and (xv) from and after the Wynn Las Vegas Reorganization, restrictions contained in the Aircraft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797"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color w:val="auto"/>
        </w:rPr>
        <w:t xml:space="preserve">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restrictions apply only to the asset (or the Person owning such asset) being financed pursuant to such Indebtedness.</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10.11. Limitation on Lines of Business</w:t>
      </w:r>
      <w:r>
        <w:rPr>
          <w:rFonts w:ascii="Times New Roman" w:cs="Times New Roman" w:eastAsia="Times New Roman" w:hAnsi="Times New Roman"/>
          <w:sz w:val="18"/>
          <w:szCs w:val="18"/>
          <w:color w:val="auto"/>
        </w:rPr>
        <w:t>. Neither Borrower nor any Restricted Subsidiary shall directly or indirectly engage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extent (determined on a consolidated basis) in any line or lines of business activity other than Permitted Business.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10.12. Limitation on Changes to Fiscal Year</w:t>
      </w:r>
      <w:r>
        <w:rPr>
          <w:rFonts w:ascii="Times New Roman" w:cs="Times New Roman" w:eastAsia="Times New Roman" w:hAnsi="Times New Roman"/>
          <w:sz w:val="18"/>
          <w:szCs w:val="18"/>
          <w:color w:val="auto"/>
        </w:rPr>
        <w:t>. Neither Borrower nor any Restricted Subsidiary shall change its fiscal year end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other than December 31 of each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1"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7"/>
          <w:szCs w:val="17"/>
          <w:b w:val="1"/>
          <w:bCs w:val="1"/>
          <w:color w:val="auto"/>
        </w:rPr>
        <w:t>Events of Default</w:t>
      </w:r>
      <w:r>
        <w:rPr>
          <w:rFonts w:ascii="Times New Roman" w:cs="Times New Roman" w:eastAsia="Times New Roman" w:hAnsi="Times New Roman"/>
          <w:sz w:val="17"/>
          <w:szCs w:val="17"/>
          <w:color w:val="auto"/>
        </w:rPr>
        <w:t>. If one or more of the following events (herein called “</w:t>
      </w:r>
      <w:r>
        <w:rPr>
          <w:rFonts w:ascii="Times New Roman" w:cs="Times New Roman" w:eastAsia="Times New Roman" w:hAnsi="Times New Roman"/>
          <w:sz w:val="17"/>
          <w:szCs w:val="17"/>
          <w:b w:val="1"/>
          <w:bCs w:val="1"/>
          <w:color w:val="auto"/>
        </w:rPr>
        <w:t>Events of Default</w:t>
      </w:r>
      <w:r>
        <w:rPr>
          <w:rFonts w:ascii="Times New Roman" w:cs="Times New Roman" w:eastAsia="Times New Roman" w:hAnsi="Times New Roman"/>
          <w:sz w:val="17"/>
          <w:szCs w:val="17"/>
          <w:color w:val="auto"/>
        </w:rPr>
        <w:t>”) shall occur and be continuing:</w:t>
      </w:r>
    </w:p>
    <w:p>
      <w:pPr>
        <w:spacing w:after="0" w:line="229" w:lineRule="exact"/>
        <w:rPr>
          <w:sz w:val="20"/>
          <w:szCs w:val="20"/>
          <w:color w:val="auto"/>
        </w:rPr>
      </w:pPr>
    </w:p>
    <w:p>
      <w:pPr>
        <w:jc w:val="both"/>
        <w:ind w:firstLine="656"/>
        <w:spacing w:after="0" w:line="256" w:lineRule="auto"/>
        <w:tabs>
          <w:tab w:leader="none" w:pos="108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5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w:t>
      </w:r>
    </w:p>
    <w:p>
      <w:pPr>
        <w:ind w:firstLine="8"/>
        <w:spacing w:after="0" w:line="261" w:lineRule="auto"/>
        <w:tabs>
          <w:tab w:leader="none" w:pos="2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Loans when and as the same shall become due and payable, and such default under this clause (ii) shall continue unremedied for a period of five (5) Business Days;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9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9"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due observance or performance by Borrower or any Restricted Subsidiary of any covenant, condition or agreement contained in Section 9.01(a) (with respect to Borrower only), 9.04(d), 9.06, 9.10 or in Article X (provided in the case of Section 10.08 only, in no case shall any default in the due observance or performance thereof during a Covenant Suspension Period constitute a Default or Event of Default);</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2"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due observance or performance by Borrower or any of its Restricted Subsidiaries of any covenant, condition or agreement contained in any Credit Document (other than those specified in Section 11.01(b), 11.01(c) or 11.01(d))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795" w:right="239" w:bottom="1440" w:gutter="0" w:footer="0" w:header="0"/>
        </w:sectPr>
      </w:pPr>
    </w:p>
    <w:bookmarkStart w:id="231" w:name="page232"/>
    <w:bookmarkEnd w:id="23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(x) clauses (i) and (ii) shall not apply to any offer to repurchase, prepay or redeem Indebtedness of a Person acquired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 (z) it shall not constitute an Event of Default pursuant to this paragraph (f) unless the aggregate amount of all such Indebtedness referred to in clauses (i) and (ii) exceeds $125.0 million at any one time;</w:t>
      </w:r>
    </w:p>
    <w:p>
      <w:pPr>
        <w:spacing w:after="0" w:line="186" w:lineRule="exact"/>
        <w:rPr>
          <w:sz w:val="20"/>
          <w:szCs w:val="20"/>
          <w:color w:val="auto"/>
        </w:rPr>
      </w:pPr>
    </w:p>
    <w:p>
      <w:pPr>
        <w:jc w:val="both"/>
        <w:ind w:firstLine="656"/>
        <w:spacing w:after="0" w:line="255" w:lineRule="auto"/>
        <w:tabs>
          <w:tab w:leader="none" w:pos="105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of its Restricted Subsidiaries (other than any Immaterial Subsidiary); and such proceeding or petition shall continue undismissed for 60 days or an order or decree approving or ordering any of the foregoing shall be entered;</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4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Section 11.01(g);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3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such ERISA Events,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(except as otherwise provided in this Agreement or such Security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796" w:right="239" w:bottom="1440" w:gutter="0" w:footer="0" w:header="0"/>
        </w:sectPr>
      </w:pPr>
    </w:p>
    <w:bookmarkStart w:id="232" w:name="page233"/>
    <w:bookmarkEnd w:id="232"/>
    <w:p>
      <w:pPr>
        <w:spacing w:after="0" w:line="282" w:lineRule="auto"/>
        <w:rPr>
          <w:sz w:val="20"/>
          <w:szCs w:val="20"/>
          <w:color w:val="auto"/>
        </w:rPr>
      </w:pPr>
      <w:r>
        <w:rPr>
          <w:rFonts w:ascii="Times New Roman" w:cs="Times New Roman" w:eastAsia="Times New Roman" w:hAnsi="Times New Roman"/>
          <w:sz w:val="18"/>
          <w:szCs w:val="18"/>
          <w:color w:val="auto"/>
        </w:rPr>
        <w:t>Document) security interest in or Lien on the Collateral covered thereby, in each case, other than as a result of an act of the Administrative Agent, the Collateral Agent or any other Secured Party;</w:t>
      </w:r>
    </w:p>
    <w:p>
      <w:pPr>
        <w:spacing w:after="0" w:line="162" w:lineRule="exact"/>
        <w:rPr>
          <w:sz w:val="20"/>
          <w:szCs w:val="20"/>
          <w:color w:val="auto"/>
        </w:rPr>
      </w:pPr>
    </w:p>
    <w:p>
      <w:pPr>
        <w:jc w:val="both"/>
        <w:ind w:firstLine="656"/>
        <w:spacing w:after="0" w:line="266" w:lineRule="auto"/>
        <w:tabs>
          <w:tab w:leader="none" w:pos="100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Sections 9.12 or 10.05);</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80"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Change of Control;</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14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the first proviso to the definition of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License Revocation continues for at least thirty (30) consecutive days after the earlier of</w:t>
      </w:r>
    </w:p>
    <w:p>
      <w:pPr>
        <w:spacing w:after="0" w:line="2" w:lineRule="exact"/>
        <w:rPr>
          <w:rFonts w:ascii="Times New Roman" w:cs="Times New Roman" w:eastAsia="Times New Roman" w:hAnsi="Times New Roman"/>
          <w:sz w:val="18"/>
          <w:szCs w:val="18"/>
          <w:color w:val="auto"/>
        </w:rPr>
      </w:pPr>
    </w:p>
    <w:p>
      <w:pPr>
        <w:ind w:right="20" w:firstLine="8"/>
        <w:spacing w:after="0" w:line="261" w:lineRule="auto"/>
        <w:tabs>
          <w:tab w:leader="none" w:pos="26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77"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112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 Second Lien Intercreditor Agreement shall, in whole or in part, following such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Intercreditor Agreement or Second Lien Intercreditor Agreement being entered into, terminate, cease to be effective or cease to be legally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and enforceable against the Persons party thereto, except in accordance with its terms;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then, and in every such event (other than an event described in Section 11.01(g) or 11.01(h)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Swap Contracts and Cash Management Agreements), shall become forthwith due and payable, without presentment, demand, protest or any other notice of any kind, all of which are hereby expressly waived by Borrower, anything contained herein or in any other Credit Document (other than Swap Contracts and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Section 11.01(g) or 11.01(h) with respect to Borrower, to pay) to Collateral Agent at the Principal Office such additional amounts of cash, to be held as security by Collateral Agent for L/C Liabilities then outstanding, equal to the aggregate L/C Liabilities then outstanding; and in any event described in Section 11.01(g) or 11.01(h)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covenants set forth in Section 10.08, then the Administrative Agent may not take any of the actions set forth in this Section 11.01 during the period commencing on the date that the Administrative Agent receives a Notice of Intent to Cure and ending on the Cure Expiration Date with respect thereto in accordance with and to the extent permitted by Section 11.03.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797" w:right="239" w:bottom="1440" w:gutter="0" w:footer="0" w:header="0"/>
        </w:sectPr>
      </w:pPr>
    </w:p>
    <w:bookmarkStart w:id="233" w:name="page234"/>
    <w:bookmarkEnd w:id="233"/>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SECTION 11.02. Application of Proceeds</w:t>
      </w:r>
      <w:r>
        <w:rPr>
          <w:rFonts w:ascii="Times New Roman" w:cs="Times New Roman" w:eastAsia="Times New Roman" w:hAnsi="Times New Roman"/>
          <w:sz w:val="18"/>
          <w:szCs w:val="18"/>
          <w:color w:val="auto"/>
        </w:rPr>
        <w:t>. The proceeds received by Collateral Agent in respect of any sale of, collection from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397" w:lineRule="exact"/>
        <w:rPr>
          <w:sz w:val="20"/>
          <w:szCs w:val="20"/>
          <w:color w:val="auto"/>
        </w:rPr>
      </w:pPr>
    </w:p>
    <w:p>
      <w:pPr>
        <w:jc w:val="both"/>
        <w:ind w:firstLine="656"/>
        <w:spacing w:after="0" w:line="261" w:lineRule="auto"/>
        <w:tabs>
          <w:tab w:leader="none" w:pos="11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all reasonable costs and expenses, fees, commissions and Taxes of such sale, collection or other realization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80" w:lineRule="exact"/>
        <w:rPr>
          <w:rFonts w:ascii="Times New Roman" w:cs="Times New Roman" w:eastAsia="Times New Roman" w:hAnsi="Times New Roman"/>
          <w:sz w:val="18"/>
          <w:szCs w:val="18"/>
          <w:color w:val="auto"/>
        </w:rPr>
      </w:pPr>
    </w:p>
    <w:p>
      <w:pPr>
        <w:jc w:val="both"/>
        <w:ind w:firstLine="656"/>
        <w:spacing w:after="0" w:line="267" w:lineRule="auto"/>
        <w:tabs>
          <w:tab w:leader="none" w:pos="103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all other reasonable costs and expenses of such sale, collection or other realization and of any receiver of any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73" w:lineRule="exact"/>
        <w:rPr>
          <w:rFonts w:ascii="Times New Roman" w:cs="Times New Roman" w:eastAsia="Times New Roman" w:hAnsi="Times New Roman"/>
          <w:sz w:val="18"/>
          <w:szCs w:val="18"/>
          <w:color w:val="auto"/>
        </w:rPr>
      </w:pPr>
    </w:p>
    <w:p>
      <w:pPr>
        <w:jc w:val="both"/>
        <w:ind w:firstLine="656"/>
        <w:spacing w:after="0" w:line="259" w:lineRule="auto"/>
        <w:tabs>
          <w:tab w:leader="none" w:pos="10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without duplication of amounts applied pursuant to clauses (a) and (b) above, to the indefeasible payment in full in cash,</w:t>
      </w:r>
      <w:r>
        <w:rPr>
          <w:rFonts w:ascii="Times New Roman" w:cs="Times New Roman" w:eastAsia="Times New Roman" w:hAnsi="Times New Roman"/>
          <w:sz w:val="18"/>
          <w:szCs w:val="18"/>
          <w:i w:val="1"/>
          <w:iCs w:val="1"/>
          <w:color w:val="auto"/>
        </w:rPr>
        <w:t xml:space="preserve"> pro rata</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other amounts constituting Obligations (other than principal, reimbursement obligations in respect of L/C Liabilities and obligations to Cash Collateralize L/C Liabilities) and any fees, premiums and scheduled periodic payments due under Obligations arising under Secured Cash Management Agreements and Swap Contracts that constitute Secured Obligations (as defined in the Security Agreement) and any interest accrued thereon, in each case equally and ratably in accordance with the respective amounts thereof then due and owing;</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1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indefeasible payment in full in cash,</w:t>
      </w:r>
      <w:r>
        <w:rPr>
          <w:rFonts w:ascii="Times New Roman" w:cs="Times New Roman" w:eastAsia="Times New Roman" w:hAnsi="Times New Roman"/>
          <w:sz w:val="18"/>
          <w:szCs w:val="18"/>
          <w:i w:val="1"/>
          <w:iCs w:val="1"/>
          <w:color w:val="auto"/>
        </w:rPr>
        <w:t xml:space="preserve"> pro rata</w:t>
      </w:r>
      <w:r>
        <w:rPr>
          <w:rFonts w:ascii="Times New Roman" w:cs="Times New Roman" w:eastAsia="Times New Roman" w:hAnsi="Times New Roman"/>
          <w:sz w:val="18"/>
          <w:szCs w:val="18"/>
          <w:color w:val="auto"/>
        </w:rPr>
        <w:t>, of principal amount of the Obligations and any premium thereon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obligations in respect of L/C Liabilities and obligations to Cash Collateralize L/C Liabilities) and any breakage, termination or other payments under Obligations arising under Secured Cash Management Agreements and Swap Contracts that constitute Secured Obligations (as defined in the Security Agreement) and any interest accrued thereon; and</w:t>
      </w:r>
    </w:p>
    <w:p>
      <w:pPr>
        <w:spacing w:after="0" w:line="180" w:lineRule="exact"/>
        <w:rPr>
          <w:rFonts w:ascii="Times New Roman" w:cs="Times New Roman" w:eastAsia="Times New Roman" w:hAnsi="Times New Roman"/>
          <w:sz w:val="18"/>
          <w:szCs w:val="18"/>
          <w:color w:val="auto"/>
        </w:rPr>
      </w:pPr>
    </w:p>
    <w:p>
      <w:pPr>
        <w:ind w:firstLine="656"/>
        <w:spacing w:after="0" w:line="284" w:lineRule="auto"/>
        <w:tabs>
          <w:tab w:leader="none" w:pos="104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the balance, if any, to the Person lawfully entitled thereto (including the applicable Credit Party or its successors or assigns) or as a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competent jurisdiction may direct.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any such proceeds are insufficient to pay in full the items described in clauses (a) through (c) of this Section 11.02, the Credit Parties shall remain liable, jointly and severally, for any deficiency.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the Collateral Agent pursuant to the terms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hereof for itself and its Affiliates as if a “Lender” party hereto.</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11.03. Borrower’s Right to Cure</w:t>
      </w:r>
      <w:r>
        <w:rPr>
          <w:rFonts w:ascii="Times New Roman" w:cs="Times New Roman" w:eastAsia="Times New Roman" w:hAnsi="Times New Roman"/>
          <w:sz w:val="18"/>
          <w:szCs w:val="18"/>
          <w:color w:val="auto"/>
        </w:rPr>
        <w:t>. Notwithstanding anything to the contrary contained in Section 10.08, in the event that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fail to comply with the financial maintenance covenants set forth in Section 10.08, any equity contribution (in the form of common equity or other equity having terms reasonably acceptable to the Administrative Agent) made or contributed to Borrower, or cash proceeds of Intercompany Contribution Indebtedness incurred by Borrower, after the last day of any fiscal quarter and on or prior to the day that is ten (10) Business Days after the day on which financial statements are required to be delivered for that fiscal quarter (such date, the “</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will, at the request of Borrower, be included in the calculation of Consolidated EBITDA solely for the purposes of determining compliance with such financial maintenance covenants at the end of such fiscal quarter and any subsequent period that includes such fiscal quarter (any such equity contribution or cash proceeds, a “</w:t>
      </w:r>
      <w:r>
        <w:rPr>
          <w:rFonts w:ascii="Times New Roman" w:cs="Times New Roman" w:eastAsia="Times New Roman" w:hAnsi="Times New Roman"/>
          <w:sz w:val="18"/>
          <w:szCs w:val="18"/>
          <w:b w:val="1"/>
          <w:bCs w:val="1"/>
          <w:color w:val="auto"/>
        </w:rPr>
        <w:t>Specified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no Lender shall be required to make any extension of credit during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793" w:right="239" w:bottom="1440" w:gutter="0" w:footer="0" w:header="0"/>
        </w:sectPr>
      </w:pPr>
    </w:p>
    <w:bookmarkStart w:id="234" w:name="page235"/>
    <w:bookmarkEnd w:id="234"/>
    <w:p>
      <w:pPr>
        <w:jc w:val="both"/>
        <w:spacing w:after="0" w:line="253" w:lineRule="auto"/>
        <w:rPr>
          <w:sz w:val="20"/>
          <w:szCs w:val="20"/>
          <w:color w:val="auto"/>
        </w:rPr>
      </w:pPr>
      <w:r>
        <w:rPr>
          <w:rFonts w:ascii="Times New Roman" w:cs="Times New Roman" w:eastAsia="Times New Roman" w:hAnsi="Times New Roman"/>
          <w:sz w:val="18"/>
          <w:szCs w:val="18"/>
          <w:color w:val="auto"/>
        </w:rPr>
        <w:t>the ten (10) Business Day period referred to above if Borrower has not 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such financial maintenance covenants,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such financial maintenance covenants)),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such financial maintenance covenants for the fiscal quarter for which such Specified Equity Contribution was made.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AGENTS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12.01. Appointment</w:t>
      </w:r>
      <w:r>
        <w:rPr>
          <w:rFonts w:ascii="Times New Roman" w:cs="Times New Roman" w:eastAsia="Times New Roman" w:hAnsi="Times New Roman"/>
          <w:sz w:val="18"/>
          <w:szCs w:val="18"/>
          <w:color w:val="auto"/>
        </w:rPr>
        <w:t>. Each of the Lenders hereby irrevocably appoints DB to act on its behalf as the Administrative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Agent hereunder and under the other Credit Documents, and authorizes the Administrative Agent and the Collateral Agent to take such actions on its behalf and to exercise such powers as are delegated to the Administrative Agent or the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Article XII, as applicable. Each of the Lenders hereby irrevocably authorize each of the Agents (other than the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Article XII, except to the extent set forth in this Section 12.01, Section 12.06 and Section 12.07(b).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12.02. Rights as a Lender</w:t>
      </w:r>
      <w:r>
        <w:rPr>
          <w:rFonts w:ascii="Times New Roman" w:cs="Times New Roman" w:eastAsia="Times New Roman" w:hAnsi="Times New Roman"/>
          <w:sz w:val="18"/>
          <w:szCs w:val="18"/>
          <w:color w:val="auto"/>
        </w:rPr>
        <w:t>. Any Person serving as an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796" w:right="239" w:bottom="1440" w:gutter="0" w:footer="0" w:header="0"/>
        </w:sectPr>
      </w:pPr>
    </w:p>
    <w:bookmarkStart w:id="235" w:name="page236"/>
    <w:bookmarkEnd w:id="235"/>
    <w:p>
      <w:pPr>
        <w:ind w:left="6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SECTION 12.03.</w:t>
        <w:tab/>
        <w:t>Exculpatory Provisions</w:t>
      </w:r>
      <w:r>
        <w:rPr>
          <w:rFonts w:ascii="Times New Roman" w:cs="Times New Roman" w:eastAsia="Times New Roman" w:hAnsi="Times New Roman"/>
          <w:sz w:val="18"/>
          <w:szCs w:val="18"/>
          <w:color w:val="auto"/>
        </w:rPr>
        <w:t>. No Agent shall have any duties or obligations except those expressly set forth herein and in the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Documents, and each Agent’s duties hereunder shall be administrative in nature. Without limiting the generality of the foregoing, no Agent:</w:t>
      </w:r>
    </w:p>
    <w:p>
      <w:pPr>
        <w:spacing w:after="0" w:line="207" w:lineRule="exact"/>
        <w:rPr>
          <w:sz w:val="20"/>
          <w:szCs w:val="20"/>
          <w:color w:val="auto"/>
        </w:rPr>
      </w:pPr>
    </w:p>
    <w:p>
      <w:pPr>
        <w:ind w:firstLine="656"/>
        <w:spacing w:after="0" w:line="282" w:lineRule="auto"/>
        <w:tabs>
          <w:tab w:leader="none" w:pos="104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to any fiduciary or other implied duties with respect to any Credit Party, any Lender or any other Person, regardless of whether a Default has occurred and is continuing;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1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Agent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13.04)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Article VII or elsewhere herein, other than to confirm receipt of items expressly required to be delivered to such Agent.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and shall not incur any liability with respect to, determining whether any assignee or potential assignee of the Loans or Commitments hereunder is a Competitor or a Disqualified Lender. 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12.04. Reliance by Agents</w:t>
      </w:r>
      <w:r>
        <w:rPr>
          <w:rFonts w:ascii="Times New Roman" w:cs="Times New Roman" w:eastAsia="Times New Roman" w:hAnsi="Times New Roman"/>
          <w:sz w:val="18"/>
          <w:szCs w:val="18"/>
          <w:color w:val="auto"/>
        </w:rPr>
        <w:t>. Each Agent shall be entitled to rely upon, and shall not incur any liability for relying upon, any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793" w:right="239" w:bottom="1440" w:gutter="0" w:footer="0" w:header="0"/>
        </w:sectPr>
      </w:pPr>
    </w:p>
    <w:bookmarkStart w:id="236" w:name="page237"/>
    <w:bookmarkEnd w:id="23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12.05. Delegation of Duties. </w:t>
      </w:r>
      <w:r>
        <w:rPr>
          <w:rFonts w:ascii="Times New Roman" w:cs="Times New Roman" w:eastAsia="Times New Roman" w:hAnsi="Times New Roman"/>
          <w:sz w:val="18"/>
          <w:szCs w:val="18"/>
          <w:color w:val="auto"/>
        </w:rPr>
        <w:t>Each Agent may perform any and all of its duties and exercise its rights and powers hereunder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 appealable judgment that an Agent acted with gross negligence, bad faith or willful misconduct in the selection of such sub-agents.</w:t>
      </w:r>
    </w:p>
    <w:p>
      <w:pPr>
        <w:spacing w:after="0" w:line="18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12.06.</w:t>
        <w:tab/>
        <w:t>Resignation of Administrative Agent and Collateral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105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Section 11.01(b) or 11.01(c) or an Event of Default specified in Section 11.01(g) or 11.01(h)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Section 11.01(b) or 11.01(c) or an Event of Default specified in Section 11.01(g) or 11.01(h) with respect to Borrower has occurred and is continuing)) (the “</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b w:val="1"/>
          <w:bCs w:val="1"/>
          <w:color w:val="auto"/>
        </w:rPr>
        <w:t>Removal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02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the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the Administrative Agent or the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792" w:right="239" w:bottom="1440" w:gutter="0" w:footer="0" w:header="0"/>
        </w:sectPr>
      </w:pPr>
    </w:p>
    <w:bookmarkStart w:id="237" w:name="page238"/>
    <w:bookmarkEnd w:id="237"/>
    <w:p>
      <w:pPr>
        <w:jc w:val="both"/>
        <w:spacing w:after="0" w:line="266" w:lineRule="auto"/>
        <w:rPr>
          <w:sz w:val="20"/>
          <w:szCs w:val="20"/>
          <w:color w:val="auto"/>
        </w:rPr>
      </w:pPr>
      <w:r>
        <w:rPr>
          <w:rFonts w:ascii="Times New Roman" w:cs="Times New Roman" w:eastAsia="Times New Roman" w:hAnsi="Times New Roman"/>
          <w:sz w:val="18"/>
          <w:szCs w:val="18"/>
          <w:color w:val="auto"/>
        </w:rPr>
        <w:t>other Credit Documents, the provisions of this Article and Section 13.03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76" w:lineRule="exact"/>
        <w:rPr>
          <w:sz w:val="20"/>
          <w:szCs w:val="20"/>
          <w:color w:val="auto"/>
        </w:rPr>
      </w:pPr>
    </w:p>
    <w:p>
      <w:pPr>
        <w:jc w:val="both"/>
        <w:ind w:firstLine="656"/>
        <w:spacing w:after="0" w:line="253" w:lineRule="auto"/>
        <w:tabs>
          <w:tab w:leader="none" w:pos="1123"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DB as Administrative Agent and Collateral Agent pursuant to this Section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Sections 2.03(e) and (f).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5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pacing w:after="0" w:line="18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12.07.</w:t>
      </w:r>
      <w:r>
        <w:rPr>
          <w:sz w:val="20"/>
          <w:szCs w:val="20"/>
          <w:color w:val="auto"/>
        </w:rPr>
        <w:tab/>
      </w:r>
      <w:r>
        <w:rPr>
          <w:rFonts w:ascii="Times New Roman" w:cs="Times New Roman" w:eastAsia="Times New Roman" w:hAnsi="Times New Roman"/>
          <w:sz w:val="17"/>
          <w:szCs w:val="17"/>
          <w:b w:val="1"/>
          <w:bCs w:val="1"/>
          <w:color w:val="auto"/>
        </w:rPr>
        <w:t>Nonreliance on Agents and Other Lenders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05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in connection with Borrower Loan Purchases, (i) Borrower may purchase or acquire Term Loans or Revolving Loans hereunder from the Lenders from time to time, subject to the restrictions set forth in the definition of Eligible Assignee and in Section 13.05(d),</w:t>
      </w:r>
    </w:p>
    <w:p>
      <w:pPr>
        <w:jc w:val="both"/>
        <w:ind w:firstLine="8"/>
        <w:spacing w:after="0" w:line="251" w:lineRule="auto"/>
        <w:tabs>
          <w:tab w:leader="none" w:pos="27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Excluded Information shall not and does not affect the truth or accuracy of the representations or warranties of Borrower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Terms and Conditions set forth in the applicable assignment agreement. Each Lender further acknowledges that the Excluded Information may not be available to Administrative Agent, Auction Manager or the other Lenders hereunder.</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12.08. Indemnification</w:t>
      </w:r>
      <w:r>
        <w:rPr>
          <w:rFonts w:ascii="Times New Roman" w:cs="Times New Roman" w:eastAsia="Times New Roman" w:hAnsi="Times New Roman"/>
          <w:sz w:val="18"/>
          <w:szCs w:val="18"/>
          <w:color w:val="auto"/>
        </w:rPr>
        <w:t>. The Lenders agree to reimburse and indemnify each Agent in its capacity as such ratably according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797" w:right="239" w:bottom="1440" w:gutter="0" w:footer="0" w:header="0"/>
        </w:sectPr>
      </w:pPr>
    </w:p>
    <w:bookmarkStart w:id="238" w:name="page239"/>
    <w:bookmarkEnd w:id="23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by such Agent under or in connection with any of the foregoing, but only to the extent that any of the foregoing is not paid by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Fee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Section 12.08 shall survive the payment of all Obligations.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12.09. No Other Duties</w:t>
      </w:r>
      <w:r>
        <w:rPr>
          <w:rFonts w:ascii="Times New Roman" w:cs="Times New Roman" w:eastAsia="Times New Roman" w:hAnsi="Times New Roman"/>
          <w:sz w:val="18"/>
          <w:szCs w:val="18"/>
          <w:color w:val="auto"/>
        </w:rPr>
        <w:t>. Anything herein to the contrary notwithstanding, none of the Administrative Agent,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Agent, Syndication Agents, Lead Arrangers, or Arrangers shall have any powers, duties or responsibilities under this Agreement or any of the other Credit Documents, except in its capacity, as applicable, as the Administrative Agent, the Collateral Agent, an L/C Lender, the Auction Manager or a Lender hereunder.</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12.10. Holders</w:t>
      </w:r>
      <w:r>
        <w:rPr>
          <w:rFonts w:ascii="Times New Roman" w:cs="Times New Roman" w:eastAsia="Times New Roman" w:hAnsi="Times New Roman"/>
          <w:sz w:val="18"/>
          <w:szCs w:val="18"/>
          <w:color w:val="auto"/>
        </w:rPr>
        <w:t>. Administrative Agent may deem and treat the payee of any Note as the owner thereof for all purposes hereof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spacing w:after="0" w:line="184"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18"/>
          <w:szCs w:val="18"/>
          <w:b w:val="1"/>
          <w:bCs w:val="1"/>
          <w:color w:val="auto"/>
        </w:rPr>
        <w:t>SECTION 12.11. Administrative Agent May File Proofs of Claim</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of the pendency of any proceeding under any Debtor Relief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judicial proceeding relative to any Credit Party, the Administrative Agent (irrespective of whether the principal of any Loan or L/C Liability shall then be due and payable as herein expressed or by declaration or otherwise and irrespective of whether the Administrative Agent shall have made any demand on Borrower) shall be entitled and empowered, by intervention in such proceeding or otherwise:</w:t>
      </w:r>
    </w:p>
    <w:p>
      <w:pPr>
        <w:spacing w:after="0" w:line="156" w:lineRule="exact"/>
        <w:rPr>
          <w:sz w:val="20"/>
          <w:szCs w:val="20"/>
          <w:color w:val="auto"/>
        </w:rPr>
      </w:pPr>
    </w:p>
    <w:p>
      <w:pPr>
        <w:jc w:val="both"/>
        <w:ind w:firstLine="656"/>
        <w:spacing w:after="0" w:line="261" w:lineRule="auto"/>
        <w:tabs>
          <w:tab w:leader="none" w:pos="106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Sections 2.03, 2.05 and 13.03) allowed in such judicial proceeding; and</w:t>
      </w:r>
    </w:p>
    <w:p>
      <w:pPr>
        <w:spacing w:after="0" w:line="1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each Secured Party by accepting the benefits of the Collateral)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Sections 2.03, 2.05 and 13.03.</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Secured Party any plan of reorganization, arrangement, adjustment or composition affecting the Obligations or the rights of any Secured Party to authorize the Administrative Agent to vote in respect of the claim of any Secured Party in any such proceeding.</w:t>
      </w:r>
    </w:p>
    <w:p>
      <w:pPr>
        <w:spacing w:after="0" w:line="17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12.12.</w:t>
        <w:tab/>
        <w:t>Collateral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20"/>
          </w:cols>
          <w:pgMar w:left="240" w:top="797" w:right="239" w:bottom="1440" w:gutter="0" w:footer="0" w:header="0"/>
        </w:sectPr>
      </w:pPr>
    </w:p>
    <w:bookmarkStart w:id="239" w:name="page240"/>
    <w:bookmarkEnd w:id="239"/>
    <w:p>
      <w:pPr>
        <w:jc w:val="both"/>
        <w:ind w:firstLine="656"/>
        <w:spacing w:after="0" w:line="255" w:lineRule="auto"/>
        <w:tabs>
          <w:tab w:leader="none" w:pos="104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prior to an Event of Default,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Section 13.04(g). Upon request by Administrative Agent at any time, the Lenders will confirm in writing Collateral Agent’s authority to release particular types or items of Collateral pursuant to Section 13.04(g).</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05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Section 12.01 or in this Section 12.12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12.13. Withholding Tax</w:t>
      </w:r>
      <w:r>
        <w:rPr>
          <w:rFonts w:ascii="Times New Roman" w:cs="Times New Roman" w:eastAsia="Times New Roman" w:hAnsi="Times New Roman"/>
          <w:sz w:val="18"/>
          <w:szCs w:val="18"/>
          <w:color w:val="auto"/>
        </w:rPr>
        <w:t>. To the extent required by any applicable Requirement of Law, the Administrative Agent may withhold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payment to any Lender, an amount equivalent to any applicable withholding tax. Without limiting or expanding the provisions of Section 5.06,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any and all Taxes and any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Section 12.13. The agreements in this Section 12.13 shall survive the resignation and/or replacement of Administrative Agent, any assignment of rights by, or the replacement of, a Lender, and the repayment, satisfaction or discharge of any Loans and all other amounts payable hereunder.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12.14. Secured Cash Management Agreements and Swap Contracts</w:t>
      </w:r>
      <w:r>
        <w:rPr>
          <w:rFonts w:ascii="Times New Roman" w:cs="Times New Roman" w:eastAsia="Times New Roman" w:hAnsi="Times New Roman"/>
          <w:sz w:val="18"/>
          <w:szCs w:val="18"/>
          <w:color w:val="auto"/>
        </w:rPr>
        <w:t>. Except as otherwise expressly set forth herein or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Document, no Cash Management Bank or Swap Provider that obtains the benefits of Section 11.02, Article VI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XII to the contrary, the Administrative Agent shall not be required to verify the payment of, or that other satisfactory arrangements have been made with respect to, Obligations arising under Secured Cash Management Agreements and Swap Contracts unless the Administrative Agent has received written notice of such Obligations, together with such supporting documentation as the Administrative Agent may request, from the applicable Cash Management Bank or Swap Provider, as the case may be.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20"/>
          </w:cols>
          <w:pgMar w:left="240" w:top="796" w:right="2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13.01. Waiver</w:t>
      </w:r>
      <w:r>
        <w:rPr>
          <w:rFonts w:ascii="Times New Roman" w:cs="Times New Roman" w:eastAsia="Times New Roman" w:hAnsi="Times New Roman"/>
          <w:sz w:val="18"/>
          <w:szCs w:val="18"/>
          <w:color w:val="auto"/>
        </w:rPr>
        <w:t>. No failure on the part of Administrative Agent, Collateral Agent or any other Secured Party to exercise and no delay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77"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2" w:lineRule="auto"/>
        <w:tabs>
          <w:tab w:leader="none" w:pos="114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Unless otherwise expressly provided herein, all notices and other communications provided for hereunder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by facsimile or electronic mail). All such written notices shall be mailed certified or registered mail, faxed or delivered to the applicable address, telecopy or facsimile number or (subject to Section 13.02(b) below) electronic mail address, and all notices and other communications expressly permitted hereunder to be given by telephone shall be made to the applicable telephone number, as follows:</w:t>
      </w:r>
    </w:p>
    <w:p>
      <w:pPr>
        <w:spacing w:after="0" w:line="18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39"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22"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13.02(b) below, shall be effective as provided in such Section 13.02(b).</w:t>
      </w:r>
    </w:p>
    <w:p>
      <w:pPr>
        <w:spacing w:after="0" w:line="176" w:lineRule="exact"/>
        <w:rPr>
          <w:sz w:val="20"/>
          <w:szCs w:val="20"/>
          <w:color w:val="auto"/>
        </w:rPr>
      </w:pPr>
    </w:p>
    <w:p>
      <w:pPr>
        <w:jc w:val="both"/>
        <w:ind w:firstLine="656"/>
        <w:spacing w:after="0" w:line="220" w:lineRule="exact"/>
        <w:tabs>
          <w:tab w:leader="none" w:pos="115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Communications</w:t>
      </w:r>
      <w:r>
        <w:rPr>
          <w:rFonts w:ascii="Times New Roman" w:cs="Times New Roman" w:eastAsia="Times New Roman" w:hAnsi="Times New Roman"/>
          <w:sz w:val="18"/>
          <w:szCs w:val="18"/>
          <w:color w:val="auto"/>
        </w:rPr>
        <w:t>. Notices and other communications to the Lenders hereunder may be delivered or furnished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(including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and Internet or intranet websites) pursuant to procedures approved by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jc w:val="both"/>
        <w:ind w:firstLine="656"/>
        <w:spacing w:after="0" w:line="268" w:lineRule="auto"/>
        <w:tabs>
          <w:tab w:leader="none" w:pos="104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Address, Etc</w:t>
      </w:r>
      <w:r>
        <w:rPr>
          <w:rFonts w:ascii="Times New Roman" w:cs="Times New Roman" w:eastAsia="Times New Roman" w:hAnsi="Times New Roman"/>
          <w:sz w:val="18"/>
          <w:szCs w:val="18"/>
          <w:color w:val="auto"/>
        </w:rPr>
        <w:t>. Each Credit Party, each Agent and each L/C Lender may change its respective address, facsimile number,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address or telephone number for notices and other communications hereunder by notice to the other parties hereto. Each other Lender may change its address, facsimile number, electronic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20"/>
          </w:cols>
          <w:pgMar w:left="240" w:top="797"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t>mail address or telephone number for notices and other communications hereunder by notice to Borrower, Administrative Agent and each L/C Lender.</w:t>
      </w:r>
    </w:p>
    <w:p>
      <w:pPr>
        <w:spacing w:after="0" w:line="221" w:lineRule="exact"/>
        <w:rPr>
          <w:sz w:val="20"/>
          <w:szCs w:val="20"/>
          <w:color w:val="auto"/>
        </w:rPr>
      </w:pPr>
    </w:p>
    <w:p>
      <w:pPr>
        <w:jc w:val="both"/>
        <w:ind w:firstLine="656"/>
        <w:spacing w:after="0" w:line="255" w:lineRule="auto"/>
        <w:tabs>
          <w:tab w:leader="none" w:pos="106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Reliance by Agents and Lenders</w:t>
      </w:r>
      <w:r>
        <w:rPr>
          <w:rFonts w:ascii="Times New Roman" w:cs="Times New Roman" w:eastAsia="Times New Roman" w:hAnsi="Times New Roman"/>
          <w:sz w:val="18"/>
          <w:szCs w:val="18"/>
          <w:color w:val="auto"/>
        </w:rPr>
        <w:t>. Agents and the Lenders shall be entitled to rely and act upon any notices (including telephonic Notices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85"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Platform</w:t>
      </w:r>
      <w:r>
        <w:rPr>
          <w:rFonts w:ascii="Times New Roman" w:cs="Times New Roman" w:eastAsia="Times New Roman" w:hAnsi="Times New Roman"/>
          <w:sz w:val="18"/>
          <w:szCs w:val="18"/>
          <w:color w:val="auto"/>
        </w:rPr>
        <w:t>. THE PLATFORM IS PROVIDED “AS IS” AND “AS AVAILABLE.” THE AGENT PARTIES (AS DEFINED BELOW)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18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7"/>
          <w:szCs w:val="17"/>
          <w:b w:val="1"/>
          <w:bCs w:val="1"/>
          <w:color w:val="auto"/>
        </w:rPr>
        <w:t>Expenses, Indemnification,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040" w:hanging="384"/>
        <w:spacing w:after="0"/>
        <w:tabs>
          <w:tab w:leader="none" w:pos="10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jointly and severally, agree to pay or reimburse:</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699"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35"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and each Lender for all reasonable and documented out-of-pocket costs and expenses of such Agent or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796" w:right="239" w:bottom="1440" w:gutter="0" w:footer="0" w:header="0"/>
        </w:sectPr>
      </w:pPr>
    </w:p>
    <w:bookmarkStart w:id="242" w:name="page243"/>
    <w:bookmarkEnd w:id="242"/>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Section 13.03; and</w:t>
      </w:r>
    </w:p>
    <w:p>
      <w:pPr>
        <w:spacing w:after="0" w:line="176" w:lineRule="exact"/>
        <w:rPr>
          <w:sz w:val="20"/>
          <w:szCs w:val="20"/>
          <w:color w:val="auto"/>
        </w:rPr>
      </w:pPr>
    </w:p>
    <w:p>
      <w:pPr>
        <w:jc w:val="both"/>
        <w:ind w:left="660" w:firstLine="645"/>
        <w:spacing w:after="0" w:line="261" w:lineRule="auto"/>
        <w:tabs>
          <w:tab w:leader="none" w:pos="17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Without limiting the rights of any Agent under this Section 13.03(a), each Agent, promptly after a request of Borrower from time to time, will advise Borrower of an estimate of any amount anticipated to be incurred by such Agent and reimbursed by Borrower under this Section 13.03(a).</w:t>
      </w:r>
    </w:p>
    <w:p>
      <w:pPr>
        <w:spacing w:after="0" w:line="162" w:lineRule="exact"/>
        <w:rPr>
          <w:sz w:val="20"/>
          <w:szCs w:val="20"/>
          <w:color w:val="auto"/>
        </w:rPr>
      </w:pPr>
    </w:p>
    <w:p>
      <w:pPr>
        <w:jc w:val="both"/>
        <w:ind w:firstLine="656"/>
        <w:spacing w:after="0" w:line="252" w:lineRule="auto"/>
        <w:tabs>
          <w:tab w:leader="none" w:pos="105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jointly and severally, hereby agree to indemnify each Agent, each Lender and their respective Affiliates, directors, trustees, officers, employees, representatives, advisors, partners and agents (each,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Section 12.08, but excluding (i) any such Losses relating to matters referred to in Sections 5.01 or 5.06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For purposes of this Section 13.03(b), a “</w:t>
      </w:r>
      <w:r>
        <w:rPr>
          <w:rFonts w:ascii="Times New Roman" w:cs="Times New Roman" w:eastAsia="Times New Roman" w:hAnsi="Times New Roman"/>
          <w:sz w:val="18"/>
          <w:szCs w:val="18"/>
          <w:u w:val="single" w:color="auto"/>
          <w:color w:val="auto"/>
        </w:rPr>
        <w:t>Related Indemnified Person</w:t>
      </w:r>
      <w:r>
        <w:rPr>
          <w:rFonts w:ascii="Times New Roman" w:cs="Times New Roman" w:eastAsia="Times New Roman" w:hAnsi="Times New Roman"/>
          <w:sz w:val="18"/>
          <w:szCs w:val="18"/>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20"/>
          </w:cols>
          <w:pgMar w:left="240" w:top="797" w:right="239" w:bottom="1440" w:gutter="0" w:footer="0" w:header="0"/>
        </w:sectPr>
      </w:pPr>
    </w:p>
    <w:bookmarkStart w:id="243" w:name="page244"/>
    <w:bookmarkEnd w:id="24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indemnity hereunder shall be subject to the exclusions from indemnification set forth in the preceding sentence.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the undertaking to indemnify and hold harmless set forth in this Section 13.03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in this sentence shall limit the Credit Parties’ indemnity and reimbursement obligations to the extent set forth in this Section 13.03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8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13.04.</w:t>
      </w:r>
      <w:r>
        <w:rPr>
          <w:sz w:val="20"/>
          <w:szCs w:val="20"/>
          <w:color w:val="auto"/>
        </w:rPr>
        <w:tab/>
      </w:r>
      <w:r>
        <w:rPr>
          <w:rFonts w:ascii="Times New Roman" w:cs="Times New Roman" w:eastAsia="Times New Roman" w:hAnsi="Times New Roman"/>
          <w:sz w:val="17"/>
          <w:szCs w:val="17"/>
          <w:b w:val="1"/>
          <w:bCs w:val="1"/>
          <w:color w:val="auto"/>
        </w:rPr>
        <w:t>Amendments and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04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other Credit Document nor any terms hereof or thereof may be amended, modified, changed or waived, unless such amendment, modification, change or waiver is in writing signed by the respective Credit Parties party thereto and the Required Lenders (or Administrative Agent with the consent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modification, change or waiver shall (and any such amendment, modification, change or waiver set forth below in clauses (i) through (vi) of this Section 13.04(a) shall only require the approval of the Agents and/or Lenders whose consent is required therefor pursuant to such clauses):</w:t>
      </w:r>
    </w:p>
    <w:p>
      <w:pPr>
        <w:spacing w:after="0" w:line="183" w:lineRule="exact"/>
        <w:rPr>
          <w:rFonts w:ascii="Times New Roman" w:cs="Times New Roman" w:eastAsia="Times New Roman" w:hAnsi="Times New Roman"/>
          <w:sz w:val="18"/>
          <w:szCs w:val="18"/>
          <w:color w:val="auto"/>
        </w:rPr>
      </w:pPr>
    </w:p>
    <w:p>
      <w:pPr>
        <w:jc w:val="both"/>
        <w:ind w:left="660" w:firstLine="888"/>
        <w:spacing w:after="0" w:line="254" w:lineRule="auto"/>
        <w:tabs>
          <w:tab w:leader="none" w:pos="193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the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affected thereby (it being understood that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89" w:lineRule="exact"/>
        <w:rPr>
          <w:rFonts w:ascii="Times New Roman" w:cs="Times New Roman" w:eastAsia="Times New Roman" w:hAnsi="Times New Roman"/>
          <w:sz w:val="18"/>
          <w:szCs w:val="18"/>
          <w:color w:val="auto"/>
        </w:rPr>
      </w:pPr>
    </w:p>
    <w:p>
      <w:pPr>
        <w:ind w:left="660" w:firstLine="888"/>
        <w:spacing w:after="0" w:line="282" w:lineRule="auto"/>
        <w:tabs>
          <w:tab w:leader="none" w:pos="209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(x) all or substantially all of the Collateral (except as provided in the Security Documents) under all the Security Documents or (y) all or substantially all of the Guarantors from the Guarantees, without the consent of each Lender;</w:t>
      </w:r>
    </w:p>
    <w:p>
      <w:pPr>
        <w:spacing w:after="0" w:line="161" w:lineRule="exact"/>
        <w:rPr>
          <w:rFonts w:ascii="Times New Roman" w:cs="Times New Roman" w:eastAsia="Times New Roman" w:hAnsi="Times New Roman"/>
          <w:sz w:val="18"/>
          <w:szCs w:val="18"/>
          <w:color w:val="auto"/>
        </w:rPr>
      </w:pPr>
    </w:p>
    <w:p>
      <w:pPr>
        <w:ind w:left="660" w:right="20" w:firstLine="888"/>
        <w:spacing w:after="0" w:line="282" w:lineRule="auto"/>
        <w:tabs>
          <w:tab w:leader="none" w:pos="2025"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change or waive (x) any provision of Section 11.02 or this Section 13.04 without the consent of each Lender, (y) any other provision of any Credit Document or any other provision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797" w:right="239" w:bottom="1440" w:gutter="0" w:footer="0" w:header="0"/>
        </w:sectPr>
      </w:pPr>
    </w:p>
    <w:bookmarkStart w:id="244" w:name="page245"/>
    <w:bookmarkEnd w:id="244"/>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of this Agreement that expressly provides that the consent of all Lenders is required, without the consent of each Lender or (z) any provision of any Credit Document that expressly provides that the consent of the Required Tranche Lenders of a particular Tranche or Required Revolving Lenders is required, without the consent of the Required Tranche Lenders of such Tranche or the Required Revolving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w:t>
      </w:r>
    </w:p>
    <w:p>
      <w:pPr>
        <w:spacing w:after="0" w:line="188" w:lineRule="exact"/>
        <w:rPr>
          <w:sz w:val="20"/>
          <w:szCs w:val="20"/>
          <w:color w:val="auto"/>
        </w:rPr>
      </w:pPr>
    </w:p>
    <w:p>
      <w:pPr>
        <w:jc w:val="both"/>
        <w:ind w:left="4" w:firstLine="888"/>
        <w:spacing w:after="0" w:line="255" w:lineRule="auto"/>
        <w:tabs>
          <w:tab w:leader="none" w:pos="139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no such consent shall be required for technical amendments with respect to additional extensions of credit pursuant to this Agreement, and (y) with the consent of the Required Lenders, additional extensions of credit (including Extended Term Loans and Extended Revolving Loans) pursuant to this Agreement may be included in the determination of the Required Lenders, Required Tranche Lenders and/or Required Revolving Lenders on substantially the same basis as the extensions of Loans and Commitments are included on the Closing Date);</w:t>
      </w:r>
    </w:p>
    <w:p>
      <w:pPr>
        <w:spacing w:after="0" w:line="187" w:lineRule="exact"/>
        <w:rPr>
          <w:rFonts w:ascii="Times New Roman" w:cs="Times New Roman" w:eastAsia="Times New Roman" w:hAnsi="Times New Roman"/>
          <w:sz w:val="18"/>
          <w:szCs w:val="18"/>
          <w:color w:val="auto"/>
        </w:rPr>
      </w:pPr>
    </w:p>
    <w:p>
      <w:pPr>
        <w:jc w:val="both"/>
        <w:ind w:left="4" w:firstLine="888"/>
        <w:spacing w:after="0" w:line="261" w:lineRule="auto"/>
        <w:tabs>
          <w:tab w:leader="none" w:pos="134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Section 4.02 or Section 4.07(b) in a manner that would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of payments required thereby, without the consent of each Lender directly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w:t>
      </w:r>
    </w:p>
    <w:p>
      <w:pPr>
        <w:spacing w:after="0" w:line="182" w:lineRule="exact"/>
        <w:rPr>
          <w:rFonts w:ascii="Times New Roman" w:cs="Times New Roman" w:eastAsia="Times New Roman" w:hAnsi="Times New Roman"/>
          <w:sz w:val="18"/>
          <w:szCs w:val="18"/>
          <w:color w:val="auto"/>
        </w:rPr>
      </w:pPr>
    </w:p>
    <w:p>
      <w:pPr>
        <w:ind w:left="4" w:right="20" w:firstLine="888"/>
        <w:spacing w:after="0" w:line="282" w:lineRule="auto"/>
        <w:tabs>
          <w:tab w:leader="none" w:pos="139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greater restriction on the ability of any Lender under a Tranche to assign any of its rights or obligations hereunder without the written consent of the Required Tranche Lenders for such Tranche; or</w:t>
      </w:r>
    </w:p>
    <w:p>
      <w:pPr>
        <w:spacing w:after="0" w:line="161" w:lineRule="exact"/>
        <w:rPr>
          <w:rFonts w:ascii="Times New Roman" w:cs="Times New Roman" w:eastAsia="Times New Roman" w:hAnsi="Times New Roman"/>
          <w:sz w:val="18"/>
          <w:szCs w:val="18"/>
          <w:color w:val="auto"/>
        </w:rPr>
      </w:pPr>
    </w:p>
    <w:p>
      <w:pPr>
        <w:jc w:val="both"/>
        <w:ind w:left="4" w:firstLine="888"/>
        <w:spacing w:after="0" w:line="258" w:lineRule="auto"/>
        <w:tabs>
          <w:tab w:leader="none" w:pos="143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change or waive any provision in Section 7.02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 consent of the Required Tranche Lenders for such Tranche;</w:t>
      </w:r>
    </w:p>
    <w:p>
      <w:pPr>
        <w:spacing w:after="0" w:line="182"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 such amendment, modification, change or waiver shall (A) increase the Commitments of any Lender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Section 2.03 or alter such L/C Lender’s rights or obligations with respect to Letters of Credit, (C) without the consent of any applicable Agent, amend, modify, change or waive any provision as same relates to the rights or obligations of such Agent,</w:t>
      </w:r>
    </w:p>
    <w:p>
      <w:pPr>
        <w:spacing w:after="0" w:line="2" w:lineRule="exact"/>
        <w:rPr>
          <w:sz w:val="20"/>
          <w:szCs w:val="20"/>
          <w:color w:val="auto"/>
        </w:rPr>
      </w:pPr>
    </w:p>
    <w:p>
      <w:pPr>
        <w:jc w:val="both"/>
        <w:ind w:left="4" w:hanging="4"/>
        <w:spacing w:after="0" w:line="252" w:lineRule="auto"/>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Section 2.10(b)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Section 13.04(a))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Required Lenders may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764"/>
          </w:cols>
          <w:pgMar w:left="896" w:top="797" w:right="239" w:bottom="1440" w:gutter="0" w:footer="0" w:header="0"/>
        </w:sectPr>
      </w:pPr>
    </w:p>
    <w:bookmarkStart w:id="245" w:name="page246"/>
    <w:bookmarkEnd w:id="245"/>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waive, in whole or in part, any prepayment so long as the application, as between Tranches, of any portion of such prepayment which is still required to be made is not altered or (E) amend or modify the definition of “Alternate Currency” or Section 1.05 without the prior written consent of all the Revolving Lenders (such consent being in lieu of the consent of the Required Lenders required above in this Section 13.04(a)).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the Administrative Agent to permit Borrower and its Subsidiaries to purchase Revolving Commitments (and Revolving Loans made pursuant thereto) of Defaulting Lenders in excess of the amount permitted pursuant to Section 13.04(h)).</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notwithstanding the foregoing, the Fee Letter may only be amended or changed, or rights or privileges thereunder waived, only by the parties thereto in accordance with the respective provisions thereof.</w:t>
      </w:r>
    </w:p>
    <w:p>
      <w:pPr>
        <w:spacing w:after="0" w:line="162" w:lineRule="exact"/>
        <w:rPr>
          <w:sz w:val="20"/>
          <w:szCs w:val="20"/>
          <w:color w:val="auto"/>
        </w:rPr>
      </w:pPr>
    </w:p>
    <w:p>
      <w:pPr>
        <w:jc w:val="both"/>
        <w:ind w:firstLine="656"/>
        <w:spacing w:after="0" w:line="258" w:lineRule="auto"/>
        <w:tabs>
          <w:tab w:leader="none" w:pos="103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2" w:lineRule="auto"/>
        <w:tabs>
          <w:tab w:leader="none" w:pos="160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Times New Roman" w:cs="Times New Roman" w:eastAsia="Times New Roman" w:hAnsi="Times New Roman"/>
          <w:sz w:val="18"/>
          <w:szCs w:val="18"/>
          <w:b w:val="1"/>
          <w:bCs w:val="1"/>
          <w:color w:val="auto"/>
        </w:rPr>
        <w:t>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Classes</w:t>
      </w:r>
      <w:r>
        <w:rPr>
          <w:rFonts w:ascii="Times New Roman" w:cs="Times New Roman" w:eastAsia="Times New Roman" w:hAnsi="Times New Roman"/>
          <w:sz w:val="18"/>
          <w:szCs w:val="18"/>
          <w:color w:val="auto"/>
        </w:rPr>
        <w:t>”)) with one or more Replacement Lenders, so long as, at the time of such replacement, each such Replacement Lender consents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proposed amendment, modification, change or waiver;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at the time of any such replacement, the Replacement Lender shall enter into one or more Assignment Agreements (and with all fees payable pursuant to Section 13.05(b)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Section 5.05 if Borrower were prepaying a LIBOR Loan), as applicable, shall be paid in full to such Replaced Lender, as applicable, concurrently with such replacement. Upon the execution of the respective Assignment Agreement, the payment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20"/>
          </w:cols>
          <w:pgMar w:left="240" w:top="797" w:right="239" w:bottom="1440" w:gutter="0" w:footer="0" w:header="0"/>
        </w:sectPr>
      </w:pPr>
    </w:p>
    <w:bookmarkStart w:id="246" w:name="page247"/>
    <w:bookmarkEnd w:id="246"/>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applicable Replaced Lender does not execute the Assignment Agreement within three (3) Business Days after Borrower’s request, execution of such Assignment Agreement by the Replaced Lender shall not be required to effect such assignment; or</w:t>
      </w:r>
    </w:p>
    <w:p>
      <w:pPr>
        <w:spacing w:after="0" w:line="189" w:lineRule="exact"/>
        <w:rPr>
          <w:sz w:val="20"/>
          <w:szCs w:val="20"/>
          <w:color w:val="auto"/>
        </w:rPr>
      </w:pPr>
    </w:p>
    <w:p>
      <w:pPr>
        <w:jc w:val="both"/>
        <w:ind w:left="660" w:firstLine="645"/>
        <w:spacing w:after="0" w:line="252" w:lineRule="auto"/>
        <w:tabs>
          <w:tab w:leader="none" w:pos="161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three (3)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Section 5.05)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Section 5.05) under such Tranche), so long as (i) in the case of the repayment of Revolving Loans of any Lender pursuant to this Section 13.04(b)(B),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Section 13.04(b) (B), such Loans repaid or acquired pursuant 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purchases and cancellations shall not constitute prepayments or repayments of the Loans for any purpose hereunder (except for purposes of Section 2.09(c))),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the Commitments which are terminated and Loans which are repaid pursuant to this clause (B) are immediately replaced in full at such time through the addition of new Lenders or the increase of the Commitments and/or outstanding Loans of existing Lenders (who in each case must consent thereto), then, in the case of any action pursuant to this clause (B), the Required Lenders (determined after giving effect to the proposed action) shall specifically consent thereto;</w:t>
      </w:r>
    </w:p>
    <w:p>
      <w:pPr>
        <w:spacing w:after="0" w:line="18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Borrower shall not have the right to replace a Lender, or terminate the Commitments of or repay the Loans of a Lender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13.04(b), solely as a result of the exercise of such Lender’s rights (and the withholding of any required consent by such Lender) pursuant to clauses</w:t>
      </w:r>
    </w:p>
    <w:p>
      <w:pPr>
        <w:spacing w:after="0" w:line="1" w:lineRule="exact"/>
        <w:rPr>
          <w:sz w:val="20"/>
          <w:szCs w:val="20"/>
          <w:color w:val="auto"/>
        </w:rPr>
      </w:pPr>
    </w:p>
    <w:p>
      <w:pPr>
        <w:ind w:left="300" w:hanging="292"/>
        <w:spacing w:after="0"/>
        <w:tabs>
          <w:tab w:leader="none" w:pos="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of the second proviso to Section 13.04(a).</w:t>
      </w:r>
    </w:p>
    <w:p>
      <w:pPr>
        <w:spacing w:after="0" w:line="206" w:lineRule="exact"/>
        <w:rPr>
          <w:rFonts w:ascii="Times New Roman" w:cs="Times New Roman" w:eastAsia="Times New Roman" w:hAnsi="Times New Roman"/>
          <w:sz w:val="18"/>
          <w:szCs w:val="18"/>
          <w:color w:val="auto"/>
        </w:rPr>
      </w:pPr>
    </w:p>
    <w:p>
      <w:pPr>
        <w:jc w:val="both"/>
        <w:ind w:firstLine="656"/>
        <w:spacing w:after="0" w:line="256" w:lineRule="auto"/>
        <w:tabs>
          <w:tab w:leader="none" w:pos="10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and Borrower may (without the consent of Lenders) amend any Credit Document to the extent (but only to the extent) necessary to reflect the existence and terms of Other Term Loans, Other Revolving Loans, Extended Term Loans and Extended Revolving Loans.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20"/>
          </w:cols>
          <w:pgMar w:left="240" w:top="796" w:right="239" w:bottom="1440" w:gutter="0" w:footer="0" w:header="0"/>
        </w:sectPr>
      </w:pPr>
    </w:p>
    <w:bookmarkStart w:id="247" w:name="page248"/>
    <w:bookmarkEnd w:id="247"/>
    <w:p>
      <w:pPr>
        <w:jc w:val="both"/>
        <w:spacing w:after="0" w:line="255" w:lineRule="auto"/>
        <w:rPr>
          <w:sz w:val="20"/>
          <w:szCs w:val="20"/>
          <w:color w:val="auto"/>
        </w:rPr>
      </w:pPr>
      <w:r>
        <w:rPr>
          <w:rFonts w:ascii="Times New Roman" w:cs="Times New Roman" w:eastAsia="Times New Roman" w:hAnsi="Times New Roman"/>
          <w:sz w:val="18"/>
          <w:szCs w:val="18"/>
          <w:color w:val="auto"/>
        </w:rPr>
        <w:t>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amendments to this Agreement and the other Credit Documents with Borrower as may be necessary in order to establish new tranches or sub-tranches in respect of the Loans and/or Commitments extended pursuant to Section 2.13 or incurred pursuant to Sections 2.12 or 2.15 and such technical amendments as may be necessary or appropriate in the reasonable opinion of Administrative Agent and Borrower in connection with the establishment of such new tranches or sub-tranches, in each case on terms consistent with Section 2.13, Section 2.12 or Section 2.15.</w:t>
      </w:r>
    </w:p>
    <w:p>
      <w:pPr>
        <w:spacing w:after="0" w:line="185" w:lineRule="exact"/>
        <w:rPr>
          <w:sz w:val="20"/>
          <w:szCs w:val="20"/>
          <w:color w:val="auto"/>
        </w:rPr>
      </w:pPr>
    </w:p>
    <w:p>
      <w:pPr>
        <w:jc w:val="both"/>
        <w:ind w:firstLine="656"/>
        <w:spacing w:after="0" w:line="256" w:lineRule="auto"/>
        <w:tabs>
          <w:tab w:leader="none" w:pos="106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(or any Tranche of Revolving Commitments in the case of additional Revolving Loans or Revolving Commitments) and the accrued interest and fees in respect thereof and (b) to include appropriately the Lenders holding such credit facilities in any determination of the Required Lenders.</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05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that are not adverse to any Lender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upon the request of Borrower in connection with the incurrence of Permitted First Priority Refinancing Debt or Permitted First Lien Indebtedness (and Permitted Refinancings thereof that qualify as Permitted First Lien Indebtedness) (or any amendments and supplements thereto in connection with the incurrence of additional Permitted First Priority Refinancing Debt, Permitted First Lien Indebtedness (and Permitted Refinancings thereof that qualify as Permitted First Lien Indebtedness), and (C) Collateral Agent shall enter into the Second Lien Intercreditor Agreement upon the request of Borrower in connection with the incurrence of Permitted Second Priority Refinancing Debt or Permitted Second Lien Indebtedness (and Permitted Refinancings thereof that qualify as Permitted Second Lien Indebtedness) (or any amendments and supplements thereto in connection with the incurrence of additional Permitted Second Priority Refinancing Debt or Permitted Second Lien Indebtedness (and Permitted Refinancings thereof that qualify as Permitted Second Lien Indebtedness).</w:t>
      </w:r>
    </w:p>
    <w:p>
      <w:pPr>
        <w:spacing w:after="0" w:line="193" w:lineRule="exact"/>
        <w:rPr>
          <w:rFonts w:ascii="Times New Roman" w:cs="Times New Roman" w:eastAsia="Times New Roman" w:hAnsi="Times New Roman"/>
          <w:sz w:val="18"/>
          <w:szCs w:val="18"/>
          <w:color w:val="auto"/>
        </w:rPr>
      </w:pPr>
    </w:p>
    <w:p>
      <w:pPr>
        <w:jc w:val="both"/>
        <w:ind w:firstLine="656"/>
        <w:spacing w:after="0" w:line="256" w:lineRule="auto"/>
        <w:tabs>
          <w:tab w:leader="none" w:pos="10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applicable Credit Party or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20"/>
          </w:cols>
          <w:pgMar w:left="240" w:top="797" w:right="239" w:bottom="1440" w:gutter="0" w:footer="0" w:header="0"/>
        </w:sectPr>
      </w:pPr>
    </w:p>
    <w:bookmarkStart w:id="248" w:name="page249"/>
    <w:bookmarkEnd w:id="248"/>
    <w:p>
      <w:pPr>
        <w:jc w:val="both"/>
        <w:ind w:firstLine="656"/>
        <w:spacing w:after="0" w:line="252" w:lineRule="auto"/>
        <w:tabs>
          <w:tab w:leader="none" w:pos="108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Section 10.05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Section 13.04(a)), (iv) if the property subject to such Lien is owned by a Guarantor, upon release of such Guarantor from its obligations under its Guarantee pursuant to Section 6.08, (v) constituting Equity Interests in or property of an Unrestricted Subsidiary, (vi) subject to Liens permitted under Sections 10.02(i) or 10.02(k),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w:t>
      </w:r>
    </w:p>
    <w:p>
      <w:pPr>
        <w:spacing w:after="0" w:line="199" w:lineRule="exact"/>
        <w:rPr>
          <w:sz w:val="20"/>
          <w:szCs w:val="20"/>
          <w:color w:val="auto"/>
        </w:rPr>
      </w:pPr>
    </w:p>
    <w:p>
      <w:pPr>
        <w:jc w:val="both"/>
        <w:ind w:firstLine="656"/>
        <w:spacing w:after="0" w:line="251" w:lineRule="auto"/>
        <w:tabs>
          <w:tab w:leader="none" w:pos="1073"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terminations of Revolving Commitments shall not exceed 20% of the initial aggregate principal amount of the Revolving Commitments 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Borrower and its Subsidiaries may terminate additional Revolving Commitments of Defaulting Lenders and repay the Loans related thereto pursuant to this Section 13.04(h) with the consent of the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Sections 4.02, 5.01, 5.03, 5.05, 5.06 and 13.03), which shall survive as to such repaid Lender. Immediately upon any repayment of Loans by Borrower pursuant to this Section 13.04(h), such Loans repaid pursuant 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w:t>
      </w:r>
    </w:p>
    <w:p>
      <w:pPr>
        <w:spacing w:after="0" w:line="10"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Required Lenders, or for any similar or related purpose, under this Agreement or any other Credit Document.</w:t>
      </w:r>
    </w:p>
    <w:p>
      <w:pPr>
        <w:spacing w:after="0" w:line="20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7"/>
          <w:szCs w:val="17"/>
          <w:b w:val="1"/>
          <w:bCs w:val="1"/>
          <w:color w:val="auto"/>
        </w:rPr>
        <w:t>Benefit of Agreement; Assignments; Participations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8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and inure to the benefit of and be enforceable by the respective successors and assigns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Credit Party may assign or transfer any of its rights, obligations or interest hereunder or under any other Credit Document (it being understood that a merger or consolidation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20"/>
          </w:cols>
          <w:pgMar w:left="240" w:top="797" w:right="239" w:bottom="1440" w:gutter="0" w:footer="0" w:header="0"/>
        </w:sectPr>
      </w:pPr>
    </w:p>
    <w:bookmarkStart w:id="249" w:name="page250"/>
    <w:bookmarkEnd w:id="249"/>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 prohibited by this Agreement shall not constitute an assignment or transfer) without the prior written consent of all of the Lenders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Section 13.05(b)) and the participant shall not constitute a “Lender” hereunder;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Lender shall transfer, assign or grant any participation (w) to a natural person, (x) to a Competitor (unless consented to by Borrower), (y) to a Disqualified Lender (unless consented to by Borrower)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the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(a), Borrower agrees that each participant shall be entitled to the benefits of Sections 5.01, and 5.06 (subject to the obligations and limitations of such Sections, including Section 5.06(b), (c) and (d) (it being understood that the documentation required under Section 5.06(b), (c) and (d) shall be delivered to the participating Lender)) to the same extent as if it were a Lender and had acquired its interest by assignment pursuant to paragraph (b) of this Section 13.05. To the extent permitted by law, each participant also shall be entitled to the benefits of Section 4.07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 participant shall not be entitled to receive any greater payment under Sections 5.01 or 5.06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204" w:lineRule="exact"/>
        <w:rPr>
          <w:sz w:val="20"/>
          <w:szCs w:val="20"/>
          <w:color w:val="auto"/>
        </w:rPr>
      </w:pPr>
    </w:p>
    <w:p>
      <w:pPr>
        <w:jc w:val="both"/>
        <w:ind w:firstLine="656"/>
        <w:spacing w:after="0" w:line="258" w:lineRule="auto"/>
        <w:tabs>
          <w:tab w:leader="none" w:pos="111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Administrative Agent and in the case of an assignment of Revolving Loans or Revolving Commitments,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20"/>
          </w:cols>
          <w:pgMar w:left="240" w:top="795" w:right="239" w:bottom="1440" w:gutter="0" w:footer="0" w:header="0"/>
        </w:sectPr>
      </w:pPr>
    </w:p>
    <w:bookmarkStart w:id="250" w:name="page251"/>
    <w:bookmarkEnd w:id="250"/>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consent of each L/C Lender and, so long as no Event of Default pursuant to Section 11.01(b) or 11.01(c), or, with respect to Borrower, 11.01(g) or 11.01(h), has occurred and is continuing, Borrower (each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and (ii) an assignment of Term Facility Loans </w:t>
      </w:r>
      <w:r>
        <w:rPr>
          <w:rFonts w:ascii="Times New Roman" w:cs="Times New Roman" w:eastAsia="Times New Roman" w:hAnsi="Times New Roman"/>
          <w:sz w:val="18"/>
          <w:szCs w:val="18"/>
          <w:b w:val="1"/>
          <w:bCs w:val="1"/>
          <w:u w:val="single" w:color="auto"/>
          <w:color w:val="0000FF"/>
        </w:rPr>
        <w:t>or Term Facility II Loans</w:t>
      </w:r>
      <w:r>
        <w:rPr>
          <w:rFonts w:ascii="Times New Roman" w:cs="Times New Roman" w:eastAsia="Times New Roman" w:hAnsi="Times New Roman"/>
          <w:sz w:val="18"/>
          <w:szCs w:val="18"/>
          <w:color w:val="auto"/>
        </w:rPr>
        <w:t xml:space="preserve"> by a Lender to (A) its parent company and/or any Affiliate of such Lender which is at least 50% owned by such Lender or its parent company or (B) one or more other Lenders or any Affiliate of any such other Lender which is at least 50% owned by such other Lender or its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(x)(ii)(B)), or (C) in the case of any Lender that is a fund that invests in loans, any other fund that invests in loans and is managed or advised by the same investment advisor of any Lender or by an Affiliate of such investment advisor, and (y) Borrower shall be deemed to have consented to any such assignment unless it shall object thereto by written notice to Administrative Agent within ten (10) Business Days after having received notice thereof. Notwithstanding the foregoing, so long as no Event of Default pursuant to Section 11.01(b) or 11.01(c), or, with respect to Borrower, 11.01(g) or 11.01(h),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$100.0 million, or greater, without the prior written consent of Borrower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Section 2.08, and (III) such assignments may be made on a pro rata basis among Commitments and/or Loans (and related Obligations). To the extent of any assignment permitted pursuant to this Section 13.05(b), the assigning Lender shall be relieved of its obligations hereunder with respect to its assigned Commitments and outstanding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assignment shall not release such Lender of any claims or liabilities that may exist against such Lender at the time of such assignment). At the time of each assignment pursuant to this Section 13.05(b) to a Person which is not already a Lender hereunder, the respective assignee Lender shall, to the extent legally eligible to do so, provide to Borrower and Administrative Agent the appropriate Internal Revenue Service Forms and other information as described in Sections 5.06(b) and 5.06(d), as applicable. To the extent that an assignment of all or any portion of a Lender’s Commitments, Loans and related outstanding Obligations pursuant to Section 2.11, Section 13.04(b)(B) or this Section 13.05(b) would, under the laws in effect at the time of such assignment, result in increased costs under Section 5.01 or 5.03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6" w:lineRule="exact"/>
        <w:rPr>
          <w:sz w:val="20"/>
          <w:szCs w:val="20"/>
          <w:color w:val="auto"/>
        </w:rPr>
      </w:pPr>
    </w:p>
    <w:p>
      <w:pPr>
        <w:jc w:val="both"/>
        <w:ind w:firstLine="656"/>
        <w:spacing w:after="0" w:line="254" w:lineRule="auto"/>
        <w:tabs>
          <w:tab w:leader="none" w:pos="103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Section 13.05(c) shall release the transferor Lender from any of its obligations hereunder or permit the pledgee to become a lender hereunder without otherwise complying with Section 13.05(b).</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8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13.05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76" w:lineRule="exact"/>
        <w:rPr>
          <w:rFonts w:ascii="Times New Roman" w:cs="Times New Roman" w:eastAsia="Times New Roman" w:hAnsi="Times New Roman"/>
          <w:sz w:val="18"/>
          <w:szCs w:val="18"/>
          <w:color w:val="auto"/>
        </w:rPr>
      </w:pPr>
    </w:p>
    <w:p>
      <w:pPr>
        <w:ind w:left="660" w:firstLine="888"/>
        <w:spacing w:after="0" w:line="282" w:lineRule="auto"/>
        <w:tabs>
          <w:tab w:leader="none" w:pos="1968"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with respect to any Borrower Loan Purchase pursuant to the Auction Procedures, at the time of the applicable Purchase Notice (as defined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no Event of Default under Section 11.01(a)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796" w:right="239" w:bottom="1440" w:gutter="0" w:footer="0" w:header="0"/>
        </w:sectPr>
      </w:pPr>
    </w:p>
    <w:bookmarkStart w:id="251" w:name="page252"/>
    <w:bookmarkEnd w:id="251"/>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or 11.01(b) or, with respect to Borrower, Section 11.01(g) or 11.01(h), has occurred and is continuing or would result therefrom, and (y) with respect to any Borrower Loan Purchase consummated through an open market purchase, at the time of the applicable assignment, no Event of Default under Section 11.01(a) or 11.01(b) or, with respect to Borrower, Section 11.01(g) or 11.01(h) has occurred and is continuing or would result therefrom;</w:t>
      </w:r>
    </w:p>
    <w:p>
      <w:pPr>
        <w:spacing w:after="0" w:line="176" w:lineRule="exact"/>
        <w:rPr>
          <w:sz w:val="20"/>
          <w:szCs w:val="20"/>
          <w:color w:val="auto"/>
        </w:rPr>
      </w:pPr>
    </w:p>
    <w:p>
      <w:pPr>
        <w:jc w:val="both"/>
        <w:ind w:left="660" w:firstLine="888"/>
        <w:spacing w:after="0" w:line="255" w:lineRule="auto"/>
        <w:tabs>
          <w:tab w:leader="none" w:pos="199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85" w:lineRule="exact"/>
        <w:rPr>
          <w:rFonts w:ascii="Times New Roman" w:cs="Times New Roman" w:eastAsia="Times New Roman" w:hAnsi="Times New Roman"/>
          <w:sz w:val="18"/>
          <w:szCs w:val="18"/>
          <w:color w:val="auto"/>
        </w:rPr>
      </w:pPr>
    </w:p>
    <w:p>
      <w:pPr>
        <w:jc w:val="both"/>
        <w:ind w:left="660" w:firstLine="888"/>
        <w:spacing w:after="0" w:line="261" w:lineRule="auto"/>
        <w:tabs>
          <w:tab w:leader="none" w:pos="214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180" w:lineRule="exact"/>
        <w:rPr>
          <w:rFonts w:ascii="Times New Roman" w:cs="Times New Roman" w:eastAsia="Times New Roman" w:hAnsi="Times New Roman"/>
          <w:sz w:val="18"/>
          <w:szCs w:val="18"/>
          <w:color w:val="auto"/>
        </w:rPr>
      </w:pPr>
    </w:p>
    <w:p>
      <w:pPr>
        <w:jc w:val="both"/>
        <w:ind w:left="660" w:firstLine="888"/>
        <w:spacing w:after="0" w:line="258" w:lineRule="auto"/>
        <w:tabs>
          <w:tab w:leader="none" w:pos="216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 Borrower for such Revolving Loans, deposit cash collateral in an account with the Administrative Agent pursuant to Section 2.16 in the amount of any such excess L/C Liabilities;</w:t>
      </w:r>
    </w:p>
    <w:p>
      <w:pPr>
        <w:spacing w:after="0" w:line="183" w:lineRule="exact"/>
        <w:rPr>
          <w:rFonts w:ascii="Times New Roman" w:cs="Times New Roman" w:eastAsia="Times New Roman" w:hAnsi="Times New Roman"/>
          <w:sz w:val="18"/>
          <w:szCs w:val="18"/>
          <w:color w:val="auto"/>
        </w:rPr>
      </w:pPr>
    </w:p>
    <w:p>
      <w:pPr>
        <w:ind w:left="660" w:firstLine="888"/>
        <w:spacing w:after="0" w:line="282" w:lineRule="auto"/>
        <w:tabs>
          <w:tab w:leader="none" w:pos="19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market purchases of Term Loans by Borrower and its Subsidiaries shall not in the aggregate exceed 25% of the sum of the initial aggregate principal amount of the Term Loans on the Closing Date; and</w:t>
      </w:r>
    </w:p>
    <w:p>
      <w:pPr>
        <w:spacing w:after="0" w:line="161" w:lineRule="exact"/>
        <w:rPr>
          <w:rFonts w:ascii="Times New Roman" w:cs="Times New Roman" w:eastAsia="Times New Roman" w:hAnsi="Times New Roman"/>
          <w:sz w:val="18"/>
          <w:szCs w:val="18"/>
          <w:color w:val="auto"/>
        </w:rPr>
      </w:pPr>
    </w:p>
    <w:p>
      <w:pPr>
        <w:ind w:left="2040" w:hanging="492"/>
        <w:spacing w:after="0"/>
        <w:tabs>
          <w:tab w:leader="none" w:pos="20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not use the proceeds of any Revolving Loan to fund the purchase of outstanding Loans pursuant to this Section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13.05(d).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assignment fee set forth in Section 13.05(b) shall not be applicable to any Borrower Loan Purchase consummated pursuant to this Section 13.05(d).</w:t>
      </w:r>
    </w:p>
    <w:p>
      <w:pPr>
        <w:spacing w:after="0" w:line="162" w:lineRule="exact"/>
        <w:rPr>
          <w:sz w:val="20"/>
          <w:szCs w:val="20"/>
          <w:color w:val="auto"/>
        </w:rPr>
      </w:pPr>
    </w:p>
    <w:p>
      <w:pPr>
        <w:jc w:val="both"/>
        <w:ind w:firstLine="656"/>
        <w:spacing w:after="0" w:line="253" w:lineRule="auto"/>
        <w:tabs>
          <w:tab w:leader="none" w:pos="105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who is an Affiliate of Borrower (excluding (x) Borrower and its Subsidiaries and (y) any Debt Fund Affiliate Lenders) (each, an “</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it being understood that (x) neither Borrower nor any of its Subsidiaries may be Affiliate Lenders and (y) Debt Fund Affiliate Lenders and Affiliate Lenders may be lenders in accordance with this Section 13.05 subject, in the case of Affiliate Lenders, to this Section 13.05(e) and Section 13.05(f)), in connection with any (i) consent (or decision not to consent) to any amendment, modification, waiver, consent or other action with respect to any of the terms of any Credit Document, (ii) other action on any matter related to any Credit Document or (iii) direction to the Administrative Agent, Collateral Agent or any Lender to undertake any action (or refrain from taking any action) with respect to or under any Credit Document, agrees that, except with respect to any amendment, modification, waiver, consent or other action (1) described in clauses (i) through (vi) of Section 13.04(a)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 (such appointment being coupled with an interest) as such Affiliate Lender’s attorney-in-fact, with full authority in the place and stead of such Affiliate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797" w:right="239" w:bottom="1440" w:gutter="0" w:footer="0" w:header="0"/>
        </w:sectPr>
      </w:pPr>
    </w:p>
    <w:bookmarkStart w:id="252" w:name="page253"/>
    <w:bookmarkEnd w:id="252"/>
    <w:p>
      <w:pPr>
        <w:spacing w:after="0" w:line="282" w:lineRule="auto"/>
        <w:rPr>
          <w:sz w:val="20"/>
          <w:szCs w:val="20"/>
          <w:color w:val="auto"/>
        </w:rPr>
      </w:pPr>
      <w:r>
        <w:rPr>
          <w:rFonts w:ascii="Times New Roman" w:cs="Times New Roman" w:eastAsia="Times New Roman" w:hAnsi="Times New Roman"/>
          <w:sz w:val="18"/>
          <w:szCs w:val="18"/>
          <w:color w:val="auto"/>
        </w:rPr>
        <w:t>Lender and in the name of such Affiliate Lender, from time to time in the Administrative Agent’s discretion to take any action and to execute any instrument that the Administrative Agent may deem reasonably necessary to carry out the provisions of this clause (e).</w:t>
      </w:r>
    </w:p>
    <w:p>
      <w:pPr>
        <w:spacing w:after="0" w:line="162" w:lineRule="exact"/>
        <w:rPr>
          <w:sz w:val="20"/>
          <w:szCs w:val="20"/>
          <w:color w:val="auto"/>
        </w:rPr>
      </w:pPr>
    </w:p>
    <w:p>
      <w:pPr>
        <w:jc w:val="both"/>
        <w:ind w:right="20" w:firstLine="656"/>
        <w:spacing w:after="0" w:line="261" w:lineRule="auto"/>
        <w:tabs>
          <w:tab w:leader="none" w:pos="103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Affiliate Lender shall have any right to (i) attend (including by telephone) any meeting or discussions (or portion thereof) among the Administrative Agent or any Lender to which representatives of Borrower are not then present,</w:t>
      </w:r>
    </w:p>
    <w:p>
      <w:pPr>
        <w:jc w:val="both"/>
        <w:ind w:firstLine="8"/>
        <w:spacing w:after="0" w:line="252" w:lineRule="auto"/>
        <w:tabs>
          <w:tab w:leader="none" w:pos="27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Credit Commitments.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13.06. Survival</w:t>
      </w:r>
      <w:r>
        <w:rPr>
          <w:rFonts w:ascii="Times New Roman" w:cs="Times New Roman" w:eastAsia="Times New Roman" w:hAnsi="Times New Roman"/>
          <w:sz w:val="18"/>
          <w:szCs w:val="18"/>
          <w:color w:val="auto"/>
        </w:rPr>
        <w:t>. The obligations of the Credit Parties under Sections 5.01, 5.05, 5.06, 13.03 and 13.20, the obligations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under Section 6.03, and the obligations of the Lenders and Administrative Agent under Sections 5.06 and 12.08,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13.07. Captions</w:t>
      </w:r>
      <w:r>
        <w:rPr>
          <w:rFonts w:ascii="Times New Roman" w:cs="Times New Roman" w:eastAsia="Times New Roman" w:hAnsi="Times New Roman"/>
          <w:sz w:val="18"/>
          <w:szCs w:val="18"/>
          <w:color w:val="auto"/>
        </w:rPr>
        <w:t>. The table of contents and captions and Section headings appearing herein are included solely for convenience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and are not intended to affect the interpretation of any provision of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13.08. Counterparts; Interpretation; Effectiveness</w:t>
      </w:r>
      <w:r>
        <w:rPr>
          <w:rFonts w:ascii="Times New Roman" w:cs="Times New Roman" w:eastAsia="Times New Roman" w:hAnsi="Times New Roman"/>
          <w:sz w:val="18"/>
          <w:szCs w:val="18"/>
          <w:color w:val="auto"/>
        </w:rPr>
        <w:t>. This Agreement may be executed in counterparts (and by different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8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13.09.</w:t>
      </w:r>
      <w:r>
        <w:rPr>
          <w:sz w:val="20"/>
          <w:szCs w:val="20"/>
          <w:color w:val="auto"/>
        </w:rPr>
        <w:tab/>
      </w:r>
      <w:r>
        <w:rPr>
          <w:rFonts w:ascii="Times New Roman" w:cs="Times New Roman" w:eastAsia="Times New Roman" w:hAnsi="Times New Roman"/>
          <w:sz w:val="17"/>
          <w:szCs w:val="17"/>
          <w:b w:val="1"/>
          <w:bCs w:val="1"/>
          <w:color w:val="auto"/>
        </w:rPr>
        <w:t>Governing Law; Submission to Jurisdiction; Waivers; Etc.</w:t>
      </w:r>
    </w:p>
    <w:p>
      <w:pPr>
        <w:spacing w:after="0" w:line="225" w:lineRule="exact"/>
        <w:rPr>
          <w:sz w:val="20"/>
          <w:szCs w:val="20"/>
          <w:color w:val="auto"/>
        </w:rPr>
      </w:pPr>
    </w:p>
    <w:p>
      <w:pPr>
        <w:jc w:val="both"/>
        <w:ind w:firstLine="656"/>
        <w:spacing w:after="0" w:line="257" w:lineRule="auto"/>
        <w:tabs>
          <w:tab w:leader="none" w:pos="117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OTHER CREDIT DOCUMENTS AND ANY CLAIMS, CONTROVERSIES,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20"/>
          </w:cols>
          <w:pgMar w:left="240" w:top="797" w:right="239" w:bottom="1440" w:gutter="0" w:footer="0" w:header="0"/>
        </w:sectPr>
      </w:pPr>
    </w:p>
    <w:bookmarkStart w:id="253" w:name="page254"/>
    <w:bookmarkEnd w:id="253"/>
    <w:p>
      <w:pPr>
        <w:jc w:val="both"/>
        <w:ind w:firstLine="656"/>
        <w:spacing w:after="0" w:line="252" w:lineRule="auto"/>
        <w:tabs>
          <w:tab w:leader="none" w:pos="109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SUBMISSION TO JURISDICTION</w:t>
      </w:r>
      <w:r>
        <w:rPr>
          <w:rFonts w:ascii="Times New Roman" w:cs="Times New Roman" w:eastAsia="Times New Roman" w:hAnsi="Times New Roman"/>
          <w:sz w:val="18"/>
          <w:szCs w:val="18"/>
          <w:color w:val="auto"/>
        </w:rPr>
        <w:t>. EACH CREDIT PARTY IRREVOCABLY AND UNCONDITIONALLY AGREES THAT IT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COMMENCE ANY ACTION, LITIGATION OR PROCEEDING OF ANY KIND OR DESCRIPTION, WHETHER AT LAW OR IN EQUITY, WHETHER IN CONTRACT OR IN TORT OR OTHERWISE, AGAINST THE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CREDIT PARTY OR ITS PROPERTIES IN THE COURTS OF ANY JURISDICTION.</w:t>
      </w:r>
    </w:p>
    <w:p>
      <w:pPr>
        <w:spacing w:after="0" w:line="196" w:lineRule="exact"/>
        <w:rPr>
          <w:rFonts w:ascii="Times New Roman" w:cs="Times New Roman" w:eastAsia="Times New Roman" w:hAnsi="Times New Roman"/>
          <w:sz w:val="18"/>
          <w:szCs w:val="18"/>
          <w:color w:val="auto"/>
        </w:rPr>
      </w:pPr>
    </w:p>
    <w:p>
      <w:pPr>
        <w:jc w:val="both"/>
        <w:ind w:firstLine="656"/>
        <w:spacing w:after="0" w:line="257" w:lineRule="auto"/>
        <w:tabs>
          <w:tab w:leader="none" w:pos="106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VENUE</w:t>
      </w:r>
      <w:r>
        <w:rPr>
          <w:rFonts w:ascii="Times New Roman" w:cs="Times New Roman" w:eastAsia="Times New Roman" w:hAnsi="Times New Roman"/>
          <w:sz w:val="18"/>
          <w:szCs w:val="18"/>
          <w:color w:val="auto"/>
        </w:rPr>
        <w:t>. EACH PARTY HERETO HEREBY IRREVOCABLY AND UNCONDITIONALLY WAIVES,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11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OF PROCESS</w:t>
      </w:r>
      <w:r>
        <w:rPr>
          <w:rFonts w:ascii="Times New Roman" w:cs="Times New Roman" w:eastAsia="Times New Roman" w:hAnsi="Times New Roman"/>
          <w:sz w:val="18"/>
          <w:szCs w:val="18"/>
          <w:color w:val="auto"/>
        </w:rPr>
        <w:t>. EACH PARTY HERETO IRREVOCABLY CONSENTS TO SERVICE OF PROCESS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NOTICES IN SECTION 13.02. NOTHING IN THIS AGREEMENT WILL AFFECT THE RIGHT OF ANY PARTY HERETO TO SERVE PROCESS IN ANY OTHER MANNER PERMITTED BY APPLICABLE LAW.</w:t>
      </w:r>
    </w:p>
    <w:p>
      <w:pPr>
        <w:spacing w:after="0" w:line="170"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EACH PARTY HERETO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13.10. Confidentiality</w:t>
      </w:r>
      <w:r>
        <w:rPr>
          <w:rFonts w:ascii="Times New Roman" w:cs="Times New Roman" w:eastAsia="Times New Roman" w:hAnsi="Times New Roman"/>
          <w:sz w:val="18"/>
          <w:szCs w:val="18"/>
          <w:color w:val="auto"/>
        </w:rPr>
        <w:t>. Each Agent and each Lender agrees to keep information obtained by it pursuant to the Credit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20"/>
          </w:cols>
          <w:pgMar w:left="240" w:top="792" w:right="239" w:bottom="1440" w:gutter="0" w:footer="0" w:header="0"/>
        </w:sectPr>
      </w:pPr>
    </w:p>
    <w:bookmarkStart w:id="254" w:name="page255"/>
    <w:bookmarkEnd w:id="254"/>
    <w:p>
      <w:pPr>
        <w:jc w:val="both"/>
        <w:spacing w:after="0" w:line="252" w:lineRule="auto"/>
        <w:rPr>
          <w:sz w:val="20"/>
          <w:szCs w:val="20"/>
          <w:color w:val="auto"/>
        </w:rPr>
      </w:pPr>
      <w:r>
        <w:rPr>
          <w:rFonts w:ascii="Times New Roman" w:cs="Times New Roman" w:eastAsia="Times New Roman" w:hAnsi="Times New Roman"/>
          <w:sz w:val="18"/>
          <w:szCs w:val="18"/>
          <w:color w:val="auto"/>
        </w:rPr>
        <w:t>counterparty’s professional advisor (so long as such creditor, contractual counterparty or professional advisor to such creditor or contractual counterparty agrees in writing to be bound by the provision of this Section 13.10,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(including the Securities Valuation Office of the NAIC) to whose jurisdiction such Agent or such Lender is subject, (d) to any rating agency to the extent required in connection with any rating to be assigned to such Agent or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notice thereof is furnished to Borrower, (e) to pledgees under Section 13.05(c), assignees, participants, prospective assignees or prospective participants, in each case who agree in writing to be bound by the provisions of this Section 13.10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(g) with Borrower’s prior written consent.</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13.11. Independence of Representations, Warranties and Covenants</w:t>
      </w:r>
      <w:r>
        <w:rPr>
          <w:rFonts w:ascii="Times New Roman" w:cs="Times New Roman" w:eastAsia="Times New Roman" w:hAnsi="Times New Roman"/>
          <w:sz w:val="18"/>
          <w:szCs w:val="18"/>
          <w:color w:val="auto"/>
        </w:rPr>
        <w:t>. The representations, warranties and covenants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13.12. Severability</w:t>
      </w:r>
      <w:r>
        <w:rPr>
          <w:rFonts w:ascii="Times New Roman" w:cs="Times New Roman" w:eastAsia="Times New Roman" w:hAnsi="Times New Roman"/>
          <w:sz w:val="18"/>
          <w:szCs w:val="18"/>
          <w:color w:val="auto"/>
        </w:rPr>
        <w:t>. Wherever possible, each provision of this Agreement shall be interpreted in such manner as to be effective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7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13.13.</w:t>
      </w:r>
      <w:r>
        <w:rPr>
          <w:sz w:val="20"/>
          <w:szCs w:val="20"/>
          <w:color w:val="auto"/>
        </w:rPr>
        <w:tab/>
      </w:r>
      <w:r>
        <w:rPr>
          <w:rFonts w:ascii="Times New Roman" w:cs="Times New Roman" w:eastAsia="Times New Roman" w:hAnsi="Times New Roman"/>
          <w:sz w:val="17"/>
          <w:szCs w:val="17"/>
          <w:b w:val="1"/>
          <w:bCs w:val="1"/>
          <w:color w:val="auto"/>
        </w:rPr>
        <w:t>Gaming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4" w:lineRule="auto"/>
        <w:tabs>
          <w:tab w:leader="none" w:pos="1038"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Times New Roman" w:cs="Times New Roman" w:eastAsia="Times New Roman" w:hAnsi="Times New Roman"/>
          <w:sz w:val="18"/>
          <w:szCs w:val="18"/>
          <w:b w:val="1"/>
          <w:bCs w:val="1"/>
          <w:color w:val="auto"/>
        </w:rPr>
        <w:t>Liquor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Without limiting the foregoing, Administrative Agent, each other Agent, each Lender and each participant acknowledges that (i) it is the subject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called forward by any Gaming Authority or any Governmental Authority enforcing the Liquor Laws (the “</w:t>
      </w:r>
      <w:r>
        <w:rPr>
          <w:rFonts w:ascii="Times New Roman" w:cs="Times New Roman" w:eastAsia="Times New Roman" w:hAnsi="Times New Roman"/>
          <w:sz w:val="18"/>
          <w:szCs w:val="18"/>
          <w:b w:val="1"/>
          <w:bCs w:val="1"/>
          <w:color w:val="auto"/>
        </w:rPr>
        <w:t>Liquor Authority</w:t>
      </w:r>
      <w:r>
        <w:rPr>
          <w:rFonts w:ascii="Times New Roman" w:cs="Times New Roman" w:eastAsia="Times New Roman" w:hAnsi="Times New Roman"/>
          <w:sz w:val="18"/>
          <w:szCs w:val="18"/>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129"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this Agreement or any other Credit Document, Administrative Agent, each other Agent, each Lender and each participant agrees to cooperate with each Gaming Authority and each Liquor Authority (and, in each case, to be subject to Section 2.11)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any other Agent, any of the Lenders or participants, Borrower and its Subsidiaries or to the Credit Documents.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420"/>
          </w:cols>
          <w:pgMar w:left="240" w:top="797" w:right="239" w:bottom="1440" w:gutter="0" w:footer="0" w:header="0"/>
        </w:sectPr>
      </w:pPr>
    </w:p>
    <w:bookmarkStart w:id="255" w:name="page256"/>
    <w:bookmarkEnd w:id="255"/>
    <w:p>
      <w:pPr>
        <w:jc w:val="both"/>
        <w:ind w:firstLine="656"/>
        <w:spacing w:after="0" w:line="256" w:lineRule="auto"/>
        <w:tabs>
          <w:tab w:leader="none" w:pos="1028"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Article VIII of this Agreement) shall be deemed not to apply to such assets.</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075"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Collateral Agent, Administrative Agent, Secured Parties and their respective successors and assignees are subject to being called forward by the Gaming Authorities, in their discretion, for licensing or findings of suitability in order to remain entitled to the benefits of this Agreement or any other Credit Document.</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13.14. USA Patriot Act</w:t>
      </w:r>
      <w:r>
        <w:rPr>
          <w:rFonts w:ascii="Times New Roman" w:cs="Times New Roman" w:eastAsia="Times New Roman" w:hAnsi="Times New Roman"/>
          <w:sz w:val="18"/>
          <w:szCs w:val="18"/>
          <w:color w:val="auto"/>
        </w:rPr>
        <w:t>. Each Lender that is subject to the Act (as hereinafter defined) to the extent required hereby, notifies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Guarantors that pursuant to the requirements of the USA Patriot Act (Title III of Pub. L. 107-56 (signed into law October 26, 2001))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80"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13.15.</w:t>
      </w:r>
      <w:r>
        <w:rPr>
          <w:sz w:val="20"/>
          <w:szCs w:val="20"/>
          <w:color w:val="auto"/>
        </w:rPr>
        <w:tab/>
      </w:r>
      <w:r>
        <w:rPr>
          <w:rFonts w:ascii="Times New Roman" w:cs="Times New Roman" w:eastAsia="Times New Roman" w:hAnsi="Times New Roman"/>
          <w:sz w:val="17"/>
          <w:szCs w:val="17"/>
          <w:b w:val="1"/>
          <w:bCs w:val="1"/>
          <w:color w:val="auto"/>
        </w:rPr>
        <w:t>Judgment Currency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0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obligations hereunder and under the other Credit Documents to make payments in Dollars (the “</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Times New Roman" w:cs="Times New Roman" w:eastAsia="Times New Roman" w:hAnsi="Times New Roman"/>
          <w:sz w:val="18"/>
          <w:szCs w:val="18"/>
          <w:b w:val="1"/>
          <w:bCs w:val="1"/>
          <w:color w:val="auto"/>
        </w:rPr>
        <w:t>Judgment Currency Conversion Date</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rate of exchange prevailing between the Judgment Currency Conversion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12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Dollar Equivalent or any other rate of exchange for this Section 13.15, such amounts shall include any premium and costs payable in connection with the purchase of the Obligation Currency.</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13.16. Waiver of Claims</w:t>
      </w:r>
      <w:r>
        <w:rPr>
          <w:rFonts w:ascii="Times New Roman" w:cs="Times New Roman" w:eastAsia="Times New Roman" w:hAnsi="Times New Roman"/>
          <w:sz w:val="18"/>
          <w:szCs w:val="18"/>
          <w:color w:val="auto"/>
        </w:rPr>
        <w:t>. Notwithstanding anything in this Agreement or the other Credit Documents to the contrary,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the foregoing shall not impair Borrower’s ability to make a claim in respect of a breach of the representations or warranties or obligations of the relevant assignor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20"/>
          </w:cols>
          <w:pgMar w:left="240" w:top="796"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color w:val="auto"/>
        </w:rPr>
        <w:t>in a Borrower Loan Purchase, including in the standard terms and conditions set forth in the assignment agreement applicable to a Borrower Loan Purchase.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13.17.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the Administrative Agent, the Collateral Agent, the Documentation Agent, the Syndication Agents, the Lead Arrangers, the Arrangers and the Lenders are arm’s-length commercial transactions between Borrower, each other Credit Party and their respective Affiliates, on the one hand, and the Administrative Agent, the Collateral Agent, the Documentation Agent, the Syndication Agents, the Lead Arrangers, the Arrangers and the Lenders, on the other hand, (B) each of Borrower and the other Credit Parties has consulted its own legal, accounting, regulatory and tax advisors to the extent it has deemed appropriate, and</w:t>
      </w:r>
    </w:p>
    <w:p>
      <w:pPr>
        <w:spacing w:after="0" w:line="1" w:lineRule="exact"/>
        <w:rPr>
          <w:sz w:val="20"/>
          <w:szCs w:val="20"/>
          <w:color w:val="auto"/>
        </w:rPr>
      </w:pPr>
    </w:p>
    <w:p>
      <w:pPr>
        <w:jc w:val="both"/>
        <w:ind w:firstLine="8"/>
        <w:spacing w:after="0" w:line="251" w:lineRule="auto"/>
        <w:tabs>
          <w:tab w:leader="none" w:pos="32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other Credit Party is capable of evaluating, and understands and accepts, the terms, risks and conditions of the transactions contemplated hereby and by the other Credit Documents; (ii) (A) the Administrative Agent, the Collateral Agent, the Documentation Agent, the Syndication Agents, the Lead Arrangers, the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the Administrative Agent, the Collateral Agent, the Documentation Agent, the Syndication Agents, the Lead Arrangers, the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the Administrative Agent, the Collateral Agent, the Documentation Agent, the Syndication Agents, the Lead Arrangers, the Arrangers or any Lender on one hand and Borrower, any other Credit Party or any of their respective Affiliates on the other hand; and (iii) the Administrative Agent, the Collateral Agent, the Documentation Agent, the Syndication Agents, the Lead Arrangers, the Arrangers and the Lenders and their respective Affiliates may be engaged in a broad range of transactions that involve interests that differ from, or conflict with, those of Borrower, the other Credit Parties and their respective Affiliates, and none of the Administrative Agent, the Collateral Agent, the Documentation Agent, the Syndication Agents, the Lead Arrangers, the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the Administrative Agent, the Collateral Agent, the Documentation Agent, the Syndication Agents, the Lead Arrangers, the Arrangers and the Lenders, on the one hand, and such Credit Party, its stockholders or its affiliates, on the other. To the fullest extent permitted by law, each of Borrower and each other Credit Party hereby waives and releases any claims that it may have against the Administrative Agent, the Collateral Agent, the Documentation Agent, the Syndication Agents, the Lead Arrangers, the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13.18. Lender Action</w:t>
      </w:r>
      <w:r>
        <w:rPr>
          <w:rFonts w:ascii="Times New Roman" w:cs="Times New Roman" w:eastAsia="Times New Roman" w:hAnsi="Times New Roman"/>
          <w:sz w:val="18"/>
          <w:szCs w:val="18"/>
          <w:color w:val="auto"/>
        </w:rPr>
        <w:t>. Each Lender agrees that it shall not take or institute any actions or proceedings, judicial or otherwise,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Section 13.18 are for the sole benefit of the Agents and Lenders and shall not afford any right to, or constitute a defense available to, any Credit Party.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13.19. Interest Rate Limitation</w:t>
      </w:r>
      <w:r>
        <w:rPr>
          <w:rFonts w:ascii="Times New Roman" w:cs="Times New Roman" w:eastAsia="Times New Roman" w:hAnsi="Times New Roman"/>
          <w:sz w:val="18"/>
          <w:szCs w:val="18"/>
          <w:color w:val="auto"/>
        </w:rPr>
        <w:t>. Notwithstanding anything to the contrary contained in any Credit Document, the interest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be paid under the Credit Documents (collectively, the “</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shall not exceed the maximum rate of non-usurious interest permitted by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20"/>
          </w:cols>
          <w:pgMar w:left="240" w:top="797"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color w:val="auto"/>
        </w:rPr>
        <w:t>Person may, to the extent permitted by applicable Law, (a) characterize any payment that is not principal as an expense, fee, or premium rather than interest,</w:t>
      </w:r>
    </w:p>
    <w:p>
      <w:pPr>
        <w:spacing w:after="0" w:line="27" w:lineRule="exact"/>
        <w:rPr>
          <w:sz w:val="20"/>
          <w:szCs w:val="20"/>
          <w:color w:val="auto"/>
        </w:rPr>
      </w:pPr>
    </w:p>
    <w:p>
      <w:pPr>
        <w:jc w:val="both"/>
        <w:ind w:firstLine="8"/>
        <w:spacing w:after="0" w:line="251" w:lineRule="auto"/>
        <w:tabs>
          <w:tab w:leader="none" w:pos="25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Section 13.19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Section 13.19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Section 13.19, such interest shall be calculated at a daily rate equal to the Maximum Rate divided by the number of days in the year in which such calculation is made. If, notwithstanding the provisions of this Section 13.19,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13.20. Payments Set Aside</w:t>
      </w:r>
      <w:r>
        <w:rPr>
          <w:rFonts w:ascii="Times New Roman" w:cs="Times New Roman" w:eastAsia="Times New Roman" w:hAnsi="Times New Roman"/>
          <w:sz w:val="18"/>
          <w:szCs w:val="18"/>
          <w:color w:val="auto"/>
        </w:rPr>
        <w:t>. To the extent that any payment by or on behalf of Borrower is made to any Agent, any L/C Lender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13.21. </w:t>
      </w:r>
      <w:r>
        <w:rPr>
          <w:rFonts w:ascii="Times New Roman" w:cs="Times New Roman" w:eastAsia="Times New Roman" w:hAnsi="Times New Roman"/>
          <w:sz w:val="18"/>
          <w:szCs w:val="18"/>
          <w:b w:val="1"/>
          <w:bCs w:val="1"/>
          <w:u w:val="single" w:color="auto"/>
          <w:color w:val="0000FF"/>
        </w:rPr>
        <w:t>Acknowledgement and Consent to Bail-In of EEA Financial Institutions. Notwithstanding anything to the contrary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any Credit Document or in any other agreement, arrangement or understanding among any such parties, each party hereto acknowledges that any liability of any Lender that is an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80" w:lineRule="exact"/>
        <w:rPr>
          <w:sz w:val="20"/>
          <w:szCs w:val="20"/>
          <w:color w:val="auto"/>
        </w:rPr>
      </w:pPr>
    </w:p>
    <w:p>
      <w:pPr>
        <w:ind w:right="20" w:firstLine="656"/>
        <w:spacing w:after="0" w:line="286" w:lineRule="auto"/>
        <w:tabs>
          <w:tab w:leader="none" w:pos="11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the application of any Write-Down and Conversion Powers by an EEA Resolution Authority to any such liabilities arising hereunder which may be payable to it by any Lender that is an EEA Financial Institution; and</w:t>
      </w:r>
    </w:p>
    <w:p>
      <w:pPr>
        <w:spacing w:after="0" w:line="15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888"/>
        <w:spacing w:after="0" w:line="268" w:lineRule="auto"/>
        <w:tabs>
          <w:tab w:leader="none" w:pos="201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420"/>
          </w:cols>
          <w:pgMar w:left="240" w:top="797"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be accepted by it in lieu of any rights with respect to any such liability under this Agreement or any other Loan Document; or</w:t>
      </w:r>
    </w:p>
    <w:p>
      <w:pPr>
        <w:spacing w:after="0" w:line="225" w:lineRule="exact"/>
        <w:rPr>
          <w:sz w:val="20"/>
          <w:szCs w:val="20"/>
          <w:color w:val="auto"/>
        </w:rPr>
      </w:pPr>
    </w:p>
    <w:p>
      <w:pPr>
        <w:ind w:firstLine="888"/>
        <w:spacing w:after="0" w:line="286" w:lineRule="auto"/>
        <w:tabs>
          <w:tab w:leader="none" w:pos="13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the variation of the terms of such liability in connection with the exercise of the write-down and conversion powers of any EEA Resolution Authority.</w:t>
      </w:r>
    </w:p>
    <w:p>
      <w:pPr>
        <w:spacing w:after="0" w:line="1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760"/>
          </w:cols>
          <w:pgMar w:left="900" w:top="793" w:right="239" w:bottom="1440" w:gutter="0" w:footer="0" w:header="0"/>
        </w:sectPr>
      </w:pPr>
    </w:p>
    <w:bookmarkStart w:id="259" w:name="page260"/>
    <w:bookmarkEnd w:id="259"/>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WYNN AMERICA, LLC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-7620</wp:posOffset>
            </wp:positionV>
            <wp:extent cx="2286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Address for Notices for Borrower and each Subsidiary</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Guarantor:</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Contact Person:</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Facsimile No.:</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11400"/>
          </w:cols>
          <w:pgMar w:left="240" w:top="797" w:right="259" w:bottom="1440" w:gutter="0" w:footer="0" w:header="0"/>
        </w:sectPr>
      </w:pPr>
    </w:p>
    <w:bookmarkStart w:id="260" w:name="page261"/>
    <w:bookmarkEnd w:id="260"/>
    <w:p>
      <w:pPr>
        <w:ind w:left="2700"/>
        <w:spacing w:after="0"/>
        <w:rPr>
          <w:sz w:val="20"/>
          <w:szCs w:val="20"/>
          <w:color w:val="auto"/>
        </w:rPr>
      </w:pPr>
      <w:r>
        <w:rPr>
          <w:rFonts w:ascii="Times New Roman" w:cs="Times New Roman" w:eastAsia="Times New Roman" w:hAnsi="Times New Roman"/>
          <w:sz w:val="18"/>
          <w:szCs w:val="18"/>
          <w:color w:val="auto"/>
        </w:rPr>
        <w:t>SUBSIDIARY GUARANTORS:</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►►[TO BE UPDATED AS APPROPRIATE]</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For each of the foregoing entities:</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-7620</wp:posOffset>
            </wp:positionV>
            <wp:extent cx="2286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796" w:right="1440" w:bottom="1440" w:gutter="0" w:footer="0" w:header="0"/>
        </w:sectPr>
      </w:pPr>
    </w:p>
    <w:bookmarkStart w:id="261" w:name="page262"/>
    <w:bookmarkEnd w:id="261"/>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DEUTSCHE BANK AG NEW YORK BRANCH</w:t>
      </w:r>
      <w:r>
        <w:rPr>
          <w:rFonts w:ascii="Times New Roman" w:cs="Times New Roman" w:eastAsia="Times New Roman" w:hAnsi="Times New Roman"/>
          <w:sz w:val="17"/>
          <w:szCs w:val="17"/>
          <w:color w:val="auto"/>
        </w:rPr>
        <w:t>, as Administrative Agent</w:t>
      </w: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-7620</wp:posOffset>
            </wp:positionV>
            <wp:extent cx="2286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Contact Person:</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9019"/>
          </w:cols>
          <w:pgMar w:left="1440" w:top="1440" w:right="1440" w:bottom="1440" w:gutter="0" w:footer="0" w:header="0"/>
        </w:sectPr>
      </w:pPr>
    </w:p>
    <w:bookmarkStart w:id="262" w:name="page263"/>
    <w:bookmarkEnd w:id="262"/>
    <w:p>
      <w:pPr>
        <w:ind w:left="270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Collateral Agent</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-7620</wp:posOffset>
            </wp:positionV>
            <wp:extent cx="2286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Contact Person:</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9019"/>
          </w:cols>
          <w:pgMar w:left="1440" w:top="793" w:right="1440" w:bottom="1440" w:gutter="0" w:footer="0" w:header="0"/>
        </w:sectPr>
      </w:pPr>
    </w:p>
    <w:bookmarkStart w:id="263" w:name="page264"/>
    <w:bookmarkEnd w:id="263"/>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L/C Lender</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-7620</wp:posOffset>
            </wp:positionV>
            <wp:extent cx="2286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Contact Person:</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9019"/>
          </w:cols>
          <w:pgMar w:left="1440" w:top="1440" w:right="1440" w:bottom="1440" w:gutter="0" w:footer="0" w:header="0"/>
        </w:sectPr>
      </w:pPr>
    </w:p>
    <w:bookmarkStart w:id="264" w:name="page265"/>
    <w:bookmarkEnd w:id="264"/>
    <w:p>
      <w:pPr>
        <w:ind w:left="2700"/>
        <w:spacing w:after="0"/>
        <w:rPr>
          <w:sz w:val="20"/>
          <w:szCs w:val="20"/>
          <w:color w:val="auto"/>
        </w:rPr>
      </w:pPr>
      <w:r>
        <w:rPr>
          <w:rFonts w:ascii="Times New Roman" w:cs="Times New Roman" w:eastAsia="Times New Roman" w:hAnsi="Times New Roman"/>
          <w:sz w:val="18"/>
          <w:szCs w:val="18"/>
          <w:color w:val="auto"/>
        </w:rPr>
        <w:t>[●], as Lender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-7620</wp:posOffset>
            </wp:positionV>
            <wp:extent cx="2286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Contact Person:</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9019"/>
          </w:cols>
          <w:pgMar w:left="1440" w:top="797" w:right="1440"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u w:val="single" w:color="auto"/>
          <w:color w:val="auto"/>
        </w:rPr>
        <w:t>ANNEX A-4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 FACILITY II COMMITMENTS</w:t>
      </w:r>
    </w:p>
    <w:p>
      <w:pPr>
        <w:spacing w:after="0" w:line="200" w:lineRule="exact"/>
        <w:rPr>
          <w:sz w:val="20"/>
          <w:szCs w:val="20"/>
          <w:color w:val="auto"/>
        </w:rPr>
      </w:pPr>
    </w:p>
    <w:p>
      <w:pPr>
        <w:spacing w:after="0" w:line="379" w:lineRule="exact"/>
        <w:rPr>
          <w:sz w:val="20"/>
          <w:szCs w:val="20"/>
          <w:color w:val="auto"/>
        </w:rPr>
      </w:pPr>
    </w:p>
    <w:tbl>
      <w:tblPr>
        <w:tblLayout w:type="fixed"/>
        <w:tblInd w:w="450" w:type="dxa"/>
        <w:tblCellMar>
          <w:top w:w="0" w:type="dxa"/>
          <w:left w:w="0" w:type="dxa"/>
          <w:bottom w:w="0" w:type="dxa"/>
          <w:right w:w="0" w:type="dxa"/>
        </w:tblCellMar>
      </w:tblPr>
      <w:tr>
        <w:trPr>
          <w:trHeight w:val="264"/>
        </w:trPr>
        <w:tc>
          <w:tcPr>
            <w:tcW w:w="6900" w:type="dxa"/>
            <w:vAlign w:val="bottom"/>
            <w:tcBorders>
              <w:top w:val="single" w:sz="8" w:color="auto"/>
              <w:left w:val="single" w:sz="8" w:color="auto"/>
              <w:bottom w:val="single" w:sz="8" w:color="auto"/>
              <w:right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Term Facility II Lender</w:t>
            </w:r>
          </w:p>
        </w:tc>
        <w:tc>
          <w:tcPr>
            <w:tcW w:w="338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Term Facility II Commitment</w:t>
            </w:r>
          </w:p>
        </w:tc>
      </w:tr>
      <w:tr>
        <w:trPr>
          <w:trHeight w:val="264"/>
        </w:trPr>
        <w:tc>
          <w:tcPr>
            <w:tcW w:w="69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GOLDMAN SACHS BANK USA</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$75,000,000.00</w:t>
            </w:r>
          </w:p>
        </w:tc>
      </w:tr>
      <w:tr>
        <w:trPr>
          <w:trHeight w:val="264"/>
        </w:trPr>
        <w:tc>
          <w:tcPr>
            <w:tcW w:w="69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JPMORGAN CHASE BANK, N.A.</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249"/>
        </w:trPr>
        <w:tc>
          <w:tcPr>
            <w:tcW w:w="69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Term Facility II Commitments:</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$125,000,000.00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9"/>
          <w:szCs w:val="19"/>
          <w:b w:val="1"/>
          <w:bCs w:val="1"/>
          <w:u w:val="single" w:color="auto"/>
          <w:color w:val="auto"/>
        </w:rPr>
        <w:t>EXHIBIT A-3</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FORM OF TERM FACILITY II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A-4</w:t>
      </w:r>
    </w:p>
    <w:p>
      <w:pPr>
        <w:sectPr>
          <w:pgSz w:w="11900" w:h="16838" w:orient="portrait"/>
          <w:cols w:equalWidth="0" w:num="1">
            <w:col w:w="11420"/>
          </w:cols>
          <w:pgMar w:left="240" w:top="13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LA\4563262.2</w:t>
      </w:r>
    </w:p>
    <w:p>
      <w:pPr>
        <w:sectPr>
          <w:pgSz w:w="11900" w:h="16838" w:orient="portrait"/>
          <w:cols w:equalWidth="0" w:num="1">
            <w:col w:w="11420"/>
          </w:cols>
          <w:pgMar w:left="240" w:top="1350" w:right="239" w:bottom="1440" w:gutter="0" w:footer="0" w:header="0"/>
          <w:type w:val="continuous"/>
        </w:sectPr>
      </w:pPr>
    </w:p>
    <w:bookmarkStart w:id="266" w:name="page267"/>
    <w:bookmarkEnd w:id="266"/>
    <w:p>
      <w:pPr>
        <w:ind w:right="60" w:firstLine="1297"/>
        <w:spacing w:after="0" w:line="307" w:lineRule="auto"/>
        <w:rPr>
          <w:sz w:val="20"/>
          <w:szCs w:val="20"/>
          <w:color w:val="auto"/>
        </w:rPr>
      </w:pPr>
      <w:r>
        <w:rPr>
          <w:rFonts w:ascii="Times New Roman" w:cs="Times New Roman" w:eastAsia="Times New Roman" w:hAnsi="Times New Roman"/>
          <w:sz w:val="19"/>
          <w:szCs w:val="19"/>
          <w:color w:val="auto"/>
        </w:rPr>
        <w:t>THIS TERM FACILITY II NOTE AND THE OBLIGATIONS REPRESENTED HEREBY MAY NOT BE TRANSFERRED EXCEPT IN ACCORDANCE WITH THE TERMS OF THE CREDIT AGREEMENT (AS DEFINED HEREIN). THIS TERM FACILITY II NOTE AND THE LOANS EVIDENCED HEREBY MAY BE TRANSFERRED IN WHOLE OR IN PART ONLY BY REGISTRATION OF SUCH TRANSFER ON THE REGISTER OF THE ADMINISTRATIVE AGENT MAINTAINED FOR SUCH PURPOSE BY OR ON BEHALF OF THE UNDERSIGNED AS PROVIDED IN SECTION 2.08 OF THE CREDIT AGREEMENT (AS DEFINED HEREIN).</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TERM FACILITY II NOTE</w:t>
      </w:r>
    </w:p>
    <w:p>
      <w:pPr>
        <w:spacing w:after="0" w:line="200" w:lineRule="exact"/>
        <w:rPr>
          <w:sz w:val="20"/>
          <w:szCs w:val="20"/>
          <w:color w:val="auto"/>
        </w:rPr>
      </w:pPr>
    </w:p>
    <w:p>
      <w:pPr>
        <w:spacing w:after="0" w:line="245" w:lineRule="exact"/>
        <w:rPr>
          <w:sz w:val="20"/>
          <w:szCs w:val="20"/>
          <w:color w:val="auto"/>
        </w:rPr>
      </w:pPr>
    </w:p>
    <w:p>
      <w:pPr>
        <w:spacing w:after="0"/>
        <w:tabs>
          <w:tab w:leader="none" w:pos="600" w:val="left"/>
          <w:tab w:leader="none" w:pos="8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[Date]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200" w:lineRule="exact"/>
        <w:rPr>
          <w:sz w:val="20"/>
          <w:szCs w:val="20"/>
          <w:color w:val="auto"/>
        </w:rPr>
      </w:pP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FOR VALUE RECEIVED, WYNN AMERICA, LLC, a Nevada limited liability company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hereby promises to</w:t>
      </w:r>
    </w:p>
    <w:p>
      <w:pPr>
        <w:spacing w:after="0" w:line="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pay to [</w:t>
      </w:r>
      <w:r>
        <w:rPr>
          <w:sz w:val="20"/>
          <w:szCs w:val="20"/>
          <w:color w:val="auto"/>
        </w:rPr>
        <w:tab/>
      </w:r>
      <w:r>
        <w:rPr>
          <w:rFonts w:ascii="Times New Roman" w:cs="Times New Roman" w:eastAsia="Times New Roman" w:hAnsi="Times New Roman"/>
          <w:sz w:val="19"/>
          <w:szCs w:val="19"/>
          <w:color w:val="auto"/>
        </w:rPr>
        <w:t>] or its registered assigns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for the account of Lender’s Applicable Lending Office provided for by the Credit</w:t>
      </w:r>
    </w:p>
    <w:p>
      <w:pPr>
        <w:spacing w:after="0" w:line="4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color w:val="auto"/>
        </w:rPr>
        <w:t>Agreement referred to below, at the Principal Office of Administrative Agent, the principal sum of [ ] Dollars ($[ ]), or such lesser amount as shall equal the aggregate unpaid principal amount of the Term Facility II Loan made by Lender to Borrower under the Credit Agreement, in lawful money of the United States of America and in immediately available funds, on the dates and in the principal amounts provided in the Credit Agreement, and to pay interest on the unpaid principal amount of such Term Facility II Loan, at such office, in like money and funds, for the period commencing on the date of such Term Facility II Loan until, but excluding, the date on which such Term Facility II Loan shall be paid in full, at the rates per annum and on the dates provided in the Credit Agreement.</w:t>
      </w:r>
    </w:p>
    <w:p>
      <w:pPr>
        <w:spacing w:after="0" w:line="146" w:lineRule="exact"/>
        <w:rPr>
          <w:sz w:val="20"/>
          <w:szCs w:val="20"/>
          <w:color w:val="auto"/>
        </w:rPr>
      </w:pPr>
    </w:p>
    <w:p>
      <w:pPr>
        <w:ind w:right="80" w:firstLine="1297"/>
        <w:spacing w:after="0" w:line="289" w:lineRule="auto"/>
        <w:rPr>
          <w:sz w:val="20"/>
          <w:szCs w:val="20"/>
          <w:color w:val="auto"/>
        </w:rPr>
      </w:pPr>
      <w:r>
        <w:rPr>
          <w:rFonts w:ascii="Times New Roman" w:cs="Times New Roman" w:eastAsia="Times New Roman" w:hAnsi="Times New Roman"/>
          <w:sz w:val="20"/>
          <w:szCs w:val="20"/>
          <w:color w:val="auto"/>
        </w:rPr>
        <w:t xml:space="preserve">The date, amount, Type, interest rate and duration of Interest Period (if applicable) of the Term Facility II Loan made by Lender to Borrower and each payment made on account of the principal thereof, shall be recorded by Lender on its books and, prior to any transfer of this Term Facility II Note, endorsed by Lender on the schedule attached hereto or any continuation thereof;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failure of Lender to make any such recordation or endorsement shall not affect the obligation of Borrower to make a payment when due of any amount owing under the Credit Agreement or hereunder.</w:t>
      </w:r>
    </w:p>
    <w:p>
      <w:pPr>
        <w:spacing w:after="0" w:line="141" w:lineRule="exact"/>
        <w:rPr>
          <w:sz w:val="20"/>
          <w:szCs w:val="20"/>
          <w:color w:val="auto"/>
        </w:rPr>
      </w:pPr>
    </w:p>
    <w:p>
      <w:pPr>
        <w:ind w:firstLine="1297"/>
        <w:spacing w:after="0" w:line="307" w:lineRule="auto"/>
        <w:rPr>
          <w:sz w:val="20"/>
          <w:szCs w:val="20"/>
          <w:color w:val="auto"/>
        </w:rPr>
      </w:pPr>
      <w:r>
        <w:rPr>
          <w:rFonts w:ascii="Times New Roman" w:cs="Times New Roman" w:eastAsia="Times New Roman" w:hAnsi="Times New Roman"/>
          <w:sz w:val="19"/>
          <w:szCs w:val="19"/>
          <w:color w:val="auto"/>
        </w:rPr>
        <w:t>This Term Facility II Note is one of the Term Facility II Notes referred to in the Credit Agreement, dated as of November 20, 2014 (as amended, amended and restated, supplemented or otherwise modified from time to time, the “</w:t>
      </w: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19"/>
          <w:szCs w:val="19"/>
          <w:color w:val="auto"/>
        </w:rPr>
        <w:t>”), among Borrower, the Guarantors from time to time party thereto, the Lenders from time to time party thereto, Deutsche Bank AG New York Branch, as Administrative Agent and as Collateral Agent, and the other parties party thereto, and evidences the Term Facility II Loan made by Lender thereunder. Terms used but not defined in this Term Facility II Note have the respective meanings assigned to them in the Credit Agreement.</w:t>
      </w:r>
    </w:p>
    <w:p>
      <w:pPr>
        <w:spacing w:after="0" w:line="129" w:lineRule="exact"/>
        <w:rPr>
          <w:sz w:val="20"/>
          <w:szCs w:val="20"/>
          <w:color w:val="auto"/>
        </w:rPr>
      </w:pPr>
    </w:p>
    <w:p>
      <w:pPr>
        <w:ind w:right="20" w:firstLine="1297"/>
        <w:spacing w:after="0" w:line="311" w:lineRule="auto"/>
        <w:rPr>
          <w:sz w:val="20"/>
          <w:szCs w:val="20"/>
          <w:color w:val="auto"/>
        </w:rPr>
      </w:pPr>
      <w:r>
        <w:rPr>
          <w:rFonts w:ascii="Times New Roman" w:cs="Times New Roman" w:eastAsia="Times New Roman" w:hAnsi="Times New Roman"/>
          <w:sz w:val="20"/>
          <w:szCs w:val="20"/>
          <w:color w:val="auto"/>
        </w:rPr>
        <w:t>The Credit Agreement provides, among other things, for the acceleration of the maturity of this Term Facility II Note upon the occurrence of certain events, for prepayments of the Term Facility</w:t>
      </w:r>
    </w:p>
    <w:p>
      <w:pPr>
        <w:sectPr>
          <w:pgSz w:w="11900" w:h="16838" w:orient="portrait"/>
          <w:cols w:equalWidth="0" w:num="1">
            <w:col w:w="11340"/>
          </w:cols>
          <w:pgMar w:left="240" w:top="387" w:right="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0"/>
          <w:szCs w:val="20"/>
          <w:color w:val="auto"/>
        </w:rPr>
        <w:t>II Loan and for the amendment or waiver of certain provisions of the Credit Agreement, each upon the terms and conditions specified therein.</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Except as permitted by Section 13.05 of the Credit Agreement, this Term Facility II Note may not be assigned by Lender to any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Person.</w:t>
      </w:r>
    </w:p>
    <w:p>
      <w:pPr>
        <w:spacing w:after="0" w:line="216" w:lineRule="exact"/>
        <w:rPr>
          <w:sz w:val="20"/>
          <w:szCs w:val="20"/>
          <w:color w:val="auto"/>
        </w:rPr>
      </w:pPr>
    </w:p>
    <w:p>
      <w:pPr>
        <w:ind w:right="120" w:firstLine="1297"/>
        <w:spacing w:after="0" w:line="287" w:lineRule="auto"/>
        <w:rPr>
          <w:sz w:val="20"/>
          <w:szCs w:val="20"/>
          <w:color w:val="auto"/>
        </w:rPr>
      </w:pPr>
      <w:r>
        <w:rPr>
          <w:rFonts w:ascii="Times New Roman" w:cs="Times New Roman" w:eastAsia="Times New Roman" w:hAnsi="Times New Roman"/>
          <w:sz w:val="20"/>
          <w:szCs w:val="20"/>
          <w:color w:val="auto"/>
        </w:rPr>
        <w:t>This Term Facility II Note is issued pursuant to and entitled to the benefits of the Credit Agreement and the other Credit Documents, and is secured and guaranteed as provided in the Credit Agreement and the Security Documents. Reference is hereby made to the Credit Agreement and the other Credit Documents for a more complete statement of the terms and conditions under which the Term Facility II Loans evidenced hereby were made and are to be repaid and a description of the properties and assets in which a security interest has been granted, the nature and extent of the security and guarantees, the terms and conditions upon which the security interest and each guarantee was granted and the rights of the holder of this Term Facility II Note in respect thereof.</w:t>
      </w:r>
    </w:p>
    <w:p>
      <w:pPr>
        <w:spacing w:after="0" w:line="146" w:lineRule="exact"/>
        <w:rPr>
          <w:sz w:val="20"/>
          <w:szCs w:val="20"/>
          <w:color w:val="auto"/>
        </w:rPr>
      </w:pPr>
    </w:p>
    <w:p>
      <w:pPr>
        <w:ind w:right="160" w:firstLine="1297"/>
        <w:spacing w:after="0" w:line="289" w:lineRule="auto"/>
        <w:rPr>
          <w:sz w:val="20"/>
          <w:szCs w:val="20"/>
          <w:color w:val="auto"/>
        </w:rPr>
      </w:pPr>
      <w:r>
        <w:rPr>
          <w:rFonts w:ascii="Times New Roman" w:cs="Times New Roman" w:eastAsia="Times New Roman" w:hAnsi="Times New Roman"/>
          <w:sz w:val="20"/>
          <w:szCs w:val="20"/>
          <w:color w:val="auto"/>
        </w:rPr>
        <w:t>THIS TERM FACILITY II NOTE AND ANY CLAIMS, CONTROVERSIES, DISPUTES, OR CAUSES OF ACTION (WHETHER ARISING UNDER CONTRACT LAW, TORT LAW OR OTHERWISE) BASED UPON OR RELATING TO THIS TERM FACILITY II NOTE, SHALL BE GOVERNED BY, AND CONSTRUED IN ACCORDANCE WITH, THE LAW OF THE STATE OF NEW YORK WITHOUT GIVING EFFECT TO ANY CHOICE OF LAW PRINCIPLES THAT WOULD APPLY THE LAWS OF ANOTHER JURISDICTION.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p>
    <w:p>
      <w:pPr>
        <w:sectPr>
          <w:pgSz w:w="11900" w:h="16838" w:orient="portrait"/>
          <w:cols w:equalWidth="0" w:num="1">
            <w:col w:w="11420"/>
          </w:cols>
          <w:pgMar w:left="240" w:top="387" w:right="239" w:bottom="1440" w:gutter="0" w:footer="0" w:header="0"/>
        </w:sectPr>
      </w:pPr>
    </w:p>
    <w:bookmarkStart w:id="268" w:name="page269"/>
    <w:bookmarkEnd w:id="268"/>
    <w:p>
      <w:pPr>
        <w:ind w:left="2860"/>
        <w:spacing w:after="0"/>
        <w:rPr>
          <w:sz w:val="20"/>
          <w:szCs w:val="20"/>
          <w:color w:val="auto"/>
        </w:rPr>
      </w:pPr>
      <w:r>
        <w:rPr>
          <w:rFonts w:ascii="Times New Roman" w:cs="Times New Roman" w:eastAsia="Times New Roman" w:hAnsi="Times New Roman"/>
          <w:sz w:val="19"/>
          <w:szCs w:val="19"/>
          <w:color w:val="auto"/>
        </w:rPr>
        <w:t>WYNN AMERICA, LLC</w:t>
      </w:r>
    </w:p>
    <w:p>
      <w:pPr>
        <w:spacing w:after="0" w:line="200" w:lineRule="exact"/>
        <w:rPr>
          <w:sz w:val="20"/>
          <w:szCs w:val="20"/>
          <w:color w:val="auto"/>
        </w:rPr>
      </w:pPr>
    </w:p>
    <w:p>
      <w:pPr>
        <w:spacing w:after="0" w:line="27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-10795</wp:posOffset>
            </wp:positionV>
            <wp:extent cx="125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w:t>
      </w:r>
    </w:p>
    <w:p>
      <w:pPr>
        <w:spacing w:after="0" w:line="21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019"/>
          </w:cols>
          <w:pgMar w:left="1440" w:top="806" w:right="1440" w:bottom="1440" w:gutter="0" w:footer="0" w:header="0"/>
        </w:sectPr>
      </w:pPr>
    </w:p>
    <w:bookmarkStart w:id="269" w:name="page270"/>
    <w:bookmarkEnd w:id="269"/>
    <w:p>
      <w:pPr>
        <w:jc w:val="center"/>
        <w:ind w:right="-319"/>
        <w:spacing w:after="0"/>
        <w:rPr>
          <w:sz w:val="20"/>
          <w:szCs w:val="20"/>
          <w:color w:val="auto"/>
        </w:rPr>
      </w:pPr>
      <w:r>
        <w:rPr>
          <w:rFonts w:ascii="Times New Roman" w:cs="Times New Roman" w:eastAsia="Times New Roman" w:hAnsi="Times New Roman"/>
          <w:sz w:val="20"/>
          <w:szCs w:val="20"/>
          <w:color w:val="auto"/>
        </w:rPr>
        <w:t>SCHEDULE OF TERM FACILITY II LOAN</w:t>
      </w:r>
    </w:p>
    <w:p>
      <w:pPr>
        <w:spacing w:after="0" w:line="200" w:lineRule="exact"/>
        <w:rPr>
          <w:sz w:val="20"/>
          <w:szCs w:val="20"/>
          <w:color w:val="auto"/>
        </w:rPr>
      </w:pPr>
    </w:p>
    <w:p>
      <w:pPr>
        <w:spacing w:after="0" w:line="2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This Term Facility II Note evidences the Term Facility II Loan made by Lender, continued or converted under the</w:t>
      </w:r>
    </w:p>
    <w:p>
      <w:pPr>
        <w:spacing w:after="0" w:line="28"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within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described Credit Agreement to Borrower, on the dates, in the principal amounts, of the Types, bearing interest at the rates and having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Periods (if applicable) of the durations set forth below, subject to the payments, continuations, conversions and prepayments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color w:val="auto"/>
              </w:rPr>
              <w:t>Amount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Date</w:t>
            </w:r>
          </w:p>
        </w:tc>
        <w:tc>
          <w:tcPr>
            <w:tcW w:w="2080" w:type="dxa"/>
            <w:vAlign w:val="bottom"/>
            <w:gridSpan w:val="3"/>
            <w:vMerge w:val="restart"/>
          </w:tcPr>
          <w:p>
            <w:pPr>
              <w:jc w:val="center"/>
              <w:ind w:left="261"/>
              <w:spacing w:after="0"/>
              <w:rPr>
                <w:sz w:val="20"/>
                <w:szCs w:val="20"/>
                <w:color w:val="auto"/>
              </w:rPr>
            </w:pPr>
            <w:r>
              <w:rPr>
                <w:rFonts w:ascii="Times New Roman" w:cs="Times New Roman" w:eastAsia="Times New Roman" w:hAnsi="Times New Roman"/>
                <w:sz w:val="20"/>
                <w:szCs w:val="20"/>
                <w:color w:val="auto"/>
                <w:w w:val="99"/>
              </w:rPr>
              <w:t>Principal</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8"/>
              </w:rPr>
              <w:t>Duration</w:t>
            </w:r>
          </w:p>
        </w:tc>
        <w:tc>
          <w:tcPr>
            <w:tcW w:w="3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color w:val="auto"/>
                <w:w w:val="98"/>
              </w:rPr>
              <w:t>Paid,</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Made,</w:t>
            </w:r>
          </w:p>
        </w:tc>
        <w:tc>
          <w:tcPr>
            <w:tcW w:w="2080" w:type="dxa"/>
            <w:vAlign w:val="bottom"/>
            <w:gridSpan w:val="3"/>
            <w:vMerge w:val="continue"/>
          </w:tcPr>
          <w:p>
            <w:pPr>
              <w:spacing w:after="0"/>
              <w:rPr>
                <w:sz w:val="18"/>
                <w:szCs w:val="18"/>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2"/>
              </w:rPr>
              <w:t>Type</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340"/>
              <w:spacing w:after="0" w:line="216" w:lineRule="exact"/>
              <w:rPr>
                <w:sz w:val="20"/>
                <w:szCs w:val="20"/>
                <w:color w:val="auto"/>
              </w:rPr>
            </w:pPr>
            <w:r>
              <w:rPr>
                <w:rFonts w:ascii="Times New Roman" w:cs="Times New Roman" w:eastAsia="Times New Roman" w:hAnsi="Times New Roman"/>
                <w:sz w:val="20"/>
                <w:szCs w:val="20"/>
                <w:color w:val="auto"/>
                <w:w w:val="99"/>
              </w:rPr>
              <w:t>Prepaid,</w:t>
            </w:r>
          </w:p>
        </w:tc>
        <w:tc>
          <w:tcPr>
            <w:tcW w:w="340" w:type="dxa"/>
            <w:vAlign w:val="bottom"/>
          </w:tcPr>
          <w:p>
            <w:pPr>
              <w:spacing w:after="0"/>
              <w:rPr>
                <w:sz w:val="18"/>
                <w:szCs w:val="18"/>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20"/>
                <w:szCs w:val="20"/>
                <w:color w:val="auto"/>
                <w:w w:val="98"/>
              </w:rPr>
              <w:t>Unpaid</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0" w:type="dxa"/>
            <w:vAlign w:val="bottom"/>
            <w:gridSpan w:val="2"/>
          </w:tcPr>
          <w:p>
            <w:pPr>
              <w:jc w:val="center"/>
              <w:spacing w:after="0" w:line="212" w:lineRule="exact"/>
              <w:rPr>
                <w:sz w:val="20"/>
                <w:szCs w:val="20"/>
                <w:color w:val="auto"/>
              </w:rPr>
            </w:pPr>
            <w:r>
              <w:rPr>
                <w:rFonts w:ascii="Times New Roman" w:cs="Times New Roman" w:eastAsia="Times New Roman" w:hAnsi="Times New Roman"/>
                <w:sz w:val="20"/>
                <w:szCs w:val="20"/>
                <w:color w:val="auto"/>
              </w:rPr>
              <w:t>Continued</w:t>
            </w:r>
          </w:p>
        </w:tc>
        <w:tc>
          <w:tcPr>
            <w:tcW w:w="2080" w:type="dxa"/>
            <w:vAlign w:val="bottom"/>
            <w:gridSpan w:val="3"/>
          </w:tcPr>
          <w:p>
            <w:pPr>
              <w:jc w:val="center"/>
              <w:ind w:left="261"/>
              <w:spacing w:after="0" w:line="212" w:lineRule="exact"/>
              <w:rPr>
                <w:sz w:val="20"/>
                <w:szCs w:val="20"/>
                <w:color w:val="auto"/>
              </w:rPr>
            </w:pPr>
            <w:r>
              <w:rPr>
                <w:rFonts w:ascii="Times New Roman" w:cs="Times New Roman" w:eastAsia="Times New Roman" w:hAnsi="Times New Roman"/>
                <w:sz w:val="20"/>
                <w:szCs w:val="20"/>
                <w:color w:val="auto"/>
                <w:w w:val="97"/>
              </w:rPr>
              <w:t>Amount</w:t>
            </w:r>
          </w:p>
        </w:tc>
        <w:tc>
          <w:tcPr>
            <w:tcW w:w="132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center"/>
              <w:ind w:right="420"/>
              <w:spacing w:after="0" w:line="212" w:lineRule="exact"/>
              <w:rPr>
                <w:sz w:val="20"/>
                <w:szCs w:val="20"/>
                <w:color w:val="auto"/>
              </w:rPr>
            </w:pPr>
            <w:r>
              <w:rPr>
                <w:rFonts w:ascii="Times New Roman" w:cs="Times New Roman" w:eastAsia="Times New Roman" w:hAnsi="Times New Roman"/>
                <w:sz w:val="20"/>
                <w:szCs w:val="20"/>
                <w:color w:val="auto"/>
              </w:rPr>
              <w:t>of</w:t>
            </w:r>
          </w:p>
        </w:tc>
        <w:tc>
          <w:tcPr>
            <w:tcW w:w="1440" w:type="dxa"/>
            <w:vAlign w:val="bottom"/>
            <w:gridSpan w:val="3"/>
          </w:tcPr>
          <w:p>
            <w:pPr>
              <w:jc w:val="center"/>
              <w:ind w:right="20"/>
              <w:spacing w:after="0" w:line="212" w:lineRule="exact"/>
              <w:rPr>
                <w:sz w:val="20"/>
                <w:szCs w:val="20"/>
                <w:color w:val="auto"/>
              </w:rPr>
            </w:pPr>
            <w:r>
              <w:rPr>
                <w:rFonts w:ascii="Times New Roman" w:cs="Times New Roman" w:eastAsia="Times New Roman" w:hAnsi="Times New Roman"/>
                <w:sz w:val="20"/>
                <w:szCs w:val="20"/>
                <w:color w:val="auto"/>
                <w:w w:val="98"/>
              </w:rPr>
              <w:t>Continued</w:t>
            </w:r>
          </w:p>
        </w:tc>
        <w:tc>
          <w:tcPr>
            <w:tcW w:w="3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or</w:t>
            </w:r>
          </w:p>
        </w:tc>
        <w:tc>
          <w:tcPr>
            <w:tcW w:w="1040" w:type="dxa"/>
            <w:vAlign w:val="bottom"/>
          </w:tcPr>
          <w:p>
            <w:pPr>
              <w:spacing w:after="0"/>
              <w:rPr>
                <w:sz w:val="19"/>
                <w:szCs w:val="19"/>
                <w:color w:val="auto"/>
              </w:rPr>
            </w:pPr>
          </w:p>
        </w:tc>
        <w:tc>
          <w:tcPr>
            <w:tcW w:w="1040" w:type="dxa"/>
            <w:vAlign w:val="bottom"/>
            <w:gridSpan w:val="2"/>
          </w:tcPr>
          <w:p>
            <w:pPr>
              <w:jc w:val="center"/>
              <w:ind w:right="680"/>
              <w:spacing w:after="0"/>
              <w:rPr>
                <w:sz w:val="20"/>
                <w:szCs w:val="20"/>
                <w:color w:val="auto"/>
              </w:rPr>
            </w:pPr>
            <w:r>
              <w:rPr>
                <w:rFonts w:ascii="Times New Roman" w:cs="Times New Roman" w:eastAsia="Times New Roman" w:hAnsi="Times New Roman"/>
                <w:sz w:val="20"/>
                <w:szCs w:val="20"/>
                <w:color w:val="auto"/>
                <w:w w:val="95"/>
              </w:rPr>
              <w:t>of</w:t>
            </w:r>
          </w:p>
        </w:tc>
        <w:tc>
          <w:tcPr>
            <w:tcW w:w="520" w:type="dxa"/>
            <w:vAlign w:val="bottom"/>
          </w:tcPr>
          <w:p>
            <w:pPr>
              <w:spacing w:after="0"/>
              <w:rPr>
                <w:sz w:val="19"/>
                <w:szCs w:val="19"/>
                <w:color w:val="auto"/>
              </w:rPr>
            </w:pPr>
          </w:p>
        </w:tc>
        <w:tc>
          <w:tcPr>
            <w:tcW w:w="80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rPr>
              <w:t>of</w:t>
            </w:r>
          </w:p>
        </w:tc>
        <w:tc>
          <w:tcPr>
            <w:tcW w:w="1260" w:type="dxa"/>
            <w:vAlign w:val="bottom"/>
            <w:gridSpan w:val="3"/>
          </w:tcPr>
          <w:p>
            <w:pPr>
              <w:jc w:val="center"/>
              <w:ind w:left="21"/>
              <w:spacing w:after="0"/>
              <w:rPr>
                <w:sz w:val="20"/>
                <w:szCs w:val="20"/>
                <w:color w:val="auto"/>
              </w:rPr>
            </w:pPr>
            <w:r>
              <w:rPr>
                <w:rFonts w:ascii="Times New Roman" w:cs="Times New Roman" w:eastAsia="Times New Roman" w:hAnsi="Times New Roman"/>
                <w:sz w:val="20"/>
                <w:szCs w:val="20"/>
                <w:color w:val="auto"/>
                <w:w w:val="96"/>
              </w:rPr>
              <w:t>Interest</w:t>
            </w:r>
          </w:p>
        </w:tc>
        <w:tc>
          <w:tcPr>
            <w:tcW w:w="12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6"/>
              </w:rPr>
              <w:t>Interest</w:t>
            </w:r>
          </w:p>
        </w:tc>
        <w:tc>
          <w:tcPr>
            <w:tcW w:w="3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color w:val="auto"/>
                <w:w w:val="95"/>
              </w:rPr>
              <w:t>or</w:t>
            </w: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6"/>
              </w:rPr>
              <w:t>Principal</w:t>
            </w:r>
          </w:p>
        </w:tc>
        <w:tc>
          <w:tcPr>
            <w:tcW w:w="10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Notation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w w:val="95"/>
              </w:rPr>
              <w:t>Converted</w:t>
            </w:r>
          </w:p>
        </w:tc>
        <w:tc>
          <w:tcPr>
            <w:tcW w:w="1040" w:type="dxa"/>
            <w:vAlign w:val="bottom"/>
          </w:tcPr>
          <w:p>
            <w:pPr>
              <w:spacing w:after="0"/>
              <w:rPr>
                <w:sz w:val="21"/>
                <w:szCs w:val="21"/>
                <w:color w:val="auto"/>
              </w:rPr>
            </w:pPr>
          </w:p>
        </w:tc>
        <w:tc>
          <w:tcPr>
            <w:tcW w:w="4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rPr>
              <w:t>Loan</w:t>
            </w: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20"/>
                <w:szCs w:val="20"/>
                <w:color w:val="auto"/>
                <w:w w:val="92"/>
              </w:rPr>
              <w:t>Loan</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color w:val="auto"/>
              </w:rPr>
              <w:t>Rate</w:t>
            </w:r>
          </w:p>
        </w:tc>
        <w:tc>
          <w:tcPr>
            <w:tcW w:w="360" w:type="dxa"/>
            <w:vAlign w:val="bottom"/>
          </w:tcPr>
          <w:p>
            <w:pPr>
              <w:spacing w:after="0"/>
              <w:rPr>
                <w:sz w:val="21"/>
                <w:szCs w:val="21"/>
                <w:color w:val="auto"/>
              </w:rPr>
            </w:pPr>
          </w:p>
        </w:tc>
        <w:tc>
          <w:tcPr>
            <w:tcW w:w="1280" w:type="dxa"/>
            <w:vAlign w:val="bottom"/>
            <w:gridSpan w:val="3"/>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Period</w:t>
            </w:r>
          </w:p>
        </w:tc>
        <w:tc>
          <w:tcPr>
            <w:tcW w:w="1440" w:type="dxa"/>
            <w:vAlign w:val="bottom"/>
            <w:gridSpan w:val="3"/>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Converted</w:t>
            </w:r>
          </w:p>
        </w:tc>
        <w:tc>
          <w:tcPr>
            <w:tcW w:w="340" w:type="dxa"/>
            <w:vAlign w:val="bottom"/>
          </w:tcPr>
          <w:p>
            <w:pPr>
              <w:spacing w:after="0"/>
              <w:rPr>
                <w:sz w:val="21"/>
                <w:szCs w:val="21"/>
                <w:color w:val="auto"/>
              </w:rPr>
            </w:pP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Amount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20"/>
                <w:szCs w:val="20"/>
                <w:color w:val="auto"/>
                <w:w w:val="96"/>
              </w:rPr>
              <w:t>Made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240" w:top="1049" w:right="55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FORM OF NOTICE OF BORROWING</w:t>
      </w:r>
    </w:p>
    <w:p>
      <w:pPr>
        <w:spacing w:after="0" w:line="30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Date: [</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400" w:right="40" w:hanging="404"/>
        <w:spacing w:after="0" w:line="249" w:lineRule="auto"/>
        <w:rPr>
          <w:sz w:val="20"/>
          <w:szCs w:val="20"/>
          <w:color w:val="auto"/>
        </w:rPr>
      </w:pPr>
      <w:r>
        <w:rPr>
          <w:rFonts w:ascii="Times New Roman" w:cs="Times New Roman" w:eastAsia="Times New Roman" w:hAnsi="Times New Roman"/>
          <w:sz w:val="20"/>
          <w:szCs w:val="20"/>
          <w:color w:val="auto"/>
        </w:rPr>
        <w:t>To: Administrative Agent under the Credit Agreement, dated as of November 20, 2014 (as amended, amended and restated, supplemented or otherwise modified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among Wynn America, LLC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the Guarantors from time to time party thereto, the Lenders from time to time party thereto, Deutsche Bank AG New York Branch, as Administrative Agent and as Collateral Agent, and the other parties party thereto.</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324"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The undersigned Borrower refers to the Credit Agreement (the terms defined therein, being used herein as defined therein), hereby gives you [irrevocable]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notice pursuant to 2.02, [2.03(e)]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and 4.05 of the Credit Agreement that Borrower desires to make a borrowing (the “</w:t>
      </w:r>
      <w:r>
        <w:rPr>
          <w:rFonts w:ascii="Times New Roman" w:cs="Times New Roman" w:eastAsia="Times New Roman" w:hAnsi="Times New Roman"/>
          <w:sz w:val="20"/>
          <w:szCs w:val="20"/>
          <w:b w:val="1"/>
          <w:bCs w:val="1"/>
          <w:color w:val="auto"/>
        </w:rPr>
        <w:t>Proposed Borrowing</w:t>
      </w:r>
      <w:r>
        <w:rPr>
          <w:rFonts w:ascii="Times New Roman" w:cs="Times New Roman" w:eastAsia="Times New Roman" w:hAnsi="Times New Roman"/>
          <w:sz w:val="20"/>
          <w:szCs w:val="20"/>
          <w:color w:val="auto"/>
        </w:rPr>
        <w:t>”) under the Credit Agreement, and in that connection sets forth below the information relating to the Proposed Borrowing:</w:t>
      </w:r>
    </w:p>
    <w:p>
      <w:pPr>
        <w:spacing w:after="0" w:line="201" w:lineRule="exact"/>
        <w:rPr>
          <w:sz w:val="20"/>
          <w:szCs w:val="20"/>
          <w:color w:val="auto"/>
        </w:rPr>
      </w:pPr>
    </w:p>
    <w:p>
      <w:pPr>
        <w:ind w:left="1120" w:hanging="464"/>
        <w:spacing w:after="0"/>
        <w:tabs>
          <w:tab w:leader="none" w:pos="11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Borrowing:</w:t>
      </w:r>
    </w:p>
    <w:tbl>
      <w:tblPr>
        <w:tblLayout w:type="fixed"/>
        <w:tblInd w:w="1300" w:type="dxa"/>
        <w:tblCellMar>
          <w:top w:w="0" w:type="dxa"/>
          <w:left w:w="0" w:type="dxa"/>
          <w:bottom w:w="0" w:type="dxa"/>
          <w:right w:w="0" w:type="dxa"/>
        </w:tblCellMar>
      </w:tblPr>
      <w:tr>
        <w:trPr>
          <w:trHeight w:val="225"/>
        </w:trPr>
        <w:tc>
          <w:tcPr>
            <w:tcW w:w="3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w:t>
            </w:r>
          </w:p>
        </w:tc>
        <w:tc>
          <w:tcPr>
            <w:tcW w:w="400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w w:val="98"/>
              </w:rPr>
              <w:t>The Business Day of the Proposed Borrowing is [</w:t>
            </w:r>
          </w:p>
        </w:tc>
        <w:tc>
          <w:tcPr>
            <w:tcW w:w="440" w:type="dxa"/>
            <w:vAlign w:val="bottom"/>
            <w:tcBorders>
              <w:bottom w:val="single" w:sz="8" w:color="auto"/>
            </w:tcBorders>
          </w:tcPr>
          <w:p>
            <w:pPr>
              <w:spacing w:after="0"/>
              <w:rPr>
                <w:sz w:val="19"/>
                <w:szCs w:val="19"/>
                <w:color w:val="auto"/>
              </w:rPr>
            </w:pPr>
          </w:p>
        </w:tc>
        <w:tc>
          <w:tcPr>
            <w:tcW w:w="780" w:type="dxa"/>
            <w:vAlign w:val="bottom"/>
            <w:gridSpan w:val="2"/>
          </w:tcPr>
          <w:p>
            <w:pPr>
              <w:jc w:val="right"/>
              <w:ind w:right="660"/>
              <w:spacing w:after="0" w:line="225" w:lineRule="exact"/>
              <w:rPr>
                <w:sz w:val="20"/>
                <w:szCs w:val="20"/>
                <w:color w:val="auto"/>
              </w:rPr>
            </w:pPr>
            <w:r>
              <w:rPr>
                <w:rFonts w:ascii="Times New Roman" w:cs="Times New Roman" w:eastAsia="Times New Roman" w:hAnsi="Times New Roman"/>
                <w:sz w:val="20"/>
                <w:szCs w:val="20"/>
                <w:color w:val="auto"/>
                <w:w w:val="81"/>
              </w:rPr>
              <w:t>];</w:t>
            </w:r>
          </w:p>
        </w:tc>
        <w:tc>
          <w:tcPr>
            <w:tcW w:w="120" w:type="dxa"/>
            <w:vAlign w:val="bottom"/>
          </w:tcPr>
          <w:p>
            <w:pPr>
              <w:spacing w:after="0"/>
              <w:rPr>
                <w:sz w:val="19"/>
                <w:szCs w:val="19"/>
                <w:color w:val="auto"/>
              </w:rPr>
            </w:pPr>
          </w:p>
        </w:tc>
      </w:tr>
      <w:tr>
        <w:trPr>
          <w:trHeight w:val="439"/>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5220" w:type="dxa"/>
            <w:vAlign w:val="bottom"/>
            <w:gridSpan w:val="4"/>
          </w:tcPr>
          <w:p>
            <w:pPr>
              <w:jc w:val="right"/>
              <w:ind w:right="740"/>
              <w:spacing w:after="0"/>
              <w:rPr>
                <w:sz w:val="20"/>
                <w:szCs w:val="20"/>
                <w:color w:val="auto"/>
              </w:rPr>
            </w:pPr>
            <w:r>
              <w:rPr>
                <w:rFonts w:ascii="Times New Roman" w:cs="Times New Roman" w:eastAsia="Times New Roman" w:hAnsi="Times New Roman"/>
                <w:sz w:val="20"/>
                <w:szCs w:val="20"/>
                <w:color w:val="auto"/>
              </w:rPr>
              <w:t>The aggregate amount of the Proposed Borrowing is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1"/>
              </w:rPr>
              <w:t>];</w:t>
            </w:r>
          </w:p>
        </w:tc>
      </w:tr>
      <w:tr>
        <w:trPr>
          <w:trHeight w:val="20"/>
        </w:trPr>
        <w:tc>
          <w:tcPr>
            <w:tcW w:w="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(iii)</w:t>
      </w:r>
      <w:r>
        <w:rPr>
          <w:sz w:val="20"/>
          <w:szCs w:val="20"/>
          <w:color w:val="auto"/>
        </w:rPr>
        <w:tab/>
      </w:r>
      <w:r>
        <w:rPr>
          <w:rFonts w:ascii="Times New Roman" w:cs="Times New Roman" w:eastAsia="Times New Roman" w:hAnsi="Times New Roman"/>
          <w:sz w:val="19"/>
          <w:szCs w:val="19"/>
          <w:color w:val="auto"/>
        </w:rPr>
        <w:t>The Proposed Borrowing shall consist of:</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 $[__________]</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9"/>
          <w:szCs w:val="19"/>
          <w:color w:val="auto"/>
        </w:rPr>
        <w:t xml:space="preserve"> Revolving Loan, which shall initially be [an ABR Loan][a LIBOR Loan]; [The amount of Revolving Loans</w:t>
      </w:r>
    </w:p>
    <w:p>
      <w:pPr>
        <w:ind w:left="1300"/>
        <w:spacing w:after="0"/>
        <w:tabs>
          <w:tab w:leader="none" w:pos="8920" w:val="left"/>
        </w:tabs>
        <w:rPr>
          <w:sz w:val="20"/>
          <w:szCs w:val="20"/>
          <w:color w:val="auto"/>
        </w:rPr>
      </w:pPr>
      <w:r>
        <w:rPr>
          <w:rFonts w:ascii="Times New Roman" w:cs="Times New Roman" w:eastAsia="Times New Roman" w:hAnsi="Times New Roman"/>
          <w:sz w:val="20"/>
          <w:szCs w:val="20"/>
          <w:color w:val="auto"/>
        </w:rPr>
        <w:t>that are requested to be LIBOR Loans are requested to have the following Interest Period(s): [</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5550535</wp:posOffset>
            </wp:positionH>
            <wp:positionV relativeFrom="paragraph">
              <wp:posOffset>-24765</wp:posOffset>
            </wp:positionV>
            <wp:extent cx="125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hanging="152"/>
        <w:spacing w:after="0"/>
        <w:tabs>
          <w:tab w:leader="none" w:pos="1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included unless notice is conditioned on the occurrence of an acquisition, sale, incurrence of indebtedness or issuance of equity interests.</w:t>
      </w:r>
    </w:p>
    <w:p>
      <w:pPr>
        <w:spacing w:after="0" w:line="203"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included for borrowings in respect of Letter of Credit reimbursement only.</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Borrowings of Revolving Loans shall be made pro rata across all outstanding Tranches of Revolving Commitments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B-1</w:t>
      </w:r>
    </w:p>
    <w:p>
      <w:pPr>
        <w:sectPr>
          <w:pgSz w:w="11900" w:h="16838" w:orient="portrait"/>
          <w:cols w:equalWidth="0" w:num="1">
            <w:col w:w="11420"/>
          </w:cols>
          <w:pgMar w:left="240" w:top="950" w:right="239" w:bottom="1440" w:gutter="0" w:footer="0" w:header="0"/>
        </w:sectPr>
      </w:pPr>
    </w:p>
    <w:bookmarkStart w:id="271" w:name="page272"/>
    <w:bookmarkEnd w:id="271"/>
    <w:p>
      <w:pPr>
        <w:ind w:left="1292"/>
        <w:spacing w:after="0"/>
        <w:rPr>
          <w:sz w:val="20"/>
          <w:szCs w:val="20"/>
          <w:color w:val="auto"/>
        </w:rPr>
      </w:pPr>
      <w:r>
        <w:rPr>
          <w:rFonts w:ascii="Times New Roman" w:cs="Times New Roman" w:eastAsia="Times New Roman" w:hAnsi="Times New Roman"/>
          <w:sz w:val="20"/>
          <w:szCs w:val="20"/>
          <w:color w:val="auto"/>
        </w:rPr>
        <w:t>[a $[__________] Term Facility Loan, which shall initially be [an ABR Loan][a LIBOR Loan], [The amount of such Term</w:t>
      </w:r>
    </w:p>
    <w:p>
      <w:pPr>
        <w:spacing w:after="0" w:line="22" w:lineRule="exact"/>
        <w:rPr>
          <w:sz w:val="20"/>
          <w:szCs w:val="20"/>
          <w:color w:val="auto"/>
        </w:rPr>
      </w:pPr>
    </w:p>
    <w:p>
      <w:pPr>
        <w:ind w:left="1292"/>
        <w:spacing w:after="0"/>
        <w:tabs>
          <w:tab w:leader="none" w:pos="9492" w:val="left"/>
        </w:tabs>
        <w:rPr>
          <w:sz w:val="20"/>
          <w:szCs w:val="20"/>
          <w:color w:val="auto"/>
        </w:rPr>
      </w:pPr>
      <w:r>
        <w:rPr>
          <w:rFonts w:ascii="Times New Roman" w:cs="Times New Roman" w:eastAsia="Times New Roman" w:hAnsi="Times New Roman"/>
          <w:sz w:val="20"/>
          <w:szCs w:val="20"/>
          <w:color w:val="auto"/>
        </w:rPr>
        <w:t>Loans that are requested to be LIBOR Loans are requested to have the following Interest Period(s): [</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5883910</wp:posOffset>
            </wp:positionH>
            <wp:positionV relativeFrom="paragraph">
              <wp:posOffset>-24765</wp:posOffset>
            </wp:positionV>
            <wp:extent cx="1568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8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[a $[__________] Term Facility II Loan, which shall initially be [an ABR Loan][a LIBOR Loan], [The amount of such Term</w:t>
      </w:r>
    </w:p>
    <w:p>
      <w:pPr>
        <w:spacing w:after="0" w:line="22" w:lineRule="exact"/>
        <w:rPr>
          <w:sz w:val="20"/>
          <w:szCs w:val="20"/>
          <w:color w:val="auto"/>
        </w:rPr>
      </w:pPr>
    </w:p>
    <w:p>
      <w:pPr>
        <w:jc w:val="center"/>
        <w:ind w:right="68"/>
        <w:spacing w:after="0"/>
        <w:tabs>
          <w:tab w:leader="none" w:pos="220" w:val="left"/>
        </w:tabs>
        <w:rPr>
          <w:sz w:val="20"/>
          <w:szCs w:val="20"/>
          <w:color w:val="auto"/>
        </w:rPr>
      </w:pPr>
      <w:r>
        <w:rPr>
          <w:rFonts w:ascii="Times New Roman" w:cs="Times New Roman" w:eastAsia="Times New Roman" w:hAnsi="Times New Roman"/>
          <w:sz w:val="20"/>
          <w:szCs w:val="20"/>
          <w:color w:val="auto"/>
        </w:rPr>
        <w:t>Loans that are requested to be LIBOR Loans are requested to have the following Interest Period(s): [</w:t>
      </w:r>
      <w:r>
        <w:rPr>
          <w:sz w:val="20"/>
          <w:szCs w:val="20"/>
          <w:color w:val="auto"/>
        </w:rPr>
        <w:tab/>
      </w:r>
      <w:r>
        <w:rPr>
          <w:rFonts w:ascii="Times New Roman" w:cs="Times New Roman" w:eastAsia="Times New Roman" w:hAnsi="Times New Roman"/>
          <w:sz w:val="19"/>
          <w:szCs w:val="19"/>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5883910</wp:posOffset>
            </wp:positionH>
            <wp:positionV relativeFrom="paragraph">
              <wp:posOffset>-24765</wp:posOffset>
            </wp:positionV>
            <wp:extent cx="1568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87" w:lineRule="exact"/>
        <w:rPr>
          <w:sz w:val="20"/>
          <w:szCs w:val="20"/>
          <w:color w:val="auto"/>
        </w:rPr>
      </w:pPr>
    </w:p>
    <w:p>
      <w:pPr>
        <w:ind w:left="1292" w:right="80" w:firstLine="5"/>
        <w:spacing w:after="0" w:line="281" w:lineRule="auto"/>
        <w:tabs>
          <w:tab w:leader="none" w:pos="1772"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Proposed Borrowing are to be deposited into the account or accounts described in the letter attached hereto and in the respective amounts set forth therein.</w:t>
      </w:r>
      <w:r>
        <w:rPr>
          <w:rFonts w:ascii="Times New Roman" w:cs="Times New Roman" w:eastAsia="Times New Roman" w:hAnsi="Times New Roman"/>
          <w:sz w:val="25"/>
          <w:szCs w:val="25"/>
          <w:color w:val="auto"/>
          <w:vertAlign w:val="superscript"/>
        </w:rPr>
        <w:t>4</w:t>
      </w:r>
    </w:p>
    <w:p>
      <w:pPr>
        <w:spacing w:after="0" w:line="109" w:lineRule="exact"/>
        <w:rPr>
          <w:rFonts w:ascii="Times New Roman" w:cs="Times New Roman" w:eastAsia="Times New Roman" w:hAnsi="Times New Roman"/>
          <w:sz w:val="20"/>
          <w:szCs w:val="20"/>
          <w:color w:val="auto"/>
        </w:rPr>
      </w:pPr>
    </w:p>
    <w:p>
      <w:pPr>
        <w:ind w:left="-8" w:right="560" w:firstLine="656"/>
        <w:spacing w:after="0" w:line="311" w:lineRule="auto"/>
        <w:tabs>
          <w:tab w:leader="none" w:pos="1102"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hereby represents and warrants that both immediately before and immediately after giving effect to the Proposed Borrowing and the intended use thereof:</w:t>
      </w:r>
    </w:p>
    <w:p>
      <w:pPr>
        <w:spacing w:after="0" w:line="187" w:lineRule="exact"/>
        <w:rPr>
          <w:rFonts w:ascii="Times New Roman" w:cs="Times New Roman" w:eastAsia="Times New Roman" w:hAnsi="Times New Roman"/>
          <w:sz w:val="20"/>
          <w:szCs w:val="20"/>
          <w:color w:val="auto"/>
        </w:rPr>
      </w:pPr>
    </w:p>
    <w:p>
      <w:pPr>
        <w:ind w:left="1292" w:right="180" w:firstLine="5"/>
        <w:spacing w:after="0" w:line="260" w:lineRule="auto"/>
        <w:tabs>
          <w:tab w:leader="none" w:pos="1677" w:val="left"/>
        </w:tabs>
        <w:numPr>
          <w:ilvl w:val="2"/>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representations and warranties made by the Credit Parties in Article VIII of the Credit Agreement and by each Credit Party in each other Credit Document to which it is a party is true and correct in all material respects on and as of the date of the making of such Proposed Borrowing with the same force and effect as if made on and as of such date (it being understood and agreed that any such representation or warranty which by its terms is made as of an earlier date is true and correct in all material respects only as such earlier date, and that any representation and warranty that is qualified as to “materiality,” “Material Adverse Effect” or similar language is true and correct in all respects on the applicable date); and]</w:t>
      </w:r>
    </w:p>
    <w:p>
      <w:pPr>
        <w:spacing w:after="0" w:line="187" w:lineRule="exact"/>
        <w:rPr>
          <w:rFonts w:ascii="Times New Roman" w:cs="Times New Roman" w:eastAsia="Times New Roman" w:hAnsi="Times New Roman"/>
          <w:sz w:val="19"/>
          <w:szCs w:val="19"/>
          <w:color w:val="auto"/>
        </w:rPr>
      </w:pPr>
    </w:p>
    <w:p>
      <w:pPr>
        <w:ind w:left="1732" w:hanging="435"/>
        <w:spacing w:after="0"/>
        <w:tabs>
          <w:tab w:leader="none" w:pos="1732"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w:t>
      </w:r>
      <w:r>
        <w:rPr>
          <w:rFonts w:ascii="Times New Roman" w:cs="Times New Roman" w:eastAsia="Times New Roman" w:hAnsi="Times New Roman"/>
          <w:sz w:val="25"/>
          <w:szCs w:val="25"/>
          <w:color w:val="auto"/>
          <w:vertAlign w:val="superscript"/>
        </w:rPr>
        <w:t>6</w:t>
      </w:r>
    </w:p>
    <w:p>
      <w:pPr>
        <w:spacing w:after="0" w:line="171" w:lineRule="exact"/>
        <w:rPr>
          <w:rFonts w:ascii="Times New Roman" w:cs="Times New Roman" w:eastAsia="Times New Roman" w:hAnsi="Times New Roman"/>
          <w:sz w:val="20"/>
          <w:szCs w:val="20"/>
          <w:color w:val="auto"/>
        </w:rPr>
      </w:pPr>
    </w:p>
    <w:p>
      <w:pPr>
        <w:ind w:left="1292" w:firstLine="5"/>
        <w:spacing w:after="0" w:line="281" w:lineRule="auto"/>
        <w:tabs>
          <w:tab w:leader="none" w:pos="1836"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Revolving Loans outstanding (after giving effect to the requested Revolving Loan) does not exceed the amount of the Equity Contributions made on or prior to the date hereof; and]</w:t>
      </w:r>
      <w:r>
        <w:rPr>
          <w:rFonts w:ascii="Times New Roman" w:cs="Times New Roman" w:eastAsia="Times New Roman" w:hAnsi="Times New Roman"/>
          <w:sz w:val="25"/>
          <w:szCs w:val="25"/>
          <w:color w:val="auto"/>
          <w:vertAlign w:val="superscript"/>
        </w:rPr>
        <w:t>7</w:t>
      </w:r>
    </w:p>
    <w:p>
      <w:pPr>
        <w:spacing w:after="0" w:line="110" w:lineRule="exact"/>
        <w:rPr>
          <w:rFonts w:ascii="Times New Roman" w:cs="Times New Roman" w:eastAsia="Times New Roman" w:hAnsi="Times New Roman"/>
          <w:sz w:val="20"/>
          <w:szCs w:val="20"/>
          <w:color w:val="auto"/>
        </w:rPr>
      </w:pPr>
    </w:p>
    <w:p>
      <w:pPr>
        <w:ind w:left="152" w:hanging="152"/>
        <w:spacing w:after="0"/>
        <w:tabs>
          <w:tab w:leader="none" w:pos="152"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to attach letter that describes the account or accounts and wire instructions and the amounts to be deposited in such account or accounts.</w:t>
      </w:r>
    </w:p>
    <w:p>
      <w:pPr>
        <w:spacing w:after="0" w:line="311" w:lineRule="exact"/>
        <w:rPr>
          <w:rFonts w:ascii="Times New Roman" w:cs="Times New Roman" w:eastAsia="Times New Roman" w:hAnsi="Times New Roman"/>
          <w:sz w:val="14"/>
          <w:szCs w:val="14"/>
          <w:color w:val="auto"/>
        </w:rPr>
      </w:pPr>
    </w:p>
    <w:p>
      <w:pPr>
        <w:ind w:left="-8" w:right="320" w:firstLine="8"/>
        <w:spacing w:after="0" w:line="282" w:lineRule="auto"/>
        <w:tabs>
          <w:tab w:leader="none" w:pos="136"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clause shall not apply to any extensions of credit pursuant to an Incremental Commitment to the extent provided by Section 2.12 of the Credit Agreement and the applicable Incremental Joinder Agreement.</w:t>
      </w:r>
    </w:p>
    <w:p>
      <w:pPr>
        <w:spacing w:after="0" w:line="364" w:lineRule="exact"/>
        <w:rPr>
          <w:rFonts w:ascii="Times New Roman" w:cs="Times New Roman" w:eastAsia="Times New Roman" w:hAnsi="Times New Roman"/>
          <w:sz w:val="14"/>
          <w:szCs w:val="14"/>
          <w:color w:val="auto"/>
        </w:rPr>
      </w:pPr>
    </w:p>
    <w:p>
      <w:pPr>
        <w:ind w:left="-8" w:right="320" w:firstLine="8"/>
        <w:spacing w:after="0" w:line="282" w:lineRule="auto"/>
        <w:tabs>
          <w:tab w:leader="none" w:pos="136"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clause shall not apply to any extensions of credit pursuant to an Incremental Commitment to the extent provided by Section 2.12 of the Credit Agreement and the applicable Incremental Joinder Agreement.</w:t>
      </w:r>
    </w:p>
    <w:p>
      <w:pPr>
        <w:spacing w:after="0" w:line="296" w:lineRule="exact"/>
        <w:rPr>
          <w:rFonts w:ascii="Times New Roman" w:cs="Times New Roman" w:eastAsia="Times New Roman" w:hAnsi="Times New Roman"/>
          <w:sz w:val="14"/>
          <w:szCs w:val="14"/>
          <w:color w:val="auto"/>
        </w:rPr>
      </w:pPr>
    </w:p>
    <w:p>
      <w:pPr>
        <w:jc w:val="both"/>
        <w:ind w:left="-8" w:right="60" w:firstLine="8"/>
        <w:spacing w:after="0" w:line="261" w:lineRule="auto"/>
        <w:tabs>
          <w:tab w:leader="none" w:pos="136"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Applicable only from and after December 31, 2015 and until the Wynn Massachusetts Project Opening Date, and if the Credit Parties have not received Equity Contributions as of such date in an amount equal to or greater than the Equity Contribution Threshold;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prior to the Wynn Massachusetts Project Opening Date, this condition shall not apply in connection with any Loan requested by Borrower to be utilized solely to pay interest or fees due and payable or to become due and payable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Exhibit B-2</w:t>
      </w:r>
    </w:p>
    <w:p>
      <w:pPr>
        <w:sectPr>
          <w:pgSz w:w="11900" w:h="16838" w:orient="portrait"/>
          <w:cols w:equalWidth="0" w:num="1">
            <w:col w:w="11392"/>
          </w:cols>
          <w:pgMar w:left="248" w:top="1278" w:right="259" w:bottom="1440" w:gutter="0" w:footer="0" w:header="0"/>
        </w:sectPr>
      </w:pPr>
    </w:p>
    <w:bookmarkStart w:id="272" w:name="page273"/>
    <w:bookmarkEnd w:id="272"/>
    <w:p>
      <w:pPr>
        <w:ind w:left="1300" w:firstLine="5"/>
        <w:spacing w:after="0" w:line="273" w:lineRule="auto"/>
        <w:tabs>
          <w:tab w:leader="none" w:pos="178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the aggregate amount of the outstanding Revolving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aggregate outstanding L/C Liabilities does not exceed the Total Revolving Commitments then in effect.</w:t>
      </w:r>
    </w:p>
    <w:p>
      <w:pPr>
        <w:spacing w:after="0" w:line="17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This Notice of Borrowing is conditioned upon [_____].]</w:t>
      </w:r>
      <w:r>
        <w:rPr>
          <w:rFonts w:ascii="Times New Roman" w:cs="Times New Roman" w:eastAsia="Times New Roman" w:hAnsi="Times New Roman"/>
          <w:sz w:val="24"/>
          <w:szCs w:val="24"/>
          <w:color w:val="auto"/>
          <w:vertAlign w:val="superscript"/>
        </w:rPr>
        <w:t>8</w:t>
      </w:r>
    </w:p>
    <w:p>
      <w:pPr>
        <w:spacing w:after="0" w:line="2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 Describe the applicable acquisition, sale, incurrence of indebtedness or issuance of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Exhibit B-3</w:t>
      </w:r>
    </w:p>
    <w:p>
      <w:pPr>
        <w:sectPr>
          <w:pgSz w:w="11900" w:h="16838" w:orient="portrait"/>
          <w:cols w:equalWidth="0" w:num="1">
            <w:col w:w="11040"/>
          </w:cols>
          <w:pgMar w:left="240" w:top="815" w:right="619" w:bottom="1440" w:gutter="0" w:footer="0" w:header="0"/>
        </w:sectPr>
      </w:pPr>
    </w:p>
    <w:bookmarkStart w:id="273" w:name="page274"/>
    <w:bookmarkEnd w:id="273"/>
    <w:p>
      <w:pPr>
        <w:ind w:left="1400"/>
        <w:spacing w:after="0"/>
        <w:rPr>
          <w:sz w:val="20"/>
          <w:szCs w:val="20"/>
          <w:color w:val="auto"/>
        </w:rPr>
      </w:pPr>
      <w:r>
        <w:rPr>
          <w:rFonts w:ascii="Times New Roman" w:cs="Times New Roman" w:eastAsia="Times New Roman" w:hAnsi="Times New Roman"/>
          <w:sz w:val="20"/>
          <w:szCs w:val="20"/>
          <w:color w:val="auto"/>
        </w:rPr>
        <w:t>WYNN AMERICA,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-10795</wp:posOffset>
            </wp:positionV>
            <wp:extent cx="251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B-4</w:t>
      </w:r>
    </w:p>
    <w:p>
      <w:pPr>
        <w:sectPr>
          <w:pgSz w:w="11900" w:h="16838" w:orient="portrait"/>
          <w:cols w:equalWidth="0" w:num="1">
            <w:col w:w="9019"/>
          </w:cols>
          <w:pgMar w:left="1440" w:top="360" w:right="1440"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2016</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57" w:right="2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Cootey, certify that:</w:t>
      </w:r>
    </w:p>
    <w:p>
      <w:pPr>
        <w:spacing w:after="0" w:line="171" w:lineRule="exact"/>
        <w:rPr>
          <w:sz w:val="20"/>
          <w:szCs w:val="20"/>
          <w:color w:val="auto"/>
        </w:rPr>
      </w:pPr>
    </w:p>
    <w:p>
      <w:pPr>
        <w:ind w:left="820" w:hanging="812"/>
        <w:spacing w:after="0"/>
        <w:tabs>
          <w:tab w:leader="none" w:pos="8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2016</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657" w:right="2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June 30, 2016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878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 9, 2016</w:t>
            </w:r>
          </w:p>
        </w:tc>
      </w:tr>
      <w:tr>
        <w:trPr>
          <w:trHeight w:val="405"/>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Stephen Cootey</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Cootey</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 9, 2016</w:t>
            </w:r>
          </w:p>
        </w:tc>
      </w:tr>
    </w:tbl>
    <w:p>
      <w:pPr>
        <w:spacing w:after="0" w:line="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x"/>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1)"/>
      <w:numFmt w:val="decimal"/>
      <w:start w:val="3"/>
    </w:lvl>
  </w:abstractNum>
  <w:abstractNum w:abstractNumId="3">
    <w:nsid w:val="45E6D486"/>
    <w:multiLevelType w:val="hybridMultilevel"/>
    <w:lvl w:ilvl="0">
      <w:lvlJc w:val="left"/>
      <w:lvlText w:val="(%1)"/>
      <w:numFmt w:val="decimal"/>
      <w:start w:val="3"/>
    </w:lvl>
  </w:abstractNum>
  <w:abstractNum w:abstractNumId="4">
    <w:nsid w:val="5C10FE21"/>
    <w:multiLevelType w:val="hybridMultilevel"/>
    <w:lvl w:ilvl="0">
      <w:lvlJc w:val="left"/>
      <w:lvlText w:val="(%1)"/>
      <w:numFmt w:val="decimal"/>
      <w:start w:val="1"/>
    </w:lvl>
  </w:abstractNum>
  <w:abstractNum w:abstractNumId="5">
    <w:nsid w:val="E7FFA2B"/>
    <w:multiLevelType w:val="hybridMultilevel"/>
    <w:lvl w:ilvl="0">
      <w:lvlJc w:val="left"/>
      <w:lvlText w:val="•"/>
      <w:numFmt w:val="bullet"/>
      <w:start w:val="1"/>
    </w:lvl>
  </w:abstractNum>
  <w:abstractNum w:abstractNumId="6">
    <w:nsid w:val="3C5991AA"/>
    <w:multiLevelType w:val="hybridMultilevel"/>
    <w:lvl w:ilvl="0">
      <w:lvlJc w:val="left"/>
      <w:lvlText w:val="•"/>
      <w:numFmt w:val="bullet"/>
      <w:start w:val="1"/>
    </w:lvl>
  </w:abstractNum>
  <w:abstractNum w:abstractNumId="7">
    <w:nsid w:val="4BD8591A"/>
    <w:multiLevelType w:val="hybridMultilevel"/>
    <w:lvl w:ilvl="0">
      <w:lvlJc w:val="left"/>
      <w:lvlText w:val="•"/>
      <w:numFmt w:val="bullet"/>
      <w:start w:val="1"/>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
      <w:numFmt w:val="bullet"/>
      <w:start w:val="1"/>
    </w:lvl>
  </w:abstractNum>
  <w:abstractNum w:abstractNumId="12">
    <w:nsid w:val="379E21B5"/>
    <w:multiLevelType w:val="hybridMultilevel"/>
    <w:lvl w:ilvl="0">
      <w:lvlJc w:val="left"/>
      <w:lvlText w:val="(%1)"/>
      <w:numFmt w:val="lowerLetter"/>
      <w:start w:val="1"/>
    </w:lvl>
  </w:abstractNum>
  <w:abstractNum w:abstractNumId="13">
    <w:nsid w:val="69E373"/>
    <w:multiLevelType w:val="hybridMultilevel"/>
    <w:lvl w:ilvl="0">
      <w:lvlJc w:val="left"/>
      <w:lvlText w:val="(%1)"/>
      <w:numFmt w:val="lowerLetter"/>
      <w:start w:val="1"/>
    </w:lvl>
  </w:abstractNum>
  <w:abstractNum w:abstractNumId="14">
    <w:nsid w:val="2C27173B"/>
    <w:multiLevelType w:val="hybridMultilevel"/>
    <w:lvl w:ilvl="0">
      <w:lvlJc w:val="left"/>
      <w:lvlText w:val="*"/>
      <w:numFmt w:val="bullet"/>
      <w:start w:val="1"/>
    </w:lvl>
  </w:abstractNum>
  <w:abstractNum w:abstractNumId="15">
    <w:nsid w:val="4C9B0904"/>
    <w:multiLevelType w:val="hybridMultilevel"/>
    <w:lvl w:ilvl="0">
      <w:lvlJc w:val="left"/>
      <w:lvlText w:val="(%1)"/>
      <w:numFmt w:val="lowerLetter"/>
      <w:start w:val="1"/>
    </w:lvl>
  </w:abstractNum>
  <w:abstractNum w:abstractNumId="16">
    <w:nsid w:val="6AA7B75C"/>
    <w:multiLevelType w:val="hybridMultilevel"/>
    <w:lvl w:ilvl="0">
      <w:lvlJc w:val="left"/>
      <w:lvlText w:val="(%1)"/>
      <w:numFmt w:val="lowerLetter"/>
      <w:start w:val="2"/>
    </w:lvl>
  </w:abstractNum>
  <w:abstractNum w:abstractNumId="17">
    <w:nsid w:val="1DF029D3"/>
    <w:multiLevelType w:val="hybridMultilevel"/>
    <w:lvl w:ilvl="0">
      <w:lvlJc w:val="left"/>
      <w:lvlText w:val="(%1)"/>
      <w:numFmt w:val="lowerLetter"/>
      <w:start w:val="3"/>
    </w:lvl>
  </w:abstractNum>
  <w:abstractNum w:abstractNumId="18">
    <w:nsid w:val="5675FF36"/>
    <w:multiLevelType w:val="hybridMultilevel"/>
    <w:lvl w:ilvl="0">
      <w:lvlJc w:val="left"/>
      <w:lvlText w:val="(%1)"/>
      <w:numFmt w:val="lowerLetter"/>
      <w:start w:val="4"/>
    </w:lvl>
  </w:abstractNum>
  <w:abstractNum w:abstractNumId="19">
    <w:nsid w:val="3DD15094"/>
    <w:multiLevelType w:val="hybridMultilevel"/>
    <w:lvl w:ilvl="0">
      <w:lvlJc w:val="left"/>
      <w:lvlText w:val="(%1)"/>
      <w:numFmt w:val="lowerRoman"/>
      <w:start w:val="4"/>
    </w:lvl>
  </w:abstractNum>
  <w:abstractNum w:abstractNumId="20">
    <w:nsid w:val="3DB012B3"/>
    <w:multiLevelType w:val="hybridMultilevel"/>
    <w:lvl w:ilvl="0">
      <w:lvlJc w:val="left"/>
      <w:lvlText w:val="(%1)"/>
      <w:numFmt w:val="lowerLetter"/>
      <w:start w:val="5"/>
    </w:lvl>
  </w:abstractNum>
  <w:abstractNum w:abstractNumId="21">
    <w:nsid w:val="2708C9AF"/>
    <w:multiLevelType w:val="hybridMultilevel"/>
    <w:lvl w:ilvl="0">
      <w:lvlJc w:val="left"/>
      <w:lvlText w:val="(%1)"/>
      <w:numFmt w:val="lowerRoman"/>
      <w:start w:val="1"/>
    </w:lvl>
  </w:abstractNum>
  <w:abstractNum w:abstractNumId="22">
    <w:nsid w:val="5B25ACE2"/>
    <w:multiLevelType w:val="hybridMultilevel"/>
    <w:lvl w:ilvl="0">
      <w:lvlJc w:val="left"/>
      <w:lvlText w:val="(%1)"/>
      <w:numFmt w:val="lowerLetter"/>
      <w:start w:val="6"/>
    </w:lvl>
  </w:abstractNum>
  <w:abstractNum w:abstractNumId="23">
    <w:nsid w:val="175DFCF0"/>
    <w:multiLevelType w:val="hybridMultilevel"/>
    <w:lvl w:ilvl="0">
      <w:lvlJc w:val="left"/>
      <w:lvlText w:val="(%1)"/>
      <w:numFmt w:val="lowerLetter"/>
      <w:start w:val="2"/>
    </w:lvl>
  </w:abstractNum>
  <w:abstractNum w:abstractNumId="24">
    <w:nsid w:val="4F97E3E4"/>
    <w:multiLevelType w:val="hybridMultilevel"/>
    <w:lvl w:ilvl="0">
      <w:lvlJc w:val="left"/>
      <w:lvlText w:val="(%1)"/>
      <w:numFmt w:val="lowerLetter"/>
      <w:start w:val="1"/>
    </w:lvl>
  </w:abstractNum>
  <w:abstractNum w:abstractNumId="25">
    <w:nsid w:val="53B0A9E"/>
    <w:multiLevelType w:val="hybridMultilevel"/>
    <w:lvl w:ilvl="0">
      <w:lvlJc w:val="left"/>
      <w:lvlText w:val="(%1)"/>
      <w:numFmt w:val="lowerLetter"/>
      <w:start w:val="1"/>
    </w:lvl>
  </w:abstractNum>
  <w:abstractNum w:abstractNumId="26">
    <w:nsid w:val="34FD6B4F"/>
    <w:multiLevelType w:val="hybridMultilevel"/>
    <w:lvl w:ilvl="0">
      <w:lvlJc w:val="left"/>
      <w:lvlText w:val="(%1)"/>
      <w:numFmt w:val="lowerLetter"/>
      <w:start w:val="1"/>
    </w:lvl>
  </w:abstractNum>
  <w:abstractNum w:abstractNumId="27">
    <w:nsid w:val="5915FF32"/>
    <w:multiLevelType w:val="hybridMultilevel"/>
    <w:lvl w:ilvl="0">
      <w:lvlJc w:val="left"/>
      <w:lvlText w:val="(%1)"/>
      <w:numFmt w:val="lowerLetter"/>
      <w:start w:val="2"/>
    </w:lvl>
  </w:abstractNum>
  <w:abstractNum w:abstractNumId="28">
    <w:nsid w:val="56438D15"/>
    <w:multiLevelType w:val="hybridMultilevel"/>
    <w:lvl w:ilvl="0">
      <w:lvlJc w:val="left"/>
      <w:lvlText w:val="(%1)"/>
      <w:numFmt w:val="lowerLetter"/>
      <w:start w:val="1"/>
    </w:lvl>
  </w:abstractNum>
  <w:abstractNum w:abstractNumId="29">
    <w:nsid w:val="519E3149"/>
    <w:multiLevelType w:val="hybridMultilevel"/>
    <w:lvl w:ilvl="0">
      <w:lvlJc w:val="left"/>
      <w:lvlText w:val="(%1)"/>
      <w:numFmt w:val="lowerLetter"/>
      <w:start w:val="1"/>
    </w:lvl>
  </w:abstractNum>
  <w:abstractNum w:abstractNumId="30">
    <w:nsid w:val="2C6E4AFD"/>
    <w:multiLevelType w:val="hybridMultilevel"/>
    <w:lvl w:ilvl="0">
      <w:lvlJc w:val="left"/>
      <w:lvlText w:val="(%1)"/>
      <w:numFmt w:val="lowerLetter"/>
      <w:start w:val="2"/>
    </w:lvl>
  </w:abstractNum>
  <w:abstractNum w:abstractNumId="31">
    <w:nsid w:val="17A1B582"/>
    <w:multiLevelType w:val="hybridMultilevel"/>
    <w:lvl w:ilvl="0">
      <w:lvlJc w:val="left"/>
      <w:lvlText w:val="(%1)"/>
      <w:numFmt w:val="lowerLetter"/>
      <w:start w:val="1"/>
    </w:lvl>
  </w:abstractNum>
  <w:abstractNum w:abstractNumId="32">
    <w:nsid w:val="4DF72E4E"/>
    <w:multiLevelType w:val="hybridMultilevel"/>
    <w:lvl w:ilvl="0">
      <w:lvlJc w:val="left"/>
      <w:lvlText w:val="(%1)"/>
      <w:numFmt w:val="lowerLetter"/>
      <w:start w:val="1"/>
    </w:lvl>
  </w:abstractNum>
  <w:abstractNum w:abstractNumId="33">
    <w:nsid w:val="5046B5A9"/>
    <w:multiLevelType w:val="hybridMultilevel"/>
    <w:lvl w:ilvl="0">
      <w:lvlJc w:val="left"/>
      <w:lvlText w:val="(%1)"/>
      <w:numFmt w:val="lowerLetter"/>
      <w:start w:val="5"/>
    </w:lvl>
  </w:abstractNum>
  <w:abstractNum w:abstractNumId="34">
    <w:nsid w:val="5D888A08"/>
    <w:multiLevelType w:val="hybridMultilevel"/>
    <w:lvl w:ilvl="0">
      <w:lvlJc w:val="left"/>
      <w:lvlText w:val="(%1)"/>
      <w:numFmt w:val="lowerLetter"/>
      <w:start w:val="8"/>
    </w:lvl>
  </w:abstractNum>
  <w:abstractNum w:abstractNumId="35">
    <w:nsid w:val="2A082C70"/>
    <w:multiLevelType w:val="hybridMultilevel"/>
    <w:lvl w:ilvl="0">
      <w:lvlJc w:val="left"/>
      <w:lvlText w:val="(%1)"/>
      <w:numFmt w:val="lowerLetter"/>
      <w:start w:val="1"/>
    </w:lvl>
  </w:abstractNum>
  <w:abstractNum w:abstractNumId="36">
    <w:nsid w:val="5EC6AFD4"/>
    <w:multiLevelType w:val="hybridMultilevel"/>
    <w:lvl w:ilvl="0">
      <w:lvlJc w:val="left"/>
      <w:lvlText w:val="(%1)"/>
      <w:numFmt w:val="lowerLetter"/>
      <w:start w:val="1"/>
    </w:lvl>
    <w:lvl w:ilvl="1">
      <w:lvlJc w:val="left"/>
      <w:lvlText w:val="(%2)"/>
      <w:numFmt w:val="lowerRoman"/>
      <w:start w:val="1"/>
    </w:lvl>
  </w:abstractNum>
  <w:abstractNum w:abstractNumId="37">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38">
    <w:nsid w:val="75E0858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9">
    <w:nsid w:val="57A61A29"/>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40">
    <w:nsid w:val="5399C654"/>
    <w:multiLevelType w:val="hybridMultilevel"/>
    <w:lvl w:ilvl="0">
      <w:lvlJc w:val="left"/>
      <w:lvlText w:val="(%1)"/>
      <w:numFmt w:val="lowerLetter"/>
      <w:start w:val="5"/>
    </w:lvl>
  </w:abstractNum>
  <w:abstractNum w:abstractNumId="41">
    <w:nsid w:val="20EE1348"/>
    <w:multiLevelType w:val="hybridMultilevel"/>
    <w:lvl w:ilvl="0">
      <w:lvlJc w:val="left"/>
      <w:lvlText w:val="(%1)"/>
      <w:numFmt w:val="upperLetter"/>
      <w:start w:val="1"/>
    </w:lvl>
  </w:abstractNum>
  <w:abstractNum w:abstractNumId="42">
    <w:nsid w:val="4427069A"/>
    <w:multiLevelType w:val="hybridMultilevel"/>
    <w:lvl w:ilvl="0">
      <w:lvlJc w:val="left"/>
      <w:lvlText w:val="(%1)"/>
      <w:numFmt w:val="lowerLetter"/>
      <w:start w:val="1"/>
    </w:lvl>
  </w:abstractNum>
  <w:abstractNum w:abstractNumId="43">
    <w:nsid w:val="B37E80A"/>
    <w:multiLevelType w:val="hybridMultilevel"/>
    <w:lvl w:ilvl="0">
      <w:lvlJc w:val="left"/>
      <w:lvlText w:val="(%1)"/>
      <w:numFmt w:val="lowerLetter"/>
      <w:start w:val="3"/>
    </w:lvl>
  </w:abstractNum>
  <w:abstractNum w:abstractNumId="44">
    <w:nsid w:val="2157F6BC"/>
    <w:multiLevelType w:val="hybridMultilevel"/>
    <w:lvl w:ilvl="0">
      <w:lvlJc w:val="left"/>
      <w:lvlText w:val="(%1)"/>
      <w:numFmt w:val="lowerLetter"/>
      <w:start w:val="1"/>
    </w:lvl>
  </w:abstractNum>
  <w:abstractNum w:abstractNumId="45">
    <w:nsid w:val="704E1DD5"/>
    <w:multiLevelType w:val="hybridMultilevel"/>
    <w:lvl w:ilvl="0">
      <w:lvlJc w:val="left"/>
      <w:lvlText w:val="(%1)"/>
      <w:numFmt w:val="lowerLetter"/>
      <w:start w:val="6"/>
    </w:lvl>
  </w:abstractNum>
  <w:abstractNum w:abstractNumId="46">
    <w:nsid w:val="57D2F10E"/>
    <w:multiLevelType w:val="hybridMultilevel"/>
    <w:lvl w:ilvl="0">
      <w:lvlJc w:val="left"/>
      <w:lvlText w:val="(%1)"/>
      <w:numFmt w:val="lowerLetter"/>
      <w:start w:val="7"/>
    </w:lvl>
  </w:abstractNum>
  <w:abstractNum w:abstractNumId="47">
    <w:nsid w:val="BFFAE18"/>
    <w:multiLevelType w:val="hybridMultilevel"/>
    <w:lvl w:ilvl="0">
      <w:lvlJc w:val="left"/>
      <w:lvlText w:val="(%1)"/>
      <w:numFmt w:val="lowerLetter"/>
      <w:start w:val="2"/>
    </w:lvl>
  </w:abstractNum>
  <w:abstractNum w:abstractNumId="48">
    <w:nsid w:val="E3E47A8"/>
    <w:multiLevelType w:val="hybridMultilevel"/>
    <w:lvl w:ilvl="0">
      <w:lvlJc w:val="left"/>
      <w:lvlText w:val="(%1)"/>
      <w:numFmt w:val="lowerLetter"/>
      <w:start w:val="2"/>
    </w:lvl>
  </w:abstractNum>
  <w:abstractNum w:abstractNumId="49">
    <w:nsid w:val="2E48F044"/>
    <w:multiLevelType w:val="hybridMultilevel"/>
    <w:lvl w:ilvl="0">
      <w:lvlJc w:val="left"/>
      <w:lvlText w:val="(%1)"/>
      <w:numFmt w:val="lowerLetter"/>
      <w:start w:val="61"/>
    </w:lvl>
  </w:abstractNum>
  <w:abstractNum w:abstractNumId="50">
    <w:nsid w:val="49D0FEAC"/>
    <w:multiLevelType w:val="hybridMultilevel"/>
    <w:lvl w:ilvl="0">
      <w:lvlJc w:val="left"/>
      <w:lvlText w:val="(%1)"/>
      <w:numFmt w:val="lowerLetter"/>
      <w:start w:val="1"/>
    </w:lvl>
  </w:abstractNum>
  <w:abstractNum w:abstractNumId="51">
    <w:nsid w:val="4BEE5A5B"/>
    <w:multiLevelType w:val="hybridMultilevel"/>
    <w:lvl w:ilvl="0">
      <w:lvlJc w:val="left"/>
      <w:lvlText w:val="(%1)"/>
      <w:numFmt w:val="lowerRoman"/>
      <w:start w:val="1"/>
    </w:lvl>
  </w:abstractNum>
  <w:abstractNum w:abstractNumId="52">
    <w:nsid w:val="5551B9F3"/>
    <w:multiLevelType w:val="hybridMultilevel"/>
    <w:lvl w:ilvl="0">
      <w:lvlJc w:val="left"/>
      <w:lvlText w:val="%1"/>
      <w:numFmt w:val="upperLetter"/>
      <w:start w:val="1"/>
    </w:lvl>
    <w:lvl w:ilvl="1">
      <w:lvlJc w:val="left"/>
      <w:lvlText w:val="(%2)"/>
      <w:numFmt w:val="lowerRoman"/>
      <w:start w:val="1"/>
    </w:lvl>
  </w:abstractNum>
  <w:abstractNum w:abstractNumId="53">
    <w:nsid w:val="24F6AB8E"/>
    <w:multiLevelType w:val="hybridMultilevel"/>
    <w:lvl w:ilvl="0">
      <w:lvlJc w:val="left"/>
      <w:lvlText w:val="(%1)"/>
      <w:numFmt w:val="upperLetter"/>
      <w:start w:val="2"/>
    </w:lvl>
    <w:lvl w:ilvl="1">
      <w:lvlJc w:val="left"/>
      <w:lvlText w:val="%2"/>
      <w:numFmt w:val="lowerRoman"/>
      <w:start w:val="1"/>
    </w:lvl>
  </w:abstractNum>
  <w:abstractNum w:abstractNumId="54">
    <w:nsid w:val="634C574C"/>
    <w:multiLevelType w:val="hybridMultilevel"/>
    <w:lvl w:ilvl="0">
      <w:lvlJc w:val="left"/>
      <w:lvlText w:val="(%1)"/>
      <w:numFmt w:val="lowerRoman"/>
      <w:start w:val="3"/>
    </w:lvl>
  </w:abstractNum>
  <w:abstractNum w:abstractNumId="55">
    <w:nsid w:val="24E99DD7"/>
    <w:multiLevelType w:val="hybridMultilevel"/>
    <w:lvl w:ilvl="0">
      <w:lvlJc w:val="left"/>
      <w:lvlText w:val="(%1)"/>
      <w:numFmt w:val="lowerLetter"/>
      <w:start w:val="1"/>
    </w:lvl>
  </w:abstractNum>
  <w:abstractNum w:abstractNumId="56">
    <w:nsid w:val="2A31B62D"/>
    <w:multiLevelType w:val="hybridMultilevel"/>
    <w:lvl w:ilvl="0">
      <w:lvlJc w:val="left"/>
      <w:lvlText w:val="(%1)"/>
      <w:numFmt w:val="lowerLetter"/>
      <w:start w:val="2"/>
    </w:lvl>
  </w:abstractNum>
  <w:abstractNum w:abstractNumId="57">
    <w:nsid w:val="1849C29B"/>
    <w:multiLevelType w:val="hybridMultilevel"/>
    <w:lvl w:ilvl="0">
      <w:lvlJc w:val="left"/>
      <w:lvlText w:val="%1"/>
      <w:numFmt w:val="lowerRoman"/>
      <w:start w:val="1"/>
    </w:lvl>
    <w:lvl w:ilvl="1">
      <w:lvlJc w:val="left"/>
      <w:lvlText w:val="(%2)"/>
      <w:numFmt w:val="lowerLetter"/>
      <w:start w:val="1"/>
    </w:lvl>
  </w:abstractNum>
  <w:abstractNum w:abstractNumId="58">
    <w:nsid w:val="7DFF9D09"/>
    <w:multiLevelType w:val="hybridMultilevel"/>
    <w:lvl w:ilvl="0">
      <w:lvlJc w:val="left"/>
      <w:lvlText w:val="(%1)"/>
      <w:numFmt w:val="lowerRoman"/>
      <w:start w:val="1"/>
    </w:lvl>
    <w:lvl w:ilvl="1">
      <w:lvlJc w:val="left"/>
      <w:lvlText w:val="%2"/>
      <w:numFmt w:val="lowerLetter"/>
      <w:start w:val="1"/>
    </w:lvl>
  </w:abstractNum>
  <w:abstractNum w:abstractNumId="59">
    <w:nsid w:val="754342"/>
    <w:multiLevelType w:val="hybridMultilevel"/>
    <w:lvl w:ilvl="0">
      <w:lvlJc w:val="left"/>
      <w:lvlText w:val="(%1)"/>
      <w:numFmt w:val="lowerRoman"/>
      <w:start w:val="6"/>
    </w:lvl>
    <w:lvl w:ilvl="1">
      <w:lvlJc w:val="left"/>
      <w:lvlText w:val="(%2)"/>
      <w:numFmt w:val="lowerLetter"/>
      <w:start w:val="3"/>
    </w:lvl>
  </w:abstractNum>
  <w:abstractNum w:abstractNumId="60">
    <w:nsid w:val="69E7F3E5"/>
    <w:multiLevelType w:val="hybridMultilevel"/>
    <w:lvl w:ilvl="0">
      <w:lvlJc w:val="left"/>
      <w:lvlText w:val="(%1)"/>
      <w:numFmt w:val="lowerLetter"/>
      <w:start w:val="1"/>
    </w:lvl>
  </w:abstractNum>
  <w:abstractNum w:abstractNumId="61">
    <w:nsid w:val="2A6DE806"/>
    <w:multiLevelType w:val="hybridMultilevel"/>
    <w:lvl w:ilvl="0">
      <w:lvlJc w:val="left"/>
      <w:lvlText w:val="(%1)"/>
      <w:numFmt w:val="lowerLetter"/>
      <w:start w:val="2"/>
    </w:lvl>
  </w:abstractNum>
  <w:abstractNum w:abstractNumId="62">
    <w:nsid w:val="1816F8C4"/>
    <w:multiLevelType w:val="hybridMultilevel"/>
    <w:lvl w:ilvl="0">
      <w:lvlJc w:val="left"/>
      <w:lvlText w:val="(%1)"/>
      <w:numFmt w:val="lowerLetter"/>
      <w:start w:val="5"/>
    </w:lvl>
  </w:abstractNum>
  <w:abstractNum w:abstractNumId="63">
    <w:nsid w:val="37DF2233"/>
    <w:multiLevelType w:val="hybridMultilevel"/>
    <w:lvl w:ilvl="0">
      <w:lvlJc w:val="left"/>
      <w:lvlText w:val="(%1)"/>
      <w:numFmt w:val="lowerLetter"/>
      <w:start w:val="1"/>
    </w:lvl>
  </w:abstractNum>
  <w:abstractNum w:abstractNumId="64">
    <w:nsid w:val="7AB49DAF"/>
    <w:multiLevelType w:val="hybridMultilevel"/>
    <w:lvl w:ilvl="0">
      <w:lvlJc w:val="left"/>
      <w:lvlText w:val="(%1)"/>
      <w:numFmt w:val="lowerLetter"/>
      <w:start w:val="1"/>
    </w:lvl>
    <w:lvl w:ilvl="1">
      <w:lvlJc w:val="left"/>
      <w:lvlText w:val="(%2)"/>
      <w:numFmt w:val="lowerRoman"/>
      <w:start w:val="1"/>
    </w:lvl>
  </w:abstractNum>
  <w:abstractNum w:abstractNumId="65">
    <w:nsid w:val="759F82CD"/>
    <w:multiLevelType w:val="hybridMultilevel"/>
    <w:lvl w:ilvl="0">
      <w:lvlJc w:val="left"/>
      <w:lvlText w:val="(%1)"/>
      <w:numFmt w:val="lowerRoman"/>
      <w:start w:val="1"/>
    </w:lvl>
  </w:abstractNum>
  <w:abstractNum w:abstractNumId="66">
    <w:nsid w:val="61E74EA3"/>
    <w:multiLevelType w:val="hybridMultilevel"/>
    <w:lvl w:ilvl="0">
      <w:lvlJc w:val="left"/>
      <w:lvlText w:val="%1"/>
      <w:numFmt w:val="lowerRoman"/>
      <w:start w:val="1"/>
    </w:lvl>
    <w:lvl w:ilvl="1">
      <w:lvlJc w:val="left"/>
      <w:lvlText w:val="(%2)"/>
      <w:numFmt w:val="lowerRoman"/>
      <w:start w:val="3"/>
    </w:lvl>
  </w:abstractNum>
  <w:abstractNum w:abstractNumId="67">
    <w:nsid w:val="597B4D84"/>
    <w:multiLevelType w:val="hybridMultilevel"/>
    <w:lvl w:ilvl="0">
      <w:lvlJc w:val="left"/>
      <w:lvlText w:val="(%1)"/>
      <w:numFmt w:val="lowerRoman"/>
      <w:start w:val="4"/>
    </w:lvl>
    <w:lvl w:ilvl="1">
      <w:lvlJc w:val="left"/>
      <w:lvlText w:val="%2"/>
      <w:numFmt w:val="lowerRoman"/>
      <w:start w:val="1"/>
    </w:lvl>
  </w:abstractNum>
  <w:abstractNum w:abstractNumId="68">
    <w:nsid w:val="F819E7F"/>
    <w:multiLevelType w:val="hybridMultilevel"/>
    <w:lvl w:ilvl="0">
      <w:lvlJc w:val="left"/>
      <w:lvlText w:val="(%1)"/>
      <w:numFmt w:val="lowerLetter"/>
      <w:start w:val="3"/>
    </w:lvl>
    <w:lvl w:ilvl="1">
      <w:lvlJc w:val="left"/>
      <w:lvlText w:val="(%2)"/>
      <w:numFmt w:val="lowerRoman"/>
      <w:start w:val="1"/>
    </w:lvl>
  </w:abstractNum>
  <w:abstractNum w:abstractNumId="69">
    <w:nsid w:val="57C7D42D"/>
    <w:multiLevelType w:val="hybridMultilevel"/>
    <w:lvl w:ilvl="0">
      <w:lvlJc w:val="left"/>
      <w:lvlText w:val="(%1)"/>
      <w:numFmt w:val="lowerLetter"/>
      <w:start w:val="1"/>
    </w:lvl>
    <w:lvl w:ilvl="1">
      <w:lvlJc w:val="left"/>
      <w:lvlText w:val="(%2)"/>
      <w:numFmt w:val="lowerRoman"/>
      <w:start w:val="1"/>
    </w:lvl>
  </w:abstractNum>
  <w:abstractNum w:abstractNumId="70">
    <w:nsid w:val="312167AD"/>
    <w:multiLevelType w:val="hybridMultilevel"/>
    <w:lvl w:ilvl="0">
      <w:lvlJc w:val="left"/>
      <w:lvlText w:val="%1"/>
      <w:numFmt w:val="decimal"/>
      <w:start w:val="1"/>
    </w:lvl>
    <w:lvl w:ilvl="1">
      <w:lvlJc w:val="left"/>
      <w:lvlText w:val="(%2)"/>
      <w:numFmt w:val="lowerLetter"/>
      <w:start w:val="2"/>
    </w:lvl>
  </w:abstractNum>
  <w:abstractNum w:abstractNumId="71">
    <w:nsid w:val="631B64D4"/>
    <w:multiLevelType w:val="hybridMultilevel"/>
    <w:lvl w:ilvl="0">
      <w:lvlJc w:val="left"/>
      <w:lvlText w:val="(%1)"/>
      <w:numFmt w:val="decimal"/>
      <w:start w:val="3"/>
    </w:lvl>
    <w:lvl w:ilvl="1">
      <w:lvlJc w:val="left"/>
      <w:lvlText w:val="(%2)"/>
      <w:numFmt w:val="lowerLetter"/>
      <w:start w:val="3"/>
    </w:lvl>
  </w:abstractNum>
  <w:abstractNum w:abstractNumId="72">
    <w:nsid w:val="78B5E776"/>
    <w:multiLevelType w:val="hybridMultilevel"/>
    <w:lvl w:ilvl="0">
      <w:lvlJc w:val="left"/>
      <w:lvlText w:val="(%1)"/>
      <w:numFmt w:val="lowerLetter"/>
      <w:start w:val="4"/>
    </w:lvl>
  </w:abstractNum>
  <w:abstractNum w:abstractNumId="73">
    <w:nsid w:val="75486E47"/>
    <w:multiLevelType w:val="hybridMultilevel"/>
    <w:lvl w:ilvl="0">
      <w:lvlJc w:val="left"/>
      <w:lvlText w:val="(%1)"/>
      <w:numFmt w:val="lowerLetter"/>
      <w:start w:val="7"/>
    </w:lvl>
  </w:abstractNum>
  <w:abstractNum w:abstractNumId="74">
    <w:nsid w:val="6E534CDE"/>
    <w:multiLevelType w:val="hybridMultilevel"/>
    <w:lvl w:ilvl="0">
      <w:lvlJc w:val="left"/>
      <w:lvlText w:val="(%1)"/>
      <w:numFmt w:val="lowerLetter"/>
      <w:start w:val="10"/>
    </w:lvl>
    <w:lvl w:ilvl="1">
      <w:lvlJc w:val="left"/>
      <w:lvlText w:val="(%2)"/>
      <w:numFmt w:val="lowerRoman"/>
      <w:start w:val="1"/>
    </w:lvl>
  </w:abstractNum>
  <w:abstractNum w:abstractNumId="75">
    <w:nsid w:val="1A0DDE32"/>
    <w:multiLevelType w:val="hybridMultilevel"/>
    <w:lvl w:ilvl="0">
      <w:lvlJc w:val="left"/>
      <w:lvlText w:val="(%1)"/>
      <w:numFmt w:val="lowerRoman"/>
      <w:start w:val="4"/>
    </w:lvl>
  </w:abstractNum>
  <w:abstractNum w:abstractNumId="76">
    <w:nsid w:val="65968C1C"/>
    <w:multiLevelType w:val="hybridMultilevel"/>
    <w:lvl w:ilvl="0">
      <w:lvlJc w:val="left"/>
      <w:lvlText w:val="(%1)"/>
      <w:numFmt w:val="lowerLetter"/>
      <w:start w:val="14"/>
    </w:lvl>
  </w:abstractNum>
  <w:abstractNum w:abstractNumId="77">
    <w:nsid w:val="46263DEC"/>
    <w:multiLevelType w:val="hybridMultilevel"/>
    <w:lvl w:ilvl="0">
      <w:lvlJc w:val="left"/>
      <w:lvlText w:val="(%1)"/>
      <w:numFmt w:val="lowerLetter"/>
      <w:start w:val="16"/>
    </w:lvl>
  </w:abstractNum>
  <w:abstractNum w:abstractNumId="78">
    <w:nsid w:val="260D8C4A"/>
    <w:multiLevelType w:val="hybridMultilevel"/>
    <w:lvl w:ilvl="0">
      <w:lvlJc w:val="left"/>
      <w:lvlText w:val="(%1)"/>
      <w:numFmt w:val="lowerLetter"/>
      <w:start w:val="1"/>
    </w:lvl>
  </w:abstractNum>
  <w:abstractNum w:abstractNumId="79">
    <w:nsid w:val="73D4D3C4"/>
    <w:multiLevelType w:val="hybridMultilevel"/>
    <w:lvl w:ilvl="0">
      <w:lvlJc w:val="left"/>
      <w:lvlText w:val="%1"/>
      <w:numFmt w:val="lowerLetter"/>
      <w:start w:val="1"/>
    </w:lvl>
    <w:lvl w:ilvl="1">
      <w:lvlJc w:val="left"/>
      <w:lvlText w:val="(%2)"/>
      <w:numFmt w:val="lowerLetter"/>
      <w:start w:val="35"/>
    </w:lvl>
  </w:abstractNum>
  <w:abstractNum w:abstractNumId="80">
    <w:nsid w:val="746F2E30"/>
    <w:multiLevelType w:val="hybridMultilevel"/>
    <w:lvl w:ilvl="0">
      <w:lvlJc w:val="left"/>
      <w:lvlText w:val="(%1)"/>
      <w:numFmt w:val="lowerLetter"/>
      <w:start w:val="2"/>
    </w:lvl>
    <w:lvl w:ilvl="1">
      <w:lvlJc w:val="left"/>
      <w:lvlText w:val="%2"/>
      <w:numFmt w:val="lowerLetter"/>
      <w:start w:val="1"/>
    </w:lvl>
  </w:abstractNum>
  <w:abstractNum w:abstractNumId="81">
    <w:nsid w:val="6FDE8AF6"/>
    <w:multiLevelType w:val="hybridMultilevel"/>
    <w:lvl w:ilvl="0">
      <w:lvlJc w:val="left"/>
      <w:lvlText w:val="(%1)"/>
      <w:numFmt w:val="lowerLetter"/>
      <w:start w:val="1"/>
    </w:lvl>
  </w:abstractNum>
  <w:abstractNum w:abstractNumId="82">
    <w:nsid w:val="3FC32E20"/>
    <w:multiLevelType w:val="hybridMultilevel"/>
    <w:lvl w:ilvl="0">
      <w:lvlJc w:val="left"/>
      <w:lvlText w:val="(%1)"/>
      <w:numFmt w:val="lowerLetter"/>
      <w:start w:val="2"/>
    </w:lvl>
  </w:abstractNum>
  <w:abstractNum w:abstractNumId="83">
    <w:nsid w:val="49C0E823"/>
    <w:multiLevelType w:val="hybridMultilevel"/>
    <w:lvl w:ilvl="0">
      <w:lvlJc w:val="left"/>
      <w:lvlText w:val="(%1)"/>
      <w:numFmt w:val="lowerLetter"/>
      <w:start w:val="1"/>
    </w:lvl>
  </w:abstractNum>
  <w:abstractNum w:abstractNumId="84">
    <w:nsid w:val="14D53685"/>
    <w:multiLevelType w:val="hybridMultilevel"/>
    <w:lvl w:ilvl="0">
      <w:lvlJc w:val="left"/>
      <w:lvlText w:val="(%1)"/>
      <w:numFmt w:val="lowerLetter"/>
      <w:start w:val="1"/>
    </w:lvl>
    <w:lvl w:ilvl="1">
      <w:lvlJc w:val="left"/>
      <w:lvlText w:val="(%2)"/>
      <w:numFmt w:val="lowerRoman"/>
      <w:start w:val="1"/>
    </w:lvl>
  </w:abstractNum>
  <w:abstractNum w:abstractNumId="85">
    <w:nsid w:val="230F856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86">
    <w:nsid w:val="6EAA85FB"/>
    <w:multiLevelType w:val="hybridMultilevel"/>
    <w:lvl w:ilvl="0">
      <w:lvlJc w:val="left"/>
      <w:lvlText w:val="(%1)"/>
      <w:numFmt w:val="lowerRoman"/>
      <w:start w:val="2"/>
    </w:lvl>
  </w:abstractNum>
  <w:abstractNum w:abstractNumId="87">
    <w:nsid w:val="3F06ECB2"/>
    <w:multiLevelType w:val="hybridMultilevel"/>
    <w:lvl w:ilvl="0">
      <w:lvlJc w:val="left"/>
      <w:lvlText w:val="(%1)"/>
      <w:numFmt w:val="lowerLetter"/>
      <w:start w:val="61"/>
    </w:lvl>
    <w:lvl w:ilvl="1">
      <w:lvlJc w:val="left"/>
      <w:lvlText w:val="(%2)"/>
      <w:numFmt w:val="lowerLetter"/>
      <w:start w:val="24"/>
    </w:lvl>
  </w:abstractNum>
  <w:abstractNum w:abstractNumId="88">
    <w:nsid w:val="3B594807"/>
    <w:multiLevelType w:val="hybridMultilevel"/>
    <w:lvl w:ilvl="0">
      <w:lvlJc w:val="left"/>
      <w:lvlText w:val="(%1)"/>
      <w:numFmt w:val="lowerRoman"/>
      <w:start w:val="4"/>
    </w:lvl>
  </w:abstractNum>
  <w:abstractNum w:abstractNumId="89">
    <w:nsid w:val="6CAA2304"/>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90">
    <w:nsid w:val="3F7C2FF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91">
    <w:nsid w:val="25413BEC"/>
    <w:multiLevelType w:val="hybridMultilevel"/>
    <w:lvl w:ilvl="0">
      <w:lvlJc w:val="left"/>
      <w:lvlText w:val="%1"/>
      <w:numFmt w:val="lowerLetter"/>
      <w:start w:val="1"/>
    </w:lvl>
    <w:lvl w:ilvl="1">
      <w:lvlJc w:val="left"/>
      <w:lvlText w:val="(%2)"/>
      <w:numFmt w:val="lowerLetter"/>
      <w:start w:val="3"/>
    </w:lvl>
  </w:abstractNum>
  <w:abstractNum w:abstractNumId="92">
    <w:nsid w:val="17180B0B"/>
    <w:multiLevelType w:val="hybridMultilevel"/>
    <w:lvl w:ilvl="0">
      <w:lvlJc w:val="left"/>
      <w:lvlText w:val="(%1)"/>
      <w:numFmt w:val="lowerLetter"/>
      <w:start w:val="9"/>
    </w:lvl>
    <w:lvl w:ilvl="1">
      <w:lvlJc w:val="left"/>
      <w:lvlText w:val="%2"/>
      <w:numFmt w:val="lowerLetter"/>
      <w:start w:val="1"/>
    </w:lvl>
  </w:abstractNum>
  <w:abstractNum w:abstractNumId="93">
    <w:nsid w:val="579328B9"/>
    <w:multiLevelType w:val="hybridMultilevel"/>
    <w:lvl w:ilvl="0">
      <w:lvlJc w:val="left"/>
      <w:lvlText w:val="(%1)"/>
      <w:numFmt w:val="lowerLetter"/>
      <w:start w:val="1"/>
    </w:lvl>
  </w:abstractNum>
  <w:abstractNum w:abstractNumId="94">
    <w:nsid w:val="5D205E20"/>
    <w:multiLevelType w:val="hybridMultilevel"/>
    <w:lvl w:ilvl="0">
      <w:lvlJc w:val="left"/>
      <w:lvlText w:val="(%1)"/>
      <w:numFmt w:val="lowerLetter"/>
      <w:start w:val="2"/>
    </w:lvl>
  </w:abstractNum>
  <w:abstractNum w:abstractNumId="95">
    <w:nsid w:val="11CCA8BA"/>
    <w:multiLevelType w:val="hybridMultilevel"/>
    <w:lvl w:ilvl="0">
      <w:lvlJc w:val="left"/>
      <w:lvlText w:val="(%1)"/>
      <w:numFmt w:val="lowerLetter"/>
      <w:start w:val="1"/>
    </w:lvl>
  </w:abstractNum>
  <w:abstractNum w:abstractNumId="96">
    <w:nsid w:val="4D32AB86"/>
    <w:multiLevelType w:val="hybridMultilevel"/>
    <w:lvl w:ilvl="0">
      <w:lvlJc w:val="left"/>
      <w:lvlText w:val="(%1)"/>
      <w:numFmt w:val="lowerLetter"/>
      <w:start w:val="3"/>
    </w:lvl>
  </w:abstractNum>
  <w:abstractNum w:abstractNumId="97">
    <w:nsid w:val="3F07ACC3"/>
    <w:multiLevelType w:val="hybridMultilevel"/>
    <w:lvl w:ilvl="0">
      <w:lvlJc w:val="left"/>
      <w:lvlText w:val="(%1)"/>
      <w:numFmt w:val="lowerLetter"/>
      <w:start w:val="1"/>
    </w:lvl>
    <w:lvl w:ilvl="1">
      <w:lvlJc w:val="left"/>
      <w:lvlText w:val="(%2)"/>
      <w:numFmt w:val="lowerRoman"/>
      <w:start w:val="1"/>
    </w:lvl>
  </w:abstractNum>
  <w:abstractNum w:abstractNumId="98">
    <w:nsid w:val="6B47F63E"/>
    <w:multiLevelType w:val="hybridMultilevel"/>
    <w:lvl w:ilvl="0">
      <w:lvlJc w:val="left"/>
      <w:lvlText w:val="(%1)"/>
      <w:numFmt w:val="lowerLetter"/>
      <w:start w:val="2"/>
    </w:lvl>
  </w:abstractNum>
  <w:abstractNum w:abstractNumId="99">
    <w:nsid w:val="5CB44A05"/>
    <w:multiLevelType w:val="hybridMultilevel"/>
    <w:lvl w:ilvl="0">
      <w:lvlJc w:val="left"/>
      <w:lvlText w:val="(%1)"/>
      <w:numFmt w:val="lowerLetter"/>
      <w:start w:val="1"/>
    </w:lvl>
  </w:abstractNum>
  <w:abstractNum w:abstractNumId="100">
    <w:nsid w:val="16CF80F1"/>
    <w:multiLevelType w:val="hybridMultilevel"/>
    <w:lvl w:ilvl="0">
      <w:lvlJc w:val="left"/>
      <w:lvlText w:val="(%1)"/>
      <w:numFmt w:val="lowerLetter"/>
      <w:start w:val="2"/>
    </w:lvl>
  </w:abstractNum>
  <w:abstractNum w:abstractNumId="101">
    <w:nsid w:val="1C695DEC"/>
    <w:multiLevelType w:val="hybridMultilevel"/>
    <w:lvl w:ilvl="0">
      <w:lvlJc w:val="left"/>
      <w:lvlText w:val="(%1)"/>
      <w:numFmt w:val="lowerLetter"/>
      <w:start w:val="5"/>
    </w:lvl>
  </w:abstractNum>
  <w:abstractNum w:abstractNumId="102">
    <w:nsid w:val="3FCFAED9"/>
    <w:multiLevelType w:val="hybridMultilevel"/>
    <w:lvl w:ilvl="0">
      <w:lvlJc w:val="left"/>
      <w:lvlText w:val="(%1)"/>
      <w:numFmt w:val="lowerLetter"/>
      <w:start w:val="1"/>
    </w:lvl>
  </w:abstractNum>
  <w:abstractNum w:abstractNumId="103">
    <w:nsid w:val="F856867"/>
    <w:multiLevelType w:val="hybridMultilevel"/>
    <w:lvl w:ilvl="0">
      <w:lvlJc w:val="left"/>
      <w:lvlText w:val="(%1)"/>
      <w:numFmt w:val="lowerLetter"/>
      <w:start w:val="3"/>
    </w:lvl>
  </w:abstractNum>
  <w:abstractNum w:abstractNumId="104">
    <w:nsid w:val="11B1CC33"/>
    <w:multiLevelType w:val="hybridMultilevel"/>
    <w:lvl w:ilvl="0">
      <w:lvlJc w:val="left"/>
      <w:lvlText w:val="(%1)"/>
      <w:numFmt w:val="lowerLetter"/>
      <w:start w:val="1"/>
    </w:lvl>
  </w:abstractNum>
  <w:abstractNum w:abstractNumId="105">
    <w:nsid w:val="2E22FBB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6">
    <w:nsid w:val="29934699"/>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107">
    <w:nsid w:val="77485850"/>
    <w:multiLevelType w:val="hybridMultilevel"/>
    <w:lvl w:ilvl="0">
      <w:lvlJc w:val="left"/>
      <w:lvlText w:val="(%1)"/>
      <w:numFmt w:val="lowerLetter"/>
      <w:start w:val="1"/>
    </w:lvl>
  </w:abstractNum>
  <w:abstractNum w:abstractNumId="108">
    <w:nsid w:val="744939A3"/>
    <w:multiLevelType w:val="hybridMultilevel"/>
    <w:lvl w:ilvl="0">
      <w:lvlJc w:val="left"/>
      <w:lvlText w:val="(%1)"/>
      <w:numFmt w:val="lowerLetter"/>
      <w:start w:val="4"/>
    </w:lvl>
  </w:abstractNum>
  <w:abstractNum w:abstractNumId="109">
    <w:nsid w:val="4FA0D2E3"/>
    <w:multiLevelType w:val="hybridMultilevel"/>
    <w:lvl w:ilvl="0">
      <w:lvlJc w:val="left"/>
      <w:lvlText w:val="(%1)"/>
      <w:numFmt w:val="lowerLetter"/>
      <w:start w:val="1"/>
    </w:lvl>
  </w:abstractNum>
  <w:abstractNum w:abstractNumId="110">
    <w:nsid w:val="6B1D2C14"/>
    <w:multiLevelType w:val="hybridMultilevel"/>
    <w:lvl w:ilvl="0">
      <w:lvlJc w:val="left"/>
      <w:lvlText w:val="(%1)"/>
      <w:numFmt w:val="lowerLetter"/>
      <w:start w:val="2"/>
    </w:lvl>
  </w:abstractNum>
  <w:abstractNum w:abstractNumId="111">
    <w:nsid w:val="68B867D3"/>
    <w:multiLevelType w:val="hybridMultilevel"/>
    <w:lvl w:ilvl="0">
      <w:lvlJc w:val="left"/>
      <w:lvlText w:val="(%1)"/>
      <w:numFmt w:val="lowerLetter"/>
      <w:start w:val="1"/>
    </w:lvl>
  </w:abstractNum>
  <w:abstractNum w:abstractNumId="112">
    <w:nsid w:val="3F7F5DD9"/>
    <w:multiLevelType w:val="hybridMultilevel"/>
    <w:lvl w:ilvl="0">
      <w:lvlJc w:val="left"/>
      <w:lvlText w:val="(%1)"/>
      <w:numFmt w:val="lowerLetter"/>
      <w:start w:val="4"/>
    </w:lvl>
  </w:abstractNum>
  <w:abstractNum w:abstractNumId="113">
    <w:nsid w:val="2AE05A34"/>
    <w:multiLevelType w:val="hybridMultilevel"/>
    <w:lvl w:ilvl="0">
      <w:lvlJc w:val="left"/>
      <w:lvlText w:val="(%1)"/>
      <w:numFmt w:val="lowerLetter"/>
      <w:start w:val="1"/>
    </w:lvl>
    <w:lvl w:ilvl="1">
      <w:lvlJc w:val="left"/>
      <w:lvlText w:val="(%2)"/>
      <w:numFmt w:val="lowerRoman"/>
      <w:start w:val="1"/>
    </w:lvl>
  </w:abstractNum>
  <w:abstractNum w:abstractNumId="114">
    <w:nsid w:val="32794FF7"/>
    <w:multiLevelType w:val="hybridMultilevel"/>
    <w:lvl w:ilvl="0">
      <w:lvlJc w:val="left"/>
      <w:lvlText w:val="(%1)"/>
      <w:numFmt w:val="lowerLetter"/>
      <w:start w:val="2"/>
    </w:lvl>
  </w:abstractNum>
  <w:abstractNum w:abstractNumId="115">
    <w:nsid w:val="5454945E"/>
    <w:multiLevelType w:val="hybridMultilevel"/>
    <w:lvl w:ilvl="0">
      <w:lvlJc w:val="left"/>
      <w:lvlText w:val="(%1)"/>
      <w:numFmt w:val="lowerLetter"/>
      <w:start w:val="4"/>
    </w:lvl>
  </w:abstractNum>
  <w:abstractNum w:abstractNumId="116">
    <w:nsid w:val="4DEFDFA0"/>
    <w:multiLevelType w:val="hybridMultilevel"/>
    <w:lvl w:ilvl="0">
      <w:lvlJc w:val="left"/>
      <w:lvlText w:val="(%1)"/>
      <w:numFmt w:val="lowerRoman"/>
      <w:start w:val="1"/>
    </w:lvl>
  </w:abstractNum>
  <w:abstractNum w:abstractNumId="117">
    <w:nsid w:val="2123D5F2"/>
    <w:multiLevelType w:val="hybridMultilevel"/>
    <w:lvl w:ilvl="0">
      <w:lvlJc w:val="left"/>
      <w:lvlText w:val="(%1)"/>
      <w:numFmt w:val="lowerLetter"/>
      <w:start w:val="1"/>
    </w:lvl>
  </w:abstractNum>
  <w:abstractNum w:abstractNumId="118">
    <w:nsid w:val="135B8110"/>
    <w:multiLevelType w:val="hybridMultilevel"/>
    <w:lvl w:ilvl="0">
      <w:lvlJc w:val="left"/>
      <w:lvlText w:val="(%1)"/>
      <w:numFmt w:val="lowerLetter"/>
      <w:start w:val="1"/>
    </w:lvl>
  </w:abstractNum>
  <w:abstractNum w:abstractNumId="119">
    <w:nsid w:val="94927A8"/>
    <w:multiLevelType w:val="hybridMultilevel"/>
    <w:lvl w:ilvl="0">
      <w:lvlJc w:val="left"/>
      <w:lvlText w:val="(%1)"/>
      <w:numFmt w:val="lowerLetter"/>
      <w:start w:val="2"/>
    </w:lvl>
    <w:lvl w:ilvl="1">
      <w:lvlJc w:val="left"/>
      <w:lvlText w:val="(%2)"/>
      <w:numFmt w:val="lowerLetter"/>
      <w:start w:val="35"/>
    </w:lvl>
  </w:abstractNum>
  <w:abstractNum w:abstractNumId="120">
    <w:nsid w:val="DCDF8F6"/>
    <w:multiLevelType w:val="hybridMultilevel"/>
    <w:lvl w:ilvl="0">
      <w:lvlJc w:val="left"/>
      <w:lvlText w:val="(%1)"/>
      <w:numFmt w:val="lowerLetter"/>
      <w:start w:val="3"/>
    </w:lvl>
  </w:abstractNum>
  <w:abstractNum w:abstractNumId="121">
    <w:nsid w:val="52D7B105"/>
    <w:multiLevelType w:val="hybridMultilevel"/>
    <w:lvl w:ilvl="0">
      <w:lvlJc w:val="left"/>
      <w:lvlText w:val="(%1)"/>
      <w:numFmt w:val="lowerRoman"/>
      <w:start w:val="1"/>
    </w:lvl>
  </w:abstractNum>
  <w:abstractNum w:abstractNumId="122">
    <w:nsid w:val="2E8A6394"/>
    <w:multiLevelType w:val="hybridMultilevel"/>
    <w:lvl w:ilvl="0">
      <w:lvlJc w:val="left"/>
      <w:lvlText w:val="(%1)"/>
      <w:numFmt w:val="lowerLetter"/>
      <w:start w:val="1"/>
    </w:lvl>
    <w:lvl w:ilvl="1">
      <w:lvlJc w:val="left"/>
      <w:lvlText w:val="(%2)"/>
      <w:numFmt w:val="lowerRoman"/>
      <w:start w:val="1"/>
    </w:lvl>
  </w:abstractNum>
  <w:abstractNum w:abstractNumId="123">
    <w:nsid w:val="24E60401"/>
    <w:multiLevelType w:val="hybridMultilevel"/>
    <w:lvl w:ilvl="0">
      <w:lvlJc w:val="left"/>
      <w:lvlText w:val="(%1)"/>
      <w:numFmt w:val="lowerLetter"/>
      <w:start w:val="8"/>
    </w:lvl>
  </w:abstractNum>
  <w:abstractNum w:abstractNumId="124">
    <w:nsid w:val="2A6AD9BE"/>
    <w:multiLevelType w:val="hybridMultilevel"/>
    <w:lvl w:ilvl="0">
      <w:lvlJc w:val="left"/>
      <w:lvlText w:val="(%1)"/>
      <w:numFmt w:val="lowerLetter"/>
      <w:start w:val="1"/>
    </w:lvl>
    <w:lvl w:ilvl="1">
      <w:lvlJc w:val="left"/>
      <w:lvlText w:val="(%2)"/>
      <w:numFmt w:val="lowerRoman"/>
      <w:start w:val="1"/>
    </w:lvl>
  </w:abstractNum>
  <w:abstractNum w:abstractNumId="125">
    <w:nsid w:val="BAAC1B4"/>
    <w:multiLevelType w:val="hybridMultilevel"/>
    <w:lvl w:ilvl="0">
      <w:lvlJc w:val="left"/>
      <w:lvlText w:val="(%1)"/>
      <w:numFmt w:val="lowerLetter"/>
      <w:start w:val="61"/>
    </w:lvl>
    <w:lvl w:ilvl="1">
      <w:lvlJc w:val="left"/>
      <w:lvlText w:val="(%2)"/>
      <w:numFmt w:val="lowerLetter"/>
      <w:start w:val="2"/>
    </w:lvl>
  </w:abstractNum>
  <w:abstractNum w:abstractNumId="126">
    <w:nsid w:val="36B2ACBC"/>
    <w:multiLevelType w:val="hybridMultilevel"/>
    <w:lvl w:ilvl="0">
      <w:lvlJc w:val="left"/>
      <w:lvlText w:val="(%1)"/>
      <w:numFmt w:val="lowerLetter"/>
      <w:start w:val="1"/>
    </w:lvl>
  </w:abstractNum>
  <w:abstractNum w:abstractNumId="127">
    <w:nsid w:val="779D8544"/>
    <w:multiLevelType w:val="hybridMultilevel"/>
    <w:lvl w:ilvl="0">
      <w:lvlJc w:val="left"/>
      <w:lvlText w:val="(%1)"/>
      <w:numFmt w:val="lowerLetter"/>
      <w:start w:val="2"/>
    </w:lvl>
  </w:abstractNum>
  <w:abstractNum w:abstractNumId="128">
    <w:nsid w:val="4AB26E78"/>
    <w:multiLevelType w:val="hybridMultilevel"/>
    <w:lvl w:ilvl="0">
      <w:lvlJc w:val="left"/>
      <w:lvlText w:val="(%1)"/>
      <w:numFmt w:val="lowerLetter"/>
      <w:start w:val="1"/>
    </w:lvl>
  </w:abstractNum>
  <w:abstractNum w:abstractNumId="129">
    <w:nsid w:val="21FAA2FA"/>
    <w:multiLevelType w:val="hybridMultilevel"/>
    <w:lvl w:ilvl="0">
      <w:lvlJc w:val="left"/>
      <w:lvlText w:val="(%1)"/>
      <w:numFmt w:val="lowerRoman"/>
      <w:start w:val="8"/>
    </w:lvl>
  </w:abstractNum>
  <w:abstractNum w:abstractNumId="130">
    <w:nsid w:val="5451CF49"/>
    <w:multiLevelType w:val="hybridMultilevel"/>
    <w:lvl w:ilvl="0">
      <w:lvlJc w:val="left"/>
      <w:lvlText w:val="(%1)"/>
      <w:numFmt w:val="lowerLetter"/>
      <w:start w:val="1"/>
    </w:lvl>
    <w:lvl w:ilvl="1">
      <w:lvlJc w:val="left"/>
      <w:lvlText w:val="(%2)"/>
      <w:numFmt w:val="lowerRoman"/>
      <w:start w:val="1"/>
    </w:lvl>
  </w:abstractNum>
  <w:abstractNum w:abstractNumId="131">
    <w:nsid w:val="6181EF69"/>
    <w:multiLevelType w:val="hybridMultilevel"/>
    <w:lvl w:ilvl="0">
      <w:lvlJc w:val="left"/>
      <w:lvlText w:val="(%1)"/>
      <w:numFmt w:val="lowerLetter"/>
      <w:start w:val="1"/>
    </w:lvl>
  </w:abstractNum>
  <w:abstractNum w:abstractNumId="132">
    <w:nsid w:val="3E6400E6"/>
    <w:multiLevelType w:val="hybridMultilevel"/>
    <w:lvl w:ilvl="0">
      <w:lvlJc w:val="left"/>
      <w:lvlText w:val="(%1)"/>
      <w:numFmt w:val="lowerLetter"/>
      <w:start w:val="1"/>
    </w:lvl>
  </w:abstractNum>
  <w:abstractNum w:abstractNumId="133">
    <w:nsid w:val="14217E23"/>
    <w:multiLevelType w:val="hybridMultilevel"/>
    <w:lvl w:ilvl="0">
      <w:lvlJc w:val="left"/>
      <w:lvlText w:val="(%1)"/>
      <w:numFmt w:val="lowerLetter"/>
      <w:start w:val="1"/>
    </w:lvl>
    <w:lvl w:ilvl="1">
      <w:lvlJc w:val="left"/>
      <w:lvlText w:val="(%2)"/>
      <w:numFmt w:val="lowerRoman"/>
      <w:start w:val="1"/>
    </w:lvl>
  </w:abstractNum>
  <w:abstractNum w:abstractNumId="134">
    <w:nsid w:val="710757D0"/>
    <w:multiLevelType w:val="hybridMultilevel"/>
    <w:lvl w:ilvl="0">
      <w:lvlJc w:val="left"/>
      <w:lvlText w:val="(%1)"/>
      <w:numFmt w:val="lowerLetter"/>
      <w:start w:val="1"/>
    </w:lvl>
  </w:abstractNum>
  <w:abstractNum w:abstractNumId="135">
    <w:nsid w:val="5015CD1A"/>
    <w:multiLevelType w:val="hybridMultilevel"/>
    <w:lvl w:ilvl="0">
      <w:lvlJc w:val="left"/>
      <w:lvlText w:val="(%1)"/>
      <w:numFmt w:val="lowerLetter"/>
      <w:start w:val="1"/>
    </w:lvl>
  </w:abstractNum>
  <w:abstractNum w:abstractNumId="136">
    <w:nsid w:val="424479DA"/>
    <w:multiLevelType w:val="hybridMultilevel"/>
    <w:lvl w:ilvl="0">
      <w:lvlJc w:val="left"/>
      <w:lvlText w:val="(%1)"/>
      <w:numFmt w:val="lowerLetter"/>
      <w:start w:val="2"/>
    </w:lvl>
  </w:abstractNum>
  <w:abstractNum w:abstractNumId="137">
    <w:nsid w:val="1A9A9E69"/>
    <w:multiLevelType w:val="hybridMultilevel"/>
    <w:lvl w:ilvl="0">
      <w:lvlJc w:val="left"/>
      <w:lvlText w:val="(%1)"/>
      <w:numFmt w:val="lowerLetter"/>
      <w:start w:val="1"/>
    </w:lvl>
  </w:abstractNum>
  <w:abstractNum w:abstractNumId="138">
    <w:nsid w:val="475E256A"/>
    <w:multiLevelType w:val="hybridMultilevel"/>
    <w:lvl w:ilvl="0">
      <w:lvlJc w:val="left"/>
      <w:lvlText w:val="(%1)"/>
      <w:numFmt w:val="lowerLetter"/>
      <w:start w:val="3"/>
    </w:lvl>
    <w:lvl w:ilvl="1">
      <w:lvlJc w:val="left"/>
      <w:lvlText w:val="(%2)"/>
      <w:numFmt w:val="lowerRoman"/>
      <w:start w:val="1"/>
    </w:lvl>
  </w:abstractNum>
  <w:abstractNum w:abstractNumId="139">
    <w:nsid w:val="368DB37E"/>
    <w:multiLevelType w:val="hybridMultilevel"/>
    <w:lvl w:ilvl="0">
      <w:lvlJc w:val="left"/>
      <w:lvlText w:val="(%1)"/>
      <w:numFmt w:val="lowerLetter"/>
      <w:start w:val="9"/>
    </w:lvl>
  </w:abstractNum>
  <w:abstractNum w:abstractNumId="140">
    <w:nsid w:val="6A3B714C"/>
    <w:multiLevelType w:val="hybridMultilevel"/>
    <w:lvl w:ilvl="0">
      <w:lvlJc w:val="left"/>
      <w:lvlText w:val="(%1)"/>
      <w:numFmt w:val="lowerLetter"/>
      <w:start w:val="25"/>
    </w:lvl>
  </w:abstractNum>
  <w:abstractNum w:abstractNumId="141">
    <w:nsid w:val="327B517E"/>
    <w:multiLevelType w:val="hybridMultilevel"/>
    <w:lvl w:ilvl="0">
      <w:lvlJc w:val="left"/>
      <w:lvlText w:val="(%1)"/>
      <w:numFmt w:val="lowerLetter"/>
      <w:start w:val="1"/>
    </w:lvl>
    <w:lvl w:ilvl="1">
      <w:lvlJc w:val="left"/>
      <w:lvlText w:val="(%2)"/>
      <w:numFmt w:val="decimal"/>
      <w:start w:val="1"/>
    </w:lvl>
  </w:abstractNum>
  <w:abstractNum w:abstractNumId="142">
    <w:nsid w:val="1F461B51"/>
    <w:multiLevelType w:val="hybridMultilevel"/>
    <w:lvl w:ilvl="0">
      <w:lvlJc w:val="left"/>
      <w:lvlText w:val="(%1)"/>
      <w:numFmt w:val="decimal"/>
      <w:start w:val="2"/>
    </w:lvl>
  </w:abstractNum>
  <w:abstractNum w:abstractNumId="143">
    <w:nsid w:val="29BACF25"/>
    <w:multiLevelType w:val="hybridMultilevel"/>
    <w:lvl w:ilvl="0">
      <w:lvlJc w:val="left"/>
      <w:lvlText w:val="(%1)"/>
      <w:numFmt w:val="lowerLetter"/>
      <w:start w:val="3"/>
    </w:lvl>
  </w:abstractNum>
  <w:abstractNum w:abstractNumId="144">
    <w:nsid w:val="5D5BABB3"/>
    <w:multiLevelType w:val="hybridMultilevel"/>
    <w:lvl w:ilvl="0">
      <w:lvlJc w:val="left"/>
      <w:lvlText w:val="(%1)"/>
      <w:numFmt w:val="lowerLetter"/>
      <w:start w:val="19"/>
    </w:lvl>
    <w:lvl w:ilvl="1">
      <w:lvlJc w:val="left"/>
      <w:lvlText w:val="(%2)"/>
      <w:numFmt w:val="lowerLetter"/>
      <w:start w:val="5"/>
    </w:lvl>
  </w:abstractNum>
  <w:abstractNum w:abstractNumId="145">
    <w:nsid w:val="51BF6B48"/>
    <w:multiLevelType w:val="hybridMultilevel"/>
    <w:lvl w:ilvl="0">
      <w:lvlJc w:val="left"/>
      <w:lvlText w:val="(%1)"/>
      <w:numFmt w:val="lowerLetter"/>
      <w:start w:val="1"/>
    </w:lvl>
    <w:lvl w:ilvl="1">
      <w:lvlJc w:val="left"/>
      <w:lvlText w:val="(%2)"/>
      <w:numFmt w:val="lowerRoman"/>
      <w:start w:val="1"/>
    </w:lvl>
  </w:abstractNum>
  <w:abstractNum w:abstractNumId="146">
    <w:nsid w:val="7E0F6384"/>
    <w:multiLevelType w:val="hybridMultilevel"/>
    <w:lvl w:ilvl="0">
      <w:lvlJc w:val="left"/>
      <w:lvlText w:val="(%1)"/>
      <w:numFmt w:val="lowerRoman"/>
      <w:start w:val="3"/>
    </w:lvl>
  </w:abstractNum>
  <w:abstractNum w:abstractNumId="147">
    <w:nsid w:val="2B4B8B53"/>
    <w:multiLevelType w:val="hybridMultilevel"/>
    <w:lvl w:ilvl="0">
      <w:lvlJc w:val="left"/>
      <w:lvlText w:val="(%1)"/>
      <w:numFmt w:val="lowerLetter"/>
      <w:start w:val="2"/>
    </w:lvl>
    <w:lvl w:ilvl="1">
      <w:lvlJc w:val="left"/>
      <w:lvlText w:val="(%2)"/>
      <w:numFmt w:val="lowerRoman"/>
      <w:start w:val="1"/>
    </w:lvl>
  </w:abstractNum>
  <w:abstractNum w:abstractNumId="148">
    <w:nsid w:val="72E3413A"/>
    <w:multiLevelType w:val="hybridMultilevel"/>
    <w:lvl w:ilvl="0">
      <w:lvlJc w:val="left"/>
      <w:lvlText w:val="(%1)"/>
      <w:numFmt w:val="lowerLetter"/>
      <w:start w:val="1"/>
    </w:lvl>
  </w:abstractNum>
  <w:abstractNum w:abstractNumId="149">
    <w:nsid w:val="116AE494"/>
    <w:multiLevelType w:val="hybridMultilevel"/>
    <w:lvl w:ilvl="0">
      <w:lvlJc w:val="left"/>
      <w:lvlText w:val="(%1)"/>
      <w:numFmt w:val="lowerLetter"/>
      <w:start w:val="2"/>
    </w:lvl>
  </w:abstractNum>
  <w:abstractNum w:abstractNumId="150">
    <w:nsid w:val="3494B2FB"/>
    <w:multiLevelType w:val="hybridMultilevel"/>
    <w:lvl w:ilvl="0">
      <w:lvlJc w:val="left"/>
      <w:lvlText w:val="(%1)"/>
      <w:numFmt w:val="lowerLetter"/>
      <w:start w:val="1"/>
    </w:lvl>
  </w:abstractNum>
  <w:abstractNum w:abstractNumId="151">
    <w:nsid w:val="B13A31"/>
    <w:multiLevelType w:val="hybridMultilevel"/>
    <w:lvl w:ilvl="0">
      <w:lvlJc w:val="left"/>
      <w:lvlText w:val="(%1)"/>
      <w:numFmt w:val="lowerLetter"/>
      <w:start w:val="4"/>
    </w:lvl>
  </w:abstractNum>
  <w:abstractNum w:abstractNumId="152">
    <w:nsid w:val="64429599"/>
    <w:multiLevelType w:val="hybridMultilevel"/>
    <w:lvl w:ilvl="0">
      <w:lvlJc w:val="left"/>
      <w:lvlText w:val="(%1)"/>
      <w:numFmt w:val="lowerLetter"/>
      <w:start w:val="14"/>
    </w:lvl>
  </w:abstractNum>
  <w:abstractNum w:abstractNumId="153">
    <w:nsid w:val="631F1690"/>
    <w:multiLevelType w:val="hybridMultilevel"/>
    <w:lvl w:ilvl="0">
      <w:lvlJc w:val="left"/>
      <w:lvlText w:val="(%1)"/>
      <w:numFmt w:val="lowerLetter"/>
      <w:start w:val="1"/>
    </w:lvl>
  </w:abstractNum>
  <w:abstractNum w:abstractNumId="154">
    <w:nsid w:val="25973E32"/>
    <w:multiLevelType w:val="hybridMultilevel"/>
    <w:lvl w:ilvl="0">
      <w:lvlJc w:val="left"/>
      <w:lvlText w:val="(%1)"/>
      <w:numFmt w:val="lowerLetter"/>
      <w:start w:val="7"/>
    </w:lvl>
  </w:abstractNum>
  <w:abstractNum w:abstractNumId="155">
    <w:nsid w:val="EAD6F57"/>
    <w:multiLevelType w:val="hybridMultilevel"/>
    <w:lvl w:ilvl="0">
      <w:lvlJc w:val="left"/>
      <w:lvlText w:val="(%1)"/>
      <w:numFmt w:val="lowerLetter"/>
      <w:start w:val="13"/>
    </w:lvl>
  </w:abstractNum>
  <w:abstractNum w:abstractNumId="156">
    <w:nsid w:val="6EC9D844"/>
    <w:multiLevelType w:val="hybridMultilevel"/>
    <w:lvl w:ilvl="0">
      <w:lvlJc w:val="left"/>
      <w:lvlText w:val="(%1)"/>
      <w:numFmt w:val="lowerLetter"/>
      <w:start w:val="27"/>
    </w:lvl>
  </w:abstractNum>
  <w:abstractNum w:abstractNumId="157">
    <w:nsid w:val="5C49EAEE"/>
    <w:multiLevelType w:val="hybridMultilevel"/>
    <w:lvl w:ilvl="0">
      <w:lvlJc w:val="left"/>
      <w:lvlText w:val="(%1)"/>
      <w:numFmt w:val="lowerLetter"/>
      <w:start w:val="1"/>
    </w:lvl>
  </w:abstractNum>
  <w:abstractNum w:abstractNumId="158">
    <w:nsid w:val="64AF49B"/>
    <w:multiLevelType w:val="hybridMultilevel"/>
    <w:lvl w:ilvl="0">
      <w:lvlJc w:val="left"/>
      <w:lvlText w:val="%1"/>
      <w:numFmt w:val="lowerLetter"/>
      <w:start w:val="1"/>
    </w:lvl>
    <w:lvl w:ilvl="1">
      <w:lvlJc w:val="left"/>
      <w:lvlText w:val="(%2)"/>
      <w:numFmt w:val="lowerLetter"/>
      <w:start w:val="14"/>
    </w:lvl>
  </w:abstractNum>
  <w:abstractNum w:abstractNumId="159">
    <w:nsid w:val="397C46BC"/>
    <w:multiLevelType w:val="hybridMultilevel"/>
    <w:lvl w:ilvl="0">
      <w:lvlJc w:val="left"/>
      <w:lvlText w:val="(%1)"/>
      <w:numFmt w:val="lowerLetter"/>
      <w:start w:val="19"/>
    </w:lvl>
    <w:lvl w:ilvl="1">
      <w:lvlJc w:val="left"/>
      <w:lvlText w:val="(%2)"/>
      <w:numFmt w:val="lowerLetter"/>
      <w:start w:val="20"/>
    </w:lvl>
  </w:abstractNum>
  <w:abstractNum w:abstractNumId="160">
    <w:nsid w:val="7E448DE9"/>
    <w:multiLevelType w:val="hybridMultilevel"/>
    <w:lvl w:ilvl="0">
      <w:lvlJc w:val="left"/>
      <w:lvlText w:val="(%1)"/>
      <w:numFmt w:val="lowerLetter"/>
      <w:start w:val="24"/>
    </w:lvl>
  </w:abstractNum>
  <w:abstractNum w:abstractNumId="161">
    <w:nsid w:val="5A9CC3E5"/>
    <w:multiLevelType w:val="hybridMultilevel"/>
    <w:lvl w:ilvl="0">
      <w:lvlJc w:val="left"/>
      <w:lvlText w:val="(%1)"/>
      <w:numFmt w:val="lowerLetter"/>
      <w:start w:val="1"/>
    </w:lvl>
  </w:abstractNum>
  <w:abstractNum w:abstractNumId="162">
    <w:nsid w:val="1AFE3625"/>
    <w:multiLevelType w:val="hybridMultilevel"/>
    <w:lvl w:ilvl="0">
      <w:lvlJc w:val="left"/>
      <w:lvlText w:val="(%1)"/>
      <w:numFmt w:val="lowerLetter"/>
      <w:start w:val="4"/>
    </w:lvl>
  </w:abstractNum>
  <w:abstractNum w:abstractNumId="163">
    <w:nsid w:val="3CA88ECF"/>
    <w:multiLevelType w:val="hybridMultilevel"/>
    <w:lvl w:ilvl="0">
      <w:lvlJc w:val="left"/>
      <w:lvlText w:val="(%1)"/>
      <w:numFmt w:val="lowerLetter"/>
      <w:start w:val="13"/>
    </w:lvl>
  </w:abstractNum>
  <w:abstractNum w:abstractNumId="164">
    <w:nsid w:val="6EBE4208"/>
    <w:multiLevelType w:val="hybridMultilevel"/>
    <w:lvl w:ilvl="0">
      <w:lvlJc w:val="left"/>
      <w:lvlText w:val="(%1)"/>
      <w:numFmt w:val="lowerRoman"/>
      <w:start w:val="2"/>
    </w:lvl>
  </w:abstractNum>
  <w:abstractNum w:abstractNumId="165">
    <w:nsid w:val="C058DF5"/>
    <w:multiLevelType w:val="hybridMultilevel"/>
    <w:lvl w:ilvl="0">
      <w:lvlJc w:val="left"/>
      <w:lvlText w:val="(%1)"/>
      <w:numFmt w:val="lowerLetter"/>
      <w:start w:val="1"/>
    </w:lvl>
  </w:abstractNum>
  <w:abstractNum w:abstractNumId="166">
    <w:nsid w:val="CBE5BE9"/>
    <w:multiLevelType w:val="hybridMultilevel"/>
    <w:lvl w:ilvl="0">
      <w:lvlJc w:val="left"/>
      <w:lvlText w:val="%1"/>
      <w:numFmt w:val="lowerLetter"/>
      <w:start w:val="1"/>
    </w:lvl>
    <w:lvl w:ilvl="1">
      <w:lvlJc w:val="left"/>
      <w:lvlText w:val="(%2)"/>
      <w:numFmt w:val="lowerLetter"/>
      <w:start w:val="1"/>
    </w:lvl>
  </w:abstractNum>
  <w:abstractNum w:abstractNumId="167">
    <w:nsid w:val="3102BBE2"/>
    <w:multiLevelType w:val="hybridMultilevel"/>
    <w:lvl w:ilvl="0">
      <w:lvlJc w:val="left"/>
      <w:lvlText w:val="(%1)"/>
      <w:numFmt w:val="lowerLetter"/>
      <w:start w:val="35"/>
    </w:lvl>
    <w:lvl w:ilvl="1">
      <w:lvlJc w:val="left"/>
      <w:lvlText w:val="(%2)"/>
      <w:numFmt w:val="lowerLetter"/>
      <w:start w:val="3"/>
    </w:lvl>
  </w:abstractNum>
  <w:abstractNum w:abstractNumId="168">
    <w:nsid w:val="26A02C5E"/>
    <w:multiLevelType w:val="hybridMultilevel"/>
    <w:lvl w:ilvl="0">
      <w:lvlJc w:val="left"/>
      <w:lvlText w:val="(%1)"/>
      <w:numFmt w:val="lowerLetter"/>
      <w:start w:val="7"/>
    </w:lvl>
  </w:abstractNum>
  <w:abstractNum w:abstractNumId="169">
    <w:nsid w:val="541C8153"/>
    <w:multiLevelType w:val="hybridMultilevel"/>
    <w:lvl w:ilvl="0">
      <w:lvlJc w:val="left"/>
      <w:lvlText w:val="%1"/>
      <w:numFmt w:val="lowerLetter"/>
      <w:start w:val="1"/>
    </w:lvl>
    <w:lvl w:ilvl="1">
      <w:lvlJc w:val="left"/>
      <w:lvlText w:val="(%2)"/>
      <w:numFmt w:val="lowerLetter"/>
      <w:start w:val="12"/>
    </w:lvl>
  </w:abstractNum>
  <w:abstractNum w:abstractNumId="170">
    <w:nsid w:val="67906F60"/>
    <w:multiLevelType w:val="hybridMultilevel"/>
    <w:lvl w:ilvl="0">
      <w:lvlJc w:val="left"/>
      <w:lvlText w:val="(%1)"/>
      <w:numFmt w:val="lowerLetter"/>
      <w:start w:val="24"/>
    </w:lvl>
    <w:lvl w:ilvl="1">
      <w:lvlJc w:val="left"/>
      <w:lvlText w:val="(%2)"/>
      <w:numFmt w:val="lowerLetter"/>
      <w:start w:val="16"/>
    </w:lvl>
  </w:abstractNum>
  <w:abstractNum w:abstractNumId="171">
    <w:nsid w:val="10DB9DAA"/>
    <w:multiLevelType w:val="hybridMultilevel"/>
    <w:lvl w:ilvl="0">
      <w:lvlJc w:val="left"/>
      <w:lvlText w:val="(%1)"/>
      <w:numFmt w:val="lowerLetter"/>
      <w:start w:val="1"/>
    </w:lvl>
  </w:abstractNum>
  <w:abstractNum w:abstractNumId="172">
    <w:nsid w:val="697D2D2"/>
    <w:multiLevelType w:val="hybridMultilevel"/>
    <w:lvl w:ilvl="0">
      <w:lvlJc w:val="left"/>
      <w:lvlText w:val="(%1)"/>
      <w:numFmt w:val="lowerLetter"/>
      <w:start w:val="1"/>
    </w:lvl>
  </w:abstractNum>
  <w:abstractNum w:abstractNumId="173">
    <w:nsid w:val="6D68AB2"/>
    <w:multiLevelType w:val="hybridMultilevel"/>
    <w:lvl w:ilvl="0">
      <w:lvlJc w:val="left"/>
      <w:lvlText w:val="(%1)"/>
      <w:numFmt w:val="lowerLetter"/>
      <w:start w:val="1"/>
    </w:lvl>
  </w:abstractNum>
  <w:abstractNum w:abstractNumId="174">
    <w:nsid w:val="3A966CD0"/>
    <w:multiLevelType w:val="hybridMultilevel"/>
    <w:lvl w:ilvl="0">
      <w:lvlJc w:val="left"/>
      <w:lvlText w:val="%1"/>
      <w:numFmt w:val="lowerLetter"/>
      <w:start w:val="1"/>
    </w:lvl>
    <w:lvl w:ilvl="1">
      <w:lvlJc w:val="left"/>
      <w:lvlText w:val="(%2)"/>
      <w:numFmt w:val="lowerLetter"/>
      <w:start w:val="4"/>
    </w:lvl>
  </w:abstractNum>
  <w:abstractNum w:abstractNumId="175">
    <w:nsid w:val="63F37E85"/>
    <w:multiLevelType w:val="hybridMultilevel"/>
    <w:lvl w:ilvl="0">
      <w:lvlJc w:val="left"/>
      <w:lvlText w:val="(%1)"/>
      <w:numFmt w:val="lowerLetter"/>
      <w:start w:val="3"/>
    </w:lvl>
    <w:lvl w:ilvl="1">
      <w:lvlJc w:val="left"/>
      <w:lvlText w:val="%2"/>
      <w:numFmt w:val="lowerLetter"/>
      <w:start w:val="1"/>
    </w:lvl>
  </w:abstractNum>
  <w:abstractNum w:abstractNumId="176">
    <w:nsid w:val="5895F5FA"/>
    <w:multiLevelType w:val="hybridMultilevel"/>
    <w:lvl w:ilvl="0">
      <w:lvlJc w:val="left"/>
      <w:lvlText w:val="%1"/>
      <w:numFmt w:val="lowerLetter"/>
      <w:start w:val="1"/>
    </w:lvl>
    <w:lvl w:ilvl="1">
      <w:lvlJc w:val="left"/>
      <w:lvlText w:val="(%2)"/>
      <w:numFmt w:val="lowerLetter"/>
      <w:start w:val="1"/>
    </w:lvl>
  </w:abstractNum>
  <w:abstractNum w:abstractNumId="177">
    <w:nsid w:val="38A5D054"/>
    <w:multiLevelType w:val="hybridMultilevel"/>
    <w:lvl w:ilvl="0">
      <w:lvlJc w:val="left"/>
      <w:lvlText w:val="(%1)"/>
      <w:numFmt w:val="lowerLetter"/>
      <w:start w:val="35"/>
    </w:lvl>
    <w:lvl w:ilvl="1">
      <w:lvlJc w:val="left"/>
      <w:lvlText w:val="%2"/>
      <w:numFmt w:val="lowerLetter"/>
      <w:start w:val="1"/>
    </w:lvl>
  </w:abstractNum>
  <w:abstractNum w:abstractNumId="178">
    <w:nsid w:val="F3F09D8"/>
    <w:multiLevelType w:val="hybridMultilevel"/>
    <w:lvl w:ilvl="0">
      <w:lvlJc w:val="left"/>
      <w:lvlText w:val="(%1)"/>
      <w:numFmt w:val="lowerLetter"/>
      <w:start w:val="1"/>
    </w:lvl>
  </w:abstractNum>
  <w:abstractNum w:abstractNumId="179">
    <w:nsid w:val="4B793735"/>
    <w:multiLevelType w:val="hybridMultilevel"/>
    <w:lvl w:ilvl="0">
      <w:lvlJc w:val="left"/>
      <w:lvlText w:val="(%1)"/>
      <w:numFmt w:val="lowerLetter"/>
      <w:start w:val="1"/>
    </w:lvl>
  </w:abstractNum>
  <w:abstractNum w:abstractNumId="180">
    <w:nsid w:val="4A10B4E8"/>
    <w:multiLevelType w:val="hybridMultilevel"/>
    <w:lvl w:ilvl="0">
      <w:lvlJc w:val="left"/>
      <w:lvlText w:val="(%1)"/>
      <w:numFmt w:val="lowerLetter"/>
      <w:start w:val="1"/>
    </w:lvl>
    <w:lvl w:ilvl="1">
      <w:lvlJc w:val="left"/>
      <w:lvlText w:val="(%2)"/>
      <w:numFmt w:val="lowerRoman"/>
      <w:start w:val="1"/>
    </w:lvl>
  </w:abstractNum>
  <w:abstractNum w:abstractNumId="181">
    <w:nsid w:val="43D3BCD4"/>
    <w:multiLevelType w:val="hybridMultilevel"/>
    <w:lvl w:ilvl="0">
      <w:lvlJc w:val="left"/>
      <w:lvlText w:val="(%1)"/>
      <w:numFmt w:val="lowerLetter"/>
      <w:start w:val="2"/>
    </w:lvl>
  </w:abstractNum>
  <w:abstractNum w:abstractNumId="182">
    <w:nsid w:val="4C2A7166"/>
    <w:multiLevelType w:val="hybridMultilevel"/>
    <w:lvl w:ilvl="0">
      <w:lvlJc w:val="left"/>
      <w:lvlText w:val="(%1)"/>
      <w:numFmt w:val="lowerLetter"/>
      <w:start w:val="3"/>
    </w:lvl>
  </w:abstractNum>
  <w:abstractNum w:abstractNumId="183">
    <w:nsid w:val="2E534A82"/>
    <w:multiLevelType w:val="hybridMultilevel"/>
    <w:lvl w:ilvl="0">
      <w:lvlJc w:val="left"/>
      <w:lvlText w:val="(%1)"/>
      <w:numFmt w:val="lowerLetter"/>
      <w:start w:val="4"/>
    </w:lvl>
  </w:abstractNum>
  <w:abstractNum w:abstractNumId="184">
    <w:nsid w:val="26F2D364"/>
    <w:multiLevelType w:val="hybridMultilevel"/>
    <w:lvl w:ilvl="0">
      <w:lvlJc w:val="left"/>
      <w:lvlText w:val="(%1)"/>
      <w:numFmt w:val="lowerLetter"/>
      <w:start w:val="1"/>
    </w:lvl>
    <w:lvl w:ilvl="1">
      <w:lvlJc w:val="left"/>
      <w:lvlText w:val="(%2)"/>
      <w:numFmt w:val="lowerRoman"/>
      <w:start w:val="1"/>
    </w:lvl>
  </w:abstractNum>
  <w:abstractNum w:abstractNumId="185">
    <w:nsid w:val="71C1AF98"/>
    <w:multiLevelType w:val="hybridMultilevel"/>
    <w:lvl w:ilvl="0">
      <w:lvlJc w:val="left"/>
      <w:lvlText w:val="(%1)"/>
      <w:numFmt w:val="lowerRoman"/>
      <w:start w:val="3"/>
    </w:lvl>
  </w:abstractNum>
  <w:abstractNum w:abstractNumId="186">
    <w:nsid w:val="3D00B9D9"/>
    <w:multiLevelType w:val="hybridMultilevel"/>
    <w:lvl w:ilvl="0">
      <w:lvlJc w:val="left"/>
      <w:lvlText w:val="(%1)"/>
      <w:numFmt w:val="lowerLetter"/>
      <w:start w:val="2"/>
    </w:lvl>
  </w:abstractNum>
  <w:abstractNum w:abstractNumId="187">
    <w:nsid w:val="15BCABA8"/>
    <w:multiLevelType w:val="hybridMultilevel"/>
    <w:lvl w:ilvl="0">
      <w:lvlJc w:val="left"/>
      <w:lvlText w:val="(%1)"/>
      <w:numFmt w:val="lowerLetter"/>
      <w:start w:val="1"/>
    </w:lvl>
    <w:lvl w:ilvl="1">
      <w:lvlJc w:val="left"/>
      <w:lvlText w:val="(%2)"/>
      <w:numFmt w:val="lowerRoman"/>
      <w:start w:val="1"/>
    </w:lvl>
  </w:abstractNum>
  <w:abstractNum w:abstractNumId="188">
    <w:nsid w:val="4E0B9A87"/>
    <w:multiLevelType w:val="hybridMultilevel"/>
    <w:lvl w:ilvl="0">
      <w:lvlJc w:val="left"/>
      <w:lvlText w:val="(%1)"/>
      <w:numFmt w:val="lowerRoman"/>
      <w:start w:val="4"/>
    </w:lvl>
  </w:abstractNum>
  <w:abstractNum w:abstractNumId="189">
    <w:nsid w:val="434BAE75"/>
    <w:multiLevelType w:val="hybridMultilevel"/>
    <w:lvl w:ilvl="0">
      <w:lvlJc w:val="left"/>
      <w:lvlText w:val="(%1)"/>
      <w:numFmt w:val="upperLetter"/>
      <w:start w:val="4"/>
    </w:lvl>
  </w:abstractNum>
  <w:abstractNum w:abstractNumId="190">
    <w:nsid w:val="4F38F265"/>
    <w:multiLevelType w:val="hybridMultilevel"/>
    <w:lvl w:ilvl="0">
      <w:lvlJc w:val="left"/>
      <w:lvlText w:val="(%1)"/>
      <w:numFmt w:val="lowerLetter"/>
      <w:start w:val="2"/>
    </w:lvl>
    <w:lvl w:ilvl="1">
      <w:lvlJc w:val="left"/>
      <w:lvlText w:val="(%2)"/>
      <w:numFmt w:val="upperLetter"/>
      <w:start w:val="1"/>
    </w:lvl>
  </w:abstractNum>
  <w:abstractNum w:abstractNumId="191">
    <w:nsid w:val="4C502870"/>
    <w:multiLevelType w:val="hybridMultilevel"/>
    <w:lvl w:ilvl="0">
      <w:lvlJc w:val="left"/>
      <w:lvlText w:val="(%1)"/>
      <w:numFmt w:val="upperLetter"/>
      <w:start w:val="2"/>
    </w:lvl>
  </w:abstractNum>
  <w:abstractNum w:abstractNumId="192">
    <w:nsid w:val="1DE8725A"/>
    <w:multiLevelType w:val="hybridMultilevel"/>
    <w:lvl w:ilvl="0">
      <w:lvlJc w:val="left"/>
      <w:lvlText w:val="(%1)"/>
      <w:numFmt w:val="upperLetter"/>
      <w:start w:val="1"/>
    </w:lvl>
    <w:lvl w:ilvl="1">
      <w:lvlJc w:val="left"/>
      <w:lvlText w:val="(%2)"/>
      <w:numFmt w:val="lowerLetter"/>
      <w:start w:val="3"/>
    </w:lvl>
  </w:abstractNum>
  <w:abstractNum w:abstractNumId="193">
    <w:nsid w:val="6A37288A"/>
    <w:multiLevelType w:val="hybridMultilevel"/>
    <w:lvl w:ilvl="0">
      <w:lvlJc w:val="left"/>
      <w:lvlText w:val="(%1)"/>
      <w:numFmt w:val="lowerLetter"/>
      <w:start w:val="4"/>
    </w:lvl>
  </w:abstractNum>
  <w:abstractNum w:abstractNumId="194">
    <w:nsid w:val="8F8B73F"/>
    <w:multiLevelType w:val="hybridMultilevel"/>
    <w:lvl w:ilvl="0">
      <w:lvlJc w:val="left"/>
      <w:lvlText w:val="(%1)"/>
      <w:numFmt w:val="lowerLetter"/>
      <w:start w:val="7"/>
    </w:lvl>
  </w:abstractNum>
  <w:abstractNum w:abstractNumId="195">
    <w:nsid w:val="CA6B462"/>
    <w:multiLevelType w:val="hybridMultilevel"/>
    <w:lvl w:ilvl="0">
      <w:lvlJc w:val="left"/>
      <w:lvlText w:val="%1"/>
      <w:numFmt w:val="upperLetter"/>
      <w:start w:val="1"/>
    </w:lvl>
    <w:lvl w:ilvl="1">
      <w:lvlJc w:val="left"/>
      <w:lvlText w:val="(%2)"/>
      <w:numFmt w:val="lowerLetter"/>
      <w:start w:val="4"/>
    </w:lvl>
  </w:abstractNum>
  <w:abstractNum w:abstractNumId="196">
    <w:nsid w:val="763CB680"/>
    <w:multiLevelType w:val="hybridMultilevel"/>
    <w:lvl w:ilvl="0">
      <w:lvlJc w:val="left"/>
      <w:lvlText w:val="(%1)"/>
      <w:numFmt w:val="upperLetter"/>
      <w:start w:val="4"/>
    </w:lvl>
    <w:lvl w:ilvl="1">
      <w:lvlJc w:val="left"/>
      <w:lvlText w:val="%2"/>
      <w:numFmt w:val="lowerLetter"/>
      <w:start w:val="1"/>
    </w:lvl>
  </w:abstractNum>
  <w:abstractNum w:abstractNumId="197">
    <w:nsid w:val="15B71329"/>
    <w:multiLevelType w:val="hybridMultilevel"/>
    <w:lvl w:ilvl="0">
      <w:lvlJc w:val="left"/>
      <w:lvlText w:val="(%1)"/>
      <w:numFmt w:val="lowerLetter"/>
      <w:start w:val="1"/>
    </w:lvl>
  </w:abstractNum>
  <w:abstractNum w:abstractNumId="198">
    <w:nsid w:val="3DA97044"/>
    <w:multiLevelType w:val="hybridMultilevel"/>
    <w:lvl w:ilvl="0">
      <w:lvlJc w:val="left"/>
      <w:lvlText w:val="(%1)"/>
      <w:numFmt w:val="lowerLetter"/>
      <w:start w:val="2"/>
    </w:lvl>
  </w:abstractNum>
  <w:abstractNum w:abstractNumId="199">
    <w:nsid w:val="1CDCE2DE"/>
    <w:multiLevelType w:val="hybridMultilevel"/>
    <w:lvl w:ilvl="0">
      <w:lvlJc w:val="left"/>
      <w:lvlText w:val="(%1)"/>
      <w:numFmt w:val="lowerLetter"/>
      <w:start w:val="3"/>
    </w:lvl>
    <w:lvl w:ilvl="1">
      <w:lvlJc w:val="left"/>
      <w:lvlText w:val="(%2)"/>
      <w:numFmt w:val="lowerLetter"/>
      <w:start w:val="9"/>
    </w:lvl>
  </w:abstractNum>
  <w:abstractNum w:abstractNumId="200">
    <w:nsid w:val="69D3947C"/>
    <w:multiLevelType w:val="hybridMultilevel"/>
    <w:lvl w:ilvl="0">
      <w:lvlJc w:val="left"/>
      <w:lvlText w:val="(%1)"/>
      <w:numFmt w:val="lowerRoman"/>
      <w:start w:val="2"/>
    </w:lvl>
  </w:abstractNum>
  <w:abstractNum w:abstractNumId="201">
    <w:nsid w:val="2539DFA5"/>
    <w:multiLevelType w:val="hybridMultilevel"/>
    <w:lvl w:ilvl="0">
      <w:lvlJc w:val="left"/>
      <w:lvlText w:val="(%1)"/>
      <w:numFmt w:val="lowerLetter"/>
      <w:start w:val="5"/>
    </w:lvl>
  </w:abstractNum>
  <w:abstractNum w:abstractNumId="202">
    <w:nsid w:val="2DB88089"/>
    <w:multiLevelType w:val="hybridMultilevel"/>
    <w:lvl w:ilvl="0">
      <w:lvlJc w:val="left"/>
      <w:lvlText w:val="%1"/>
      <w:numFmt w:val="lowerLetter"/>
      <w:start w:val="1"/>
    </w:lvl>
    <w:lvl w:ilvl="1">
      <w:lvlJc w:val="left"/>
      <w:lvlText w:val="(%2)"/>
      <w:numFmt w:val="lowerLetter"/>
      <w:start w:val="6"/>
    </w:lvl>
  </w:abstractNum>
  <w:abstractNum w:abstractNumId="203">
    <w:nsid w:val="706B674E"/>
    <w:multiLevelType w:val="hybridMultilevel"/>
    <w:lvl w:ilvl="0">
      <w:lvlJc w:val="left"/>
      <w:lvlText w:val="(%1)"/>
      <w:numFmt w:val="lowerLetter"/>
      <w:start w:val="35"/>
    </w:lvl>
    <w:lvl w:ilvl="1">
      <w:lvlJc w:val="left"/>
      <w:lvlText w:val="%2"/>
      <w:numFmt w:val="lowerLetter"/>
      <w:start w:val="1"/>
    </w:lvl>
  </w:abstractNum>
  <w:abstractNum w:abstractNumId="204">
    <w:nsid w:val="2C106A57"/>
    <w:multiLevelType w:val="hybridMultilevel"/>
    <w:lvl w:ilvl="0">
      <w:lvlJc w:val="left"/>
      <w:lvlText w:val="(%1)"/>
      <w:numFmt w:val="lowerLetter"/>
      <w:start w:val="1"/>
    </w:lvl>
  </w:abstractNum>
  <w:abstractNum w:abstractNumId="205">
    <w:nsid w:val="684EED59"/>
    <w:multiLevelType w:val="hybridMultilevel"/>
    <w:lvl w:ilvl="0">
      <w:lvlJc w:val="left"/>
      <w:lvlText w:val="(%1)"/>
      <w:numFmt w:val="lowerLetter"/>
      <w:start w:val="2"/>
    </w:lvl>
  </w:abstractNum>
  <w:abstractNum w:abstractNumId="206">
    <w:nsid w:val="545EE5D3"/>
    <w:multiLevelType w:val="hybridMultilevel"/>
    <w:lvl w:ilvl="0">
      <w:lvlJc w:val="left"/>
      <w:lvlText w:val="(%1)"/>
      <w:numFmt w:val="lowerLetter"/>
      <w:start w:val="1"/>
    </w:lvl>
  </w:abstractNum>
  <w:abstractNum w:abstractNumId="207">
    <w:nsid w:val="4A66051"/>
    <w:multiLevelType w:val="hybridMultilevel"/>
    <w:lvl w:ilvl="0">
      <w:lvlJc w:val="left"/>
      <w:lvlText w:val="(%1)"/>
      <w:numFmt w:val="lowerLetter"/>
      <w:start w:val="3"/>
    </w:lvl>
  </w:abstractNum>
  <w:abstractNum w:abstractNumId="208">
    <w:nsid w:val="20F4BDAD"/>
    <w:multiLevelType w:val="hybridMultilevel"/>
    <w:lvl w:ilvl="0">
      <w:lvlJc w:val="left"/>
      <w:lvlText w:val="(%1)"/>
      <w:numFmt w:val="lowerLetter"/>
      <w:start w:val="1"/>
    </w:lvl>
  </w:abstractNum>
  <w:abstractNum w:abstractNumId="209">
    <w:nsid w:val="639DEFAC"/>
    <w:multiLevelType w:val="hybridMultilevel"/>
    <w:lvl w:ilvl="0">
      <w:lvlJc w:val="left"/>
      <w:lvlText w:val="(%1)"/>
      <w:numFmt w:val="upperLetter"/>
      <w:start w:val="3"/>
    </w:lvl>
  </w:abstractNum>
  <w:abstractNum w:abstractNumId="210">
    <w:nsid w:val="501F9786"/>
    <w:multiLevelType w:val="hybridMultilevel"/>
    <w:lvl w:ilvl="0">
      <w:lvlJc w:val="left"/>
      <w:lvlText w:val="(%1)"/>
      <w:numFmt w:val="lowerLetter"/>
      <w:start w:val="2"/>
    </w:lvl>
  </w:abstractNum>
  <w:abstractNum w:abstractNumId="211">
    <w:nsid w:val="6B057295"/>
    <w:multiLevelType w:val="hybridMultilevel"/>
    <w:lvl w:ilvl="0">
      <w:lvlJc w:val="left"/>
      <w:lvlText w:val="(%1)"/>
      <w:numFmt w:val="lowerLetter"/>
      <w:start w:val="1"/>
    </w:lvl>
    <w:lvl w:ilvl="1">
      <w:lvlJc w:val="left"/>
      <w:lvlText w:val="(%2)"/>
      <w:numFmt w:val="lowerRoman"/>
      <w:start w:val="1"/>
    </w:lvl>
  </w:abstractNum>
  <w:abstractNum w:abstractNumId="212">
    <w:nsid w:val="2771AC80"/>
    <w:multiLevelType w:val="hybridMultilevel"/>
    <w:lvl w:ilvl="0">
      <w:lvlJc w:val="left"/>
      <w:lvlText w:val="(%1)"/>
      <w:numFmt w:val="lowerRoman"/>
      <w:start w:val="3"/>
    </w:lvl>
  </w:abstractNum>
  <w:abstractNum w:abstractNumId="213">
    <w:nsid w:val="1C4A08EC"/>
    <w:multiLevelType w:val="hybridMultilevel"/>
    <w:lvl w:ilvl="0">
      <w:lvlJc w:val="left"/>
      <w:lvlText w:val="(%1)"/>
      <w:numFmt w:val="upperLetter"/>
      <w:start w:val="1"/>
    </w:lvl>
  </w:abstractNum>
  <w:abstractNum w:abstractNumId="214">
    <w:nsid w:val="1958BD17"/>
    <w:multiLevelType w:val="hybridMultilevel"/>
    <w:lvl w:ilvl="0">
      <w:lvlJc w:val="left"/>
      <w:lvlText w:val="%1."/>
      <w:numFmt w:val="decimal"/>
      <w:start w:val="1"/>
    </w:lvl>
  </w:abstractNum>
  <w:abstractNum w:abstractNumId="215">
    <w:nsid w:val="4E647FE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216">
    <w:nsid w:val="E0BB885"/>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17">
    <w:nsid w:val="565976F1"/>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18">
    <w:nsid w:val="64212B8C"/>
    <w:multiLevelType w:val="hybridMultilevel"/>
    <w:lvl w:ilvl="0">
      <w:lvlJc w:val="left"/>
      <w:lvlText w:val="(%1)"/>
      <w:numFmt w:val="lowerRoman"/>
      <w:start w:val="4"/>
    </w:lvl>
  </w:abstractNum>
  <w:abstractNum w:abstractNumId="219">
    <w:nsid w:val="5C17530C"/>
    <w:multiLevelType w:val="hybridMultilevel"/>
    <w:lvl w:ilvl="0">
      <w:lvlJc w:val="left"/>
      <w:lvlText w:val="%1."/>
      <w:numFmt w:val="decimal"/>
      <w:start w:val="1"/>
    </w:lvl>
    <w:lvl w:ilvl="1">
      <w:lvlJc w:val="left"/>
      <w:lvlText w:val="%2."/>
      <w:numFmt w:val="lowerLetter"/>
      <w:start w:val="1"/>
    </w:lvl>
  </w:abstractNum>
  <w:abstractNum w:abstractNumId="220">
    <w:nsid w:val="19A52566"/>
    <w:multiLevelType w:val="hybridMultilevel"/>
    <w:lvl w:ilvl="0">
      <w:lvlJc w:val="left"/>
      <w:lvlText w:val="%1."/>
      <w:numFmt w:val="decimal"/>
      <w:start w:val="1"/>
    </w:lvl>
    <w:lvl w:ilvl="1">
      <w:lvlJc w:val="left"/>
      <w:lvlText w:val="%2."/>
      <w:numFmt w:val="lowerLetter"/>
      <w:start w:val="1"/>
    </w:lvl>
  </w:abstractNum>
  <w:abstractNum w:abstractNumId="221">
    <w:nsid w:val="335A1D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2019-12-29T11:19:41Z</dcterms:created>
  <dcterms:modified xsi:type="dcterms:W3CDTF">2019-12-29T11:19:41Z</dcterms:modified>
</cp:coreProperties>
</file>