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34925</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February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73025</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0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Nevada</w:t>
            </w:r>
          </w:p>
        </w:tc>
        <w:tc>
          <w:tcPr>
            <w:tcW w:w="3200" w:type="dxa"/>
            <w:vAlign w:val="bottom"/>
            <w:gridSpan w:val="3"/>
          </w:tcPr>
          <w:p>
            <w:pPr>
              <w:ind w:left="1260"/>
              <w:spacing w:after="0"/>
              <w:rPr>
                <w:sz w:val="20"/>
                <w:szCs w:val="20"/>
                <w:color w:val="auto"/>
              </w:rPr>
            </w:pPr>
            <w:r>
              <w:rPr>
                <w:rFonts w:ascii="Arial" w:cs="Arial" w:eastAsia="Arial" w:hAnsi="Arial"/>
                <w:sz w:val="18"/>
                <w:szCs w:val="18"/>
                <w:b w:val="1"/>
                <w:bCs w:val="1"/>
                <w:color w:val="auto"/>
              </w:rPr>
              <w:t>000-50028</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46-0484987</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60" w:type="dxa"/>
            <w:vAlign w:val="bottom"/>
          </w:tcPr>
          <w:p>
            <w:pPr>
              <w:spacing w:after="0"/>
              <w:rPr>
                <w:sz w:val="12"/>
                <w:szCs w:val="12"/>
                <w:color w:val="auto"/>
              </w:rPr>
            </w:pPr>
          </w:p>
        </w:tc>
        <w:tc>
          <w:tcPr>
            <w:tcW w:w="3000" w:type="dxa"/>
            <w:vAlign w:val="bottom"/>
            <w:gridSpan w:val="2"/>
          </w:tcPr>
          <w:p>
            <w:pPr>
              <w:jc w:val="center"/>
              <w:ind w:right="112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3200" w:type="dxa"/>
            <w:vAlign w:val="bottom"/>
            <w:gridSpan w:val="3"/>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4180" w:type="dxa"/>
            <w:vAlign w:val="bottom"/>
            <w:gridSpan w:val="3"/>
          </w:tcPr>
          <w:p>
            <w:pPr>
              <w:jc w:val="center"/>
              <w:ind w:left="280"/>
              <w:spacing w:after="0" w:line="141"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30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of incorporation)</w:t>
            </w:r>
          </w:p>
        </w:tc>
        <w:tc>
          <w:tcPr>
            <w:tcW w:w="3200" w:type="dxa"/>
            <w:vAlign w:val="bottom"/>
            <w:gridSpan w:val="3"/>
          </w:tcPr>
          <w:p>
            <w:pPr>
              <w:ind w:left="1240"/>
              <w:spacing w:after="0"/>
              <w:rPr>
                <w:sz w:val="20"/>
                <w:szCs w:val="20"/>
                <w:color w:val="auto"/>
              </w:rPr>
            </w:pPr>
            <w:r>
              <w:rPr>
                <w:rFonts w:ascii="Arial" w:cs="Arial" w:eastAsia="Arial" w:hAnsi="Arial"/>
                <w:sz w:val="14"/>
                <w:szCs w:val="14"/>
                <w:b w:val="1"/>
                <w:bCs w:val="1"/>
                <w:color w:val="auto"/>
              </w:rPr>
              <w:t>File Number)</w:t>
            </w:r>
          </w:p>
        </w:tc>
        <w:tc>
          <w:tcPr>
            <w:tcW w:w="41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24"/>
        </w:trPr>
        <w:tc>
          <w:tcPr>
            <w:tcW w:w="3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3131 Las Vegas Boulevard South</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700" w:type="dxa"/>
            <w:vAlign w:val="bottom"/>
          </w:tcPr>
          <w:p>
            <w:pPr>
              <w:jc w:val="right"/>
              <w:ind w:right="140"/>
              <w:spacing w:after="0"/>
              <w:rPr>
                <w:sz w:val="20"/>
                <w:szCs w:val="20"/>
                <w:color w:val="auto"/>
              </w:rPr>
            </w:pPr>
            <w:r>
              <w:rPr>
                <w:rFonts w:ascii="Arial" w:cs="Arial" w:eastAsia="Arial" w:hAnsi="Arial"/>
                <w:sz w:val="18"/>
                <w:szCs w:val="18"/>
                <w:b w:val="1"/>
                <w:bCs w:val="1"/>
                <w:color w:val="auto"/>
              </w:rPr>
              <w:t>89109</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1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0" w:type="dxa"/>
            <w:vAlign w:val="bottom"/>
            <w:gridSpan w:val="3"/>
          </w:tcPr>
          <w:p>
            <w:pPr>
              <w:jc w:val="center"/>
              <w:ind w:left="259"/>
              <w:spacing w:after="0"/>
              <w:rPr>
                <w:sz w:val="20"/>
                <w:szCs w:val="20"/>
                <w:color w:val="auto"/>
              </w:rPr>
            </w:pPr>
            <w:r>
              <w:rPr>
                <w:rFonts w:ascii="Arial" w:cs="Arial" w:eastAsia="Arial" w:hAnsi="Arial"/>
                <w:sz w:val="18"/>
                <w:szCs w:val="18"/>
                <w:b w:val="1"/>
                <w:bCs w:val="1"/>
                <w:color w:val="auto"/>
                <w:w w:val="89"/>
              </w:rPr>
              <w:t>(702) 770-7555</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380" w:type="dxa"/>
            <w:vAlign w:val="bottom"/>
            <w:gridSpan w:val="6"/>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0" w:type="dxa"/>
            <w:vAlign w:val="bottom"/>
            <w:gridSpan w:val="3"/>
          </w:tcPr>
          <w:p>
            <w:pPr>
              <w:jc w:val="center"/>
              <w:ind w:left="239"/>
              <w:spacing w:after="0"/>
              <w:rPr>
                <w:sz w:val="20"/>
                <w:szCs w:val="20"/>
                <w:color w:val="auto"/>
              </w:rPr>
            </w:pPr>
            <w:r>
              <w:rPr>
                <w:rFonts w:ascii="Arial" w:cs="Arial" w:eastAsia="Arial" w:hAnsi="Arial"/>
                <w:sz w:val="18"/>
                <w:szCs w:val="18"/>
                <w:b w:val="1"/>
                <w:bCs w:val="1"/>
                <w:color w:val="auto"/>
                <w:w w:val="88"/>
              </w:rPr>
              <w:t>Not Applicable</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860" w:type="dxa"/>
            <w:vAlign w:val="bottom"/>
            <w:vMerge w:val="restart"/>
          </w:tcPr>
          <w:p>
            <w:pPr>
              <w:spacing w:after="0"/>
              <w:rPr>
                <w:sz w:val="4"/>
                <w:szCs w:val="4"/>
                <w:color w:val="auto"/>
              </w:rPr>
            </w:pPr>
          </w:p>
        </w:tc>
        <w:tc>
          <w:tcPr>
            <w:tcW w:w="43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60" w:type="dxa"/>
            <w:vAlign w:val="bottom"/>
            <w:vMerge w:val="continue"/>
          </w:tcPr>
          <w:p>
            <w:pPr>
              <w:spacing w:after="0"/>
              <w:rPr>
                <w:sz w:val="9"/>
                <w:szCs w:val="9"/>
                <w:color w:val="auto"/>
              </w:rPr>
            </w:pPr>
          </w:p>
        </w:tc>
        <w:tc>
          <w:tcPr>
            <w:tcW w:w="43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4"/>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680" w:type="dxa"/>
            <w:vAlign w:val="bottom"/>
          </w:tcPr>
          <w:p>
            <w:pPr>
              <w:spacing w:after="0"/>
              <w:rPr>
                <w:sz w:val="18"/>
                <w:szCs w:val="18"/>
                <w:color w:val="auto"/>
              </w:rPr>
            </w:pPr>
          </w:p>
        </w:tc>
        <w:tc>
          <w:tcPr>
            <w:tcW w:w="320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Common stock, par value $0.01</w:t>
            </w:r>
          </w:p>
        </w:tc>
        <w:tc>
          <w:tcPr>
            <w:tcW w:w="3200" w:type="dxa"/>
            <w:vAlign w:val="bottom"/>
            <w:gridSpan w:val="3"/>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c>
          <w:tcPr>
            <w:tcW w:w="0" w:type="dxa"/>
            <w:vAlign w:val="bottom"/>
          </w:tcPr>
          <w:p>
            <w:pPr>
              <w:spacing w:after="0"/>
              <w:rPr>
                <w:sz w:val="1"/>
                <w:szCs w:val="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jc w:val="both"/>
        <w:ind w:firstLine="434"/>
        <w:spacing w:after="0" w:line="304" w:lineRule="auto"/>
        <w:rPr>
          <w:sz w:val="20"/>
          <w:szCs w:val="20"/>
          <w:color w:val="auto"/>
        </w:rPr>
      </w:pPr>
      <w:r>
        <w:rPr>
          <w:rFonts w:ascii="Arial" w:cs="Arial" w:eastAsia="Arial" w:hAnsi="Arial"/>
          <w:sz w:val="15"/>
          <w:szCs w:val="15"/>
          <w:color w:val="auto"/>
        </w:rPr>
        <w:t>On February 15, 2022, Wynn Resorts, Limited issued a press release announcing its results of operations for the quarter ended December 31, 2021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2"/>
                <w:szCs w:val="22"/>
                <w:color w:val="auto"/>
              </w:rPr>
            </w:pPr>
          </w:p>
        </w:tc>
        <w:tc>
          <w:tcPr>
            <w:tcW w:w="988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dated February </w:t>
              </w:r>
            </w:hyperlink>
            <w:r>
              <w:rPr>
                <w:rFonts w:ascii="Arial" w:cs="Arial" w:eastAsia="Arial" w:hAnsi="Arial"/>
                <w:sz w:val="18"/>
                <w:szCs w:val="18"/>
                <w:color w:val="0000FF"/>
              </w:rPr>
              <w:t xml:space="preserve">15, 2022, </w:t>
            </w:r>
            <w:hyperlink w:anchor="page4">
              <w:r>
                <w:rPr>
                  <w:rFonts w:ascii="Arial" w:cs="Arial" w:eastAsia="Arial" w:hAnsi="Arial"/>
                  <w:sz w:val="18"/>
                  <w:szCs w:val="18"/>
                  <w:color w:val="0000FF"/>
                </w:rPr>
                <w:t>of Wynn Resorts, Limited.</w:t>
              </w:r>
            </w:hyperlink>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February 15,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Director, Chief Executive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Executive,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2021 Results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February 15, 2022 — Wynn Resorts, Limited (NASDAQ: WYNN) (the "Company") today reported financial results for the fourth quarter and year ended December 31, 2021.</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Operating revenues were $1.05 billion for the fourth quarter of 2021, an increase of 53.5%, or $367.1 million, from $686.0 million for the fourth quarter of 2020. Net loss attributable to Wynn Resorts, Limited was $177.2 million, or $1.54 per diluted share, for the fourth quarter of 2021, compared to net loss attributable to Wynn Resorts, Limited of $269.5 million, or $2.53 per diluted share, in the fourth quarter of 2020. Adjusted Property EBITDA</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was $149.1 million for the fourth quarter of 2021, compared to Adjusted Property EBITDA of $69.8 million in the fourth quarter of 2020.</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"I’m proud of our teams at both Wynn Las Vegas and Encore Boston Harbor for delivering record Adjusted Property EBITDA at both properties during the fourth quarter," said Craig Billings, CEO of Wynn Resorts, Limited. "Our relentless focus on five-star hospitality and world class experiences allowed us to further extend our leadership positions in Las Vegas and Massachusetts in 2021. In Macau, we remain confident that the market will benefit from the return of visitation over the coming quarters."</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the development front, we were excited to announce our plans to develop and manage a luxury integrated resort in the UAE, along with our partners, Marjan and RAK Hospitality Holding. The project further diversifies our business, extending our brand into the Middle East and Europe. We look forward to creating the one-of-a-kind guest experiences for which Wynn Resorts is renowned, and contributing to tourism and employment growth in the region."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Operating revenues were $1.05 billion for the fourth quarter of 2021, an increase of 53.5%, or $367.1 million, from $686.0 million for the fourth quarter of 2020. Operating revenues increased $321.4 million and $100.1 million at our Las Vegas Operations and Encore Boston Harbor, respectively, and decreased $27.5 million and $50.2 million at Wynn Palace and Wynn Macau, respectively, from the fourth quarter of 2020.</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Net loss attributable to Wynn Resorts, Limited was $177.2 million, or $1.54 per diluted share, for the fourth quarter of 2021, compared to net loss attributable to Wynn Resorts, Limited of $269.5 million, or $2.53 per diluted share, in the fourth quarter of 2020. Adjusted net loss attributable to Wynn Resorts, Limited</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was $157.4 million, or $1.37 per diluted share, for the fourth quarter of 2021, compared to adjusted net loss attributable to Wynn Resorts, Limited of $262.2 million, or $2.45 per diluted share, for the fourth quarter of 2020.</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Adjusted Property EBITDA was $149.1 million for the fourth quarter of 2021, compared to $69.8 million for the fourth quarter of 2020. Adjusted Property EBITDA increased $165.1 million and $51.6 million at our Las Vegas Operations and Encore Boston Harbor, respectively, and decreased $30.1 million and $35.2 million at Wynn Palace and Wynn Macau, respectively. Adjusted Property EBITDA was $(79.4) million at Corporate and other for the fourth quarter of 2021.</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December 31, 2021, operating revenues increased 79.6%, or $1.67 billion, to $3.76 billion, compared to $2.10 billion in the year ended December 31, 2020. Operating revenues increased $377.6 million, $151.4 million, $755.7 million, and $329.9 million at Wynn Palace, Wynn Macau, our Las Vegas Operations, and Encore Boston Harbor, respectively.</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Net loss attributable to Wynn Resorts, Limited was $755.8 million, or $6.64 per diluted share in 2021, compared to net loss attributable to Wynn Resorts, Limited of $2.07 billion, or $19.37 per diluted share in the year ended December 31, 2020. Adjusted net loss attributable to Wynn Resorts, Limited was $695.8 million, or $6.12 per diluted share, in 2021, compared to adjusted net loss of $2.05 billion, or $19.18 per diluted share, in the year ended December 31, 2020.</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Property EBITDA was $569.4 million for the year ended December 31, 2021, compared to $(324.3) million for the year ended December 31, 2020. Adjusted Property EBITDA increased $241.3 million, $91.4 million, $587.2 million, and $233.8 million at Wynn Palace, Wynn Macau, our Las Vegas Operations, and Encore Boston Harbor,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Property Results</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response to the initial outbreak of COVID-19 in early 2020, each of our properties was subject to partial or full closure for varying lengths of time during 2020, and each has since reopened. Over the course of 2021, the Company's Las Vegas Operations and Encore Boston Harbor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COVID-19 pandemic, measures that have been lifted may be reintroduced if there are adverse developments with respect to COVID-19, and management continues to be unable to reasonably estimate the impact of such developments to the Company's future results of operations, cash flows,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Palace were $194.0 million for the fourth quarter of 2021, a 12.4% decrease from $221.5 million for the fourth quarter of 2020. Adjusted Property EBITDA from Wynn Palace was $(1.4) million for the fourth quarter of 2021, compared with $28.7 million for the fourth quarter of 2020. VIP table games win as a percentage of turnover was 2.59%, below the property's expected range of 2.7% to 3.0% and above the 1.97% experienced in the fourth quarter of 2020. Table games win percentage in mass market operations was 22.7%, above the 21.6% experienced in the fourth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$131.7 million for the fourth quarter of 2021, a 27.6% decrease from $181.9 million for the fourth quarter of 2020. Adjusted Property EBITDA from Wynn Macau was $(24.5) million for the fourth quarter of 2021, compared with $10.7 million for the fourth quarter of 2020. VIP table games win as a percentage of turnover was 2.85%, within the property's expected range of 2.7% to 3.0% and below the 3.10% experienced in the fourth quarter of 2020. Table games win percentage in mass market operations was 17.4%, below the 17.9% experienced in the fourth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our Las Vegas Operations were $493.9 million for the fourth quarter of 2021, a 186.3% increase from $172.5 million for the fourth quarter of 2020. Adjusted Property EBITDA from our Las Vegas Operations for the fourth quarter of 2021 was $186.2 million, compared with $21.0 million for the fourth quarter of 2020. Table games win percentage was 20.8%, below the property's expected range of 22% to 26% and below the 24.4% experienced in the fourth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Boston Harbor</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Encore Boston Harbor were $204.0 million for the fourth quarter of 2021, a 96.4% increase from $103.9 million for the fourth quarter of 2020. Adjusted Property EBITDA from Encore Boston Harbor for the fourth quarter of 2021 was $68.2 million, compared with $16.7 million for the fourth quarter of 2020. Table games win percentage was 22.2%, above the property's expected range of 18% to 22% and above the 20.9% experienced in the fourth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and cash equivalents as of December 31, 2021 totaled $2.52 billion, comprised of approximately $1.50 billion held by Wynn Macau, Limited ("WML") and subsidiaries, approximately $380.6 million held by Wynn Resorts Finance excluding WML, and approximately $646.2 million at Corporate and other.</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2021, the available borrowing capacity under the WM Cayman II Revolver was $212.5 million, and the available borrowing capacity under the Wynn Resorts Finance Revolver was $835.6 million.</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current and long-term debt outstanding at December 31, 2021 was $11.93 billion, comprised of $5.97 billion of Macau related debt, $3.13 billion of Wynn Las Vegas debt, $2.22 billion of Wynn Resorts Finance debt, and $612.9 million of debt held by the retail joint venture which we consolidate.</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2022, the Company announced its entry into a sale-leaseback arrangement with respect to certain real estate assets related to Encore Boston Harbor. Upon closing of the related transactions, currently expected to take place in the fourth quarter of 2022, the Company expects to receive cash consideration of $1.7 billion in exchange for the sale of such real estate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1"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 million for an initial term of 30 years, subject to certain annual rent escalations and renewal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hold a conference call to discuss its results, including the results of Wynn Resorts Finance, LLC and Wynn Las Vegas, LLC, on February 15, 2022 at 1:30 p.m. PT (4:30 p.m. ET). Interested parties are invited to join the call by accessing a live audio webcast at http://www.wynnresorts.com.</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before March 31, 2022, the Company will make Wynn Resorts Finance, LLC and Wynn Las Vegas, LLC financial information for the quarter ended December 31, 2021 available to noteholders, prospective investors, broker-dealers and securities analysts. Please contact our investor relations office at 702-770-7555 or at investorrelations@wynnresorts.com, to obtain access to such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COVID-19 pandemic, and the continued impact of its consequences, extensive regulation of our business, pending or future legal proceedings, ability to maintain gaming licenses and concessions (including with respect to our ability to extend or renew our gaming concession in Macau, which expires on June 26, 2022, and proposed amendments to the Macau gaming law),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2020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6" w:lineRule="exact"/>
        <w:rPr>
          <w:sz w:val="20"/>
          <w:szCs w:val="20"/>
          <w:color w:val="auto"/>
        </w:rPr>
      </w:pPr>
    </w:p>
    <w:p>
      <w:pPr>
        <w:jc w:val="both"/>
        <w:ind w:firstLine="5"/>
        <w:spacing w:after="0" w:line="277" w:lineRule="auto"/>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6" w:lineRule="exact"/>
        <w:rPr>
          <w:rFonts w:ascii="Arial" w:cs="Arial" w:eastAsia="Arial" w:hAnsi="Arial"/>
          <w:sz w:val="16"/>
          <w:szCs w:val="16"/>
          <w:color w:val="auto"/>
        </w:rPr>
      </w:pPr>
    </w:p>
    <w:p>
      <w:pPr>
        <w:jc w:val="both"/>
        <w:ind w:firstLine="5"/>
        <w:spacing w:after="0" w:line="252" w:lineRule="auto"/>
        <w:tabs>
          <w:tab w:leader="none" w:pos="25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net loss attributable to Wynn Resorts, Limited" is net loss attributable to Wynn Resorts, Limited before litigation settlement net gain, pre-opening expenses, property charges and other, change in derivatives fair value, loss on extinguishment of debt, and foreign currency remeasurement and other, net of noncontrolling interests and income taxes calculated using the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7"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6"/>
          <w:szCs w:val="16"/>
          <w:color w:val="auto"/>
        </w:rPr>
        <w:t>specific tax treatment applicable to the adjustments based on their respective jurisdictions.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loss and loss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has included schedules in the tables that accompany this release that reconcile (i) net loss attributable to Wynn Resorts, Limited to Adjusted Property EBITDA, (ii) operating income (loss) to Adjusted Property EBITDA, and (iii) net loss attributable to Wynn Resorts, Limited to adjusted net loss</w:t>
      </w:r>
    </w:p>
    <w:p>
      <w:pPr>
        <w:spacing w:after="0"/>
        <w:rPr>
          <w:sz w:val="20"/>
          <w:szCs w:val="20"/>
          <w:color w:val="auto"/>
        </w:rPr>
      </w:pPr>
      <w:r>
        <w:rPr>
          <w:rFonts w:ascii="Arial" w:cs="Arial" w:eastAsia="Arial" w:hAnsi="Arial"/>
          <w:sz w:val="18"/>
          <w:szCs w:val="18"/>
          <w:color w:val="auto"/>
        </w:rPr>
        <w:t>attributable to Wynn Resorts, Limited</w:t>
      </w:r>
      <w:r>
        <w:rPr>
          <w:rFonts w:ascii="Arial" w:cs="Arial" w:eastAsia="Arial" w:hAnsi="Arial"/>
          <w:sz w:val="21"/>
          <w:szCs w:val="21"/>
          <w:color w:val="auto"/>
        </w:rPr>
        <w: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r>
      <w:tr>
        <w:trPr>
          <w:trHeight w:val="184"/>
        </w:trPr>
        <w:tc>
          <w:tcPr>
            <w:tcW w:w="5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77"/>
        </w:trPr>
        <w:tc>
          <w:tcPr>
            <w:tcW w:w="5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04"/>
        </w:trPr>
        <w:tc>
          <w:tcPr>
            <w:tcW w:w="52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Casino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518,192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455,156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2,133,420</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1,237,230</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307,973</w:t>
            </w: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633,911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329,584</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221,074</w:t>
            </w:r>
          </w:p>
        </w:tc>
      </w:tr>
      <w:tr>
        <w:trPr>
          <w:trHeight w:val="217"/>
        </w:trPr>
        <w:tc>
          <w:tcPr>
            <w:tcW w:w="5280" w:type="dxa"/>
            <w:vAlign w:val="bottom"/>
          </w:tcPr>
          <w:p>
            <w:pPr>
              <w:ind w:left="640"/>
              <w:spacing w:after="0"/>
              <w:rPr>
                <w:sz w:val="20"/>
                <w:szCs w:val="20"/>
                <w:color w:val="auto"/>
              </w:rPr>
            </w:pPr>
            <w:r>
              <w:rPr>
                <w:rFonts w:ascii="Arial" w:cs="Arial" w:eastAsia="Arial" w:hAnsi="Arial"/>
                <w:sz w:val="18"/>
                <w:szCs w:val="18"/>
                <w:b w:val="1"/>
                <w:bCs w:val="1"/>
                <w:color w:val="auto"/>
              </w:rPr>
              <w:t>Total operating revenues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1,053,124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685,995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3,763,664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2,095,861</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Casino</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1,394,098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1,064,976</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172,223</w:t>
            </w: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161,682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516,391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398,792</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107,228</w:t>
            </w: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221,923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796,592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720,849</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64,375</w:t>
            </w: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6,506</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725,502</w:t>
            </w:r>
          </w:p>
        </w:tc>
      </w:tr>
      <w:tr>
        <w:trPr>
          <w:trHeight w:val="223"/>
        </w:trPr>
        <w:tc>
          <w:tcPr>
            <w:tcW w:w="5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67,455</w:t>
            </w:r>
          </w:p>
        </w:tc>
      </w:tr>
      <w:tr>
        <w:trPr>
          <w:trHeight w:val="217"/>
        </w:trPr>
        <w:tc>
          <w:tcPr>
            <w:tcW w:w="52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1,158,748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864,606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4,158,205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3,327,906</w:t>
            </w:r>
          </w:p>
        </w:tc>
      </w:tr>
      <w:tr>
        <w:trPr>
          <w:trHeight w:val="21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(394,541)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(1,232,045)</w:t>
            </w:r>
          </w:p>
        </w:tc>
      </w:tr>
      <w:tr>
        <w:trPr>
          <w:trHeight w:val="204"/>
        </w:trPr>
        <w:tc>
          <w:tcPr>
            <w:tcW w:w="52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15,384</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(556,474)</w:t>
            </w: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(13,060)</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23"/>
        </w:trPr>
        <w:tc>
          <w:tcPr>
            <w:tcW w:w="5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28,521</w:t>
            </w:r>
          </w:p>
        </w:tc>
      </w:tr>
      <w:tr>
        <w:trPr>
          <w:trHeight w:val="217"/>
        </w:trPr>
        <w:tc>
          <w:tcPr>
            <w:tcW w:w="52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(152,678)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(616,975)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(530,230)</w:t>
            </w:r>
          </w:p>
        </w:tc>
      </w:tr>
      <w:tr>
        <w:trPr>
          <w:trHeight w:val="21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(258,302)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(309,723)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(1,011,516)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7"/>
              </w:rPr>
              <w:t>(1,762,275)</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(564,671)</w:t>
            </w:r>
          </w:p>
        </w:tc>
      </w:tr>
      <w:tr>
        <w:trPr>
          <w:trHeight w:val="21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(256,431)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(310,291)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(1,011,990)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7"/>
              </w:rPr>
              <w:t>(2,326,946)</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259,701</w:t>
            </w:r>
          </w:p>
        </w:tc>
      </w:tr>
      <w:tr>
        <w:trPr>
          <w:trHeight w:val="21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(177,190)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(755,786)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(2,067,245)</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0"/>
        </w:trPr>
        <w:tc>
          <w:tcPr>
            <w:tcW w:w="5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loss per common share: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5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23"/>
        </w:trPr>
        <w:tc>
          <w:tcPr>
            <w:tcW w:w="52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(19.37)</w:t>
            </w:r>
          </w:p>
        </w:tc>
      </w:tr>
      <w:tr>
        <w:trPr>
          <w:trHeight w:val="224"/>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5280" w:type="dxa"/>
            <w:vAlign w:val="bottom"/>
          </w:tcPr>
          <w:p>
            <w:pPr>
              <w:ind w:left="6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114,768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106,745</w:t>
            </w:r>
          </w:p>
        </w:tc>
      </w:tr>
      <w:tr>
        <w:trPr>
          <w:trHeight w:val="224"/>
        </w:trPr>
        <w:tc>
          <w:tcPr>
            <w:tcW w:w="5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106,745</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842"/>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7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80"/>
          </w:cols>
          <w:pgMar w:left="360" w:top="871" w:right="359" w:bottom="1440" w:gutter="0" w:footer="0" w:header="0"/>
        </w:sectPr>
      </w:pPr>
    </w:p>
    <w:bookmarkStart w:id="8" w:name="page9"/>
    <w:bookmarkEnd w:id="8"/>
    <w:p>
      <w:pPr>
        <w:jc w:val="center"/>
        <w:spacing w:after="0" w:line="252" w:lineRule="auto"/>
        <w:rPr>
          <w:sz w:val="20"/>
          <w:szCs w:val="20"/>
          <w:color w:val="auto"/>
        </w:rPr>
      </w:pPr>
      <w:r>
        <w:rPr>
          <w:rFonts w:ascii="Arial" w:cs="Arial" w:eastAsia="Arial" w:hAnsi="Arial"/>
          <w:sz w:val="18"/>
          <w:szCs w:val="18"/>
          <w:b w:val="1"/>
          <w:bCs w:val="1"/>
          <w:color w:val="auto"/>
        </w:rPr>
        <w:t>WYNN RESORTS, LIMITED AND SUBSIDIARIES RECONCILIATION OF NET LOSS ATTRIBUTABLE TO WYNN RESORTS, LIMITED TO ADJUSTED NET LOSS ATTRIBUTABLE TO WYNN RESORTS, LIMITED (in thousands, except per share data)</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r>
      <w:tr>
        <w:trPr>
          <w:trHeight w:val="184"/>
        </w:trPr>
        <w:tc>
          <w:tcPr>
            <w:tcW w:w="5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r>
      <w:tr>
        <w:trPr>
          <w:trHeight w:val="177"/>
        </w:trPr>
        <w:tc>
          <w:tcPr>
            <w:tcW w:w="55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17"/>
        </w:trPr>
        <w:tc>
          <w:tcPr>
            <w:tcW w:w="55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4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(2,067,245)</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Litigation settlement net gain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(30,200)</w:t>
            </w:r>
          </w:p>
        </w:tc>
      </w:tr>
      <w:tr>
        <w:trPr>
          <w:trHeight w:val="224"/>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67,455</w:t>
            </w:r>
          </w:p>
        </w:tc>
      </w:tr>
      <w:tr>
        <w:trPr>
          <w:trHeight w:val="224"/>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24"/>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remeasurement and other</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(28,521)</w:t>
            </w:r>
          </w:p>
        </w:tc>
      </w:tr>
      <w:tr>
        <w:trPr>
          <w:trHeight w:val="223"/>
        </w:trPr>
        <w:tc>
          <w:tcPr>
            <w:tcW w:w="5540" w:type="dxa"/>
            <w:vAlign w:val="bottom"/>
          </w:tcPr>
          <w:p>
            <w:pPr>
              <w:ind w:left="34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r>
      <w:tr>
        <w:trPr>
          <w:trHeight w:val="217"/>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(157,355)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(262,229)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(695,783)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(2,047,252)</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1"/>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7"/>
              </w:rPr>
              <w:t>Adjusted net loss attributable to Wynn Resorts, Limited per diluted share</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106,745</w:t>
            </w:r>
          </w:p>
        </w:tc>
      </w:tr>
      <w:tr>
        <w:trPr>
          <w:trHeight w:val="842"/>
        </w:trPr>
        <w:tc>
          <w:tcPr>
            <w:tcW w:w="5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00"/>
          </w:cols>
          <w:pgMar w:left="340" w:top="87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Three Months Ended December 31, 2021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Property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Stock-based</w:t>
            </w:r>
          </w:p>
        </w:tc>
        <w:tc>
          <w:tcPr>
            <w:tcW w:w="160" w:type="dxa"/>
            <w:vAlign w:val="bottom"/>
          </w:tcPr>
          <w:p>
            <w:pPr>
              <w:spacing w:after="0"/>
              <w:rPr>
                <w:sz w:val="11"/>
                <w:szCs w:val="11"/>
                <w:color w:val="auto"/>
              </w:rPr>
            </w:pPr>
          </w:p>
        </w:tc>
        <w:tc>
          <w:tcPr>
            <w:tcW w:w="860" w:type="dxa"/>
            <w:vAlign w:val="bottom"/>
          </w:tcPr>
          <w:p>
            <w:pPr>
              <w:jc w:val="right"/>
              <w:ind w:right="17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7"/>
              </w:rPr>
              <w:t>charges and</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7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5"/>
                <w:szCs w:val="15"/>
                <w:color w:val="auto"/>
              </w:rPr>
            </w:pPr>
          </w:p>
        </w:tc>
        <w:tc>
          <w:tcPr>
            <w:tcW w:w="860" w:type="dxa"/>
            <w:vAlign w:val="bottom"/>
          </w:tcPr>
          <w:p>
            <w:pPr>
              <w:jc w:val="right"/>
              <w:ind w:right="17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194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40"/>
              <w:spacing w:after="0"/>
              <w:rPr>
                <w:sz w:val="20"/>
                <w:szCs w:val="20"/>
                <w:color w:val="auto"/>
              </w:rPr>
            </w:pPr>
            <w:r>
              <w:rPr>
                <w:rFonts w:ascii="Arial" w:cs="Arial" w:eastAsia="Arial" w:hAnsi="Arial"/>
                <w:sz w:val="14"/>
                <w:szCs w:val="14"/>
                <w:color w:val="auto"/>
              </w:rPr>
              <w:t>Wynn Palace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(62,718)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51,959</w:t>
            </w: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6,179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(24,494)</w:t>
            </w:r>
          </w:p>
        </w:tc>
        <w:tc>
          <w:tcPr>
            <w:tcW w:w="0" w:type="dxa"/>
            <w:vAlign w:val="bottom"/>
          </w:tcPr>
          <w:p>
            <w:pPr>
              <w:spacing w:after="0"/>
              <w:rPr>
                <w:sz w:val="1"/>
                <w:szCs w:val="1"/>
                <w:color w:val="auto"/>
              </w:rPr>
            </w:pPr>
          </w:p>
        </w:tc>
      </w:tr>
      <w:tr>
        <w:trPr>
          <w:trHeight w:val="182"/>
        </w:trPr>
        <w:tc>
          <w:tcPr>
            <w:tcW w:w="1940" w:type="dxa"/>
            <w:vAlign w:val="bottom"/>
          </w:tcPr>
          <w:p>
            <w:pPr>
              <w:ind w:left="240"/>
              <w:spacing w:after="0"/>
              <w:rPr>
                <w:sz w:val="20"/>
                <w:szCs w:val="20"/>
                <w:color w:val="auto"/>
              </w:rPr>
            </w:pPr>
            <w:r>
              <w:rPr>
                <w:rFonts w:ascii="Arial" w:cs="Arial" w:eastAsia="Arial" w:hAnsi="Arial"/>
                <w:sz w:val="14"/>
                <w:szCs w:val="14"/>
                <w:color w:val="auto"/>
              </w:rPr>
              <w:t>Other Macau</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73,361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7,232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10,371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4,643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(25,884)</w:t>
            </w: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98,505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48,463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23,669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186,159</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68,224</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(91,439)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(43,962)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11,003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(79,399)</w:t>
            </w:r>
          </w:p>
        </w:tc>
        <w:tc>
          <w:tcPr>
            <w:tcW w:w="0" w:type="dxa"/>
            <w:vAlign w:val="bottom"/>
          </w:tcPr>
          <w:p>
            <w:pPr>
              <w:spacing w:after="0"/>
              <w:rPr>
                <w:sz w:val="1"/>
                <w:szCs w:val="1"/>
                <w:color w:val="auto"/>
              </w:rPr>
            </w:pPr>
          </w:p>
        </w:tc>
      </w:tr>
      <w:tr>
        <w:trPr>
          <w:trHeight w:val="205"/>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(105,624)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170,424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24,193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20,205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149,100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Three Months Ended December 31, 2020</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Property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Stock-based</w:t>
            </w:r>
          </w:p>
        </w:tc>
        <w:tc>
          <w:tcPr>
            <w:tcW w:w="160" w:type="dxa"/>
            <w:vAlign w:val="bottom"/>
          </w:tcPr>
          <w:p>
            <w:pPr>
              <w:spacing w:after="0"/>
              <w:rPr>
                <w:sz w:val="11"/>
                <w:szCs w:val="11"/>
                <w:color w:val="auto"/>
              </w:rPr>
            </w:pPr>
          </w:p>
        </w:tc>
        <w:tc>
          <w:tcPr>
            <w:tcW w:w="860" w:type="dxa"/>
            <w:vAlign w:val="bottom"/>
          </w:tcPr>
          <w:p>
            <w:pPr>
              <w:jc w:val="right"/>
              <w:ind w:right="17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1940" w:type="dxa"/>
            <w:vAlign w:val="bottom"/>
          </w:tcPr>
          <w:p>
            <w:pPr>
              <w:spacing w:after="0"/>
              <w:rPr>
                <w:sz w:val="11"/>
                <w:szCs w:val="11"/>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Operating loss</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7"/>
              </w:rPr>
              <w:t>charges and</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7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5"/>
                <w:szCs w:val="15"/>
                <w:color w:val="auto"/>
              </w:rPr>
            </w:pPr>
          </w:p>
        </w:tc>
        <w:tc>
          <w:tcPr>
            <w:tcW w:w="860" w:type="dxa"/>
            <w:vAlign w:val="bottom"/>
          </w:tcPr>
          <w:p>
            <w:pPr>
              <w:jc w:val="right"/>
              <w:ind w:right="17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194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40"/>
              <w:spacing w:after="0"/>
              <w:rPr>
                <w:sz w:val="20"/>
                <w:szCs w:val="20"/>
                <w:color w:val="auto"/>
              </w:rPr>
            </w:pPr>
            <w:r>
              <w:rPr>
                <w:rFonts w:ascii="Arial" w:cs="Arial" w:eastAsia="Arial" w:hAnsi="Arial"/>
                <w:sz w:val="14"/>
                <w:szCs w:val="14"/>
                <w:color w:val="auto"/>
              </w:rPr>
              <w:t>Wynn Palace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(50,278)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67,455</w:t>
            </w:r>
          </w:p>
        </w:tc>
        <w:tc>
          <w:tcPr>
            <w:tcW w:w="1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918</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7,196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28,732</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0" w:type="dxa"/>
            <w:vAlign w:val="bottom"/>
          </w:tcPr>
          <w:p>
            <w:pPr>
              <w:spacing w:after="0"/>
              <w:rPr>
                <w:sz w:val="1"/>
                <w:szCs w:val="1"/>
                <w:color w:val="auto"/>
              </w:rPr>
            </w:pPr>
          </w:p>
        </w:tc>
      </w:tr>
      <w:tr>
        <w:trPr>
          <w:trHeight w:val="182"/>
        </w:trPr>
        <w:tc>
          <w:tcPr>
            <w:tcW w:w="1940" w:type="dxa"/>
            <w:vAlign w:val="bottom"/>
          </w:tcPr>
          <w:p>
            <w:pPr>
              <w:ind w:left="240"/>
              <w:spacing w:after="0"/>
              <w:rPr>
                <w:sz w:val="20"/>
                <w:szCs w:val="20"/>
                <w:color w:val="auto"/>
              </w:rPr>
            </w:pPr>
            <w:r>
              <w:rPr>
                <w:rFonts w:ascii="Arial" w:cs="Arial" w:eastAsia="Arial" w:hAnsi="Arial"/>
                <w:sz w:val="14"/>
                <w:szCs w:val="14"/>
                <w:color w:val="auto"/>
              </w:rPr>
              <w:t>Other Macau</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(74,346)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88,959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13,274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39,438</w:t>
            </w: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8,303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21,027</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16,667</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(26,590)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10,011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(7,351)</w:t>
            </w:r>
          </w:p>
        </w:tc>
        <w:tc>
          <w:tcPr>
            <w:tcW w:w="0" w:type="dxa"/>
            <w:vAlign w:val="bottom"/>
          </w:tcPr>
          <w:p>
            <w:pPr>
              <w:spacing w:after="0"/>
              <w:rPr>
                <w:sz w:val="1"/>
                <w:szCs w:val="1"/>
                <w:color w:val="auto"/>
              </w:rPr>
            </w:pPr>
          </w:p>
        </w:tc>
      </w:tr>
      <w:tr>
        <w:trPr>
          <w:trHeight w:val="205"/>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(178,611)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184,004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69,781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8"/>
              </w:rPr>
              <w:t>Year Ended 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Property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Stock-based</w:t>
            </w:r>
          </w:p>
        </w:tc>
        <w:tc>
          <w:tcPr>
            <w:tcW w:w="160" w:type="dxa"/>
            <w:vAlign w:val="bottom"/>
          </w:tcPr>
          <w:p>
            <w:pPr>
              <w:spacing w:after="0"/>
              <w:rPr>
                <w:sz w:val="11"/>
                <w:szCs w:val="11"/>
                <w:color w:val="auto"/>
              </w:rPr>
            </w:pPr>
          </w:p>
        </w:tc>
        <w:tc>
          <w:tcPr>
            <w:tcW w:w="860" w:type="dxa"/>
            <w:vAlign w:val="bottom"/>
          </w:tcPr>
          <w:p>
            <w:pPr>
              <w:jc w:val="right"/>
              <w:ind w:right="17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7"/>
              </w:rPr>
              <w:t>charges and</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7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5"/>
                <w:szCs w:val="15"/>
                <w:color w:val="auto"/>
              </w:rPr>
            </w:pPr>
          </w:p>
        </w:tc>
        <w:tc>
          <w:tcPr>
            <w:tcW w:w="860" w:type="dxa"/>
            <w:vAlign w:val="bottom"/>
          </w:tcPr>
          <w:p>
            <w:pPr>
              <w:jc w:val="right"/>
              <w:ind w:right="17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1940" w:type="dxa"/>
            <w:vAlign w:val="bottom"/>
            <w:tcBorders>
              <w:top w:val="single" w:sz="8" w:color="CCEEFF"/>
            </w:tcBorders>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Wynn Palace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(202,379)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244,939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3,792</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29,166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4,739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10,491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91,646</w:t>
            </w: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20,401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w:t>
            </w:r>
          </w:p>
        </w:tc>
        <w:tc>
          <w:tcPr>
            <w:tcW w:w="0" w:type="dxa"/>
            <w:vAlign w:val="bottom"/>
          </w:tcPr>
          <w:p>
            <w:pPr>
              <w:spacing w:after="0"/>
              <w:rPr>
                <w:sz w:val="1"/>
                <w:szCs w:val="1"/>
                <w:color w:val="auto"/>
              </w:rPr>
            </w:pPr>
          </w:p>
        </w:tc>
      </w:tr>
      <w:tr>
        <w:trPr>
          <w:trHeight w:val="182"/>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Other Macau</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(348,248)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332,648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14,135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49,567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29,914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95,855</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216,218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192,506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71,621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10,634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530,878</w:t>
            </w: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33,505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210,068</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34,216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22,745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(154,693)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45,168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52,794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(267,360)</w:t>
            </w:r>
          </w:p>
        </w:tc>
        <w:tc>
          <w:tcPr>
            <w:tcW w:w="0" w:type="dxa"/>
            <w:vAlign w:val="bottom"/>
          </w:tcPr>
          <w:p>
            <w:pPr>
              <w:spacing w:after="0"/>
              <w:rPr>
                <w:sz w:val="1"/>
                <w:szCs w:val="1"/>
                <w:color w:val="auto"/>
              </w:rPr>
            </w:pPr>
          </w:p>
        </w:tc>
      </w:tr>
      <w:tr>
        <w:trPr>
          <w:trHeight w:val="205"/>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(394,541)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715,962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50,762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95,199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95,238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569,441</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1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9"/>
              </w:rPr>
              <w:t>Year Ended December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Property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Stock-based</w:t>
            </w:r>
          </w:p>
        </w:tc>
        <w:tc>
          <w:tcPr>
            <w:tcW w:w="160" w:type="dxa"/>
            <w:vAlign w:val="bottom"/>
          </w:tcPr>
          <w:p>
            <w:pPr>
              <w:spacing w:after="0"/>
              <w:rPr>
                <w:sz w:val="11"/>
                <w:szCs w:val="11"/>
                <w:color w:val="auto"/>
              </w:rPr>
            </w:pPr>
          </w:p>
        </w:tc>
        <w:tc>
          <w:tcPr>
            <w:tcW w:w="860" w:type="dxa"/>
            <w:vAlign w:val="bottom"/>
          </w:tcPr>
          <w:p>
            <w:pPr>
              <w:jc w:val="right"/>
              <w:ind w:right="17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87"/>
              </w:rPr>
              <w:t>charges and</w:t>
            </w: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7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other (1)</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5"/>
                <w:szCs w:val="15"/>
                <w:color w:val="auto"/>
              </w:rPr>
            </w:pPr>
          </w:p>
        </w:tc>
        <w:tc>
          <w:tcPr>
            <w:tcW w:w="860" w:type="dxa"/>
            <w:vAlign w:val="bottom"/>
          </w:tcPr>
          <w:p>
            <w:pPr>
              <w:jc w:val="right"/>
              <w:ind w:right="17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19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Wynn Palace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(477,759)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269,110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24,712</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21,121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7,681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(149,647)</w:t>
            </w: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(87,189)</w:t>
            </w:r>
          </w:p>
        </w:tc>
        <w:tc>
          <w:tcPr>
            <w:tcW w:w="0" w:type="dxa"/>
            <w:vAlign w:val="bottom"/>
          </w:tcPr>
          <w:p>
            <w:pPr>
              <w:spacing w:after="0"/>
              <w:rPr>
                <w:sz w:val="1"/>
                <w:szCs w:val="1"/>
                <w:color w:val="auto"/>
              </w:rPr>
            </w:pPr>
          </w:p>
        </w:tc>
      </w:tr>
      <w:tr>
        <w:trPr>
          <w:trHeight w:val="182"/>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Other Macau</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(704,006)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363,080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28,330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39,862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14,207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20,259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(236,836)</w:t>
            </w:r>
          </w:p>
        </w:tc>
        <w:tc>
          <w:tcPr>
            <w:tcW w:w="0" w:type="dxa"/>
            <w:vAlign w:val="bottom"/>
          </w:tcPr>
          <w:p>
            <w:pPr>
              <w:spacing w:after="0"/>
              <w:rPr>
                <w:sz w:val="1"/>
                <w:szCs w:val="1"/>
                <w:color w:val="auto"/>
              </w:rPr>
            </w:pPr>
          </w:p>
        </w:tc>
      </w:tr>
      <w:tr>
        <w:trPr>
          <w:trHeight w:val="182"/>
        </w:trPr>
        <w:tc>
          <w:tcPr>
            <w:tcW w:w="194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(326,729)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196,292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35,213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9,475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(56,356)</w:t>
            </w:r>
          </w:p>
        </w:tc>
        <w:tc>
          <w:tcPr>
            <w:tcW w:w="0" w:type="dxa"/>
            <w:vAlign w:val="bottom"/>
          </w:tcPr>
          <w:p>
            <w:pPr>
              <w:spacing w:after="0"/>
              <w:rPr>
                <w:sz w:val="1"/>
                <w:szCs w:val="1"/>
                <w:color w:val="auto"/>
              </w:rPr>
            </w:pPr>
          </w:p>
        </w:tc>
      </w:tr>
      <w:tr>
        <w:trPr>
          <w:trHeight w:val="18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(23,762)</w:t>
            </w:r>
          </w:p>
        </w:tc>
        <w:tc>
          <w:tcPr>
            <w:tcW w:w="0" w:type="dxa"/>
            <w:vAlign w:val="bottom"/>
          </w:tcPr>
          <w:p>
            <w:pPr>
              <w:spacing w:after="0"/>
              <w:rPr>
                <w:sz w:val="1"/>
                <w:szCs w:val="1"/>
                <w:color w:val="auto"/>
              </w:rPr>
            </w:pPr>
          </w:p>
        </w:tc>
      </w:tr>
      <w:tr>
        <w:trPr>
          <w:trHeight w:val="182"/>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29,800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(7,351)</w:t>
            </w:r>
          </w:p>
        </w:tc>
        <w:tc>
          <w:tcPr>
            <w:tcW w:w="0" w:type="dxa"/>
            <w:vAlign w:val="bottom"/>
          </w:tcPr>
          <w:p>
            <w:pPr>
              <w:spacing w:after="0"/>
              <w:rPr>
                <w:sz w:val="1"/>
                <w:szCs w:val="1"/>
                <w:color w:val="auto"/>
              </w:rPr>
            </w:pPr>
          </w:p>
        </w:tc>
      </w:tr>
      <w:tr>
        <w:trPr>
          <w:trHeight w:val="20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(1,232,045)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725,502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67,455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62,254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(324,305)</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Corporate and other includes a $30.2 million net gain recorded in relation to a derivative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1"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ADJUSTED PROPERTY EBITDA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r>
      <w:tr>
        <w:trPr>
          <w:trHeight w:val="184"/>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77"/>
        </w:trPr>
        <w:tc>
          <w:tcPr>
            <w:tcW w:w="50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17"/>
        </w:trPr>
        <w:tc>
          <w:tcPr>
            <w:tcW w:w="50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(2,067,245)</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(256,204)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(259,701)</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170,424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725,502</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67,455</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95,199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46,023</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62,254</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(15,384)</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556,474</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13,060</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23"/>
        </w:trPr>
        <w:tc>
          <w:tcPr>
            <w:tcW w:w="508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(28,521)</w:t>
            </w:r>
          </w:p>
        </w:tc>
      </w:tr>
      <w:tr>
        <w:trPr>
          <w:trHeight w:val="224"/>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564,671</w:t>
            </w:r>
          </w:p>
        </w:tc>
      </w:tr>
      <w:tr>
        <w:trPr>
          <w:trHeight w:val="21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149,100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569,441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(324,305)</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3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8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140"/>
          </w:cols>
          <w:pgMar w:left="380" w:top="871"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86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32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w w:val="94"/>
              </w:rPr>
              <w:t>Wynn Palace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145,877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159,835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677,917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368,284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15,488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19,463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69,022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46,110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11,556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18,813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43,198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xml:space="preserve">Entertainment, retail and other </w:t>
            </w:r>
            <w:r>
              <w:rPr>
                <w:rFonts w:ascii="Arial" w:cs="Arial" w:eastAsia="Arial" w:hAnsi="Arial"/>
                <w:sz w:val="14"/>
                <w:szCs w:val="14"/>
                <w:color w:val="auto"/>
              </w:rPr>
              <w:t>(7)</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21,066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23,377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88,083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47,828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193,987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221,488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883,007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505,420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74.7</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28,732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NM</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91,646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(149,647)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VIP:</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1,189,652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2,807,063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6,435,947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9,631,018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30,798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55,428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253,767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168,435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w w:val="95"/>
              </w:rPr>
              <w:t>VIP table games win as a % of turnover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4,850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592,050</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658,501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2,415,841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1,242,100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134,219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142,284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540,234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299,181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7,006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347,518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457,234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1,454,577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999,942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13,599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14,379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58,152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39,175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86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32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w w:val="94"/>
              </w:rPr>
              <w:t>Wynn Macau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97,389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130,837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476,999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344,595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15,631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50,492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39,111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8,800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14,273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32,420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33,094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xml:space="preserve">Entertainment, retail and other </w:t>
            </w:r>
            <w:r>
              <w:rPr>
                <w:rFonts w:ascii="Arial" w:cs="Arial" w:eastAsia="Arial" w:hAnsi="Arial"/>
                <w:sz w:val="14"/>
                <w:szCs w:val="14"/>
                <w:color w:val="auto"/>
              </w:rPr>
              <w:t>(7)</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14,018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21,171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66,104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57,857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131,674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181,912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626,015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474,657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(24,494)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10,706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NM</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(87,189)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VIP:</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858,131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1,771,818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5,488,118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5,841,627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54,916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155,064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185,059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w w:val="95"/>
              </w:rPr>
              <w:t>VIP table games win as a % of turnover</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6,559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527,159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632,479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2,230,348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1,384,537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91,517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113,130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412,753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259,361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5,124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254,966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314,248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1,057,303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830,785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6,909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12,160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35,483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31,153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7"/>
        </w:trPr>
        <w:tc>
          <w:tcPr>
            <w:tcW w:w="324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65.5 %</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8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Percent</w:t>
            </w: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2"/>
        </w:trPr>
        <w:tc>
          <w:tcPr>
            <w:tcW w:w="32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Las Vegas Operations Supplemental</w:t>
            </w:r>
          </w:p>
        </w:tc>
        <w:tc>
          <w:tcPr>
            <w:tcW w:w="2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121,187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75,472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426,440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236,826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7"/>
        </w:trPr>
        <w:tc>
          <w:tcPr>
            <w:tcW w:w="3260" w:type="dxa"/>
            <w:vAlign w:val="bottom"/>
          </w:tcPr>
          <w:p>
            <w:pPr>
              <w:ind w:left="340"/>
              <w:spacing w:after="0"/>
              <w:rPr>
                <w:sz w:val="20"/>
                <w:szCs w:val="20"/>
                <w:color w:val="auto"/>
              </w:rPr>
            </w:pPr>
            <w:r>
              <w:rPr>
                <w:rFonts w:ascii="Arial" w:cs="Arial" w:eastAsia="Arial" w:hAnsi="Arial"/>
                <w:sz w:val="16"/>
                <w:szCs w:val="16"/>
                <w:color w:val="auto"/>
              </w:rPr>
              <w:t>Rooms</w:t>
            </w:r>
          </w:p>
        </w:tc>
        <w:tc>
          <w:tcPr>
            <w:tcW w:w="2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159,527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38,654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425,777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202,073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156,197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39,312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489,587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216,426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56,985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19,102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161,877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92,622</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493,896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172,540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1,503,681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747,947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186,159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21,027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530,878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(56,356)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8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584,060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296,565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1,842,792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1,127,309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121,256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72,295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407,195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238,490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5,879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5,323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3,873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1,316,154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802,294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4,379,421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2,452,811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87,866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46,923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297,548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159,387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07"/>
        </w:trPr>
        <w:tc>
          <w:tcPr>
            <w:tcW w:w="326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 On May 3, 2021, all industry restrictions were lifted and capacity limits increased to 100%.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7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8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Percent</w:t>
            </w: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4"/>
        </w:trPr>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9"/>
        </w:trPr>
        <w:tc>
          <w:tcPr>
            <w:tcW w:w="326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6"/>
                <w:szCs w:val="16"/>
                <w:b w:val="1"/>
                <w:bCs w:val="1"/>
                <w:color w:val="auto"/>
              </w:rPr>
              <w:t>Encore Boston Harbor Supplemental</w:t>
            </w:r>
          </w:p>
        </w:tc>
        <w:tc>
          <w:tcPr>
            <w:tcW w:w="3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Information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153,739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89,012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552,064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287,525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07"/>
        </w:trPr>
        <w:tc>
          <w:tcPr>
            <w:tcW w:w="326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18,317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47,280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20,679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7,179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63,919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07"/>
        </w:trPr>
        <w:tc>
          <w:tcPr>
            <w:tcW w:w="3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9,716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4,708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28,260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16,596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203,978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103,884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691,523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361,666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91.2</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68,224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16,667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210,068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(23,762)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377,131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204,445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1,267,908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697,873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83,858</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42,697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273,174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147,512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5,033</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3,959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3,256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1,869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1,172,909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722,408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4,377,181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2,303,582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95,630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57,301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358,827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180,207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326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Note: Encore Boston Harbor ceased all operations and closed to the public on March 15, 2020. On July 10, 2020, Encore Boston Harbor reopened with certain COVID-19 specific protective measures in place, such as limiting the number of seats per table game and slot machine spacing, which were subsequently lifted in May 2021. In addition, hotel reservations were closed or limited for varying spans of time beginning with the March 2020 closure until September 1, 2021, when Encore Boston Harbor reopened its hotel tower to seven days per week. Accordingly, Encore Boston Harbor's room statistics have been computed based on 250 days of operations for the year ended December 31, 2021, and 20 days and 141 days of operations for the three months and year ended December 31, 2020, respectively.</w:t>
      </w:r>
    </w:p>
    <w:p>
      <w:pPr>
        <w:spacing w:after="0" w:line="197" w:lineRule="exact"/>
        <w:rPr>
          <w:sz w:val="20"/>
          <w:szCs w:val="20"/>
          <w:color w:val="auto"/>
        </w:rPr>
      </w:pPr>
    </w:p>
    <w:p>
      <w:pPr>
        <w:ind w:left="240" w:right="20" w:hanging="235"/>
        <w:spacing w:after="0" w:line="244" w:lineRule="auto"/>
        <w:tabs>
          <w:tab w:leader="none" w:pos="201"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53" w:lineRule="auto"/>
        <w:tabs>
          <w:tab w:leader="none" w:pos="20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8" w:lineRule="exact"/>
        <w:rPr>
          <w:rFonts w:ascii="Arial" w:cs="Arial" w:eastAsia="Arial" w:hAnsi="Arial"/>
          <w:sz w:val="13"/>
          <w:szCs w:val="13"/>
          <w:color w:val="auto"/>
        </w:rPr>
      </w:pPr>
    </w:p>
    <w:p>
      <w:pPr>
        <w:ind w:left="200" w:hanging="195"/>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year ended December 31, 2020, reflects the impact of rent concessions provided to tenants.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33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sectPr>
      <w:pgSz w:w="11900" w:h="16838" w:orient="portrait"/>
      <w:cols w:equalWidth="0" w:num="1">
        <w:col w:w="10139"/>
      </w:cols>
      <w:pgMar w:left="320" w:top="10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2022-02-15T15:25:33Z</dcterms:created>
  <dcterms:modified xsi:type="dcterms:W3CDTF">2022-02-15T15:25:33Z</dcterms:modified>
</cp:coreProperties>
</file>