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4080" w:val="left"/>
          <w:tab w:leader="none" w:pos="6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960" w:type="dxa"/>
            <w:vAlign w:val="bottom"/>
            <w:gridSpan w:val="13"/>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740" w:type="dxa"/>
            <w:vAlign w:val="bottom"/>
          </w:tcPr>
          <w:p>
            <w:pPr>
              <w:spacing w:after="0"/>
              <w:rPr>
                <w:sz w:val="19"/>
                <w:szCs w:val="19"/>
                <w:color w:val="auto"/>
              </w:rPr>
            </w:pPr>
          </w:p>
        </w:tc>
      </w:tr>
      <w:tr>
        <w:trPr>
          <w:trHeight w:val="324"/>
        </w:trPr>
        <w:tc>
          <w:tcPr>
            <w:tcW w:w="112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94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74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2011 and December 31, 2010</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gridSpan w:val="1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 Three and six months ended June 30, 2011 and 2010</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Six months ended June 30, 2011 and 2010</w:t>
              </w:r>
            </w:hyperlink>
          </w:p>
        </w:tc>
        <w:tc>
          <w:tcPr>
            <w:tcW w:w="6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0580" w:type="dxa"/>
            <w:vAlign w:val="bottom"/>
            <w:gridSpan w:val="15"/>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1">
              <w:r>
                <w:rPr>
                  <w:rFonts w:ascii="Arial" w:cs="Arial" w:eastAsia="Arial" w:hAnsi="Arial"/>
                  <w:sz w:val="18"/>
                  <w:szCs w:val="18"/>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740" w:type="dxa"/>
            <w:vAlign w:val="bottom"/>
            <w:tcBorders>
              <w:right w:val="single" w:sz="8" w:color="0000EE"/>
            </w:tcBorders>
            <w:gridSpan w:val="3"/>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0580" w:type="dxa"/>
            <w:vAlign w:val="bottom"/>
            <w:gridSpan w:val="15"/>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9">
              <w:r>
                <w:rPr>
                  <w:rFonts w:ascii="Arial" w:cs="Arial" w:eastAsia="Arial" w:hAnsi="Arial"/>
                  <w:sz w:val="18"/>
                  <w:szCs w:val="18"/>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12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1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3"/>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gridSpan w:val="13"/>
          </w:tcPr>
          <w:p>
            <w:pPr>
              <w:ind w:left="120"/>
              <w:spacing w:after="0"/>
              <w:rPr>
                <w:sz w:val="20"/>
                <w:szCs w:val="20"/>
                <w:color w:val="auto"/>
              </w:rPr>
            </w:pPr>
            <w:r>
              <w:rPr>
                <w:rFonts w:ascii="Arial" w:cs="Arial" w:eastAsia="Arial" w:hAnsi="Arial"/>
                <w:sz w:val="18"/>
                <w:szCs w:val="18"/>
                <w:b w:val="1"/>
                <w:bCs w:val="1"/>
                <w:color w:val="auto"/>
              </w:rPr>
              <w:t>Other Information</w:t>
            </w:r>
          </w:p>
        </w:tc>
        <w:tc>
          <w:tcPr>
            <w:tcW w:w="740" w:type="dxa"/>
            <w:vAlign w:val="bottom"/>
          </w:tcPr>
          <w:p>
            <w:pPr>
              <w:spacing w:after="0"/>
              <w:rPr>
                <w:sz w:val="24"/>
                <w:szCs w:val="24"/>
                <w:color w:val="auto"/>
              </w:rPr>
            </w:pPr>
          </w:p>
        </w:tc>
      </w:tr>
      <w:tr>
        <w:trPr>
          <w:trHeight w:val="286"/>
        </w:trPr>
        <w:tc>
          <w:tcPr>
            <w:tcW w:w="10580" w:type="dxa"/>
            <w:vAlign w:val="bottom"/>
            <w:gridSpan w:val="15"/>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31">
              <w:r>
                <w:rPr>
                  <w:rFonts w:ascii="Arial" w:cs="Arial" w:eastAsia="Arial" w:hAnsi="Arial"/>
                  <w:sz w:val="18"/>
                  <w:szCs w:val="18"/>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12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Unregistered Sales of Equity Securities and Use of Proceeds</w:t>
              </w:r>
            </w:hyperlink>
          </w:p>
        </w:tc>
        <w:tc>
          <w:tcPr>
            <w:tcW w:w="518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12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940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80" w:type="dxa"/>
            <w:vAlign w:val="bottom"/>
            <w:gridSpan w:val="4"/>
          </w:tcPr>
          <w:p>
            <w:pPr>
              <w:ind w:left="440"/>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Signature</w:t>
              </w:r>
            </w:hyperlink>
          </w:p>
        </w:tc>
        <w:tc>
          <w:tcPr>
            <w:tcW w:w="580" w:type="dxa"/>
            <w:vAlign w:val="bottom"/>
            <w:tcBorders>
              <w:top w:val="single" w:sz="8" w:color="0000EE"/>
            </w:tcBorders>
          </w:tcPr>
          <w:p>
            <w:pPr>
              <w:spacing w:after="0"/>
              <w:rPr>
                <w:sz w:val="24"/>
                <w:szCs w:val="24"/>
                <w:color w:val="auto"/>
              </w:rPr>
            </w:pPr>
          </w:p>
        </w:tc>
        <w:tc>
          <w:tcPr>
            <w:tcW w:w="88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4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360" w:type="dxa"/>
            <w:vAlign w:val="bottom"/>
            <w:gridSpan w:val="7"/>
          </w:tcPr>
          <w:p>
            <w:pPr>
              <w:jc w:val="right"/>
              <w:ind w:right="72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ind w:left="4120"/>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120,662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3,631,774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3,731,211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4,071,147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248,264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2,600,358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2,969,304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3,010,014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1,977,848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(876,005)</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1,101,843</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4,071,147</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9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158,270</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$ 117,190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352,515</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$ 256,700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91,055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179,011</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125,994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111,477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232,134</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207,420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58,689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114,086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434,008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361,409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877,746</w:t>
            </w: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726,084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(42,994)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(91,695)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391,014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318,321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786,051</w:t>
            </w:r>
          </w:p>
        </w:tc>
        <w:tc>
          <w:tcPr>
            <w:tcW w:w="2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636,928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69,712</w:t>
            </w:r>
          </w:p>
        </w:tc>
        <w:tc>
          <w:tcPr>
            <w:tcW w:w="660" w:type="dxa"/>
            <w:vAlign w:val="bottom"/>
          </w:tcPr>
          <w:p>
            <w:pPr>
              <w:jc w:val="right"/>
              <w:spacing w:after="0"/>
              <w:rPr>
                <w:sz w:val="20"/>
                <w:szCs w:val="20"/>
                <w:color w:val="auto"/>
              </w:rPr>
            </w:pPr>
            <w:r>
              <w:rPr>
                <w:rFonts w:ascii="Arial" w:cs="Arial" w:eastAsia="Arial" w:hAnsi="Arial"/>
                <w:sz w:val="18"/>
                <w:szCs w:val="18"/>
                <w:color w:val="auto"/>
              </w:rPr>
              <w:t>68,585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154,184</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61,023</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70,399</w:t>
            </w:r>
          </w:p>
        </w:tc>
        <w:tc>
          <w:tcPr>
            <w:tcW w:w="660" w:type="dxa"/>
            <w:vAlign w:val="bottom"/>
          </w:tcPr>
          <w:p>
            <w:pPr>
              <w:jc w:val="right"/>
              <w:spacing w:after="0"/>
              <w:rPr>
                <w:sz w:val="20"/>
                <w:szCs w:val="20"/>
                <w:color w:val="auto"/>
              </w:rPr>
            </w:pPr>
            <w:r>
              <w:rPr>
                <w:rFonts w:ascii="Arial" w:cs="Arial" w:eastAsia="Arial" w:hAnsi="Arial"/>
                <w:sz w:val="18"/>
                <w:szCs w:val="18"/>
                <w:color w:val="auto"/>
              </w:rPr>
              <w:t>68,384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131,507</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126,370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55,714</w:t>
            </w:r>
          </w:p>
        </w:tc>
        <w:tc>
          <w:tcPr>
            <w:tcW w:w="660" w:type="dxa"/>
            <w:vAlign w:val="bottom"/>
          </w:tcPr>
          <w:p>
            <w:pPr>
              <w:jc w:val="right"/>
              <w:spacing w:after="0"/>
              <w:rPr>
                <w:sz w:val="20"/>
                <w:szCs w:val="20"/>
                <w:color w:val="auto"/>
              </w:rPr>
            </w:pPr>
            <w:r>
              <w:rPr>
                <w:rFonts w:ascii="Arial" w:cs="Arial" w:eastAsia="Arial" w:hAnsi="Arial"/>
                <w:sz w:val="18"/>
                <w:szCs w:val="18"/>
                <w:color w:val="auto"/>
              </w:rPr>
              <w:t>57,074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110,008</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5,867</w:t>
            </w:r>
          </w:p>
        </w:tc>
        <w:tc>
          <w:tcPr>
            <w:tcW w:w="660" w:type="dxa"/>
            <w:vAlign w:val="bottom"/>
          </w:tcPr>
          <w:p>
            <w:pPr>
              <w:jc w:val="right"/>
              <w:spacing w:after="0"/>
              <w:rPr>
                <w:sz w:val="20"/>
                <w:szCs w:val="20"/>
                <w:color w:val="auto"/>
              </w:rPr>
            </w:pPr>
            <w:r>
              <w:rPr>
                <w:rFonts w:ascii="Arial" w:cs="Arial" w:eastAsia="Arial" w:hAnsi="Arial"/>
                <w:sz w:val="18"/>
                <w:szCs w:val="18"/>
                <w:color w:val="auto"/>
              </w:rPr>
              <w:t>4,787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11,795</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66,253</w:t>
            </w:r>
          </w:p>
        </w:tc>
        <w:tc>
          <w:tcPr>
            <w:tcW w:w="660" w:type="dxa"/>
            <w:vAlign w:val="bottom"/>
          </w:tcPr>
          <w:p>
            <w:pPr>
              <w:jc w:val="right"/>
              <w:spacing w:after="0"/>
              <w:rPr>
                <w:sz w:val="20"/>
                <w:szCs w:val="20"/>
                <w:color w:val="auto"/>
              </w:rPr>
            </w:pPr>
            <w:r>
              <w:rPr>
                <w:rFonts w:ascii="Arial" w:cs="Arial" w:eastAsia="Arial" w:hAnsi="Arial"/>
                <w:sz w:val="18"/>
                <w:szCs w:val="18"/>
                <w:color w:val="auto"/>
              </w:rPr>
              <w:t>67,583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132,049</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342,405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335,543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688,268</w:t>
            </w: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688,635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48,609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97,783</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(51,707)</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(50,317)</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(46,208)</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(100,627)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(50,126)</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(51,525)</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(98,866)</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(98,732)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(1,517)</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 (68,747)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(1,083)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(150,439)</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w w:val="86"/>
              </w:rPr>
              <w:t>132,049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146,509</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w:t>
            </w: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6,592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8,524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(4,372)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w:t>
            </w: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(13,882)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(29,791)</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(5,592)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r>
      <w:tr>
        <w:trPr>
          <w:trHeight w:val="230"/>
        </w:trPr>
        <w:tc>
          <w:tcPr>
            <w:tcW w:w="20" w:type="dxa"/>
            <w:vAlign w:val="bottom"/>
          </w:tcPr>
          <w:p>
            <w:pPr>
              <w:spacing w:after="0"/>
              <w:rPr>
                <w:sz w:val="20"/>
                <w:szCs w:val="20"/>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137,623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(34,758)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(84,053)</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(30,875)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(77,357)</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(20,755)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(20,700)</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58,947</w:t>
            </w: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Payment of financing costs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(3,989)</w:t>
            </w: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2"/>
              </w:rPr>
              <w:t>(20,813)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85,935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(16,036)</w:t>
            </w:r>
          </w:p>
        </w:tc>
      </w:tr>
      <w:tr>
        <w:trPr>
          <w:trHeight w:val="223"/>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6"/>
              </w:rPr>
              <w:t>138,475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2010.</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2011 and December 31, 2010, approximately 63%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2011</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$10,028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$18,526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13,262</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13,819</w:t>
            </w:r>
          </w:p>
        </w:tc>
        <w:tc>
          <w:tcPr>
            <w:tcW w:w="580" w:type="dxa"/>
            <w:vAlign w:val="bottom"/>
          </w:tcPr>
          <w:p>
            <w:pPr>
              <w:jc w:val="right"/>
              <w:spacing w:after="0"/>
              <w:rPr>
                <w:sz w:val="20"/>
                <w:szCs w:val="20"/>
                <w:color w:val="auto"/>
              </w:rPr>
            </w:pPr>
            <w:r>
              <w:rPr>
                <w:rFonts w:ascii="Arial" w:cs="Arial" w:eastAsia="Arial" w:hAnsi="Arial"/>
                <w:sz w:val="18"/>
                <w:szCs w:val="18"/>
                <w:color w:val="auto"/>
              </w:rPr>
              <w:t>29,079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29,510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25,349</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28,897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55,144</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60,312</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For the three months ended June 30, 2011 and 2010, gaming taxes totaled approximately $11.3 million and $8.1 million, respectively. For the six months ended June 30, 2011 and 2010, gaming taxes totaled approximately $25.1 million and $17.8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are included in general and administrative expenses. For the three months ended June 30, 2011 and 2010, advertising costs totaled approximately $3.3 million and $2.8 million, respectively. For the six months ended June 30, 2011 and 2010, advertising costs totaled approximately $6.2 million and $6.3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2011 and 2010, the Company recorded $4.4 million and $6 million, respectively, in share based compensation with a corresponding credit to contributed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Interest paid for the six months ended June 30, 2011 and 2010 totaled approximately $99.8 million and $84.4 million, respectively. Interest capitalized for the six months ended June 30, 2010 totaled approximately $0.6 million. There was no interest capitalized during the six months ended June 30, 2011.</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2011 and 2010, capital expenditures include a decrease of approximately $6.7 million and $13.9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$158,176</w:t>
            </w: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Hotel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19,182</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14,445</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191,803</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(71,141)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120,662</w:t>
            </w:r>
          </w:p>
        </w:tc>
        <w:tc>
          <w:tcPr>
            <w:tcW w:w="5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124,814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4832"/>
              <w:spacing w:after="0"/>
              <w:rPr>
                <w:sz w:val="20"/>
                <w:szCs w:val="20"/>
                <w:color w:val="auto"/>
              </w:rPr>
            </w:pPr>
            <w:r>
              <w:rPr>
                <w:rFonts w:ascii="Arial" w:cs="Arial" w:eastAsia="Arial" w:hAnsi="Arial"/>
                <w:sz w:val="18"/>
                <w:szCs w:val="18"/>
                <w:b w:val="1"/>
                <w:bCs w:val="1"/>
                <w:color w:val="auto"/>
                <w:w w:val="88"/>
              </w:rPr>
              <w:t>5. Property and Equipment, net</w:t>
            </w: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719,766</w:t>
            </w: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719,753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2,611,486</w:t>
            </w:r>
          </w:p>
        </w:tc>
        <w:tc>
          <w:tcPr>
            <w:tcW w:w="5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2,591,246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1,351,005</w:t>
            </w:r>
          </w:p>
        </w:tc>
        <w:tc>
          <w:tcPr>
            <w:tcW w:w="5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1,347,601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5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4,728,801</w:t>
            </w:r>
          </w:p>
        </w:tc>
        <w:tc>
          <w:tcPr>
            <w:tcW w:w="5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4,722,230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86"/>
              </w:rPr>
              <w:t>(1,097,027)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(991,019)</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3,631,774</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$ 3,731,211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452"/>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89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188"/>
        </w:trPr>
        <w:tc>
          <w:tcPr>
            <w:tcW w:w="89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0"/>
              </w:rPr>
              <w:t xml:space="preserve">7 </w:t>
            </w:r>
            <w:r>
              <w:rPr>
                <w:rFonts w:ascii="Arial" w:cs="Arial" w:eastAsia="Arial" w:hAnsi="Arial"/>
                <w:sz w:val="11"/>
                <w:szCs w:val="11"/>
                <w:color w:val="auto"/>
                <w:w w:val="90"/>
              </w:rPr>
              <w:t>7</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First Mortgage Notes, due November 1, 2017, net of original issue discount of $9,140 at June 30, 2011 and $9,678 at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490,860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120" w:type="dxa"/>
            <w:vAlign w:val="bottom"/>
            <w:shd w:val="clear" w:color="auto" w:fill="CCEEFF"/>
          </w:tcPr>
          <w:p>
            <w:pPr>
              <w:spacing w:after="0"/>
              <w:rPr>
                <w:sz w:val="19"/>
                <w:szCs w:val="19"/>
                <w:color w:val="auto"/>
              </w:rPr>
            </w:pPr>
          </w:p>
        </w:tc>
      </w:tr>
      <w:tr>
        <w:trPr>
          <w:trHeight w:val="208"/>
        </w:trPr>
        <w:tc>
          <w:tcPr>
            <w:tcW w:w="8980" w:type="dxa"/>
            <w:vAlign w:val="bottom"/>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First Mortgage Notes, due May 1, 2020, net of original issue discount of $2,398 at June 30, 2011 and $2,489 at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120" w:type="dxa"/>
            <w:vAlign w:val="bottom"/>
          </w:tcPr>
          <w:p>
            <w:pPr>
              <w:spacing w:after="0"/>
              <w:rPr>
                <w:sz w:val="19"/>
                <w:szCs w:val="19"/>
                <w:color w:val="auto"/>
              </w:rPr>
            </w:pPr>
          </w:p>
        </w:tc>
      </w:tr>
      <w:tr>
        <w:trPr>
          <w:trHeight w:val="218"/>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August 15, 2020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r>
      <w:tr>
        <w:trPr>
          <w:trHeight w:val="221"/>
        </w:trPr>
        <w:tc>
          <w:tcPr>
            <w:tcW w:w="8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2,601,408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2,621,534</w:t>
            </w:r>
          </w:p>
        </w:tc>
        <w:tc>
          <w:tcPr>
            <w:tcW w:w="120" w:type="dxa"/>
            <w:vAlign w:val="bottom"/>
          </w:tcPr>
          <w:p>
            <w:pPr>
              <w:spacing w:after="0"/>
              <w:rPr>
                <w:sz w:val="19"/>
                <w:szCs w:val="19"/>
                <w:color w:val="auto"/>
              </w:rPr>
            </w:pPr>
          </w:p>
        </w:tc>
      </w:tr>
      <w:tr>
        <w:trPr>
          <w:trHeight w:val="218"/>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r>
      <w:tr>
        <w:trPr>
          <w:trHeight w:val="222"/>
        </w:trPr>
        <w:tc>
          <w:tcPr>
            <w:tcW w:w="8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2,600,358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2,620,484</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Revolving Credit Facilities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2011, no amounts were outstanding under the Wynn Las Vegas Revolving Credit Facilities. The Company had $19.5 million of outstanding letters of credit that reduce its availability under the Wynn Las Vegas Revolving Credit Facilities. Accordingly, the Company has availability of $347.5 million under the Wynn Las Vegas Revolving Credit Facilities as of June 30,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2011,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$2.2 billion at both June 30, 2011 and December 31, 2010. The estimated fair value of the Company’s outstanding first mortgage notes, based on quoted market prices, was approximately $2.4 billion and $2.3 billion at June 30, 2011 and December 31, 2010, respectively. The net book value of the Company’s other debt instruments was approximately $410.9 million and $432 million at June 30, 2011 and December 31, 2010, respectively. The estimated fair value of the Company’s other debt instruments was approximately $408.8 million and $426.5 million at June 30, 2011 and December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June 30, 2011 and December 31, 2010, the fair value of this interest rate swap was a liability of $7.1 million and $8.5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June 30, 2011, the Company’s current Due to affiliates was primarily comprised of construction payables of approximately $4.8 million, construction retention of approximately $2.1 million and other net amounts due to affiliates totaling $2.9 million (including corporate allocations discussed below). The long-term Due to affiliates is management fees of approximately $113.6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2010, the Company’s current Due to affiliates was primarily comprised of construction payables of approximately $10.3 million, construction retention of approximately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June 30, 2011 and 2010, approximately $8 million and $5.2 million, respectively, were charged to the Company for such corporate allocations. For the six months ended June 30, 2011 and 2010, approximately $14.4 million and $12 million, respectively, were charged to the Company for such corporate allocations.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and was terminated on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Property charges generally include costs related to the retirement of assets for remodels and asset abandonments. Property charges and other for the three and six months ended June 30, 2011 were $2.6 million and $4.6 million, respectively and $0.5 million and $1.7 million for the three and six months ended June 30, 2010, respectively. The property charges for these periods related to miscellaneous renovations and abandonments at Wynn Las Vegas and Encore.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540" w:firstLine="8"/>
        <w:spacing w:after="0" w:line="347" w:lineRule="auto"/>
        <w:tabs>
          <w:tab w:leader="none" w:pos="2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June 30, 2011.</w:t>
      </w:r>
    </w:p>
    <w:p>
      <w:pPr>
        <w:spacing w:after="0" w:line="246" w:lineRule="exact"/>
        <w:rPr>
          <w:rFonts w:ascii="Arial" w:cs="Arial" w:eastAsia="Arial" w:hAnsi="Arial"/>
          <w:sz w:val="18"/>
          <w:szCs w:val="18"/>
          <w:b w:val="1"/>
          <w:bCs w:val="1"/>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Consolidating Financial Information of Guarantors and Issuers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2011 and December 31, 2010, and for the three and six months ended June 30, 2011 and 2010.</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2011</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Subsidiary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ind w:left="22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138,470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120,662</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54,861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334,959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3,439,683</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192,091</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3,631,774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44,340</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43,447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(21,255)</w:t>
            </w: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21,255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3,846,799</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202,168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4,071,147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28,227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51,302</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53,934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13,339</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20,428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68,854</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(177,168)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193,945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58,916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196,309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920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248,264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2,565,358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2,600,358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113,593</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2,744,956</w:t>
            </w:r>
          </w:p>
        </w:tc>
        <w:tc>
          <w:tcPr>
            <w:tcW w:w="1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231,309</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920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2,969,304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1,977,848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(876,005)</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(41,671)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33,785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(876,005)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1,101,843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(29,141)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1,101,843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3,846,799</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202,168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22,175</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4,071,147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433"/>
              <w:spacing w:after="0"/>
              <w:rPr>
                <w:sz w:val="20"/>
                <w:szCs w:val="20"/>
                <w:color w:val="auto"/>
              </w:rPr>
            </w:pPr>
            <w:r>
              <w:rPr>
                <w:rFonts w:ascii="Arial" w:cs="Arial" w:eastAsia="Arial" w:hAnsi="Arial"/>
                <w:sz w:val="18"/>
                <w:szCs w:val="18"/>
                <w:color w:val="auto"/>
                <w:w w:val="89"/>
              </w:rPr>
              <w:t>13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Subsidiary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ind w:left="22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52,535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124,814</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64,520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262,647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3,537,264</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193,947</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3,731,211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6,660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47,300</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47,437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(19,685)</w:t>
            </w: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3,881,623</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204,573</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54,083</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38,219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17,361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93,355</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(160,735)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194,277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88,083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196,444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279,276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2,584,784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2,620,484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101,797</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2,783,121</w:t>
            </w:r>
          </w:p>
        </w:tc>
        <w:tc>
          <w:tcPr>
            <w:tcW w:w="1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232,144</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1,973,424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(874,922)</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(40,101)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(27,571)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1,098,502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3,881,623</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204,573</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22,315</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4,108,516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433"/>
              <w:spacing w:after="0"/>
              <w:rPr>
                <w:sz w:val="20"/>
                <w:szCs w:val="20"/>
                <w:color w:val="auto"/>
              </w:rPr>
            </w:pPr>
            <w:r>
              <w:rPr>
                <w:rFonts w:ascii="Arial" w:cs="Arial" w:eastAsia="Arial" w:hAnsi="Arial"/>
                <w:sz w:val="18"/>
                <w:szCs w:val="18"/>
                <w:color w:val="auto"/>
                <w:w w:val="89"/>
              </w:rPr>
              <w:t>14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5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Casino</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158,270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91,055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125,994</w:t>
            </w:r>
          </w:p>
        </w:tc>
        <w:tc>
          <w:tcPr>
            <w:tcW w:w="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434,106</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434,008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(42,994)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391,112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Casino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69,712</w:t>
            </w:r>
          </w:p>
        </w:tc>
        <w:tc>
          <w:tcPr>
            <w:tcW w:w="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70,399</w:t>
            </w:r>
          </w:p>
        </w:tc>
        <w:tc>
          <w:tcPr>
            <w:tcW w:w="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56,008</w:t>
            </w:r>
          </w:p>
        </w:tc>
        <w:tc>
          <w:tcPr>
            <w:tcW w:w="2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5,867</w:t>
            </w:r>
          </w:p>
        </w:tc>
        <w:tc>
          <w:tcPr>
            <w:tcW w:w="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65,325</w:t>
            </w:r>
          </w:p>
        </w:tc>
        <w:tc>
          <w:tcPr>
            <w:tcW w:w="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341,771</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342,405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48,609</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(50,166)</w:t>
            </w:r>
          </w:p>
        </w:tc>
        <w:tc>
          <w:tcPr>
            <w:tcW w:w="2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Gain/(loss) on extinguishment of debt/exchange offer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(50,858)</w:t>
            </w:r>
          </w:p>
        </w:tc>
        <w:tc>
          <w:tcPr>
            <w:tcW w:w="24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(50,126)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785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40" w:type="dxa"/>
            <w:vAlign w:val="bottom"/>
            <w:gridSpan w:val="3"/>
          </w:tcPr>
          <w:p>
            <w:pPr>
              <w:jc w:val="right"/>
              <w:ind w:right="353"/>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5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Casino</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$ 117,190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78,836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111,477</w:t>
            </w:r>
          </w:p>
        </w:tc>
        <w:tc>
          <w:tcPr>
            <w:tcW w:w="2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361,427</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361,409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(43,088)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318,339</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Casino</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68,585</w:t>
            </w:r>
          </w:p>
        </w:tc>
        <w:tc>
          <w:tcPr>
            <w:tcW w:w="2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30,847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68,384</w:t>
            </w:r>
          </w:p>
        </w:tc>
        <w:tc>
          <w:tcPr>
            <w:tcW w:w="2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33,564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57,475</w:t>
            </w:r>
          </w:p>
        </w:tc>
        <w:tc>
          <w:tcPr>
            <w:tcW w:w="2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4,787</w:t>
            </w:r>
          </w:p>
        </w:tc>
        <w:tc>
          <w:tcPr>
            <w:tcW w:w="2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66,561</w:t>
            </w:r>
          </w:p>
        </w:tc>
        <w:tc>
          <w:tcPr>
            <w:tcW w:w="2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334,917</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335,543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(46,053)</w:t>
            </w:r>
          </w:p>
        </w:tc>
        <w:tc>
          <w:tcPr>
            <w:tcW w:w="2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(2,277)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(52,169)</w:t>
            </w:r>
          </w:p>
        </w:tc>
        <w:tc>
          <w:tcPr>
            <w:tcW w:w="2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776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(51,525)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(68,747)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40" w:type="dxa"/>
            <w:vAlign w:val="bottom"/>
            <w:gridSpan w:val="2"/>
          </w:tcPr>
          <w:p>
            <w:pPr>
              <w:jc w:val="right"/>
              <w:ind w:right="354"/>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352,515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179,011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232,134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114,340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878,000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877,746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(91,695)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786,305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154,184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131,507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110,594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130,193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686,998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1,524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688,268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99,307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97,783</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(100,327)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(100,390)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$ 256,700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$ 256,700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156,394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207,420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726,121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726,084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636,965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636,928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145,412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61,408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126,370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69,451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117,744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9,561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144,340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687,273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688,635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(51,707)</w:t>
            </w:r>
          </w:p>
        </w:tc>
        <w:tc>
          <w:tcPr>
            <w:tcW w:w="0" w:type="dxa"/>
            <w:vAlign w:val="bottom"/>
          </w:tcPr>
          <w:p>
            <w:pPr>
              <w:spacing w:after="0"/>
              <w:rPr>
                <w:sz w:val="1"/>
                <w:szCs w:val="1"/>
                <w:color w:val="auto"/>
              </w:rPr>
            </w:pPr>
          </w:p>
        </w:tc>
      </w:t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(90,969)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(3,152)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(100,131)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(150,439)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80" w:type="dxa"/>
            <w:vAlign w:val="bottom"/>
            <w:gridSpan w:val="2"/>
          </w:tcPr>
          <w:p>
            <w:pPr>
              <w:jc w:val="right"/>
              <w:ind w:right="154"/>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4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(1,570)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1,570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(loss) to net cash provided by (used 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130,193</w:t>
            </w:r>
          </w:p>
        </w:tc>
        <w:tc>
          <w:tcPr>
            <w:tcW w:w="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6,592</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1,570</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8,524</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(4,372)</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9,081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(14,079)</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138,048</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(34,758)</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4,307</w:t>
            </w:r>
          </w:p>
        </w:tc>
        <w:tc>
          <w:tcPr>
            <w:tcW w:w="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(32,000)</w:t>
            </w:r>
          </w:p>
        </w:tc>
        <w:tc>
          <w:tcPr>
            <w:tcW w:w="16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1,125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(20,055)</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(20,113)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85,935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52,535</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138,470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4"/>
              </w:rPr>
              <w:t>guarantor</w:t>
            </w:r>
          </w:p>
        </w:tc>
        <w:tc>
          <w:tcPr>
            <w:tcW w:w="4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Issuers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(150,439)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(1,626)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(loss) to net cash provided by (used in)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144,340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8,374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9,282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(83,978)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(80,204)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50,312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24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 We believe Wynn Las Vegas is the preeminent destination casino resort on the Strip in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101,000 square feet of high-end, brand-name retail shopping, including stores and boutiques by Alexander McQueen, Brioni, Cartier, Chanel, Dior, Graff, Hermes,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response to our evaluation of our property and the reactions of our guests, we have and expect to continue to remodel and make enhancements and refinements to our resort complex. In January 2011, we completed a refurbishment and upgrade to the resort rooms at Wynn Las Vegas. A remodel of the suites was completed in early May 2011. These remodels were completed at a cost of $61 million, substantially less than the project budget of $83 million.</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I Encore. We currently rely solely upon the operations of this resort complex for our operating cash flow. Concentration of our cash flow in one resort complex exposes us to certain risks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competitors, whose operations are more diversified, may be better able to control. In addition to the concentration of operations in a single resort complex, many of our customers are high-end gaming customers who wager on credit, thus exposing us to credit risk. High-end gaming also increases the potential for variability in our results.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and six months ended June 30, 2011, we benefited from a higher than normal table games win percentage, improved ADR, and an overall increase in all other revenue streams including entertainment, food and beverage. While we experienced a decrease in occupancy rate over the prior year, we were able to achieve an increase in average daily rate as we adjusted rates to attract a higher quality customer who would take advantage of all aspects of our resort. While we benefited from higher win percentages on our table games and higher non-casino revenues during the quarter, the economic environment in the Las Vegas market remains uncertain.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recorded a net loss for the three months ended June 30, 2011 of $1.5 million compared to a net loss of $68.7 million recorded for the three months ended June 30, 2010. For the six months ended June 30, 2011, we recorded a net loss of $1.1 million compared to a net loss of $150.4 million for the six months ended June 30, 2010. This improvement was primarily a result of increased departmental profits, especially in the casino department and the hotel department. See below for a more detailed discussion regarding our results.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2011 compared to the three months ended June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Net revenues for the three months ended June 30, 2011 are comprised of $158.3 million in casino revenues (40.5% of total net revenues) and $232.7 million of net non-casino revenues (59.5% of total net revenues). Net revenues for the three months ended June 30, 2010 were comprised of $117.2 million in casino revenues (36.8% of total net revenues) and $201.1 million of net non-casino revenues (63.2% of total net revenues).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$41.1 million (35%) to $158.3 million for the three months ended June 30, 2011, compared to $117.2 million for the three months ended June 30, 2010. During the three months ended June 30, 2011, we experienced a 10% increase in drop and an increase in the average table games win percentage compared to the prior year quarter. Our average table games win percentage (before discounts) of 27.6% was above the expected range of 21% to 24% for the three months ended June 30, 2011. For the three months ended June 30, 2010, our average table games win percentage (before discounts) was 20%. Slot machine handle increased 2.1% during the three months ended June 30, 2011 as compared to 2010, however slot machine win decreased 1% compared to the prior year quarter as our hold percentage decreased.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the three months ended June 30, 2011, room revenues were approximately $91 million, which represents a $12.2 million (15.5%) increase over the $78.8 million generated in the three months ended June 30, 2010. While we experienced a decrease in occupancy over the prior year quarter, we were able to achieve an increase in Average Daily Rate (“ADR”) as we adjusted rates to attract a higher quality customer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89.2%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three months ended June 30, 2011, which included food and beverage revenues of approximately $126 million, retail revenues of approximately $22.9 million, entertainment revenues of approximately $19 million, and other revenues from outlets, including the spa and salon, of approximately $16.8 million improved over the prior year quarter. Other non-casino revenues for the three months ended June 30, 2010 included: food and beverage revenues of approximately $111.5 million, retail revenues of approximately $21.5 million, entertainment revenues of approximately $15.6 million, and other revenues from outlets such as the spa and salon, of approximately $16.8 million. Food and beverage revenues increased primarily due to the opening of the Encore Beach Club and Surrender Nightclub in May 2010 as well our hotel restaurants and catering. Entertainment revenues increased over the prior year quarter primarily due to increased revenue from the Garth Brooks show in the Encore Theater.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the three months ended June 30, 2011, departmental expenses included casino expenses of $69.7 million, room expense of $31.2 million, food and beverage expenses of $70.4 million, and entertainment, retail and other expenses of $36.9 million. Also included are general and administrative expenses of $55.7 million and $3.8 million charged as a provision for doubtful accounts receivable. For the three months ended June 30, 2010, departmental expenses included casino expense of $68.6 million, room expense of $30.9 million, food and beverage expense of $68.4 million, and entertainment, retail and other expense of $33.6 million. Also included are general and administrative expenses $57.1 million and $2.6 million charged as a provision for doubtful accounts receivable.</w:t>
      </w:r>
    </w:p>
    <w:p>
      <w:pPr>
        <w:spacing w:after="0" w:line="10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Room expenses were flat as the increase in revenue was due to increased average daily rates. Food and beverage expenses increased commensurate with the increase in revenues. Entertainment, retail and other expense increased primarily due to additional Garth Brooks performances compared to the three months ended June 30, 2010. General and administrative expenses decreased primarily as a result of lower property tax expense.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$5.9 million for the three months ended June 30, 2011, compared to $4.8 million for the three months ended June 30,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incurred no pre-opening costs for the three months ended June 30, 2011. For the three months ended June 30, 2010, we incurred $1.6 million of pre-opening costs. Pre-opening costs incurred during the three months ended June 30, 2010, were related the Encore Beach Club which opened in the second quarter of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three months ended June 30, 2011 was $66.3 million compared to $67.6 million for the three months ended June 30, 2010. This decrease is primarily due to assets with a 5-year life being fully depreciated as of April 2010 at Wynn Las Vegas, offset by depreciation of the assets of the Encore Beach Club which were placed in 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2011, were $2.6 million compared to $0.5 million for the three months ended June 30, 2010. Property charges and other for the three months ended June 30, 2011 and 2010, related to miscellaneous renovations and abandonments at Wynn Las Vegas and Encore.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was $50.3 million, net of capitalized interest of $0, for the three months ended June 30, 2011, compared to $46.2 million net of capitalized interest of $0.4 million for the three months ended June 30, 2010. Interest expense increased approximately $4.1 million primarily due to an increase in interest rates on our first mortgage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period. We recorded a gain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$27,000 for the three months ended June 30, 2011, resulting from the increase in the fair value of our interest rate swap from March 31, 2011 to June 30,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recorded an expense of $2.3 million for the three months ended June 30, 2010, resulting from the decrease in the fair value of our interest rate swap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2010 to June 30,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2011 compared to the six months ended June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revenues for the six months ended June 30, 2011 are comprised of $352.5 million in casino revenues (44.8% of total net revenues) and $433.5 million of net non-casino revenues (55.2% of total net revenues). Net revenues for the six months ended June 30, 2010 were comprised of $256.7 million in casino revenues (40.3% of total net revenues) and $380.2 million of net non-casino revenues (59.7% of total net revenues).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$95.8 million (or 37.3%) to $352.5 million for the six months ended June 30, 2011, compared to $256.7 million for the six months ended June 30, 2010. For the six months ended June 30, 2011, we experienced a 12.1% increase in drop and an increase in the average table games win percentage compared to the prior year. Our average table games win percentage (before discounts) of 29.1% was above the expected range of 21% to 24% for the six months ended June 30, 2011. For the six months ended June 30, 2010, our average table games win percentage (before discounts) was 21.7%. Slot machine handle increased 4.3% during the six months ended June 30, 2011 as compared to 2010 and slot machine win increased 8.2% compared to the prior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six months ended June 30, 2011, room revenues were $179 million, which represents a $22.6 million (or 14.4%) increase over the $156.4 million generated in the six months ended June 30, 2010. While we experienced a decrease in occupancy over the prior year, we were able to achieve an increase in Average Daily Rate (“ADR”) as we adjusted rates to attract a high quality customer who would take advantage of all aspects of our resort.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50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8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36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$ 240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Occupancy</w:t>
            </w:r>
          </w:p>
        </w:tc>
        <w:tc>
          <w:tcPr>
            <w:tcW w:w="4840" w:type="dxa"/>
            <w:vAlign w:val="bottom"/>
            <w:gridSpan w:val="3"/>
          </w:tcPr>
          <w:p>
            <w:pPr>
              <w:jc w:val="right"/>
              <w:ind w:right="57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91.0%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4040" w:type="dxa"/>
            <w:vAlign w:val="bottom"/>
            <w:gridSpan w:val="2"/>
            <w:shd w:val="clear" w:color="auto" w:fill="CCEEFF"/>
          </w:tcPr>
          <w:p>
            <w:pPr>
              <w:jc w:val="center"/>
              <w:ind w:left="3532"/>
              <w:spacing w:after="0"/>
              <w:rPr>
                <w:sz w:val="20"/>
                <w:szCs w:val="20"/>
                <w:color w:val="auto"/>
              </w:rPr>
            </w:pPr>
            <w:r>
              <w:rPr>
                <w:rFonts w:ascii="Arial" w:cs="Arial" w:eastAsia="Arial" w:hAnsi="Arial"/>
                <w:sz w:val="18"/>
                <w:szCs w:val="18"/>
                <w:color w:val="auto"/>
                <w:w w:val="93"/>
              </w:rPr>
              <w:t>$ 212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non-casino revenues for the six months ended June 30, 2011 include: food and beverage revenues of $232.1 million, retail revenues of $43 million, entertainment revenues of $39.7 million, and other revenues from outlets such as the spa and salon, of $31.4 million. Other non-gaming revenues for the six months ended June 30, 2010 included food and beverage revenues of $207.4 million, retail revenues of $40.4 million, entertainment revenues of $33.7 million, and other revenues from outlets, including the spa and salon, of $31.4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and the Sinatra “Dance with Me” show which ended its run on April 23,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For the six months ended June 30, 2011, departmental expenses included casino expenses of $154.2 million, room expenses of $61 million, food and beverage expenses of $131.5 million, and entertainment, retail and other expenses of $74.6 million. Also included are general and administrative expenses of approximately $110 million and approximately $8.5 million charged as a provision for doubtful accounts receivable. For the six months ended June 30, 2010, departmental expenses included casino expenses of $145.4 million, room expenses of $61.5 million, food and beverage expenses of $126.4 million, and entertainment, retail and other expenses of $69.5 million. Also included are general and administrative expenses of approximately $116.9 million and approximately $9.3 million charged as a provision for doubtful accounts receivable.</w:t>
      </w:r>
    </w:p>
    <w:p>
      <w:pPr>
        <w:spacing w:after="0" w:line="12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Room expenses were flat as the increase in revenue was due to increased average daily rates. Food and beverage expenses increased commensurate with the increase in revenues. Entertainment, retail, and other expense increased primarily as a result of the Sinatra “Dance with Me” show that began in December 2010 and ended its run in April 2011. General and administrative expenses decreased primarily as a result of lower property tax expense and reduced property maintenance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$11.8 million for the six months ended June 30, 2011, compared to $9.6 million for the six months ended June 30,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six months ended June 30, 2011, we incurred no pre-opening costs. Pre-opening costs incurred during the six months ended June 30, 2010 of $2 million were related the Encore Beach Club which opened in May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for the six months ended June 30, 2011 was $132 million compared to $146.5 million for the six months ended June 30, 2010. This decrease is primarily due to assets with a 5-year life being fully depreciated as of April 2010 at Wynn Las Vegas, off set by depreciation of the assets of the Encore Beach Club which were placed into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Property charges and other for the six months ended June 30, 2011, were $4.6 million compared to $1.7 million for the six months ended June 30, 2010. Property charges and other for the six months ended June 30, 2011 and 2010, related to miscellaneous renovations and abandonments at Wynn Las Vegas and Encore.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expense was $100.6 million, net of capitalized interest of $0, for the six months ended June 30, 2011, compared to $91.3 million, net of capitalized interest of $0.6 million for the six months ended June 30, 2010.</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$1.4 million for the six months ended June 30, 2011, resulting from the increase in the fair value of our interest rate swap from December 31, 2010 to June 30, 2011. We recorded an expense of $4.6 million for the six months ended June 30, 2010, resulting from the decrease in the fair value of our interest rate swap from December 31, 2009 to June 30, 2010.</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described in our 2010 Annual Report on Form 10-K we completed an exchange offer for a portion of our 6 5/8% first mortgage notes in April 2010. In connection with that exchange offer, the direct costs incurred with third parties of $3.2 million was expensed.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operations for the six months ended June 30, 2011 was $137.6 million compared to $27.1 million provided by operations for the six months ended June 30, 2010. This increase is primarily due to the increase in operating income as a result of increased casino and rooms department profitability. Cash flow from operations were negatively impacted by a $16 million increase in cash paid for interest as our interest payment dates changed with the refinancing we completed last year and ordinary changes in working capital.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At June 30, 2011, we had approximately $138.5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2011 in excess of what we generate from operations or additional borrowings, will be provided with capital contributions from Wynn Resorts. As of June 30, 2011, we had approximately $347.5 million available to draw under our Wynn Las Vegas credit facilities. Except for scheduled quarterly payments on one note payable, we have no debt maturities until July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Capital expenditures were approximately $34.8 million for the six months ended June 30, 2011 and related primarily to the room and suite remodel that began last year. Capital expenditures were approximately $84.1 million for the six months ended June 30, 2010, and related primarily to the Encore Beach Club and Surrender Nightclub.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June 30, 2011, our Wynn Las Vegas credit facilities, as amended, (collectively the “Wynn Las Vegas Credit Facilities”)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During the six months ended June 30, 2011, we repaid approximately $20.1 million of borrowings under the Wynn Las Vegas Revolver. As of June 30, 2011, the Wynn Las Vegas Term Loan was fully drawn and we had no borrowings outstanding under the Wynn Las Vegas Revolver. We had $19.5 million of outstanding letters of credit that reduce our availability under the Wynn Las Vegas Revolver. Accordingly, we have availability of approximately $347.5 million under the Wynn Las Vegas Revolver as of June 30,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Wynn Las Vegas, LLC will fund its operations and capital requirements from operating cash flow and availability under our credit facilities. We cannot be sure that Wynn Las Vegas, LLC will generate sufficient cash flow from operations or that future borrowings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2010. There have been no material changes to these policies for the six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2011,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Condensed Consolidated Statements of Operations as the swap does not qualify for hedge accounting.</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June 30, 2011, our interest rate swap had an approximate liability fair value of $7.1 million and is included in long-term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As of June 30, 2011, approximately 94% of our long-term debt was based on fixed rates including the notional amount of our swap. Based on our borrowings as of June 30, 2011, an assumed 1% change in variable rates would cause our annual interest cost to change by $1.6 million.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2010. There were no material changes to those risk factors during the six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24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91"/>
              </w:rPr>
              <w:t>The following financial information from the Company’s Quarterly Report on Form 10-Q for the quarter ended June 30, 2011, filed with</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88"/>
              </w:rPr>
              <w:t>the SEC on August 9, 2011 formatted in Extensible Business Reporting Language (XBRL): (i) the Condensed Consolidated Statements of</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87"/>
              </w:rPr>
              <w:t>Operations for the three and six months ended June 30, 2011 and 2010, (ii) the Condensed Consolidated Balance Sheets at June 30, 2011</w:t>
            </w:r>
          </w:p>
        </w:tc>
      </w:tr>
    </w:tbl>
    <w:p>
      <w:pPr>
        <w:ind w:left="1660"/>
        <w:spacing w:after="0" w:line="261" w:lineRule="auto"/>
        <w:rPr>
          <w:sz w:val="20"/>
          <w:szCs w:val="20"/>
          <w:color w:val="auto"/>
        </w:rPr>
      </w:pPr>
      <w:r>
        <w:rPr>
          <w:rFonts w:ascii="Arial" w:cs="Arial" w:eastAsia="Arial" w:hAnsi="Arial"/>
          <w:sz w:val="18"/>
          <w:szCs w:val="18"/>
          <w:color w:val="auto"/>
        </w:rPr>
        <w:t>and December 31 2010, (iii) the Condensed Consolidated Statements of Cash Flows for the six months ended June 30, 2011 and 2010, and (iv) Notes to Condensed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0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20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62" w:lineRule="exact"/>
        <w:rPr>
          <w:sz w:val="20"/>
          <w:szCs w:val="20"/>
          <w:color w:val="auto"/>
        </w:rPr>
      </w:pPr>
    </w:p>
    <w:p>
      <w:pPr>
        <w:ind w:left="460" w:right="2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WYNN LAS VEGAS</w:t>
      </w:r>
    </w:p>
    <w:p>
      <w:pPr>
        <w:spacing w:after="0" w:line="393" w:lineRule="exact"/>
        <w:rPr>
          <w:sz w:val="20"/>
          <w:szCs w:val="20"/>
          <w:color w:val="auto"/>
        </w:rPr>
      </w:pPr>
    </w:p>
    <w:p>
      <w:pPr>
        <w:spacing w:after="0"/>
        <w:tabs>
          <w:tab w:leader="none" w:pos="5940" w:val="left"/>
          <w:tab w:leader="none" w:pos="7940" w:val="left"/>
          <w:tab w:leader="none" w:pos="8280" w:val="left"/>
        </w:tabs>
        <w:rPr>
          <w:sz w:val="20"/>
          <w:szCs w:val="20"/>
          <w:color w:val="auto"/>
        </w:rPr>
      </w:pPr>
      <w:r>
        <w:rPr>
          <w:rFonts w:ascii="Arial" w:cs="Arial" w:eastAsia="Arial" w:hAnsi="Arial"/>
          <w:sz w:val="18"/>
          <w:szCs w:val="18"/>
          <w:color w:val="auto"/>
        </w:rPr>
        <w:t>Dated: August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Scott Peterson</w:t>
      </w:r>
    </w:p>
    <w:p>
      <w:pPr>
        <w:jc w:val="center"/>
        <w:ind w:left="640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40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640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40"/>
          </w:cols>
          <w:pgMar w:left="240" w:top="459" w:right="11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263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263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2011 as filed with the Securities and Exchange Commission on the date hereof (the “Report”), Marilyn Spiegel, as President of the Company and Scott Peterson, as Chief Financial Officer of the Company, each hereby certifies, pursuant to 18 U.S.C. Section 1350, as adopted pursuant to Section 906 of the Sarbanes-Oxley Act of 2002, that, to the best of her/his knowledge:</w:t>
      </w:r>
    </w:p>
    <w:p>
      <w:pPr>
        <w:spacing w:after="0" w:line="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Marilyn Spiegel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Marilyn Spiegel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August 9, 2011</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02"/>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August 9,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2019-12-10T23:05:43Z</dcterms:created>
  <dcterms:modified xsi:type="dcterms:W3CDTF">2019-12-10T23:05:43Z</dcterms:modified>
</cp:coreProperties>
</file>