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pPr>
      <w:r>
        <w:rPr>
          <w:color w:val="000000"/>
        </w:rPr>
        <w:t> </w:t>
      </w: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to</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000-50028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48"/>
        </w:rPr>
        <w:t>WYNN RESORTS, LIMITED</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3131 Las Vegas Boulevard South - Las Vegas, Nevada 89109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95"/>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5365" w:type="dxa"/>
        <w:jc w:val="left"/>
        <w:tblInd w:w="0" w:type="dxa"/>
        <w:tblLayout w:type="fixed"/>
        <w:tblCellMar>
          <w:top w:w="28" w:type="dxa"/>
          <w:left w:w="28" w:type="dxa"/>
          <w:bottom w:w="28" w:type="dxa"/>
          <w:right w:w="28" w:type="dxa"/>
        </w:tblCellMar>
      </w:tblPr>
      <w:tblGrid>
        <w:gridCol w:w="973"/>
        <w:gridCol w:w="858"/>
        <w:gridCol w:w="868"/>
        <w:gridCol w:w="109"/>
        <w:gridCol w:w="109"/>
        <w:gridCol w:w="109"/>
        <w:gridCol w:w="683"/>
        <w:gridCol w:w="683"/>
        <w:gridCol w:w="973"/>
      </w:tblGrid>
      <w:tr>
        <w:trPr/>
        <w:tc>
          <w:tcPr>
            <w:tcW w:w="97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at April 30, 2025</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104,554,301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7"/>
        <w:gridCol w:w="261"/>
        <w:gridCol w:w="3026"/>
        <w:gridCol w:w="2992"/>
        <w:gridCol w:w="3002"/>
        <w:gridCol w:w="109"/>
        <w:gridCol w:w="109"/>
        <w:gridCol w:w="156"/>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
              <w:r>
                <w:rPr>
                  <w:rStyle w:val="InternetLink"/>
                  <w:rFonts w:ascii="Times New Roman;sans-serif" w:hAnsi="Times New Roman;sans-serif"/>
                  <w:b w:val="false"/>
                  <w:color w:val="0000FF"/>
                  <w:sz w:val="20"/>
                  <w:u w:val="single"/>
                </w:rPr>
                <w:t>Item 1.</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
              <w:r>
                <w:rPr>
                  <w:rStyle w:val="InternetLink"/>
                  <w:rFonts w:ascii="Times New Roman;sans-serif" w:hAnsi="Times New Roman;sans-serif"/>
                  <w:b w:val="false"/>
                  <w:color w:val="0000FF"/>
                  <w:sz w:val="20"/>
                  <w:u w:val="single"/>
                </w:rPr>
                <w:t>Financial Statements</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6">
              <w:r>
                <w:rPr>
                  <w:rStyle w:val="InternetLink"/>
                  <w:rFonts w:ascii="Times New Roman;sans-serif" w:hAnsi="Times New Roman;sans-serif"/>
                  <w:b w:val="false"/>
                  <w:color w:val="0000FF"/>
                  <w:sz w:val="20"/>
                  <w:u w:val="single"/>
                </w:rPr>
                <w:t>Condensed Consolidated Balance Sheets - March 31, 2025 (unaudited) and December 31,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6">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9">
              <w:r>
                <w:rPr>
                  <w:rStyle w:val="InternetLink"/>
                  <w:rFonts w:ascii="Times New Roman;sans-serif" w:hAnsi="Times New Roman;sans-serif"/>
                  <w:b w:val="false"/>
                  <w:color w:val="000080"/>
                  <w:sz w:val="20"/>
                  <w:u w:val="single"/>
                </w:rPr>
                <w:t xml:space="preserve">Condensed Consolidated Statements of </w:t>
              </w:r>
            </w:hyperlink>
            <w:hyperlink w:anchor="if720678d9ded4c33bb7cacbf9d5f0230_19">
              <w:r>
                <w:rPr>
                  <w:rStyle w:val="InternetLink"/>
                  <w:rFonts w:ascii="Times New Roman;sans-serif" w:hAnsi="Times New Roman;sans-serif"/>
                  <w:b w:val="false"/>
                  <w:color w:val="000080"/>
                  <w:sz w:val="20"/>
                  <w:u w:val="single"/>
                </w:rPr>
                <w:t>I</w:t>
              </w:r>
            </w:hyperlink>
            <w:hyperlink w:anchor="if720678d9ded4c33bb7cacbf9d5f0230_19">
              <w:r>
                <w:rPr>
                  <w:rStyle w:val="InternetLink"/>
                  <w:rFonts w:ascii="Times New Roman;sans-serif" w:hAnsi="Times New Roman;sans-serif"/>
                  <w:b w:val="false"/>
                  <w:color w:val="000080"/>
                  <w:sz w:val="20"/>
                  <w:u w:val="single"/>
                </w:rPr>
                <w:t>ncome</w:t>
              </w:r>
            </w:hyperlink>
            <w:hyperlink w:anchor="if720678d9ded4c33bb7cacbf9d5f0230_19">
              <w:r>
                <w:rPr>
                  <w:rStyle w:val="InternetLink"/>
                  <w:rFonts w:ascii="Times New Roman;sans-serif" w:hAnsi="Times New Roman;sans-serif"/>
                  <w:b w:val="false"/>
                  <w:color w:val="000080"/>
                  <w:sz w:val="20"/>
                  <w:u w:val="single"/>
                </w:rPr>
                <w:t xml:space="preserve"> (unaudited) - Three Months Ended March 31.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9">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22">
              <w:r>
                <w:rPr>
                  <w:rStyle w:val="InternetLink"/>
                  <w:rFonts w:ascii="Times New Roman;sans-serif" w:hAnsi="Times New Roman;sans-serif"/>
                  <w:b w:val="false"/>
                  <w:color w:val="000080"/>
                  <w:sz w:val="20"/>
                  <w:u w:val="single"/>
                </w:rPr>
                <w:t>Condensed Consolidated Statements of Comprehensive Income</w:t>
              </w:r>
            </w:hyperlink>
            <w:hyperlink w:anchor="if720678d9ded4c33bb7cacbf9d5f0230_22">
              <w:r>
                <w:rPr>
                  <w:rStyle w:val="InternetLink"/>
                  <w:rFonts w:ascii="Times New Roman;sans-serif" w:hAnsi="Times New Roman;sans-serif"/>
                  <w:b w:val="false"/>
                  <w:color w:val="000080"/>
                  <w:sz w:val="20"/>
                  <w:u w:val="single"/>
                </w:rPr>
                <w:t xml:space="preserve"> (unaudited) - Three Months Ended March 31,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22">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25">
              <w:r>
                <w:rPr>
                  <w:rStyle w:val="InternetLink"/>
                  <w:rFonts w:ascii="Times New Roman;sans-serif" w:hAnsi="Times New Roman;sans-serif"/>
                  <w:b w:val="false"/>
                  <w:color w:val="000080"/>
                  <w:sz w:val="20"/>
                  <w:u w:val="single"/>
                </w:rPr>
                <w:t xml:space="preserve">Condensed Consolidated Statements of Stockholders’ Deficit (unaudited) - Three Months Ended March 31, 2025 </w:t>
              </w:r>
            </w:hyperlink>
            <w:hyperlink w:anchor="if720678d9ded4c33bb7cacbf9d5f0230_25">
              <w:r>
                <w:rPr>
                  <w:rStyle w:val="InternetLink"/>
                  <w:rFonts w:ascii="Times New Roman;sans-serif" w:hAnsi="Times New Roman;sans-serif"/>
                  <w:b w:val="false"/>
                  <w:color w:val="000080"/>
                  <w:sz w:val="20"/>
                  <w:u w:val="single"/>
                </w:rPr>
                <w:t>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25">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28">
              <w:r>
                <w:rPr>
                  <w:rStyle w:val="InternetLink"/>
                  <w:rFonts w:ascii="Times New Roman;sans-serif" w:hAnsi="Times New Roman;sans-serif"/>
                  <w:b w:val="false"/>
                  <w:color w:val="0000FF"/>
                  <w:sz w:val="20"/>
                  <w:u w:val="single"/>
                </w:rPr>
                <w:t>Condensed Consolidated Statements of Cash Flows (unaudited) - Three Months Ended March 31,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28">
              <w:r>
                <w:rPr>
                  <w:rStyle w:val="InternetLink"/>
                  <w:rFonts w:ascii="Times New Roman;sans-serif" w:hAnsi="Times New Roman;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20678d9ded4c33bb7cacbf9d5f0230_31">
              <w:r>
                <w:rPr>
                  <w:rStyle w:val="InternetLink"/>
                  <w:rFonts w:ascii="Times New Roman;sans-serif" w:hAnsi="Times New Roman;sans-serif"/>
                  <w:b w:val="false"/>
                  <w:color w:val="0000FF"/>
                  <w:sz w:val="20"/>
                  <w:u w:val="single"/>
                </w:rPr>
                <w:t>Notes to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31">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88">
              <w:r>
                <w:rPr>
                  <w:rStyle w:val="InternetLink"/>
                  <w:rFonts w:ascii="Times New Roman;sans-serif" w:hAnsi="Times New Roman;sans-serif"/>
                  <w:b w:val="false"/>
                  <w:color w:val="0000FF"/>
                  <w:sz w:val="20"/>
                  <w:u w:val="single"/>
                </w:rPr>
                <w:t>Item 2.</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88">
              <w:r>
                <w:rPr>
                  <w:rStyle w:val="InternetLink"/>
                  <w:rFonts w:ascii="Times New Roman;sans-serif" w:hAnsi="Times New Roman;sans-serif"/>
                  <w:b w:val="false"/>
                  <w:color w:val="0000FF"/>
                  <w:sz w:val="20"/>
                  <w:u w:val="single"/>
                </w:rPr>
                <w:t>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15">
              <w:r>
                <w:rPr>
                  <w:rStyle w:val="InternetLink"/>
                  <w:rFonts w:ascii="Times New Roman;sans-serif" w:hAnsi="Times New Roman;sans-serif"/>
                  <w:b w:val="false"/>
                  <w:color w:val="0000FF"/>
                  <w:sz w:val="20"/>
                  <w:u w:val="single"/>
                </w:rPr>
                <w:t>Item 3.</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15">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15">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18">
              <w:r>
                <w:rPr>
                  <w:rStyle w:val="InternetLink"/>
                  <w:rFonts w:ascii="Times New Roman;sans-serif" w:hAnsi="Times New Roman;sans-serif"/>
                  <w:b w:val="false"/>
                  <w:color w:val="0000FF"/>
                  <w:sz w:val="20"/>
                  <w:u w:val="single"/>
                </w:rPr>
                <w:t>Item 4.</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18">
              <w:r>
                <w:rPr>
                  <w:rStyle w:val="InternetLink"/>
                  <w:rFonts w:ascii="Times New Roman;sans-serif" w:hAnsi="Times New Roman;sans-serif"/>
                  <w:b w:val="false"/>
                  <w:color w:val="0000FF"/>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18">
              <w:r>
                <w:rPr>
                  <w:rStyle w:val="InternetLink"/>
                  <w:rFonts w:ascii="Times New Roman;sans-serif" w:hAnsi="Times New Roman;sans-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24">
              <w:r>
                <w:rPr>
                  <w:rStyle w:val="InternetLink"/>
                  <w:rFonts w:ascii="Times New Roman;sans-serif" w:hAnsi="Times New Roman;sans-serif"/>
                  <w:b w:val="false"/>
                  <w:color w:val="0000FF"/>
                  <w:sz w:val="20"/>
                  <w:u w:val="single"/>
                </w:rPr>
                <w:t>Item 1.</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24">
              <w:r>
                <w:rPr>
                  <w:rStyle w:val="InternetLink"/>
                  <w:rFonts w:ascii="Times New Roman;sans-serif" w:hAnsi="Times New Roman;sans-serif"/>
                  <w:b w:val="false"/>
                  <w:color w:val="0000FF"/>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24">
              <w:r>
                <w:rPr>
                  <w:rStyle w:val="InternetLink"/>
                  <w:rFonts w:ascii="Times New Roman;sans-serif" w:hAnsi="Times New Roman;sans-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27">
              <w:r>
                <w:rPr>
                  <w:rStyle w:val="InternetLink"/>
                  <w:rFonts w:ascii="Times New Roman;sans-serif" w:hAnsi="Times New Roman;sans-serif"/>
                  <w:b w:val="false"/>
                  <w:color w:val="0000FF"/>
                  <w:sz w:val="20"/>
                  <w:u w:val="single"/>
                </w:rPr>
                <w:t>Item 1A.</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27">
              <w:r>
                <w:rPr>
                  <w:rStyle w:val="InternetLink"/>
                  <w:rFonts w:ascii="Times New Roman;sans-serif" w:hAnsi="Times New Roman;sans-serif"/>
                  <w:b w:val="false"/>
                  <w:color w:val="0000FF"/>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27">
              <w:r>
                <w:rPr>
                  <w:rStyle w:val="InternetLink"/>
                  <w:rFonts w:ascii="Times New Roman;sans-serif" w:hAnsi="Times New Roman;sans-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0">
              <w:r>
                <w:rPr>
                  <w:rStyle w:val="InternetLink"/>
                  <w:rFonts w:ascii="Times New Roman;sans-serif" w:hAnsi="Times New Roman;sans-serif"/>
                  <w:b w:val="false"/>
                  <w:color w:val="0000FF"/>
                  <w:sz w:val="20"/>
                  <w:u w:val="single"/>
                </w:rPr>
                <w:t>Item 2.</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0">
              <w:r>
                <w:rPr>
                  <w:rStyle w:val="InternetLink"/>
                  <w:rFonts w:ascii="Times New Roman;sans-serif" w:hAnsi="Times New Roman;sans-serif"/>
                  <w:b w:val="false"/>
                  <w:color w:val="0000FF"/>
                  <w:sz w:val="20"/>
                  <w:u w:val="singl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30">
              <w:r>
                <w:rPr>
                  <w:rStyle w:val="InternetLink"/>
                  <w:rFonts w:ascii="Times New Roman;sans-serif" w:hAnsi="Times New Roman;sans-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3">
              <w:r>
                <w:rPr>
                  <w:rStyle w:val="InternetLink"/>
                  <w:rFonts w:ascii="Times New Roman;sans-serif" w:hAnsi="Times New Roman;sans-serif"/>
                  <w:b w:val="false"/>
                  <w:color w:val="0000FF"/>
                  <w:sz w:val="20"/>
                  <w:u w:val="single"/>
                </w:rPr>
                <w:t>Item 3.</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3">
              <w:r>
                <w:rPr>
                  <w:rStyle w:val="InternetLink"/>
                  <w:rFonts w:ascii="Times New Roman;sans-serif" w:hAnsi="Times New Roman;sans-serif"/>
                  <w:b w:val="false"/>
                  <w:color w:val="0000FF"/>
                  <w:sz w:val="20"/>
                  <w:u w:val="single"/>
                </w:rPr>
                <w:t>Default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30">
              <w:r>
                <w:rPr>
                  <w:rStyle w:val="InternetLink"/>
                  <w:rFonts w:ascii="Times New Roman;sans-serif" w:hAnsi="Times New Roman;sans-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6">
              <w:r>
                <w:rPr>
                  <w:rStyle w:val="InternetLink"/>
                  <w:rFonts w:ascii="Times New Roman;sans-serif" w:hAnsi="Times New Roman;sans-serif"/>
                  <w:b w:val="false"/>
                  <w:color w:val="0000FF"/>
                  <w:sz w:val="20"/>
                  <w:u w:val="single"/>
                </w:rPr>
                <w:t>Item 4.</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6">
              <w:r>
                <w:rPr>
                  <w:rStyle w:val="InternetLink"/>
                  <w:rFonts w:ascii="Times New Roman;sans-serif" w:hAnsi="Times New Roman;sans-serif"/>
                  <w:b w:val="false"/>
                  <w:color w:val="0000FF"/>
                  <w:sz w:val="20"/>
                  <w:u w:val="singl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30">
              <w:r>
                <w:rPr>
                  <w:rStyle w:val="InternetLink"/>
                  <w:rFonts w:ascii="Times New Roman;sans-serif" w:hAnsi="Times New Roman;sans-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9">
              <w:r>
                <w:rPr>
                  <w:rStyle w:val="InternetLink"/>
                  <w:rFonts w:ascii="Times New Roman;sans-serif" w:hAnsi="Times New Roman;sans-serif"/>
                  <w:b w:val="false"/>
                  <w:color w:val="0000FF"/>
                  <w:sz w:val="20"/>
                  <w:u w:val="single"/>
                </w:rPr>
                <w:t>Item 5.</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39">
              <w:r>
                <w:rPr>
                  <w:rStyle w:val="InternetLink"/>
                  <w:rFonts w:ascii="Times New Roman;sans-serif" w:hAnsi="Times New Roman;sans-serif"/>
                  <w:b w:val="false"/>
                  <w:color w:val="0000FF"/>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39">
              <w:r>
                <w:rPr>
                  <w:rStyle w:val="InternetLink"/>
                  <w:rFonts w:ascii="Times New Roman;sans-serif" w:hAnsi="Times New Roman;sans-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45">
              <w:r>
                <w:rPr>
                  <w:rStyle w:val="InternetLink"/>
                  <w:rFonts w:ascii="Times New Roman;sans-serif" w:hAnsi="Times New Roman;sans-serif"/>
                  <w:b w:val="false"/>
                  <w:color w:val="0000FF"/>
                  <w:sz w:val="20"/>
                  <w:u w:val="single"/>
                </w:rPr>
                <w:t>Item 6.</w:t>
              </w:r>
            </w:hyperlink>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45">
              <w:r>
                <w:rPr>
                  <w:rStyle w:val="InternetLink"/>
                  <w:rFonts w:ascii="Times New Roman;sans-serif" w:hAnsi="Times New Roman;sans-serif"/>
                  <w:b w:val="false"/>
                  <w:color w:val="0000FF"/>
                  <w:sz w:val="20"/>
                  <w:u w:val="singl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45">
              <w:r>
                <w:rPr>
                  <w:rStyle w:val="InternetLink"/>
                  <w:rFonts w:ascii="Times New Roman;sans-serif" w:hAnsi="Times New Roman;sans-serif"/>
                  <w:b w:val="false"/>
                  <w:color w:val="0000FF"/>
                  <w:sz w:val="20"/>
                  <w:u w:val="single"/>
                </w:rPr>
                <w:t>40</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720678d9ded4c33bb7cacbf9d5f0230_148">
              <w:r>
                <w:rPr>
                  <w:rStyle w:val="InternetLink"/>
                  <w:rFonts w:ascii="Times New Roman;sans-serif" w:hAnsi="Times New Roman;sans-serif"/>
                  <w:b w:val="false"/>
                  <w:color w:val="0000FF"/>
                  <w:sz w:val="20"/>
                  <w:u w:val="single"/>
                </w:rPr>
                <w:t>Signature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0678d9ded4c33bb7cacbf9d5f0230_148">
              <w:r>
                <w:rPr>
                  <w:rStyle w:val="InternetLink"/>
                  <w:rFonts w:ascii="Times New Roman;sans-serif" w:hAnsi="Times New Roman;sans-serif"/>
                  <w:b w:val="false"/>
                  <w:color w:val="0000FF"/>
                  <w:sz w:val="20"/>
                  <w:u w:val="single"/>
                </w:rPr>
                <w:t>41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00075"/>
                <wp:effectExtent l="0" t="0" r="0" b="0"/>
                <wp:wrapNone/>
                <wp:docPr id="2" name="Frame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68"/>
        <w:gridCol w:w="2139"/>
        <w:gridCol w:w="2151"/>
        <w:gridCol w:w="196"/>
        <w:gridCol w:w="976"/>
        <w:gridCol w:w="109"/>
        <w:gridCol w:w="109"/>
        <w:gridCol w:w="109"/>
        <w:gridCol w:w="109"/>
        <w:gridCol w:w="212"/>
        <w:gridCol w:w="1058"/>
        <w:gridCol w:w="169"/>
      </w:tblGrid>
      <w:tr>
        <w:trPr/>
        <w:tc>
          <w:tcPr>
            <w:tcW w:w="286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2,426,155 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of $40,623 and $37,694,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2,594,448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2,921,679</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6,521,283 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1,797,276 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648,217 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12,724,044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12,977,963</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construction payables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508,651 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taxes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2,396,795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1,539,534</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10,500,484 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operating lease liabilities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13,825,965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13,946,566</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15)</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deficit:</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40,000,000 shares authorized; zero shares issued and outstanding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400,000,000 shares authorized; 134,136,743 and 133,584,126 shares issued; 105,869,624 and 107,821,567 shares outstanding, respectively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28,267,119 and 25,762,599 shares,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(2,241,607)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3,698,800 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(1,676,990)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Wynn Resorts, Limited stockholders' deficit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(360,678)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(224,161)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(744,442)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(1,101,921)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(968,603)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deficit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12,724,044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12,977,963</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00075"/>
                <wp:effectExtent l="0" t="0" r="0" b="0"/>
                <wp:wrapNone/>
                <wp:docPr id="3" name="Frame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jc w:val="center"/>
        <w:rPr/>
      </w:pPr>
      <w:r>
        <w:rPr/>
      </w:r>
    </w:p>
    <w:tbl>
      <w:tblPr>
        <w:tblW w:w="7644" w:type="dxa"/>
        <w:jc w:val="center"/>
        <w:tblInd w:w="0" w:type="dxa"/>
        <w:tblLayout w:type="fixed"/>
        <w:tblCellMar>
          <w:top w:w="28" w:type="dxa"/>
          <w:left w:w="28" w:type="dxa"/>
          <w:bottom w:w="28" w:type="dxa"/>
          <w:right w:w="28" w:type="dxa"/>
        </w:tblCellMar>
      </w:tblPr>
      <w:tblGrid>
        <w:gridCol w:w="1696"/>
        <w:gridCol w:w="1486"/>
        <w:gridCol w:w="1498"/>
        <w:gridCol w:w="211"/>
        <w:gridCol w:w="976"/>
        <w:gridCol w:w="109"/>
        <w:gridCol w:w="109"/>
        <w:gridCol w:w="109"/>
        <w:gridCol w:w="109"/>
        <w:gridCol w:w="211"/>
        <w:gridCol w:w="97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1,700,397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1,862,909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1,431,808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1,499,968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268,589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362,941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(166,429)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92,427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81,405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176,498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72,747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00075"/>
                <wp:effectExtent l="0" t="0" r="0" b="0"/>
                <wp:wrapNone/>
                <wp:docPr id="4" name="Frame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8244" w:type="dxa"/>
        <w:jc w:val="left"/>
        <w:tblInd w:w="0" w:type="dxa"/>
        <w:tblLayout w:type="fixed"/>
        <w:tblCellMar>
          <w:top w:w="28" w:type="dxa"/>
          <w:left w:w="28" w:type="dxa"/>
          <w:bottom w:w="28" w:type="dxa"/>
          <w:right w:w="28" w:type="dxa"/>
        </w:tblCellMar>
      </w:tblPr>
      <w:tblGrid>
        <w:gridCol w:w="2047"/>
        <w:gridCol w:w="1796"/>
        <w:gridCol w:w="1812"/>
        <w:gridCol w:w="211"/>
        <w:gridCol w:w="736"/>
        <w:gridCol w:w="109"/>
        <w:gridCol w:w="109"/>
        <w:gridCol w:w="109"/>
        <w:gridCol w:w="109"/>
        <w:gridCol w:w="211"/>
        <w:gridCol w:w="841"/>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before and after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85,035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178,487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Wynn Resorts, Limited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75,374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145,640</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0075"/>
                <wp:effectExtent l="0" t="0" r="0" b="0"/>
                <wp:wrapNone/>
                <wp:docPr id="5" name="Frame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32"/>
        <w:gridCol w:w="618"/>
        <w:gridCol w:w="141"/>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March 31,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2025</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107,821,567 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(2,241,607)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(1,676,990)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(744,442)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(968,603)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560,906 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(2,504,560)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March 31, 2025</w:t>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105,869,624</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(2,455,134)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3,727,019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(3,073)</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(1,630,831)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(360,678)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(741,243)</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(1,101,921)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March 31,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2024</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111,737,245 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(1,836,326)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(2,066,953)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(849,552)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(1,100,934)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439,668 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(118,835)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March 31, 2024</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112,071,149</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(1,849,172)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3,656,809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4,830</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(1,950,755)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(136,953)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(809,427)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(946,380)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00075"/>
                <wp:effectExtent l="0" t="0" r="0" b="0"/>
                <wp:wrapNone/>
                <wp:docPr id="6" name="Frame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43" w:type="dxa"/>
        <w:jc w:val="center"/>
        <w:tblInd w:w="0" w:type="dxa"/>
        <w:tblLayout w:type="fixed"/>
        <w:tblCellMar>
          <w:top w:w="28" w:type="dxa"/>
          <w:left w:w="28" w:type="dxa"/>
          <w:bottom w:w="28" w:type="dxa"/>
          <w:right w:w="28" w:type="dxa"/>
        </w:tblCellMar>
      </w:tblPr>
      <w:tblGrid>
        <w:gridCol w:w="2097"/>
        <w:gridCol w:w="1839"/>
        <w:gridCol w:w="1853"/>
        <w:gridCol w:w="196"/>
        <w:gridCol w:w="886"/>
        <w:gridCol w:w="109"/>
        <w:gridCol w:w="109"/>
        <w:gridCol w:w="109"/>
        <w:gridCol w:w="109"/>
        <w:gridCol w:w="196"/>
        <w:gridCol w:w="88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financing transactions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Provision for credit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derivatives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charges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from changes in: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prepaid expenses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133,774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315,094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net of construction payables and retention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(221,511)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(167,419)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noncontrolling interest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payments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financing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(266,951)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(604,363)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exchange rate on cash, cash equivalents and restricted cash</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Decrease in cash, cash equivalents and 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(356,317)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(459,063)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beginning of period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2,521,793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2,969,412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2,165,476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2,510,349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00075"/>
                <wp:effectExtent l="0" t="0" r="0" b="0"/>
                <wp:wrapNone/>
                <wp:docPr id="7" name="Frame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Organization</w:t>
      </w:r>
    </w:p>
    <w:p>
      <w:pPr>
        <w:pStyle w:val="TextBody"/>
        <w:bidi w:val="0"/>
        <w:spacing w:before="0" w:after="0"/>
        <w:ind w:left="0" w:right="0" w:firstLine="22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40% equity interest in Island 3 AMI FZ-LLC ("Island 3"), an unconsolidated affiliate, which is constructing an integrated resort property ("Wynn Al Marjan Island") in Ras Al Khaimah, United Arab Emirates, currently expected to open in 2027.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2 -</w:t>
      </w:r>
      <w:r>
        <w:rPr>
          <w:color w:val="000000"/>
        </w:rPr>
        <w:t>    </w:t>
      </w:r>
      <w:r>
        <w:rPr>
          <w:rFonts w:ascii="Times New Roman;sans-serif" w:hAnsi="Times New Roman;sans-serif"/>
          <w:b/>
          <w:color w:val="000000"/>
          <w:sz w:val="20"/>
        </w:rPr>
        <w:t>Basis of Presentation and Significant Accounting Policies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by the Company pursuant to the rules and regulations of the Securities and Exchange Commission.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months ended March 31, 2025 are not necessarily indicative of results to be expected for any other interim period or the full fiscal year ending December 31, 2025. These condensed consolidated financial statements should be read in conjunction with the consolidated financial statements and notes thereto in the Company's Annual Report on Form 10-K for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 Certain amounts in the condensed consolidated balance sheet as of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have been reclassified to be consistent with the current period presentation. These reclassifications had no effect on previously reported total assets, total liabilities, and total stockholders' deficit.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and valuations of derivatives.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0075"/>
                <wp:effectExtent l="0" t="0" r="0" b="0"/>
                <wp:wrapNone/>
                <wp:docPr id="8" name="Frame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Gaming Taxes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taxes based on gross gaming revenues in the jurisdictions in which it operates, subject to applicable jurisdictional adjustments. These gaming taxes are recorded as casino expenses in the accompanying Condensed Consolidated Statements of Income. These taxes totaled $440.7 million and $488.8 million for the three months ended March 31, 2025 and 2024, respectively.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Unconsolidated Affiliates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investment in Island 3, an unconsolidated affiliate which is constructing Wynn Al Marjan Island, using the equity method. Under the equity method, the investment's carrying value is adjusted for the Company’s share of the investee's earnings and losses, capital contributions to and distributions from Island 3, and capitalization of interest cost incurred by the Company during the investee's initial development period. The Company recognized an equity-method loss of $3.3 million and $1.5 million for the three months ended March 31, 2025 and 2024, respectively, in Pre-opening expense within the Condensed Consolidated Statements of Income.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all of the recently issued, but not yet effective, accounting standards that have been issued or proposed by the Financial Accounting Standards Board ("FASB") or other standard-setting bodies through the filing date of these financial statements and does not believe the future adoption of any such pronouncements will have a material effect on the Company’s financial position, results of operations and cash flows.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Cash, Cash Equivalents and Restricted Cash</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(in thousands):</w:t>
      </w:r>
    </w:p>
    <w:tbl>
      <w:tblPr>
        <w:tblW w:w="10205" w:type="dxa"/>
        <w:jc w:val="left"/>
        <w:tblInd w:w="0" w:type="dxa"/>
        <w:tblLayout w:type="fixed"/>
        <w:tblCellMar>
          <w:top w:w="28" w:type="dxa"/>
          <w:left w:w="28" w:type="dxa"/>
          <w:bottom w:w="28" w:type="dxa"/>
          <w:right w:w="28" w:type="dxa"/>
        </w:tblCellMar>
      </w:tblPr>
      <w:tblGrid>
        <w:gridCol w:w="1727"/>
        <w:gridCol w:w="1519"/>
        <w:gridCol w:w="1528"/>
        <w:gridCol w:w="370"/>
        <w:gridCol w:w="1739"/>
        <w:gridCol w:w="191"/>
        <w:gridCol w:w="191"/>
        <w:gridCol w:w="191"/>
        <w:gridCol w:w="191"/>
        <w:gridCol w:w="397"/>
        <w:gridCol w:w="1868"/>
        <w:gridCol w:w="293"/>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2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Cash </w:t>
            </w:r>
            <w:r>
              <w:rPr>
                <w:rFonts w:ascii="Times New Roman;sans-serif" w:hAnsi="Times New Roman;sans-serif"/>
                <w:b w:val="false"/>
                <w:color w:val="000000"/>
                <w:sz w:val="13"/>
              </w:rPr>
              <w:t>(1)</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1,639,151 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Cash equivalents</w:t>
            </w:r>
            <w:r>
              <w:rPr>
                <w:color w:val="000000"/>
              </w:rPr>
              <w:t xml:space="preserve"> </w:t>
            </w:r>
            <w:r>
              <w:rPr>
                <w:rFonts w:ascii="Times New Roman;sans-serif" w:hAnsi="Times New Roman;sans-serif"/>
                <w:b w:val="false"/>
                <w:color w:val="000000"/>
                <w:sz w:val="13"/>
              </w:rPr>
              <w:t>(2)</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775,770 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787,004 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 xml:space="preserve">Total cash and cash equivalents </w:t>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2,070,086</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2,426,155</w:t>
            </w:r>
            <w:r>
              <w:rPr>
                <w:color w:val="000000"/>
              </w:rPr>
              <w:t>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Restricted cash</w:t>
            </w:r>
            <w:r>
              <w:rPr>
                <w:color w:val="000000"/>
              </w:rPr>
              <w:t xml:space="preserve"> </w:t>
            </w:r>
            <w:r>
              <w:rPr>
                <w:rFonts w:ascii="Times New Roman;sans-serif" w:hAnsi="Times New Roman;sans-serif"/>
                <w:b w:val="false"/>
                <w:color w:val="000000"/>
                <w:sz w:val="13"/>
              </w:rPr>
              <w:t>(3)</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cash equivalents and restricted cash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2,165,476</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2,521,793</w:t>
            </w:r>
            <w:r>
              <w:rPr>
                <w:color w:val="000000"/>
              </w:rPr>
              <w:t>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Cash consists of cash on hand and bank deposits. </w:t>
            </w:r>
          </w:p>
          <w:p>
            <w:pPr>
              <w:pStyle w:val="TableContents"/>
              <w:bidi w:val="0"/>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Cash equivalents consist of bank time deposits and money market funds.</w:t>
            </w:r>
          </w:p>
          <w:p>
            <w:pPr>
              <w:pStyle w:val="TableContents"/>
              <w:bidi w:val="0"/>
              <w:spacing w:lineRule="auto" w:line="240"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Restricted cash consists of cash subject to certain contractual restrictions, cash collateral associated with obligations and cash held in trusts in accordance with WML's share award plans, and as of March 31, 2025 and December 31, 2024 included $87.4 million and $87.5 million, respectively, in the form of a first demand bank guarantee in favor of the Macau government to support the legal and contractual obligations of Wynn Resorts (Macau) S.A. ("Wynn Macau SA") through the term of Wynn Macau SA's gaming concession contract. </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disclosures of the Company (in thousands):</w:t>
      </w:r>
    </w:p>
    <w:tbl>
      <w:tblPr>
        <w:tblW w:w="8528" w:type="dxa"/>
        <w:jc w:val="left"/>
        <w:tblInd w:w="0" w:type="dxa"/>
        <w:tblLayout w:type="fixed"/>
        <w:tblCellMar>
          <w:top w:w="28" w:type="dxa"/>
          <w:left w:w="28" w:type="dxa"/>
          <w:bottom w:w="28" w:type="dxa"/>
          <w:right w:w="28" w:type="dxa"/>
        </w:tblCellMar>
      </w:tblPr>
      <w:tblGrid>
        <w:gridCol w:w="2124"/>
        <w:gridCol w:w="1867"/>
        <w:gridCol w:w="1873"/>
        <w:gridCol w:w="211"/>
        <w:gridCol w:w="826"/>
        <w:gridCol w:w="109"/>
        <w:gridCol w:w="109"/>
        <w:gridCol w:w="109"/>
        <w:gridCol w:w="109"/>
        <w:gridCol w:w="211"/>
        <w:gridCol w:w="826"/>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settled with shares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construction payables related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finance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0075"/>
                <wp:effectExtent l="0" t="0" r="0" b="0"/>
                <wp:wrapNone/>
                <wp:docPr id="9" name="Frame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4 -    Receivables, net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Credit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net consisted of the following (in thousands): </w:t>
      </w:r>
    </w:p>
    <w:tbl>
      <w:tblPr>
        <w:tblW w:w="5846" w:type="dxa"/>
        <w:jc w:val="left"/>
        <w:tblInd w:w="0" w:type="dxa"/>
        <w:tblLayout w:type="fixed"/>
        <w:tblCellMar>
          <w:top w:w="28" w:type="dxa"/>
          <w:left w:w="28" w:type="dxa"/>
          <w:bottom w:w="28" w:type="dxa"/>
          <w:right w:w="28" w:type="dxa"/>
        </w:tblCellMar>
      </w:tblPr>
      <w:tblGrid>
        <w:gridCol w:w="982"/>
        <w:gridCol w:w="864"/>
        <w:gridCol w:w="868"/>
        <w:gridCol w:w="229"/>
        <w:gridCol w:w="913"/>
        <w:gridCol w:w="118"/>
        <w:gridCol w:w="109"/>
        <w:gridCol w:w="109"/>
        <w:gridCol w:w="109"/>
        <w:gridCol w:w="270"/>
        <w:gridCol w:w="1078"/>
        <w:gridCol w:w="197"/>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236,642 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Hotel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374,627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361,710</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334,004</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324,016</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approximately 72.5% and 70.9%,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allowance for casino credit losses was 16.7% and 14.7% of gross casino receivables as of March 31, 2025 and December 31, 2024, respectively. Although the Company believes that its allowance is adequate, it is possible the estimated amounts of cash collections with respect to receivables could change. The Company’s allowance for credit losses from its hotel and other receivables is not material. </w:t>
      </w:r>
    </w:p>
    <w:p>
      <w:pPr>
        <w:pStyle w:val="TextBody"/>
        <w:bidi w:val="0"/>
        <w:spacing w:before="0" w:after="0"/>
        <w:ind w:left="0" w:right="0" w:firstLine="450"/>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The following table shows the movement in the Company's allowance for credit losses recognized for receivables that occurred during the periods presented (in thousands):</w:t>
      </w:r>
      <w:r>
        <w:rPr>
          <w:color w:val="000000"/>
        </w:rPr>
        <w:t> </w:t>
      </w:r>
    </w:p>
    <w:tbl>
      <w:tblPr>
        <w:tblW w:w="6653" w:type="dxa"/>
        <w:jc w:val="left"/>
        <w:tblInd w:w="0" w:type="dxa"/>
        <w:tblLayout w:type="fixed"/>
        <w:tblCellMar>
          <w:top w:w="28" w:type="dxa"/>
          <w:left w:w="28" w:type="dxa"/>
          <w:bottom w:w="28" w:type="dxa"/>
          <w:right w:w="28" w:type="dxa"/>
        </w:tblCellMar>
      </w:tblPr>
      <w:tblGrid>
        <w:gridCol w:w="1510"/>
        <w:gridCol w:w="1328"/>
        <w:gridCol w:w="1331"/>
        <w:gridCol w:w="211"/>
        <w:gridCol w:w="736"/>
        <w:gridCol w:w="109"/>
        <w:gridCol w:w="109"/>
        <w:gridCol w:w="109"/>
        <w:gridCol w:w="109"/>
        <w:gridCol w:w="211"/>
        <w:gridCol w:w="73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37,694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Recoveries of receivables previously written off</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40,623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40,622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6017" w:type="dxa"/>
        <w:jc w:val="left"/>
        <w:tblInd w:w="0" w:type="dxa"/>
        <w:tblLayout w:type="fixed"/>
        <w:tblCellMar>
          <w:top w:w="28" w:type="dxa"/>
          <w:left w:w="28" w:type="dxa"/>
          <w:bottom w:w="28" w:type="dxa"/>
          <w:right w:w="28" w:type="dxa"/>
        </w:tblCellMar>
      </w:tblPr>
      <w:tblGrid>
        <w:gridCol w:w="1027"/>
        <w:gridCol w:w="902"/>
        <w:gridCol w:w="906"/>
        <w:gridCol w:w="211"/>
        <w:gridCol w:w="991"/>
        <w:gridCol w:w="109"/>
        <w:gridCol w:w="109"/>
        <w:gridCol w:w="109"/>
        <w:gridCol w:w="109"/>
        <w:gridCol w:w="240"/>
        <w:gridCol w:w="1129"/>
        <w:gridCol w:w="175"/>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8,547,922 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1,210,455 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3,424,361 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Airplanes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13,699,149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13,580,797</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(7,059,514)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6,546,434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6,521,283</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construction in progress consisted primarily of costs capitalized for various capital enhancements at the Company's properties.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March 31, 2025 and 2024 was $142.6 million and $158.1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0075"/>
                <wp:effectExtent l="0" t="0" r="0" b="0"/>
                <wp:wrapNone/>
                <wp:docPr id="10" name="Frame1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Long-Term Debt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(in thousands):</w:t>
      </w:r>
    </w:p>
    <w:p>
      <w:pPr>
        <w:pStyle w:val="TextBody"/>
        <w:bidi w:val="0"/>
        <w:spacing w:lineRule="auto" w:line="288" w:before="0" w:after="0"/>
        <w:ind w:left="0" w:right="0" w:firstLine="450"/>
        <w:jc w:val="left"/>
        <w:rPr>
          <w:color w:val="000000"/>
        </w:rPr>
      </w:pPr>
      <w:r>
        <w:rPr>
          <w:color w:val="000000"/>
        </w:rPr>
        <w:t> </w:t>
      </w:r>
    </w:p>
    <w:tbl>
      <w:tblPr>
        <w:tblW w:w="10172" w:type="dxa"/>
        <w:jc w:val="left"/>
        <w:tblInd w:w="0" w:type="dxa"/>
        <w:tblLayout w:type="fixed"/>
        <w:tblCellMar>
          <w:top w:w="28" w:type="dxa"/>
          <w:left w:w="28" w:type="dxa"/>
          <w:bottom w:w="28" w:type="dxa"/>
          <w:right w:w="28" w:type="dxa"/>
        </w:tblCellMar>
      </w:tblPr>
      <w:tblGrid>
        <w:gridCol w:w="2529"/>
        <w:gridCol w:w="2226"/>
        <w:gridCol w:w="2235"/>
        <w:gridCol w:w="211"/>
        <w:gridCol w:w="991"/>
        <w:gridCol w:w="109"/>
        <w:gridCol w:w="109"/>
        <w:gridCol w:w="109"/>
        <w:gridCol w:w="109"/>
        <w:gridCol w:w="223"/>
        <w:gridCol w:w="1159"/>
        <w:gridCol w:w="162"/>
      </w:tblGrid>
      <w:tr>
        <w:trPr/>
        <w:tc>
          <w:tcPr>
            <w:tcW w:w="252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Macau Related:</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WM Cayman II Revolver, due 2028</w:t>
            </w:r>
            <w:r>
              <w:rPr>
                <w:color w:val="000000"/>
              </w:rPr>
              <w:t xml:space="preserv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2026</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2027</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5/8% Senior Notes, due 2028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1/8% Senior Notes, due 2029</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WML 4 1/2% Convertible Bonds, due 2029</w:t>
            </w:r>
            <w:r>
              <w:rPr>
                <w:color w:val="000000"/>
              </w:rPr>
              <w:t xml:space="preserve"> </w:t>
            </w:r>
            <w:r>
              <w:rPr>
                <w:rFonts w:ascii="Times New Roman;sans-serif" w:hAnsi="Times New Roman;sans-serif"/>
                <w:b w:val="false"/>
                <w:color w:val="000000"/>
                <w:sz w:val="13"/>
              </w:rPr>
              <w:t>(2)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and Corporate Related:</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WRF Credit Facilities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2027</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1/4% Senior Notes, due 2027</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5 1/8% Senior Notes, due 2029</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6 1/4% Senior Notes, due 2033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Retail Term Loan, due 2027</w:t>
            </w:r>
            <w:r>
              <w:rPr>
                <w:color w:val="000000"/>
              </w:rPr>
              <w:t xml:space="preserve"> </w:t>
            </w:r>
            <w:r>
              <w:rPr>
                <w:rFonts w:ascii="Times New Roman;sans-serif" w:hAnsi="Times New Roman;sans-serif"/>
                <w:b w:val="false"/>
                <w:color w:val="000000"/>
                <w:sz w:val="13"/>
              </w:rPr>
              <w:t>(4)</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10,632,830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10,644,999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original issue discounts and premium,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10,553,099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10,541,734</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9,513,157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10,500,484</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As of March 31, 2025, the borrowings under the WM Cayman II Revolver bear interest at the term secured overnight financing rate ("Term SOFR") plus a credit adjustment spread of 0.10% or the Hong Kong Interbank Offered Rate ("HIBOR"), in each case plus a margin of 1.875% to 2.875% per annum based on WM Cayman II’s leverage ratio on a consolidated basis. Approximately $239.1 million and $911.0 million of the WM Cayman II Revolver bears interest at a rate of Term SOFR plus 1.975% per year and HIBOR plus 1.875% per year, respectively. As of March 31, 2025, the weighted average interest rate was approximately 5.76%. As of March 31, 2025, the available borrowing capacity under the WM Cayman II Revolver was $353.3 million. </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(2) As of March 31, 2025, the net carrying amount of the WML Convertible Bonds was $503.5 million, with unamortized debt discount and debt issuance costs of $96.5 million. The Company recorded contractual interest expense of $6.8 million and $6.8 million and amortization of discounts and issuance costs of $5.0 million and $4.6 million during the three months ended March 31, 2025 and 2024, respectively.</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The WRF Credit Facilities bear interest at a rate of Term SOFR plus 1.75% per year. As of March 31, 2025, the weighted average interest rate was approximately 6.17%. Additionally, as of March 31, 2025, the available borrowing capacity under the WRF Revolver was $735.3 million, net of $14.7 million in outstanding letters of credit. </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(4) The Retail Term Loan bears interest at a rate of adjusted daily simple secured overnight financing rate ("SOFR") plus 2.15% per year. As of March 31, 2025, the effective interest rate was 5.54%.</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Covenant Compliance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management believes the Company was in compliance with all debt covenants.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Long-Term Debt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Company's long-term debt as of March 31, 2025 and December 31, 2024 was approximately $10.45 billion and $10.46 billion, respectively, compared to its carrying value, excluding debt issuance costs and original issue discount and premium, of $10.63 billion and $10.64 billion, respectively. The estimated fair value of the Company's long-term debt is based on recent trades, if available, and indicative pricing from market information (Level 2 inputs).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0075"/>
                <wp:effectExtent l="0" t="0" r="0" b="0"/>
                <wp:wrapNone/>
                <wp:docPr id="11" name="Frame1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Derivative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WML Convertible Bond Conversion Option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feature contained within the WML Convertible Bonds (the "WML Convertible Bond Conversion Option Derivative") is not indexed to WML's equity and, as such, is required to be bifurcated from the debt host contract and accounted for as a free-standing derivative, reported at fair value as of the end of each reporting period, with changes recognized in the Condensed Consolidated Statements of Income. The following table sets forth the inputs to the lattice models that were used to value the WML Convertible Bond Conversion Option Derivative:</w:t>
      </w:r>
    </w:p>
    <w:tbl>
      <w:tblPr>
        <w:tblW w:w="5008" w:type="dxa"/>
        <w:jc w:val="center"/>
        <w:tblInd w:w="0" w:type="dxa"/>
        <w:tblLayout w:type="fixed"/>
        <w:tblCellMar>
          <w:top w:w="28" w:type="dxa"/>
          <w:left w:w="28" w:type="dxa"/>
          <w:bottom w:w="28" w:type="dxa"/>
          <w:right w:w="28" w:type="dxa"/>
        </w:tblCellMar>
      </w:tblPr>
      <w:tblGrid>
        <w:gridCol w:w="677"/>
        <w:gridCol w:w="595"/>
        <w:gridCol w:w="602"/>
        <w:gridCol w:w="481"/>
        <w:gridCol w:w="511"/>
        <w:gridCol w:w="271"/>
        <w:gridCol w:w="109"/>
        <w:gridCol w:w="109"/>
        <w:gridCol w:w="109"/>
        <w:gridCol w:w="568"/>
        <w:gridCol w:w="603"/>
        <w:gridCol w:w="373"/>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stock price</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volatility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(1)</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Dividend yield is assumed to be zero in the lattice model used to value the WML Convertible Bond Conversion Option Derivative, due to a dividend protection feature in the WML Convertible Bond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estimated fair value of the embedded derivative was a liability of $49.0 million and $33.0 million, respectively, recorded in Long-term debt in the accompanying Condensed Consolidated Balance Sheets. In connection with the change in fair value, the Company recorded a loss of $16.0 million and $16.3 million within Change in derivatives fair value in the accompanying Condensed Consolidated Statements of Income for the three months ended March 31, 2025 and 2024, respectively.</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Swaps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2025, the Company entered into three foreign currency swap agreements (the "Foreign Currency Swaps") with the objective of managing foreign currency exchange rate risk associated with the U.S. dollar denominated 2026 WML 5 1/2% Senior Notes, 2027 WML 5 1/2% Senior Notes, and 2028 WML 5 5/8% Senior Notes. The Foreign Currency Swaps exchange predetermined amounts of Hong Kong dollars for U.S. dollars at a contractual spot rate, have notional amounts of $800.0 million, $750.0 million, and $1.35 billion, and mature in January 2026, October 2027, and August 2028, respectively.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total fair value of the Foreign Currency Swaps was a liability of $9.3 million, of which $0.7 million was recorded in Other accrued liabilities and $8.6 million was recorded in Other long-term liabilities in the accompanying Condensed Consolidated Balance Sheets. The fair values of the Foreign Currency Swaps were estimated based on recent trades, if available, and indicative pricing from market information (Level 2 inputs). Changes in the fair values of the Foreign Currency Swaps are recorded in earnings, as these instruments are not designated as hedges. In connection with the change in fair value, the Company recorded a loss of $9.3 million within Change in derivatives fair value in the accompanying Condensed Consolidated Statements of Income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Stockholders' Deficit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Company’s Board of Directors authorized an increase in the amount of the Company's outstanding shares of common stock available for repurchase under the previously available repurchase authorization to $1.00 billion.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0075"/>
                <wp:effectExtent l="0" t="0" r="0" b="0"/>
                <wp:wrapNone/>
                <wp:docPr id="12" name="Frame1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repurchased 2,360,194 shares of its common stock at an average price of $84.76 per share for an aggregate cost of $200.0 million under the equity repurchase program. As of March 31, 2025, the Company had $613.0 million in repurchase authority remaining under the program.</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a cash dividend of $0.25 per share on its common stock during each of the three month periods ended March 31, 2025 and 2024 and recorded $26.6 million and $28.0 million against accumulated deficit,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2025, the Company's Board of Directors declared a cash dividend of $0.25 per share on its common stock, payable on May 30, 2025 to stockholders of record as of May 16, 2025.</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Macau,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WML Board of Directors has recommended the payment of a final dividend for the year ended December 31, 2024 of HK$0.185 per share on its common stock payable on June 11, 2025 to stockholders of record as of June 2, 2025. The payment of the final dividend is conditional upon shareholder approval at WML's 2025 Annual General Meeting to be held on May 23, 2025.</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WML Convertible Bonds, WM Cayman Holdings I Limited ("WM Cayman I"), a wholly owned subsidiary of the Company and holder of our approximate 72% ownership interest in WML, entered into a stock borrowing and lending agreement with Goldman Sachs International (the "WML Stock Borrower") in March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179,774,985 WML shares under the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Joint Venture</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Retail Joint Venture made aggregate distributions of approximately $6.3 million and $6.0 million, respectively, to its non-controlling interest holder. For more information on the Retail Joint Venture, see Note 16, "Retail Joint Venture."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0075"/>
                <wp:effectExtent l="0" t="0" r="0" b="0"/>
                <wp:wrapNone/>
                <wp:docPr id="13" name="Frame1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9 - Fair Value Measurements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The following tables present assets and liabilities carried at fair value (in thousands):</w:t>
      </w:r>
      <w:r>
        <w:rPr>
          <w:color w:val="000000"/>
        </w:rPr>
        <w:t> </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590"/>
        <w:gridCol w:w="1394"/>
        <w:gridCol w:w="1405"/>
        <w:gridCol w:w="255"/>
        <w:gridCol w:w="1020"/>
        <w:gridCol w:w="131"/>
        <w:gridCol w:w="109"/>
        <w:gridCol w:w="109"/>
        <w:gridCol w:w="109"/>
        <w:gridCol w:w="256"/>
        <w:gridCol w:w="749"/>
        <w:gridCol w:w="132"/>
        <w:gridCol w:w="109"/>
        <w:gridCol w:w="109"/>
        <w:gridCol w:w="109"/>
        <w:gridCol w:w="211"/>
        <w:gridCol w:w="826"/>
        <w:gridCol w:w="109"/>
        <w:gridCol w:w="109"/>
        <w:gridCol w:w="109"/>
        <w:gridCol w:w="109"/>
        <w:gridCol w:w="221"/>
        <w:gridCol w:w="757"/>
        <w:gridCol w:w="168"/>
      </w:tblGrid>
      <w:tr>
        <w:trPr/>
        <w:tc>
          <w:tcPr>
            <w:tcW w:w="15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775,770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95,390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 (see Note 7)</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48,982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Swaps (see Note 7)</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9,329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787,004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95,638</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7,510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7)</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33,007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0075"/>
                <wp:effectExtent l="0" t="0" r="0" b="0"/>
                <wp:wrapNone/>
                <wp:docPr id="14" name="Frame1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10 - Customer Contract Liabilities </w: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providing goods and services to its customers, there is often a timing difference between the Company receiving cash and the Company recording revenue for providing services or holding events.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liabilities associated with customer contracts are as follows (in thousands):</w:t>
      </w:r>
    </w:p>
    <w:tbl>
      <w:tblPr>
        <w:tblW w:w="10205" w:type="dxa"/>
        <w:jc w:val="left"/>
        <w:tblInd w:w="0" w:type="dxa"/>
        <w:tblLayout w:type="fixed"/>
        <w:tblCellMar>
          <w:top w:w="28" w:type="dxa"/>
          <w:left w:w="28" w:type="dxa"/>
          <w:bottom w:w="28" w:type="dxa"/>
          <w:right w:w="28" w:type="dxa"/>
        </w:tblCellMar>
      </w:tblPr>
      <w:tblGrid>
        <w:gridCol w:w="732"/>
        <w:gridCol w:w="438"/>
        <w:gridCol w:w="439"/>
        <w:gridCol w:w="212"/>
        <w:gridCol w:w="846"/>
        <w:gridCol w:w="109"/>
        <w:gridCol w:w="109"/>
        <w:gridCol w:w="109"/>
        <w:gridCol w:w="109"/>
        <w:gridCol w:w="216"/>
        <w:gridCol w:w="861"/>
        <w:gridCol w:w="111"/>
        <w:gridCol w:w="109"/>
        <w:gridCol w:w="109"/>
        <w:gridCol w:w="109"/>
        <w:gridCol w:w="218"/>
        <w:gridCol w:w="768"/>
        <w:gridCol w:w="112"/>
        <w:gridCol w:w="109"/>
        <w:gridCol w:w="109"/>
        <w:gridCol w:w="109"/>
        <w:gridCol w:w="212"/>
        <w:gridCol w:w="846"/>
        <w:gridCol w:w="109"/>
        <w:gridCol w:w="109"/>
        <w:gridCol w:w="109"/>
        <w:gridCol w:w="109"/>
        <w:gridCol w:w="216"/>
        <w:gridCol w:w="861"/>
        <w:gridCol w:w="111"/>
        <w:gridCol w:w="109"/>
        <w:gridCol w:w="109"/>
        <w:gridCol w:w="109"/>
        <w:gridCol w:w="217"/>
        <w:gridCol w:w="766"/>
        <w:gridCol w:w="170"/>
      </w:tblGrid>
      <w:tr>
        <w:trPr/>
        <w:tc>
          <w:tcPr>
            <w:tcW w:w="7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Casino outstanding chips and front money deposits </w:t>
            </w:r>
            <w:r>
              <w:rPr>
                <w:rFonts w:ascii="Times New Roman;sans-serif" w:hAnsi="Times New Roman;sans-serif"/>
                <w:b w:val="false"/>
                <w:color w:val="000000"/>
                <w:sz w:val="13"/>
              </w:rPr>
              <w:t>(1)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Advance room deposits and ticket sales </w:t>
            </w:r>
            <w:r>
              <w:rPr>
                <w:rFonts w:ascii="Times New Roman;sans-serif" w:hAnsi="Times New Roman;sans-serif"/>
                <w:b w:val="false"/>
                <w:color w:val="000000"/>
                <w:sz w:val="13"/>
              </w:rPr>
              <w:t>(2)</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gaming-related liabilities </w:t>
            </w:r>
            <w:r>
              <w:rPr>
                <w:rFonts w:ascii="Times New Roman;sans-serif" w:hAnsi="Times New Roman;sans-serif"/>
                <w:b w:val="false"/>
                <w:color w:val="000000"/>
                <w:sz w:val="13"/>
              </w:rPr>
              <w:t>(3)</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Loyalty program and related liabilities </w:t>
            </w:r>
            <w:r>
              <w:rPr>
                <w:rFonts w:ascii="Times New Roman;sans-serif" w:hAnsi="Times New Roman;sans-serif"/>
                <w:b w:val="false"/>
                <w:color w:val="000000"/>
                <w:sz w:val="13"/>
              </w:rPr>
              <w:t>(4)</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515,392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539,335</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(23,943)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524,973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578,979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(54,006)</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Stock-Based Compensation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total compensation cost for stock-based compensation plans was recorded as follows (in thousands):</w:t>
      </w:r>
    </w:p>
    <w:p>
      <w:pPr>
        <w:pStyle w:val="TextBody"/>
        <w:bidi w:val="0"/>
        <w:spacing w:before="0" w:after="0"/>
        <w:ind w:left="0" w:right="0" w:firstLine="450"/>
        <w:jc w:val="left"/>
        <w:rPr/>
      </w:pPr>
      <w:r>
        <w:rPr/>
      </w:r>
    </w:p>
    <w:tbl>
      <w:tblPr>
        <w:tblW w:w="6173" w:type="dxa"/>
        <w:jc w:val="left"/>
        <w:tblInd w:w="0" w:type="dxa"/>
        <w:tblLayout w:type="fixed"/>
        <w:tblCellMar>
          <w:top w:w="28" w:type="dxa"/>
          <w:left w:w="28" w:type="dxa"/>
          <w:bottom w:w="28" w:type="dxa"/>
          <w:right w:w="28" w:type="dxa"/>
        </w:tblCellMar>
      </w:tblPr>
      <w:tblGrid>
        <w:gridCol w:w="1332"/>
        <w:gridCol w:w="1171"/>
        <w:gridCol w:w="1186"/>
        <w:gridCol w:w="211"/>
        <w:gridCol w:w="736"/>
        <w:gridCol w:w="109"/>
        <w:gridCol w:w="109"/>
        <w:gridCol w:w="109"/>
        <w:gridCol w:w="109"/>
        <w:gridCol w:w="211"/>
        <w:gridCol w:w="73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expense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capitalized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15,671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12 - Income Taxes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expense of $11.0 million and $20.0 million for the three months ended March 31, 2025 and 2024, respectively, primarily related to its U.S.-based operating profits.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statutory tax rate of 21% and the effective tax rate of 11.9% is due to the exemption from Macau’s 12% Complementary Tax on casino gaming profits earned by Wynn Macau SA.</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0075"/>
                <wp:effectExtent l="0" t="0" r="0" b="0"/>
                <wp:wrapNone/>
                <wp:docPr id="15" name="Frame1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Earnings Per Share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attributable to Wynn Resorts by the weighted average number of common shares outstanding during the period. Diluted EPS is computed by dividing net income attributable to Wynn Resorts, adjusted for the potential dilutive impact assuming that the conversion of the WML Convertible Bonds occurred at the later of the date of issuance or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Other potentially dilutive securities include outstanding stock options and unvested restricted stock.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weighted average number of common and common equivalent shares used in the calculation of basic and diluted EPS consisted of the following (in thousands, except per share amounts):</w:t>
      </w:r>
      <w:r>
        <w:rPr>
          <w:color w:val="000000"/>
        </w:rPr>
        <w:t> </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2781"/>
        <w:gridCol w:w="2407"/>
        <w:gridCol w:w="2427"/>
        <w:gridCol w:w="211"/>
        <w:gridCol w:w="736"/>
        <w:gridCol w:w="109"/>
        <w:gridCol w:w="109"/>
        <w:gridCol w:w="109"/>
        <w:gridCol w:w="109"/>
        <w:gridCol w:w="211"/>
        <w:gridCol w:w="841"/>
        <w:gridCol w:w="155"/>
      </w:tblGrid>
      <w:tr>
        <w:trPr/>
        <w:tc>
          <w:tcPr>
            <w:tcW w:w="2781"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144,216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 of Wynn Resorts, Limited subsidiaries: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Assumed conversion of WML Convertible Bonds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144,216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effect of stock options, nonvested, and performance nonvested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and common equivalent shares outstanding</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105,730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111,333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 per common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 per common share,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nonvested, and performance nonvested shares excluded from the calculation of diluted net income per share</w:t>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The assumed conversion of the WML Convertible Bonds had an anti-dilutive impact for the three months ended March 31, 2025 and 2024.</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Note 14 - Leases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minimum and contingent operating lease income for the periods presented (in thousands):</w:t>
      </w:r>
    </w:p>
    <w:p>
      <w:pPr>
        <w:pStyle w:val="TextBody"/>
        <w:bidi w:val="0"/>
        <w:spacing w:before="0" w:after="0"/>
        <w:ind w:left="0" w:right="0" w:firstLine="450"/>
        <w:jc w:val="both"/>
        <w:rPr/>
      </w:pPr>
      <w:r>
        <w:rPr/>
      </w:r>
    </w:p>
    <w:tbl>
      <w:tblPr>
        <w:tblW w:w="4688" w:type="dxa"/>
        <w:jc w:val="left"/>
        <w:tblInd w:w="0" w:type="dxa"/>
        <w:tblLayout w:type="fixed"/>
        <w:tblCellMar>
          <w:top w:w="28" w:type="dxa"/>
          <w:left w:w="28" w:type="dxa"/>
          <w:bottom w:w="28" w:type="dxa"/>
          <w:right w:w="28" w:type="dxa"/>
        </w:tblCellMar>
      </w:tblPr>
      <w:tblGrid>
        <w:gridCol w:w="798"/>
        <w:gridCol w:w="701"/>
        <w:gridCol w:w="705"/>
        <w:gridCol w:w="211"/>
        <w:gridCol w:w="736"/>
        <w:gridCol w:w="109"/>
        <w:gridCol w:w="109"/>
        <w:gridCol w:w="109"/>
        <w:gridCol w:w="109"/>
        <w:gridCol w:w="211"/>
        <w:gridCol w:w="73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rental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rental income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51,527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54,809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Commitments and Contingencies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affiliates are involved in litigation arising in the normal course of business. In the opinion of management, such litigation is not expected to have a material effect on the Company's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0075"/>
                <wp:effectExtent l="0" t="0" r="0" b="0"/>
                <wp:wrapNone/>
                <wp:docPr id="16" name="Frame1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Al Marjan Island Funding Commitment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construction of Wynn Al Marjan Island, the Company is required to contribute capital to Island 3 to fund 40% of the project design and development costs in exchange for a pro-rata share of equity in Island 3. During the three months ended March 31, 2025, the Company contributed $51.2 million of cash into Island 3, bringing our life-to-date cash contributions to $682.9 million. The Company's remaining 40% pro-rata share of the required equity for the construction of Wynn Al Marjan Island is estimated to be between $650 million and $725 million inclusive of capitalized interest, fees, and certain improvements on the Island.</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Al Marjan Facility Completion Guarantee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2025, Wynn Al Marjan Island FZ-LLC (the "Borrower"), a wholly-owned subsidiary of Island 3, an unconsolidated affiliate, entered into a facility agreement with a syndicate of lenders (the "Al Marjan Facility Agreement") which provides the Borrower with a $2.4 billion (or equivalent in local currency) delayed draw secured term loan facility to finance the development of Wynn Al Marjan Island (the "Al Marjan Facility").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not a party to the Al Marjan Facility Agreement, but as a condition precedent to the Al Marjan Facility being made available to the Borrower, the Company and the government of Ras Al Khaimah, acting through the Investment and Development Office of Ras Al Khaimah (collectively the "Al Marjan Guarantors"), entered into a guarantee (the "Completion Guarantee") in favor of First Abu Dhabi Bank PJSC, as security agent for itself (the "Security Agent") and the other secured parties (collectively, the "Secured Parties") under the Al Marjan Facility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Completion Guarantee, the Al Marjan Guarantors, irrevocably and unconditionally jointly and severally, (a) have guaranteed to each Secured Party punctual performance by the Borrower of certain of its obligations under the Al Marjan Facility Agreement, and (b) have undertaken with each Secured Party: (i) to provide, within 10 business days upon receiving written demand by the Security Agent, (A) sufficient funds to ensure that practical completion of the project (as provided in the Al Marjan Facility Agreement) takes place no later than June 30, 2028 and (B) to fund amounts equal to any project cost overruns, to the extent the Borrower fails to fund such overruns; and (ii) to pay, whenever the Borrower does not pay, interest, commitment fees and other finance costs payable under the Al Marjan Facility Agreement as well as scheduled payments under any interest rate hedging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upon the occurrence of certain specified events of default, change of control events or credit rating downgrades under the Al Marjan Facility Agreement or the occurrence of certain commercial gaming license related events (including, among others, the loss of the commercial gaming license permitting the Borrower to conduct commercial gaming at the project and as further provided in the Al Marjan Facility Agreement), the Al Marjan Guarantors, irrevocably and unconditionally jointly and severally, have undertaken to pay, to the extent the Borrower does not pay, all then outstanding principal, interest, hedging liabilities and any and all other amounts and expenses then due and payable under the Al Marjan Facility Agreement and related agreements, within 10 business days upon receiving written demand by the Security Agent (or, in respect of the occurrence of certain commercial gaming license related events, if later, on the date falling 180 days following the occurrence of such event).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guarantees and undertakings provided by the Al Marjan Guarantors under the Completion Guarantee terminate on the earlier of: (1) the date on which all secured liabilities under the Al Marjan Facility Agreement have been paid in full, and (2) the date of practical completion of the project.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 Retail Joint Venture</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Retail Joint Venture had total assets of $96.4 million and $100.3 million, respectively, and total liabilities of $605.4 million and $605.8 million, respectively. As of March 31, 2025 and December 31, 2024, the Retail Joint Venture's liabilities included long-term debt of $597.6 million and $597.3 million, respectively, net of debt issuance costs, related to the outstanding borrowings under the Retail Term Loan.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0075"/>
                <wp:effectExtent l="0" t="0" r="0" b="0"/>
                <wp:wrapNone/>
                <wp:docPr id="17" name="Frame1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 Segment Information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its reportable segments based on factors such as geography, regulatory environment, the Company's organizational and management reporting structure and the information reviewed by its chief operating decision maker, the Company's Chief Executive Officer. The primary profitability measure used by the Company's CEO to review segment operating results and allocate resources is Adjusted Property EBITDAR.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segment information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0075"/>
                <wp:effectExtent l="0" t="0" r="0" b="0"/>
                <wp:wrapNone/>
                <wp:docPr id="18" name="Frame1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687"/>
        <w:gridCol w:w="371"/>
        <w:gridCol w:w="331"/>
        <w:gridCol w:w="109"/>
        <w:gridCol w:w="109"/>
        <w:gridCol w:w="109"/>
        <w:gridCol w:w="211"/>
        <w:gridCol w:w="841"/>
        <w:gridCol w:w="109"/>
        <w:gridCol w:w="109"/>
        <w:gridCol w:w="109"/>
        <w:gridCol w:w="109"/>
        <w:gridCol w:w="211"/>
        <w:gridCol w:w="826"/>
        <w:gridCol w:w="109"/>
        <w:gridCol w:w="109"/>
        <w:gridCol w:w="109"/>
        <w:gridCol w:w="109"/>
        <w:gridCol w:w="212"/>
        <w:gridCol w:w="846"/>
        <w:gridCol w:w="109"/>
        <w:gridCol w:w="109"/>
        <w:gridCol w:w="109"/>
        <w:gridCol w:w="109"/>
        <w:gridCol w:w="212"/>
        <w:gridCol w:w="831"/>
        <w:gridCol w:w="109"/>
        <w:gridCol w:w="109"/>
        <w:gridCol w:w="109"/>
        <w:gridCol w:w="109"/>
        <w:gridCol w:w="256"/>
        <w:gridCol w:w="492"/>
        <w:gridCol w:w="132"/>
        <w:gridCol w:w="109"/>
        <w:gridCol w:w="109"/>
        <w:gridCol w:w="109"/>
        <w:gridCol w:w="211"/>
        <w:gridCol w:w="976"/>
        <w:gridCol w:w="161"/>
      </w:tblGrid>
      <w:tr>
        <w:trPr/>
        <w:tc>
          <w:tcPr>
            <w:tcW w:w="68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Entertainment, retail and other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535,929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329,960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625,285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209,223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1,700,397</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 taxes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rFonts w:ascii="Times New Roman;sans-serif" w:hAnsi="Times New Roman;sans-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161,885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90,199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223,361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57,454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532,899</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264,310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268,589</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(176,162)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92,427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81,405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72,747</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0075"/>
                <wp:effectExtent l="0" t="0" r="0" b="0"/>
                <wp:wrapNone/>
                <wp:docPr id="19" name="Frame1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34" w:type="dxa"/>
        <w:jc w:val="left"/>
        <w:tblInd w:w="0" w:type="dxa"/>
        <w:tblLayout w:type="fixed"/>
        <w:tblCellMar>
          <w:top w:w="28" w:type="dxa"/>
          <w:left w:w="28" w:type="dxa"/>
          <w:bottom w:w="28" w:type="dxa"/>
          <w:right w:w="28" w:type="dxa"/>
        </w:tblCellMar>
      </w:tblPr>
      <w:tblGrid>
        <w:gridCol w:w="676"/>
        <w:gridCol w:w="358"/>
        <w:gridCol w:w="317"/>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631"/>
        <w:gridCol w:w="109"/>
        <w:gridCol w:w="109"/>
        <w:gridCol w:w="109"/>
        <w:gridCol w:w="109"/>
        <w:gridCol w:w="211"/>
        <w:gridCol w:w="976"/>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Entertainment, retail and other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586,901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411,744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636,548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217,784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1,862,909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 taxes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rFonts w:ascii="Times New Roman;sans-serif" w:hAnsi="Times New Roman;sans-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202,370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246,262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63,135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646,535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283,594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362,941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(166,429)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176,498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144,216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lease revenue accounted for under lease accounting guidance. For more information on leases, see Note 14, "Leases."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Primarily comprised of payroll, cost of goods sold, marketing, promotional, facilities, taxes and licenses (excluding gaming taxes) and other operating expenses.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For Las Vegas Operations, includes table and slot license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0075"/>
                <wp:effectExtent l="0" t="0" r="0" b="0"/>
                <wp:wrapNone/>
                <wp:docPr id="20" name="Frame2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0075"/>
                <wp:effectExtent l="0" t="0" r="0" b="0"/>
                <wp:wrapNone/>
                <wp:docPr id="21" name="Frame2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4794" w:type="dxa"/>
        <w:jc w:val="left"/>
        <w:tblInd w:w="0" w:type="dxa"/>
        <w:tblLayout w:type="fixed"/>
        <w:tblCellMar>
          <w:top w:w="28" w:type="dxa"/>
          <w:left w:w="28" w:type="dxa"/>
          <w:bottom w:w="28" w:type="dxa"/>
          <w:right w:w="28" w:type="dxa"/>
        </w:tblCellMar>
      </w:tblPr>
      <w:tblGrid>
        <w:gridCol w:w="799"/>
        <w:gridCol w:w="701"/>
        <w:gridCol w:w="705"/>
        <w:gridCol w:w="211"/>
        <w:gridCol w:w="841"/>
        <w:gridCol w:w="109"/>
        <w:gridCol w:w="109"/>
        <w:gridCol w:w="109"/>
        <w:gridCol w:w="109"/>
        <w:gridCol w:w="211"/>
        <w:gridCol w:w="73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65,589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46,810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159,931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97,702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332" w:type="dxa"/>
        <w:jc w:val="left"/>
        <w:tblInd w:w="0" w:type="dxa"/>
        <w:tblLayout w:type="fixed"/>
        <w:tblCellMar>
          <w:top w:w="28" w:type="dxa"/>
          <w:left w:w="28" w:type="dxa"/>
          <w:bottom w:w="28" w:type="dxa"/>
          <w:right w:w="28" w:type="dxa"/>
        </w:tblCellMar>
      </w:tblPr>
      <w:tblGrid>
        <w:gridCol w:w="1100"/>
        <w:gridCol w:w="968"/>
        <w:gridCol w:w="977"/>
        <w:gridCol w:w="211"/>
        <w:gridCol w:w="1096"/>
        <w:gridCol w:w="109"/>
        <w:gridCol w:w="109"/>
        <w:gridCol w:w="109"/>
        <w:gridCol w:w="109"/>
        <w:gridCol w:w="223"/>
        <w:gridCol w:w="1159"/>
        <w:gridCol w:w="162"/>
      </w:tblGrid>
      <w:tr>
        <w:trPr/>
        <w:tc>
          <w:tcPr>
            <w:tcW w:w="110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2,813,190 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1,412,795 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Macau</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5,026,329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5,004,913</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2,835,231 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12,724,044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12,977,963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0075"/>
                <wp:effectExtent l="0" t="0" r="0" b="0"/>
                <wp:wrapNone/>
                <wp:docPr id="22" name="Frame2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and is qualified in its entirety by, the unaudited condensed consolidated financial statements and the notes thereto included elsewhere in this Quarterly Report on Form 10-Q and the audited consolidated financial statements appearing in our Annual Report on Form 10-K for the year ended December 31, 2024.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2024 and other factors we describe from time to time in our periodic filings with the Securities and Exchange Commission ("SEC"), such as:</w:t>
      </w:r>
    </w:p>
    <w:p>
      <w:pPr>
        <w:pStyle w:val="TextBody"/>
        <w:bidi w:val="0"/>
        <w:spacing w:before="0" w:after="0"/>
        <w:ind w:left="0" w:right="0" w:firstLine="45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extensive regulation of our business and the cost of compliance or failure to comply with applicable laws and regulations;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pending or future investigations, litigation and other disputes;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dependence on key managers and employees;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ability to maintain our gaming licenses and concessions and comply with applicable gaming law;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international relations, national security policies, anticorruption campaigns and other geopolitical events, which may impact the number of visitors to our properties and the amount of money they are willing to spend;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public perception of our resorts and the level of service we provide;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dependence on a limited number of resorts and locations for all of our cash flow and our subsidiaries' ability to pay us dividends and distributions;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competition in the casino/hotel and resort industries and actions taken by our competitors, including new development and construction activities of competitors;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maintain our customer relationships and collect and enforce gaming receivables;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win rates for our gaming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construction and regulatory risks associated with our current and future construction projects or co-investments in such projects;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any violations by us of various anti-money laundering laws or the Foreign Corrupt Practices Act;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compliance with environmental requirements and potential cleanup responsibility and liability as an owner or operator of property;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adverse incidents or adverse publicity concerning our resorts or our corporate responsibilities;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and compliance with the gaming laws or regulations in the various jurisdictions in which we operate;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tax laws or regulations related to taxation, including changes in the rates of taxation;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collection and use of personal data and our level of compliance with applicable governmental regulations, credit card industry standards and other applicable data security standards;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cybersecurity risk, including cyber and physical security breaches, system failure, computer viruses, and negligent or intentional misuse by customers, company employees, or employees of third-party vendors;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ability to protect our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0075"/>
                <wp:effectExtent l="0" t="0" r="0" b="0"/>
                <wp:wrapNone/>
                <wp:docPr id="23" name="Frame2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labor actions and other labor problems;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current and future insurance coverage levels;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risks specifically associated with our Macau Operations;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the level of our indebtedness and our ability to meet our debt service obligations (including sensitivity to fluctuations in interest rates);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continued compliance with the covenants in our debt agreements.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 equity interest in Island 3 AMI FZ-LLC ("Island 3"), an unconsolidated affiliate, which is constructing an integrated resort property ("Wynn Al Marjan Island") in Ras Al Khaimah, United Arab Emirates.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Measures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operating measures specific to the gaming industry are included in our discussion of our operational performance for the periods for which the Condensed Consolidated Statements of Income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Table drop in mass market for our Macau Operations is the amount of cash that is deposited in a gaming table's drop box plus cash chips purchased at the casino cage.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our Las Vegas Operations is the amount of cash and net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Encore Boston Harbor is the amount of cash and gross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Rolling chips are non-negotiable identifiable chips that are used to track turnover for purposes of calculating incentives within our Macau Operations' VIP program.</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Turnover is the sum of all losing rolling chip wagers within our Macau Operations' VIP program.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0075"/>
                <wp:effectExtent l="0" t="0" r="0" b="0"/>
                <wp:wrapNone/>
                <wp:docPr id="24" name="Frame2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Average daily rate ("ADR") is calculated by dividing total room revenues, including complimentaries (less service charges, if any), by total rooms occupied.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Revenue per available room ("REVPAR") is calculated by dividing total room revenues, including complimentaries (less service charges, if any), by total rooms available.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Occupancy is calculated by dividing total occupied rooms, including complimentary rooms, by the total rooms available.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discussion of the methodologies used to calculate win percentages at our resorts.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first quarter 2025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financial results for the periods presented (dollars in thousands, except per share data):</w:t>
      </w:r>
    </w:p>
    <w:tbl>
      <w:tblPr>
        <w:tblW w:w="10205" w:type="dxa"/>
        <w:jc w:val="left"/>
        <w:tblInd w:w="0" w:type="dxa"/>
        <w:tblLayout w:type="fixed"/>
        <w:tblCellMar>
          <w:top w:w="28" w:type="dxa"/>
          <w:left w:w="28" w:type="dxa"/>
          <w:bottom w:w="28" w:type="dxa"/>
          <w:right w:w="28" w:type="dxa"/>
        </w:tblCellMar>
      </w:tblPr>
      <w:tblGrid>
        <w:gridCol w:w="1404"/>
        <w:gridCol w:w="1223"/>
        <w:gridCol w:w="1229"/>
        <w:gridCol w:w="211"/>
        <w:gridCol w:w="976"/>
        <w:gridCol w:w="109"/>
        <w:gridCol w:w="109"/>
        <w:gridCol w:w="109"/>
        <w:gridCol w:w="109"/>
        <w:gridCol w:w="211"/>
        <w:gridCol w:w="976"/>
        <w:gridCol w:w="109"/>
        <w:gridCol w:w="109"/>
        <w:gridCol w:w="109"/>
        <w:gridCol w:w="109"/>
        <w:gridCol w:w="263"/>
        <w:gridCol w:w="1119"/>
        <w:gridCol w:w="135"/>
        <w:gridCol w:w="109"/>
        <w:gridCol w:w="109"/>
        <w:gridCol w:w="109"/>
        <w:gridCol w:w="374"/>
        <w:gridCol w:w="363"/>
        <w:gridCol w:w="522"/>
      </w:tblGrid>
      <w:tr>
        <w:trPr/>
        <w:tc>
          <w:tcPr>
            <w:tcW w:w="140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(162,512)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revenues for the three months ended March 31, 2025 was largely driven by decreased operating revenues of $132.8 million at our Macau Operations primarily as a result of lower VIP win as a percentage of turnover and mass market table games win, as well as a decrease in ADR across our properties.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income attributable to Wynn Resorts, Limited for the three months ended March 31, 2025 was primarily due to a decrease in operating revenues at our Macau Operations, partially offset by a decrease in operating expenses.</w:t>
      </w:r>
    </w:p>
    <w:p>
      <w:pPr>
        <w:pStyle w:val="TextBody"/>
        <w:bidi w:val="0"/>
        <w:spacing w:before="0" w:after="0"/>
        <w:ind w:left="0" w:right="0" w:firstLine="45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00075"/>
                <wp:effectExtent l="0" t="0" r="0" b="0"/>
                <wp:wrapNone/>
                <wp:docPr id="25" name="Frame2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results for the three months ended March 31, 2025 compared to the three months ended March 31,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revenues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operating revenues (dollars in thousands): </w:t>
      </w:r>
    </w:p>
    <w:p>
      <w:pPr>
        <w:pStyle w:val="TextBody"/>
        <w:bidi w:val="0"/>
        <w:spacing w:before="0" w:after="0"/>
        <w:ind w:left="0" w:right="0" w:firstLine="450"/>
        <w:jc w:val="left"/>
        <w:rPr/>
      </w:pPr>
      <w:r>
        <w:rPr/>
      </w:r>
    </w:p>
    <w:tbl>
      <w:tblPr>
        <w:tblW w:w="8852" w:type="dxa"/>
        <w:jc w:val="left"/>
        <w:tblInd w:w="0" w:type="dxa"/>
        <w:tblLayout w:type="fixed"/>
        <w:tblCellMar>
          <w:top w:w="28" w:type="dxa"/>
          <w:left w:w="28" w:type="dxa"/>
          <w:bottom w:w="28" w:type="dxa"/>
          <w:right w:w="28" w:type="dxa"/>
        </w:tblCellMar>
      </w:tblPr>
      <w:tblGrid>
        <w:gridCol w:w="864"/>
        <w:gridCol w:w="758"/>
        <w:gridCol w:w="763"/>
        <w:gridCol w:w="211"/>
        <w:gridCol w:w="991"/>
        <w:gridCol w:w="109"/>
        <w:gridCol w:w="109"/>
        <w:gridCol w:w="109"/>
        <w:gridCol w:w="109"/>
        <w:gridCol w:w="211"/>
        <w:gridCol w:w="991"/>
        <w:gridCol w:w="109"/>
        <w:gridCol w:w="109"/>
        <w:gridCol w:w="109"/>
        <w:gridCol w:w="109"/>
        <w:gridCol w:w="269"/>
        <w:gridCol w:w="1151"/>
        <w:gridCol w:w="139"/>
        <w:gridCol w:w="109"/>
        <w:gridCol w:w="109"/>
        <w:gridCol w:w="109"/>
        <w:gridCol w:w="381"/>
        <w:gridCol w:w="381"/>
        <w:gridCol w:w="54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865,889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998,645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(132,756)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1,700,397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1,862,909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(162,512)</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hanging="27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66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991"/>
        <w:gridCol w:w="109"/>
        <w:gridCol w:w="109"/>
        <w:gridCol w:w="109"/>
        <w:gridCol w:w="109"/>
        <w:gridCol w:w="269"/>
        <w:gridCol w:w="1151"/>
        <w:gridCol w:w="139"/>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1,121,466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(81,036)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Non-casino revenues: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non-casino revenues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659,967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741,443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(81,476)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1,700,397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1,862,909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(162,512)</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revenues for the three months ended March 31, 2025 were 61.2% of operating revenues, compared to 60.2% for the same period of 2024. Non-casino revenues for the three months ended March 31, 2025 were 38.8% of operating revenues, compared to 39.8% for the same period of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Casino revenues</w:t>
      </w:r>
      <w:r>
        <w:rPr>
          <w:color w:val="000000"/>
        </w:rPr>
        <w:t>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revenues decreased primarily due to lower VIP win as a percentage of turnover and mass market table games win at our Macau Operations, partially offset by an increase in casino revenues from our Las Vegas Operations primarily due to higher slot machine handle.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00075"/>
                <wp:effectExtent l="0" t="0" r="0" b="0"/>
                <wp:wrapNone/>
                <wp:docPr id="26" name="Frame2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our casino revenues and associated key operating measures (dollars in thousands, except for win per unit per day): </w:t>
      </w:r>
    </w:p>
    <w:p>
      <w:pPr>
        <w:pStyle w:val="TextBody"/>
        <w:bidi w:val="0"/>
        <w:spacing w:before="0" w:after="0"/>
        <w:ind w:left="0" w:right="0" w:firstLine="495"/>
        <w:jc w:val="both"/>
        <w:rPr/>
      </w:pPr>
      <w:r>
        <w:rPr/>
      </w:r>
    </w:p>
    <w:tbl>
      <w:tblPr>
        <w:tblW w:w="9610" w:type="dxa"/>
        <w:jc w:val="left"/>
        <w:tblInd w:w="0" w:type="dxa"/>
        <w:tblLayout w:type="fixed"/>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69"/>
        <w:gridCol w:w="1151"/>
        <w:gridCol w:w="139"/>
        <w:gridCol w:w="109"/>
        <w:gridCol w:w="109"/>
        <w:gridCol w:w="109"/>
        <w:gridCol w:w="381"/>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table games win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1,589,685 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1,542,885 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00075"/>
                <wp:effectExtent l="0" t="0" r="0" b="0"/>
                <wp:wrapNone/>
                <wp:docPr id="27" name="Frame2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1,778,087 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1,402,847 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00075"/>
                <wp:effectExtent l="0" t="0" r="0" b="0"/>
                <wp:wrapNone/>
                <wp:docPr id="28" name="Frame2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Non-casino revenues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our room revenues and associated key operating measures: </w:t>
      </w:r>
    </w:p>
    <w:tbl>
      <w:tblPr>
        <w:tblW w:w="10046"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295"/>
        <w:gridCol w:w="1113"/>
        <w:gridCol w:w="152"/>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Wynn Palace</w:t>
            </w:r>
            <w:r>
              <w:rPr>
                <w:rFonts w:ascii="Times New Roman;sans-serif" w:hAnsi="Times New Roman;sans-serif"/>
                <w:b w:val="false"/>
                <w:color w:val="000000"/>
                <w:sz w:val="16"/>
              </w:rPr>
              <w:t>:</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Room revenues decreased $52.9 million, primarily due to lower ADR. Room revenues during the three months ended March 31, 2024 benefited from higher room rates during the Super Bowl that was held in Las Vegas.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decreased $17.1 million primarily due to decreased covers at our Las Vegas Operations. The three months ended March 31, 2024 included incremental food and beverage revenue from Super Bowl-related events and from outlets undergoing renovations during the three months ended March 31, 2025.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revenues decreased $11.5 million, primarily due to a decrease in operating revenues at Wynn Interactive following the closure of its digital sports betting and casino gaming business in the third quarter of 2024.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00075"/>
                <wp:effectExtent l="0" t="0" r="0" b="0"/>
                <wp:wrapNone/>
                <wp:docPr id="29" name="Frame2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operating expenses (dollars in thousands): </w:t>
      </w:r>
    </w:p>
    <w:p>
      <w:pPr>
        <w:pStyle w:val="TextBody"/>
        <w:bidi w:val="0"/>
        <w:spacing w:before="0" w:after="0"/>
        <w:ind w:left="0" w:right="0" w:firstLine="450"/>
        <w:jc w:val="both"/>
        <w:rPr/>
      </w:pPr>
      <w:r>
        <w:rPr/>
      </w:r>
    </w:p>
    <w:tbl>
      <w:tblPr>
        <w:tblW w:w="9062" w:type="dxa"/>
        <w:jc w:val="left"/>
        <w:tblInd w:w="0" w:type="dxa"/>
        <w:tblLayout w:type="fixed"/>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991"/>
        <w:gridCol w:w="109"/>
        <w:gridCol w:w="109"/>
        <w:gridCol w:w="109"/>
        <w:gridCol w:w="109"/>
        <w:gridCol w:w="295"/>
        <w:gridCol w:w="1113"/>
        <w:gridCol w:w="152"/>
        <w:gridCol w:w="109"/>
        <w:gridCol w:w="109"/>
        <w:gridCol w:w="109"/>
        <w:gridCol w:w="381"/>
        <w:gridCol w:w="381"/>
        <w:gridCol w:w="5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1,431,808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1,499,968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(68,160)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total operating expenses was primarily due to lower casino expenses at our Macau Operations driven by a decrease in gaming tax expense and a decrease in depreciation and amortization expense at Encore Boston Harbor.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expenses decreased $29.6 million and $11.0 million at Wynn Macau and Wynn Palace, respectively, which includes decreases of $30.8 million and $12.7 million in gaming tax expense at Wynn Macau and Wynn Palace, respectively, as a result of lower casino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expenses decreased $5.2 million primarily due to decreased operating costs related to Wynn Interactive following the closure of its digital sports betting and casino gaming business in the third quarter of 2024.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decreased $17.4 million at Encore Boston Harbor as result of certain furniture, fixtures and equipment assets being fully depreciated five years after the opening of the property in June of 2019.</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 expenses for the three months ended March 31, 2025 consisted primarily of asset abandonments of $4.8 million at our Macau Operations and contract termination costs of $5.8 million at Encore Boston Harbor. Property charges and other expenses for the three months ended March 31, 2024 consisted primarily of asset abandonments of $11.4 million at Wynn Palace and contract terminations and other expenses of $5.1 million at Corporate and other.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00075"/>
                <wp:effectExtent l="0" t="0" r="0" b="0"/>
                <wp:wrapNone/>
                <wp:docPr id="30" name="Frame3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decreased $24.8 million due to a decrease in the weighted average debt balance, from $11.92 billion for the three months ended March 31, 2024, to $10.94 billion for the three months ended March 31, 2025, and a decrease in the weighted average interest rate, from 6.11% for the three months ended March 31, 2024, to 5.76% for the three months ended March 31, 2025. In addition, we capitalized interest of $10.2 million and $3.3 million in the three months ended March 31, 2025 and 2024,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interest income of $19.4 million and $40.2 million in the three months ended March 31, 2025 and 2024, respectively,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foreign currency remeasurement loss of $8.4 million and $4.7 million for the three months ended March 31, 2025 and 2024, respectively. The impact of the exchange rate fluctuation of the Macau pataca, in relation to the U.S. dollar, on the remeasurements of U.S. dollar denominated debt and other obligations from our Macau-related entities drove the variability between periods.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We recorded a loss of $29.5 million for the three months ended March 31, 2025, from change in derivatives fair value, primarily related to the conversion feature of the WML Convertible Bonds and foreign currency swaps. We recorded a loss of $17.9 million for the three months ended March 31, 2024, from change in derivatives fair value, primarily related to the conversion feature of the WML Convertible Bonds. F</w:t>
      </w:r>
      <w:r>
        <w:rPr>
          <w:rFonts w:ascii="Times New Roman;sans-serif" w:hAnsi="Times New Roman;sans-serif"/>
          <w:b w:val="false"/>
          <w:color w:val="000000"/>
          <w:sz w:val="20"/>
          <w:shd w:fill="FFFFFF" w:val="clear"/>
        </w:rPr>
        <w:t xml:space="preserve">or more information on the Company's derivative instruments, refer to </w:t>
      </w:r>
      <w:r>
        <w:rPr>
          <w:rFonts w:ascii="Times New Roman;sans-serif" w:hAnsi="Times New Roman;sans-serif"/>
          <w:b w:val="false"/>
          <w:color w:val="000000"/>
          <w:sz w:val="20"/>
        </w:rPr>
        <w:t>Item 1—"Notes to Condensed Consolidated Financial Statements," Note 7, "Derivative Instruments."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$1.6 million loss on debt financing transactions in the three months ended March 31, 2024, primarily related to the issuance of the 2031 Add-On WRF Senior Notes and the repurchase of the 2025 WLV Senior Notes.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an income tax expense of $11.0 million and $20.0 million for the three months ended March 31, 2025 and 2024, respectively, primarily related to our U.S.-based operating profits.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noncontrolling interests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net income attributable to noncontrolling interests of $8.7 million and $32.3 million for the three months ended March 31, 2025 and 2024, respectively. These amounts are primarily related to the noncontrolling interests' share of net income attributable to WML.</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further described in Item 1—"Notes to Condensed Consolidated Financial Statements," Note 17, "Segment Information," we use Adjusted Property EBITDAR to manage the operating results of our segments.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00075"/>
                <wp:effectExtent l="0" t="0" r="0" b="0"/>
                <wp:wrapNone/>
                <wp:docPr id="31" name="Frame3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Adjusted Property EBITDAR (dollars in thousands) for Wynn Palace, Wynn Macau, Las Vegas Operations, Encore Boston Harbor, and Corporate and other as reviewed by management and summarized in Item 1—"Notes to Condensed Consolidated Financial Statements," Note 17, "Segment Information." That footnote also presents a reconciliation of Adjusted Property EBITDAR to net income attributable to Wynn Resorts, Limited. </w:t>
      </w:r>
    </w:p>
    <w:p>
      <w:pPr>
        <w:pStyle w:val="TextBody"/>
        <w:bidi w:val="0"/>
        <w:spacing w:before="0" w:after="0"/>
        <w:ind w:left="0" w:right="0" w:firstLine="450"/>
        <w:jc w:val="both"/>
        <w:rPr/>
      </w:pPr>
      <w:r>
        <w:rPr/>
      </w:r>
    </w:p>
    <w:tbl>
      <w:tblPr>
        <w:tblW w:w="8103" w:type="dxa"/>
        <w:jc w:val="left"/>
        <w:tblInd w:w="0" w:type="dxa"/>
        <w:tblLayout w:type="fixed"/>
        <w:tblCellMar>
          <w:top w:w="28" w:type="dxa"/>
          <w:left w:w="28" w:type="dxa"/>
          <w:bottom w:w="28" w:type="dxa"/>
          <w:right w:w="28" w:type="dxa"/>
        </w:tblCellMar>
      </w:tblPr>
      <w:tblGrid>
        <w:gridCol w:w="712"/>
        <w:gridCol w:w="623"/>
        <w:gridCol w:w="630"/>
        <w:gridCol w:w="211"/>
        <w:gridCol w:w="826"/>
        <w:gridCol w:w="109"/>
        <w:gridCol w:w="109"/>
        <w:gridCol w:w="109"/>
        <w:gridCol w:w="109"/>
        <w:gridCol w:w="211"/>
        <w:gridCol w:w="826"/>
        <w:gridCol w:w="109"/>
        <w:gridCol w:w="109"/>
        <w:gridCol w:w="109"/>
        <w:gridCol w:w="109"/>
        <w:gridCol w:w="295"/>
        <w:gridCol w:w="1113"/>
        <w:gridCol w:w="152"/>
        <w:gridCol w:w="109"/>
        <w:gridCol w:w="109"/>
        <w:gridCol w:w="109"/>
        <w:gridCol w:w="381"/>
        <w:gridCol w:w="381"/>
        <w:gridCol w:w="543"/>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hanging="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at Wynn Macau and Wynn Palace decreased $47.0 million and $40.5 million, respectively, for the three months ended March 31, 2025 primarily due to a combined decrease in casino revenues of $100.1 million, partially offset by a decrease in gaming tax expense.</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our Las Vegas Operations decreased $22.9 million for the three months ended March 31, 2025 primarily due to higher operating expenses and a decrease in non-gaming revenues of $37.1 million. During the three months ended March 31, 2024, our hotel, restaurant, and nightlife operations benefited from higher room rates and incremental food and beverage revenues during the Super Bowl that was held in Las Vegas. The decrease for the three months ended March 31, 2025 was partially offset by an increase in casino revenues of $25.8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at Encore Boston Harbor decreased $5.7 million for the three months ended March 31, 2025, primarily due to a decrease in operating revenues of $8.6 million, partially offset by a decrease in operating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at Corporate and other increased $2.4 million for the three months ended March 31, 2025 as a result of ceasing our digital sports betting and casino gaming operations in the third quarter of 2024.</w: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the discussions above regarding the specific details of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0075"/>
                <wp:effectExtent l="0" t="0" r="0" b="0"/>
                <wp:wrapNone/>
                <wp:docPr id="32" name="Frame3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 (in thousands):</w:t>
      </w:r>
    </w:p>
    <w:tbl>
      <w:tblPr>
        <w:tblW w:w="8648" w:type="dxa"/>
        <w:jc w:val="left"/>
        <w:tblInd w:w="0" w:type="dxa"/>
        <w:tblLayout w:type="fixed"/>
        <w:tblCellMar>
          <w:top w:w="28" w:type="dxa"/>
          <w:left w:w="28" w:type="dxa"/>
          <w:bottom w:w="28" w:type="dxa"/>
          <w:right w:w="28" w:type="dxa"/>
        </w:tblCellMar>
      </w:tblPr>
      <w:tblGrid>
        <w:gridCol w:w="2113"/>
        <w:gridCol w:w="1854"/>
        <w:gridCol w:w="1867"/>
        <w:gridCol w:w="211"/>
        <w:gridCol w:w="901"/>
        <w:gridCol w:w="109"/>
        <w:gridCol w:w="109"/>
        <w:gridCol w:w="109"/>
        <w:gridCol w:w="109"/>
        <w:gridCol w:w="211"/>
        <w:gridCol w:w="901"/>
        <w:gridCol w:w="154"/>
      </w:tblGrid>
      <w:tr>
        <w:trPr/>
        <w:tc>
          <w:tcPr>
            <w:tcW w:w="211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 Summary</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133,774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315,094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investing activities: </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construction payables and retention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and other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 and 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(221,511)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(167,419)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(266,951)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(604,363)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on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(356,317)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(459,063)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decrease in cash flows from operating activities was primarily due to decreased revenues across our properties. During the three months ended March 31, 2024, the increase in cash flows from operating activities was primarily due to increased revenues from our Macau Operations and our Las Vegas Operations, which was partially offset by an increase in operating expenses associated with higher business volumes.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consist of project capital expenditures and maintenance capital expenditures associated with maintaining and continually refining our world-class integrated resort properties.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00075"/>
                <wp:effectExtent l="0" t="0" r="0" b="0"/>
                <wp:wrapNone/>
                <wp:docPr id="33" name="Frame3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incurred capital expenditures of $56.2 million at our Las Vegas Operations, $50.1 million at Wynn Palace, $15.5 million at Wynn Macau, and $4.7 million at Encore Boston Harbor primarily related to enhancements at our properties and maintenance capital expenditures, and $33.5 million at Corporate and other primarily related to future development projects. In addition, during the three months ended March 31, 2025, we invested $58.2 million, including $51.2 million of cash contributions, in the joint venture that is constructing Wynn Al Marjan Island.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incurred capital expenditures of $24.7 million at our Las Vegas Operations, $11.8 million at Encore Boston Harbor, $29.5 million at Wynn Palace, and $17.3 million at Wynn Macau primarily related to enhancements at our properties and maintenance capital expenditures, and $14.4 million at Corporate and other primarily related to future development projects. In addition, during the three months ended March 31, 2024, we invested $68.4 million, including $68.0 million of cash contributions, in the joint venture that is constructing Wynn Al Marjan Island.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made a scheduled amortization payment of $10.3 million on the WRF Term Loan, due in 2027. In addition, during the three months ended March 31, 2025, we repurchased 2,504,560 shares of our common stock for an aggregate cost of $212.0 million, including 2,360,194 shares of our common stock repurchased pursuant to our publicly announced equity repurchase program for an aggregate cost of $200.0 million. We also made dividend payments of $26.8 million and used cash of $6.3 million for distributions to noncontrolling interest holders of the Retail Joint Venture.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presents proceeds from the issuance, repayments, and repurchases of the specified debt instruments during the three months ended March 31, 2024 (in thousands):</w:t>
      </w:r>
    </w:p>
    <w:p>
      <w:pPr>
        <w:pStyle w:val="TextBody"/>
        <w:bidi w:val="0"/>
        <w:spacing w:before="0" w:after="0"/>
        <w:ind w:left="0" w:right="0" w:firstLine="450"/>
        <w:jc w:val="both"/>
        <w:rPr/>
      </w:pPr>
      <w:r>
        <w:rPr/>
      </w:r>
    </w:p>
    <w:tbl>
      <w:tblPr>
        <w:tblW w:w="7525" w:type="dxa"/>
        <w:jc w:val="left"/>
        <w:tblInd w:w="0" w:type="dxa"/>
        <w:tblLayout w:type="fixed"/>
        <w:tblCellMar>
          <w:top w:w="28" w:type="dxa"/>
          <w:left w:w="28" w:type="dxa"/>
          <w:bottom w:w="28" w:type="dxa"/>
          <w:right w:w="28" w:type="dxa"/>
        </w:tblCellMar>
      </w:tblPr>
      <w:tblGrid>
        <w:gridCol w:w="1127"/>
        <w:gridCol w:w="994"/>
        <w:gridCol w:w="999"/>
        <w:gridCol w:w="332"/>
        <w:gridCol w:w="1326"/>
        <w:gridCol w:w="171"/>
        <w:gridCol w:w="109"/>
        <w:gridCol w:w="109"/>
        <w:gridCol w:w="109"/>
        <w:gridCol w:w="393"/>
        <w:gridCol w:w="1569"/>
        <w:gridCol w:w="287"/>
      </w:tblGrid>
      <w:tr>
        <w:trPr/>
        <w:tc>
          <w:tcPr>
            <w:tcW w:w="112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Proceeds from 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 and repurchases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 Cayman II Revolver, due 2025</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149,663 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1/2% Senior Notes, due 2025</w:t>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796,691 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Credit Facilities:</w:t>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2027</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412,000</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956,666</w:t>
            </w:r>
            <w:r>
              <w:rPr>
                <w:color w:val="000000"/>
              </w:rPr>
              <w:t>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three months ended March 31, 2024, we made dividend payments of $28.0 million and used cash of $5.1 million for distributions to noncontrolling interest holders of the Retail Joint Venture.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00075"/>
                <wp:effectExtent l="0" t="0" r="0" b="0"/>
                <wp:wrapNone/>
                <wp:docPr id="34" name="Frame3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unrestricted cash and cash equivalents and available revolver borrowing capacity, presented by significant financing entity as of March 31, 2025 (in thousands): </w:t>
      </w:r>
    </w:p>
    <w:tbl>
      <w:tblPr>
        <w:tblW w:w="8470" w:type="dxa"/>
        <w:jc w:val="left"/>
        <w:tblInd w:w="0" w:type="dxa"/>
        <w:tblLayout w:type="fixed"/>
        <w:tblCellMar>
          <w:top w:w="28" w:type="dxa"/>
          <w:left w:w="28" w:type="dxa"/>
          <w:bottom w:w="28" w:type="dxa"/>
          <w:right w:w="28" w:type="dxa"/>
        </w:tblCellMar>
      </w:tblPr>
      <w:tblGrid>
        <w:gridCol w:w="1193"/>
        <w:gridCol w:w="1050"/>
        <w:gridCol w:w="1056"/>
        <w:gridCol w:w="403"/>
        <w:gridCol w:w="1894"/>
        <w:gridCol w:w="208"/>
        <w:gridCol w:w="109"/>
        <w:gridCol w:w="109"/>
        <w:gridCol w:w="109"/>
        <w:gridCol w:w="364"/>
        <w:gridCol w:w="1710"/>
        <w:gridCol w:w="265"/>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Revolver Borrowing Capacity</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 Limited and subsidiaries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1,490,599 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353,280 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Wynn Resorts Finance, LLC </w:t>
            </w:r>
            <w:r>
              <w:rPr>
                <w:rFonts w:ascii="Times New Roman;sans-serif" w:hAnsi="Times New Roman;sans-serif"/>
                <w:b w:val="false"/>
                <w:color w:val="000000"/>
                <w:sz w:val="13"/>
              </w:rPr>
              <w:t>(1)</w:t>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735,306 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Resorts, Limited and other</w:t>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411,219 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2,070,086</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1,088,586</w:t>
            </w: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Excluding Wynn Macau, Limited and subsidiaries.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Macau, Limited and subsidiaries</w:t>
      </w:r>
      <w:r>
        <w:rPr>
          <w:rFonts w:ascii="Times New Roman;sans-serif" w:hAnsi="Times New Roman;sans-serif"/>
          <w:b w:val="false"/>
          <w:color w:val="000000"/>
          <w:sz w:val="20"/>
        </w:rPr>
        <w:t>. WML generates cash from our Macau Operations and may utilize proceeds from the WM Cayman II Revolver as 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WML Board of Directors has recommended the payment of a final dividend for the year ended December 31, 2024 of HK$0.185 per share on its common stock payable on June 11, 2025 to stockholders of record as of June 2, 2025. The payment of the final dividend is conditional upon shareholder approval at WML's 2025 Annual General Meeting to be held on May 23,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portion of cash available for repatriation was repatriated on March 31, 2025, it would be subject to minimal U.S. taxes.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Resorts Finance, LLC and subsidiaries.</w:t>
      </w:r>
      <w:r>
        <w:rPr>
          <w:color w:val="000000"/>
        </w:rPr>
        <w:t xml:space="preserve"> </w:t>
      </w:r>
      <w:r>
        <w:rPr>
          <w:rFonts w:ascii="Times New Roman;sans-serif" w:hAnsi="Times New Roman;sans-serif"/>
          <w:b w:val="false"/>
          <w:color w:val="000000"/>
          <w:sz w:val="20"/>
        </w:rPr>
        <w:t>Wynn Resorts Finance, LLC ("WRF" or "Wynn Resorts Finance") 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to pay dividends or distributions to Wynn Resorts, and to fund working capital and capital expenditure requirements as needed.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 present uncertainty regarding tariffs and their potential impact on the cost of materials sourced from overseas, we are currently reassessing the timing, scope and sourcing of certain planned enhancements at Wynn Las Vegas representing approximately $375 million of previously disclosed project capital expenditures.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WRF is a holding company and, as a result, its ability to pay dividends or distributions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pStyle w:val="TextBody"/>
        <w:bidi w:val="0"/>
        <w:spacing w:before="0" w:after="0"/>
        <w:jc w:val="left"/>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00075"/>
                <wp:effectExtent l="0" t="0" r="0" b="0"/>
                <wp:wrapNone/>
                <wp:docPr id="35" name="Frame3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Resorts, Limited and other subsidiaries.</w:t>
      </w:r>
      <w:r>
        <w:rPr>
          <w:color w:val="000000"/>
        </w:rPr>
        <w:t xml:space="preserve"> </w:t>
      </w:r>
      <w:r>
        <w:rPr>
          <w:rFonts w:ascii="Times New Roman;sans-serif" w:hAnsi="Times New Roman;sans-serif"/>
          <w:b w:val="false"/>
          <w:color w:val="000000"/>
          <w:sz w:val="20"/>
        </w:rPr>
        <w:t>Wynn Resorts, Limited is a holding company and, as a result, our ability to pay dividends is dependent 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$150.0 million for the year ending December 31, 2025. We expect to use cash held by Wynn Resorts, Limited and other to service our Retail Term Loan, to fund working capital needs of our subsidiaries, pay dividends, make required capital contributions to the entity which owns Wynn Al Marjan Island, and for general corporate purposes.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the Company contributed $51.2 million of cash into Island 3, bringing our life-to-date cash contributions to $682.9 million. We estimate our remaining 40% pro-rata share of the required equity for the construction of the Wynn Al Marjan Island integrated resort is between $650 million and $725 million, inclusive of capitalized interest, fees, and certain improvements on the Island. Wynn Al Marjan Island is currently expected to open in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a cash dividend of $0.25 per share in the quarter ended March 31, 2025 and recorded $26.8 million against accumulated deficit.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2025, the Company announced that its Board of Directors declared a cash dividend of $0.25 per share, payable on May 30, 2025 to stockholders of record as of May 16, 2025.</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Factors Affecting Liquidity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refinance all or a portion of our indebtedness on or before maturity. We cannot assure you that we will be able to refinance any of the indebtedness on acceptable terms or at all.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Company’s Board of Directors authorized an increase in the amount of the Company's outstanding shares of common stock available for repurchase under the previously available repurchase authorization to $1.00 billion.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As of March 31, 2025, we had $613.0 million in repurchase authority remaining under the program.</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00075"/>
                <wp:effectExtent l="0" t="0" r="0" b="0"/>
                <wp:wrapNone/>
                <wp:docPr id="36" name="Frame3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Contractual Commitments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Except as described below, there have been no material changes to the contractual obligations previously reported in our Annual Report on Form 10-K for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Off Balance Sheet Arrangements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Wynn Al Marjan Island FZ-LLC, a wholly-owned subsidiary of Island 3, an unconsolidated affiliate, entered into a facility agreement which provides a $2.4 billion (or equivalent in local currency) delayed draw secured term loan facility to finance the development of Wynn Al Marjan Island (the "Al Marjan Facility"). The Company is not a party to the Al Marjan Facility agreement, but entered into a guarantee in favor of the secured parties under the Al Marjan Facility agreement. For additional information, refer to Note 15, "Commitments and Contingencies" of Part I in this Quarterly Report on Form 10-Q.</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critical accounting policies is included in Item 7 of our Annual Report on Form 10-K for the year ended December 31, 2024. There have been no significant changes to these policies for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Standards and Accounting Standards Issued But Not Yet Adopted</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related disclosure in Note 2, "Basis of Presentation and Significant Accounting Policies" of Part I in this Quarterly Report on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information about market risks to which we are exposed is included within our Annual Report on Form 10-K for the year ended December 31, 2024. </w:t>
      </w:r>
    </w:p>
    <w:p>
      <w:pPr>
        <w:pStyle w:val="TextBody"/>
        <w:bidi w:val="0"/>
        <w:spacing w:before="0" w:after="0"/>
        <w:ind w:left="0" w:right="0" w:firstLine="22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Sensitivity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mitigate exposure to interest rate fluctuations on the Retail Term Loan, in October 2024, the Company entered into an interest rate swap with a notional value of $600.0 million, maturing in February 2027. The interest rate swap effectively fixes the variable component of the interest rate on the Retail Term Loan at 3.385% through February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As of March 31, 2025, approximately 76% </w:t>
      </w:r>
      <w:r>
        <w:rPr>
          <w:rFonts w:ascii="Times New Roman;sans-serif" w:hAnsi="Times New Roman;sans-serif"/>
          <w:b w:val="false"/>
          <w:color w:val="000000"/>
          <w:sz w:val="20"/>
          <w:shd w:fill="FFFFFF" w:val="clear"/>
        </w:rPr>
        <w:t xml:space="preserve">of our long-term debt was based on fixed rates. Based on our outstanding borrowings as of </w:t>
      </w:r>
      <w:r>
        <w:rPr>
          <w:rFonts w:ascii="Times New Roman;sans-serif" w:hAnsi="Times New Roman;sans-serif"/>
          <w:b w:val="false"/>
          <w:color w:val="000000"/>
          <w:sz w:val="20"/>
        </w:rPr>
        <w:t>March 31, 2025 and after giving effect to the interest rate swap on the Retail Term Loan</w:t>
      </w:r>
      <w:r>
        <w:rPr>
          <w:rFonts w:ascii="Times New Roman;sans-serif" w:hAnsi="Times New Roman;sans-serif"/>
          <w:b w:val="false"/>
          <w:color w:val="000000"/>
          <w:sz w:val="20"/>
          <w:shd w:fill="FFFFFF" w:val="clear"/>
        </w:rPr>
        <w:t>, an assumed 100 basis point change in the variable rates would cause our annual interest expense to change by</w:t>
      </w:r>
      <w:r>
        <w:rPr>
          <w:color w:val="000000"/>
        </w:rPr>
        <w:t xml:space="preserve"> </w:t>
      </w:r>
      <w:r>
        <w:rPr>
          <w:rFonts w:ascii="Times New Roman;sans-serif" w:hAnsi="Times New Roman;sans-serif"/>
          <w:b w:val="false"/>
          <w:color w:val="000000"/>
          <w:sz w:val="20"/>
        </w:rPr>
        <w:t xml:space="preserve">$19.0 million.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00075"/>
                <wp:effectExtent l="0" t="0" r="0" b="0"/>
                <wp:wrapNone/>
                <wp:docPr id="37" name="Frame3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mitigate exposure to foreign currency fluctuations, in March 2025, the Company entered into three foreign currency swaps with the objective of managing foreign currency exchange rate risk associated with the U.S. dollar denominated 2026 WML 5 1/2% Senior Notes, 2027 WML 5 1/2% Senior Notes, and 2028 WML 5 5/8% Senior Notes. The foreign currency swaps exchange predetermined amounts of Hong Kong dollars for U.S. dollars at a contractual spot rate, have notional amounts of $800.0 million, $750.0 million, and $1.35 billion, and mature in January 2026, October 2027, and August 2028, respectively. For additional information, refer to Note 7, "Derivative Instruments" of Part I in this Quarterly Report on Form 10-Q.</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balances as of March 31, 2025 and after giving effect to our foreign currency swaps, an assumed 1% change in the U.S. dollar/Hong Kong dollar exchange rate would cause a gain/loss of $12.5 million to our income before income taxes.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00075"/>
                <wp:effectExtent l="0" t="0" r="0" b="0"/>
                <wp:wrapNone/>
                <wp:docPr id="38" name="Frame3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risk factors can be found in Item 1A, Part I of our Annual Report on Form 10-K for the year ended December 31, 2024. There were no material changes to those risk factors during the three months ended March 31, 2025.</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 repurchases made by the Company during the three months ended March 31, 2025:</w:t>
      </w:r>
    </w:p>
    <w:tbl>
      <w:tblPr>
        <w:tblW w:w="10205" w:type="dxa"/>
        <w:jc w:val="left"/>
        <w:tblInd w:w="0" w:type="dxa"/>
        <w:tblLayout w:type="fixed"/>
        <w:tblCellMar>
          <w:top w:w="28" w:type="dxa"/>
          <w:left w:w="28" w:type="dxa"/>
          <w:bottom w:w="28" w:type="dxa"/>
          <w:right w:w="28" w:type="dxa"/>
        </w:tblCellMar>
      </w:tblPr>
      <w:tblGrid>
        <w:gridCol w:w="515"/>
        <w:gridCol w:w="389"/>
        <w:gridCol w:w="395"/>
        <w:gridCol w:w="109"/>
        <w:gridCol w:w="109"/>
        <w:gridCol w:w="109"/>
        <w:gridCol w:w="754"/>
        <w:gridCol w:w="426"/>
        <w:gridCol w:w="427"/>
        <w:gridCol w:w="109"/>
        <w:gridCol w:w="109"/>
        <w:gridCol w:w="109"/>
        <w:gridCol w:w="269"/>
        <w:gridCol w:w="785"/>
        <w:gridCol w:w="138"/>
        <w:gridCol w:w="109"/>
        <w:gridCol w:w="109"/>
        <w:gridCol w:w="109"/>
        <w:gridCol w:w="957"/>
        <w:gridCol w:w="661"/>
        <w:gridCol w:w="663"/>
        <w:gridCol w:w="109"/>
        <w:gridCol w:w="109"/>
        <w:gridCol w:w="109"/>
        <w:gridCol w:w="444"/>
        <w:gridCol w:w="1741"/>
        <w:gridCol w:w="333"/>
      </w:tblGrid>
      <w:tr>
        <w:trPr/>
        <w:tc>
          <w:tcPr>
            <w:tcW w:w="51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as Part of Publicly Announced Plans or Programs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(in thousands)</w:t>
            </w:r>
          </w:p>
        </w:tc>
      </w:tr>
      <w:tr>
        <w:trPr/>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to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1,659,169 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1,543,731 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683,001 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to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408,163 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385,166 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to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437,228 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41,297 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613,001 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Shares purchased in January 2025, February 2025, and March 2025 include 115,377, 21,194 and 5,931 shares, respectively, purchased in satisfaction of employee tax withholding obligations on vested restricted stock granted under our stock incentive plans. Refer to Note 13, "Stock-Based Compensation" to our Consolidated Financial Statements included in our Annual Report on Form 10-K for the year ended December 31, 2024 for additional details on our stock incentive plans.</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3. Default Upon Senior Securities. </w:t>
      </w:r>
    </w:p>
    <w:p>
      <w:pPr>
        <w:pStyle w:val="TextBody"/>
        <w:bidi w:val="0"/>
        <w:spacing w:before="0" w:after="0"/>
        <w:ind w:left="0" w:right="0" w:firstLine="49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(as defined in Section 16 of the Exchange Act) adopted, modified or terminated a “Rule 10b5-1 trading arrangement” or a “non-Rule 10b5-1 trading arrangement” (each as defined in Item 408(a) and (c) of Regulation S-K)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00075"/>
                <wp:effectExtent l="0" t="0" r="0" b="0"/>
                <wp:wrapNone/>
                <wp:docPr id="39" name="Frame3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98"/>
        <w:gridCol w:w="2651"/>
        <w:gridCol w:w="378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Ninth Amended and Restated Bylaws of the Registrant. (Incorporated by reference from the Annual Report on Form 10-K filed by the Registrant on February 28, 2020.)</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wynn-executiveretirementpl.htm">
              <w:r>
                <w:rPr>
                  <w:rStyle w:val="InternetLink"/>
                  <w:rFonts w:ascii="Times New Roman;sans-serif" w:hAnsi="Times New Roman;sans-serif"/>
                  <w:b w:val="false"/>
                  <w:color w:val="0000FF"/>
                  <w:sz w:val="20"/>
                  <w:u w:val="single"/>
                </w:rPr>
                <w:t>Wynn Resorts, Limited Executive Retirement Plan</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 xml:space="preserve">Guarantee, dated as of February 5, 2025, between the Government of Ras Al Khaimah acting through the Investment and Development Office of Ras Al Khaimah and Wynn Resorts, Limited, in favor of First Abu Dhabi Bank PJSC for itself and as security agent for the other Secured Parties. (Incorporated by reference from the Current Report on Form 8-K filed by the Registrant on February 6, 2025.) </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ceoscertificationxq1.htm">
              <w:r>
                <w:rPr>
                  <w:rStyle w:val="InternetLink"/>
                  <w:rFonts w:ascii="Times New Roman;sans-serif" w:hAnsi="Times New Roman;sans-serif"/>
                  <w:b w:val="false"/>
                  <w:color w:val="000080"/>
                  <w:sz w:val="20"/>
                  <w:u w:val="single"/>
                </w:rPr>
                <w:t>Certification of Chief Executive Officer of Periodic Report Pursuant to Rule 13a</w:t>
              </w:r>
            </w:hyperlink>
            <w:hyperlink w:anchor="ex311-ceoscertificationxq1.htm">
              <w:r>
                <w:rPr>
                  <w:rStyle w:val="InternetLink"/>
                  <w:rFonts w:ascii="Times New Roman;sans-serif" w:hAnsi="Times New Roman;sans-serif"/>
                  <w:b w:val="false"/>
                  <w:color w:val="000080"/>
                  <w:sz w:val="20"/>
                  <w:u w:val="single"/>
                </w:rPr>
                <w:t>–</w:t>
              </w:r>
            </w:hyperlink>
            <w:hyperlink w:anchor="ex311-ceoscertificationxq1.htm">
              <w:r>
                <w:rPr>
                  <w:rStyle w:val="InternetLink"/>
                  <w:rFonts w:ascii="Times New Roman;sans-serif" w:hAnsi="Times New Roman;sans-serif"/>
                  <w:b w:val="false"/>
                  <w:color w:val="000080"/>
                  <w:sz w:val="20"/>
                  <w:u w:val="single"/>
                </w:rPr>
                <w:t>4(a) and Rule 15d</w:t>
              </w:r>
            </w:hyperlink>
            <w:hyperlink w:anchor="ex311-ceoscertificationxq1.htm">
              <w:r>
                <w:rPr>
                  <w:rStyle w:val="InternetLink"/>
                  <w:rFonts w:ascii="Times New Roman;sans-serif" w:hAnsi="Times New Roman;sans-serif"/>
                  <w:b w:val="false"/>
                  <w:color w:val="000080"/>
                  <w:sz w:val="20"/>
                  <w:u w:val="single"/>
                </w:rPr>
                <w:t>–</w:t>
              </w:r>
            </w:hyperlink>
            <w:hyperlink w:anchor="ex311-ceoscertificationxq1.htm">
              <w:r>
                <w:rPr>
                  <w:rStyle w:val="InternetLink"/>
                  <w:rFonts w:ascii="Times New Roman;sans-serif" w:hAnsi="Times New Roman;sans-serif"/>
                  <w:b w:val="false"/>
                  <w:color w:val="000080"/>
                  <w:sz w:val="20"/>
                  <w:u w:val="single"/>
                </w:rPr>
                <w:t>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cfoscertificationxq1.htm">
              <w:r>
                <w:rPr>
                  <w:rStyle w:val="InternetLink"/>
                  <w:rFonts w:ascii="Times New Roman;sans-serif" w:hAnsi="Times New Roman;sans-serif"/>
                  <w:b w:val="false"/>
                  <w:color w:val="000080"/>
                  <w:sz w:val="20"/>
                  <w:u w:val="single"/>
                </w:rPr>
                <w:t>Certification of Chief Financial Officer of Periodic Report Pursuant to Rule 13a</w:t>
              </w:r>
            </w:hyperlink>
            <w:hyperlink w:anchor="ex312-cfoscertificationxq1.htm">
              <w:r>
                <w:rPr>
                  <w:rStyle w:val="InternetLink"/>
                  <w:rFonts w:ascii="Times New Roman;sans-serif" w:hAnsi="Times New Roman;sans-serif"/>
                  <w:b w:val="false"/>
                  <w:color w:val="000080"/>
                  <w:sz w:val="20"/>
                  <w:u w:val="single"/>
                </w:rPr>
                <w:t>–</w:t>
              </w:r>
            </w:hyperlink>
            <w:hyperlink w:anchor="ex312-cfoscertificationxq1.htm">
              <w:r>
                <w:rPr>
                  <w:rStyle w:val="InternetLink"/>
                  <w:rFonts w:ascii="Times New Roman;sans-serif" w:hAnsi="Times New Roman;sans-serif"/>
                  <w:b w:val="false"/>
                  <w:color w:val="000080"/>
                  <w:sz w:val="20"/>
                  <w:u w:val="single"/>
                </w:rPr>
                <w:t>14(a) and Rule 15d</w:t>
              </w:r>
            </w:hyperlink>
            <w:hyperlink w:anchor="ex312-cfoscertificationxq1.htm">
              <w:r>
                <w:rPr>
                  <w:rStyle w:val="InternetLink"/>
                  <w:rFonts w:ascii="Times New Roman;sans-serif" w:hAnsi="Times New Roman;sans-serif"/>
                  <w:b w:val="false"/>
                  <w:color w:val="000080"/>
                  <w:sz w:val="20"/>
                  <w:u w:val="single"/>
                </w:rPr>
                <w:t>–</w:t>
              </w:r>
            </w:hyperlink>
            <w:hyperlink w:anchor="ex312-cfoscertificationxq1.htm">
              <w:r>
                <w:rPr>
                  <w:rStyle w:val="InternetLink"/>
                  <w:rFonts w:ascii="Times New Roman;sans-serif" w:hAnsi="Times New Roman;sans-serif"/>
                  <w:b w:val="false"/>
                  <w:color w:val="000080"/>
                  <w:sz w:val="20"/>
                  <w:u w:val="single"/>
                </w:rPr>
                <w:t>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ceoandcfocertification.htm">
              <w:r>
                <w:rPr>
                  <w:rStyle w:val="InternetLink"/>
                  <w:rFonts w:ascii="Times New Roman;sans-serif" w:hAnsi="Times New Roman;sans-serif"/>
                  <w:b w:val="false"/>
                  <w:color w:val="0000FF"/>
                  <w:sz w:val="20"/>
                  <w:u w:val="single"/>
                </w:rPr>
                <w:t>Certification of CEO and CFO Pursuant to 18 U.S.C. Section 1350 (furnished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 from Wynn Resorts, Limited's Quarterly Report on Form 10-Q, formatted in Inline XBRL (Inline Extensible Business Reporting Language): (i) the Condensed Consolidated Balance Sheets as of March 31, 2025 and December 31, 2024; (ii) the Condensed Consolidated Statements of Income for the three months ended March 31, 2025 and 2024; (iii) the Condensed Consolidated Statements of Comprehensive Income for the three months ended March 31, 2025 and 2024; (iv) the Condensed Consolidated Statements of Stockholders' Deficit for the three months ended March 31, 2025 and 2024; (v) the Condensed Consolidated Statements of Cash Flows for the three months ended March 31, 2025 and 2024; and (vi) Notes to Condensed Consolidated Financial Statements. The instance document does not appear in the Interactive Data File because its XBRL tags are embedded within the Inline XBRL document.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00075"/>
                <wp:effectExtent l="0" t="0" r="0" b="0"/>
                <wp:wrapNone/>
                <wp:docPr id="40" name="Frame4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720678d9ded4c33bb7cacbf9d5f02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562"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34"/>
        <w:gridCol w:w="134"/>
        <w:gridCol w:w="136"/>
        <w:gridCol w:w="109"/>
        <w:gridCol w:w="109"/>
        <w:gridCol w:w="109"/>
        <w:gridCol w:w="1102"/>
        <w:gridCol w:w="1102"/>
        <w:gridCol w:w="156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00075"/>
                <wp:effectExtent l="0" t="0" r="0" b="0"/>
                <wp:wrapNone/>
                <wp:docPr id="41" name="Frame4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481.35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4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WYNN RESORTS, LIMITED</w:t>
        <w:br/>
        <w:t>EXECUTIVE RETIREMENT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u w:val="single"/>
        </w:rPr>
        <w:t>Purpose</w:t>
      </w:r>
      <w:r>
        <w:rPr>
          <w:rFonts w:ascii="Times New Roman;sans-serif" w:hAnsi="Times New Roman;sans-serif"/>
          <w:b w:val="false"/>
          <w:color w:val="000000"/>
          <w:sz w:val="24"/>
        </w:rPr>
        <w:t>. Wynn Resorts, Limited, a Nevada corporation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has adopted the Wynn Resorts, Limited Executive Retirement Plan (the “</w:t>
      </w:r>
      <w:r>
        <w:rPr>
          <w:rFonts w:ascii="Times New Roman;sans-serif" w:hAnsi="Times New Roman;sans-serif"/>
          <w:b w:val="false"/>
          <w:i/>
          <w:color w:val="000000"/>
          <w:sz w:val="24"/>
        </w:rPr>
        <w:t>Plan</w:t>
      </w:r>
      <w:r>
        <w:rPr>
          <w:color w:val="000000"/>
        </w:rPr>
        <w:t>”</w:t>
      </w:r>
      <w:r>
        <w:rPr>
          <w:rFonts w:ascii="Times New Roman;sans-serif" w:hAnsi="Times New Roman;sans-serif"/>
          <w:b w:val="false"/>
          <w:color w:val="000000"/>
          <w:sz w:val="24"/>
        </w:rPr>
        <w:t>) to provide retirement benefits to Eligible Executives (as defined below) and who retire on or after November 1, 2023 (the “</w:t>
      </w:r>
      <w:r>
        <w:rPr>
          <w:rFonts w:ascii="Times New Roman;sans-serif" w:hAnsi="Times New Roman;sans-serif"/>
          <w:b w:val="false"/>
          <w:i/>
          <w:color w:val="000000"/>
          <w:sz w:val="24"/>
        </w:rPr>
        <w:t>Effective Date</w:t>
      </w:r>
      <w:r>
        <w:rPr>
          <w:color w:val="000000"/>
        </w:rPr>
        <w:t>”</w:t>
      </w:r>
      <w:r>
        <w:rPr>
          <w:rFonts w:ascii="Times New Roman;sans-serif" w:hAnsi="Times New Roman;sans-serif"/>
          <w:b w:val="false"/>
          <w:color w:val="000000"/>
          <w:sz w:val="24"/>
        </w:rPr>
        <w:t>). The Plan is intended to recognize the valuable services provided to the Company by its employees and is intended to result in a positive scenario for both Eligible Executives and the Company, where the Eligible Executives will remain incentivized to transfer knowledge and contacts, and assist in long-term organizational success following their Retirement (as defined below), while the Company will benefit from a smooth, minimally disruptive transition.</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 For purposes of the Plan, the following terms shall have the respective meanings set forth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i/>
          <w:color w:val="000000"/>
          <w:sz w:val="24"/>
        </w:rPr>
        <w:t>Affiliate</w:t>
      </w:r>
      <w:r>
        <w:rPr>
          <w:color w:val="000000"/>
        </w:rPr>
        <w:t xml:space="preserve">” </w:t>
      </w:r>
      <w:r>
        <w:rPr>
          <w:rFonts w:ascii="Times New Roman;sans-serif" w:hAnsi="Times New Roman;sans-serif"/>
          <w:b w:val="false"/>
          <w:color w:val="000000"/>
          <w:sz w:val="24"/>
        </w:rPr>
        <w:t>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i/>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 xml:space="preserve">has the meaning set forth in the applicable Executive Employment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i/>
          <w:color w:val="000000"/>
          <w:sz w:val="24"/>
        </w:rPr>
        <w:t>COBRA</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val="false"/>
          <w:i/>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i/>
          <w:color w:val="000000"/>
          <w:sz w:val="24"/>
        </w:rPr>
        <w:t>Committee</w:t>
      </w:r>
      <w:r>
        <w:rPr>
          <w:color w:val="000000"/>
        </w:rPr>
        <w:t xml:space="preserve">” </w:t>
      </w:r>
      <w:r>
        <w:rPr>
          <w:rFonts w:ascii="Times New Roman;sans-serif" w:hAnsi="Times New Roman;sans-serif"/>
          <w:b w:val="false"/>
          <w:color w:val="000000"/>
          <w:sz w:val="24"/>
        </w:rPr>
        <w:t>means the Compensation Committee of the Board or such other committee duly authorized by the Board to administer the Plan. If no committee is duly authorized by the Board to administer the Plan, the term “Committee” shall be deemed to refer to the Board for all purposes under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i/>
          <w:color w:val="000000"/>
          <w:sz w:val="24"/>
        </w:rPr>
        <w:t>Company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i/>
          <w:color w:val="000000"/>
          <w:sz w:val="24"/>
        </w:rPr>
        <w:t>Company Group</w:t>
      </w:r>
      <w:r>
        <w:rPr>
          <w:color w:val="000000"/>
        </w:rPr>
        <w:t xml:space="preserve">” </w:t>
      </w:r>
      <w:r>
        <w:rPr>
          <w:rFonts w:ascii="Times New Roman;sans-serif" w:hAnsi="Times New Roman;sans-serif"/>
          <w:b w:val="false"/>
          <w:color w:val="000000"/>
          <w:sz w:val="24"/>
        </w:rPr>
        <w:t>means the Company and each of its direct and indirect past, present and future Subsidiaries and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i/>
          <w:color w:val="000000"/>
          <w:sz w:val="24"/>
        </w:rPr>
        <w:t>Date of Retirement</w:t>
      </w:r>
      <w:r>
        <w:rPr>
          <w:color w:val="000000"/>
        </w:rPr>
        <w:t xml:space="preserve">” </w:t>
      </w:r>
      <w:r>
        <w:rPr>
          <w:rFonts w:ascii="Times New Roman;sans-serif" w:hAnsi="Times New Roman;sans-serif"/>
          <w:b w:val="false"/>
          <w:color w:val="000000"/>
          <w:sz w:val="24"/>
        </w:rPr>
        <w:t>means the effective date of an Eligible Executive’s Retirement from the Company and its Affiliates, as applicable, such that the Eligible Executive is no longer employed by any member of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val="false"/>
          <w:i/>
          <w:color w:val="000000"/>
          <w:sz w:val="24"/>
        </w:rPr>
        <w:t>Effective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val="false"/>
          <w:i/>
          <w:color w:val="000000"/>
          <w:sz w:val="24"/>
        </w:rPr>
        <w:t>Eligible Executive</w:t>
      </w:r>
      <w:r>
        <w:rPr>
          <w:color w:val="000000"/>
        </w:rPr>
        <w:t xml:space="preserve">” </w:t>
      </w:r>
      <w:r>
        <w:rPr>
          <w:rFonts w:ascii="Times New Roman;sans-serif" w:hAnsi="Times New Roman;sans-serif"/>
          <w:b w:val="false"/>
          <w:color w:val="000000"/>
          <w:sz w:val="24"/>
        </w:rPr>
        <w:t>means any employee of any member of the Company Group who is designated by the Committee as an “Eligible Executive” who is eligible to participate in the Plan. Eligible Executives shall be limited to a select group of management or highly compensated employees within the meaning of Sections 201, 301 and 401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13360"/>
                <wp:effectExtent l="0" t="0" r="0" b="0"/>
                <wp:wrapNone/>
                <wp:docPr id="42" name="Frame4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val="false"/>
          <w:i/>
          <w:color w:val="000000"/>
          <w:sz w:val="24"/>
        </w:rPr>
        <w:t>ERISA</w:t>
      </w:r>
      <w:r>
        <w:rPr>
          <w:color w:val="000000"/>
        </w:rPr>
        <w:t xml:space="preserve">” </w:t>
      </w:r>
      <w:r>
        <w:rPr>
          <w:rFonts w:ascii="Times New Roman;sans-serif" w:hAnsi="Times New Roman;sans-serif"/>
          <w:b w:val="false"/>
          <w:color w:val="000000"/>
          <w:sz w:val="24"/>
        </w:rPr>
        <w:t>means the Employee Retirement Income Security Act of 1974, as amended.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val="false"/>
          <w:i/>
          <w:color w:val="000000"/>
          <w:sz w:val="24"/>
        </w:rPr>
        <w:t>Executive Employment Agreement</w:t>
      </w:r>
      <w:r>
        <w:rPr>
          <w:color w:val="000000"/>
        </w:rPr>
        <w:t xml:space="preserve">” </w:t>
      </w:r>
      <w:r>
        <w:rPr>
          <w:rFonts w:ascii="Times New Roman;sans-serif" w:hAnsi="Times New Roman;sans-serif"/>
          <w:b w:val="false"/>
          <w:color w:val="000000"/>
          <w:sz w:val="24"/>
        </w:rPr>
        <w:t>means, with respect to an Eligible Executive, any employment agreement entered into between such Eligible Executive and a member of the Company Group, in effect as of such Eligible Executive’s Date of Retirement; provided, that if no such agreement is in effect as of such date, “Executive Employment Agreement” shall instead refer to the most recent Executive Employment Agreement (if any) entered into by and between such Eligible Executive and a member of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w:t>
      </w:r>
      <w:r>
        <w:rPr>
          <w:color w:val="000000"/>
        </w:rPr>
        <w:t>“</w:t>
      </w:r>
      <w:r>
        <w:rPr>
          <w:rFonts w:ascii="Times New Roman;sans-serif" w:hAnsi="Times New Roman;sans-serif"/>
          <w:b w:val="false"/>
          <w:i/>
          <w:color w:val="000000"/>
          <w:sz w:val="24"/>
        </w:rPr>
        <w:t xml:space="preserve">Notice Period”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(o)</w:t>
      </w:r>
      <w:r>
        <w:rPr>
          <w:color w:val="000000"/>
        </w:rPr>
        <w:t>“</w:t>
      </w:r>
      <w:r>
        <w:rPr>
          <w:rFonts w:ascii="Times New Roman;sans-serif" w:hAnsi="Times New Roman;sans-serif"/>
          <w:b w:val="false"/>
          <w:i/>
          <w:color w:val="000000"/>
          <w:sz w:val="24"/>
        </w:rPr>
        <w:t>Plan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(p)</w:t>
      </w:r>
      <w:r>
        <w:rPr>
          <w:color w:val="000000"/>
        </w:rPr>
        <w:t>“</w:t>
      </w:r>
      <w:r>
        <w:rPr>
          <w:rFonts w:ascii="Times New Roman;sans-serif" w:hAnsi="Times New Roman;sans-serif"/>
          <w:b w:val="false"/>
          <w:i/>
          <w:color w:val="000000"/>
          <w:sz w:val="24"/>
        </w:rPr>
        <w:t>Post-Employment Consulting Period</w:t>
      </w:r>
      <w:r>
        <w:rPr>
          <w:color w:val="000000"/>
        </w:rPr>
        <w:t xml:space="preserve">” </w:t>
      </w:r>
      <w:r>
        <w:rPr>
          <w:rFonts w:ascii="Times New Roman;sans-serif" w:hAnsi="Times New Roman;sans-serif"/>
          <w:b w:val="false"/>
          <w:color w:val="000000"/>
          <w:sz w:val="24"/>
        </w:rPr>
        <w:t xml:space="preserve">means the period following the Date of Retirement for which the Eligible Executive has agreed to provide consulting services to the Company pursuant to a consulting agreement that has been approved by the Committee.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(q)</w:t>
      </w:r>
      <w:r>
        <w:rPr>
          <w:color w:val="000000"/>
        </w:rPr>
        <w:t>“</w:t>
      </w:r>
      <w:r>
        <w:rPr>
          <w:rFonts w:ascii="Times New Roman;sans-serif" w:hAnsi="Times New Roman;sans-serif"/>
          <w:b w:val="false"/>
          <w:i/>
          <w:color w:val="000000"/>
          <w:sz w:val="24"/>
        </w:rPr>
        <w:t>Release Requirement</w:t>
      </w:r>
      <w:r>
        <w:rPr>
          <w:color w:val="000000"/>
        </w:rPr>
        <w:t xml:space="preserve">” </w:t>
      </w:r>
      <w:r>
        <w:rPr>
          <w:rFonts w:ascii="Times New Roman;sans-serif" w:hAnsi="Times New Roman;sans-serif"/>
          <w:b w:val="false"/>
          <w:color w:val="000000"/>
          <w:sz w:val="24"/>
        </w:rPr>
        <w:t>means the requirement that an Eligible Executive execute and deliver to the Company a customary general release of claims, in a form acceptable to the Company, on or prior to the date that is twenty-one (21) days following the date upon which the Company delivers the release to the Eligible Executive (which shall occur no later than ten (10) business days following the Date of Retirement). Notwithstanding the foregoing or any other provision in the Plan to the contrary, the Release Requirement shall not be considered satisfied if the release described in the preceding sentence is revoked by the Eligible Executive within any time provided by the Company for such revocation.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(r)</w:t>
      </w:r>
      <w:r>
        <w:rPr>
          <w:color w:val="000000"/>
        </w:rPr>
        <w:t xml:space="preserve"> “</w:t>
      </w:r>
      <w:r>
        <w:rPr>
          <w:rFonts w:ascii="Times New Roman;sans-serif" w:hAnsi="Times New Roman;sans-serif"/>
          <w:b w:val="false"/>
          <w:i/>
          <w:color w:val="000000"/>
          <w:sz w:val="24"/>
        </w:rPr>
        <w:t>Restricted Period</w:t>
      </w:r>
      <w:r>
        <w:rPr>
          <w:color w:val="000000"/>
        </w:rPr>
        <w:t xml:space="preserve">” </w:t>
      </w:r>
      <w:r>
        <w:rPr>
          <w:rFonts w:ascii="Times New Roman;sans-serif" w:hAnsi="Times New Roman;sans-serif"/>
          <w:b w:val="false"/>
          <w:color w:val="000000"/>
          <w:sz w:val="24"/>
        </w:rPr>
        <w:t>means the period ending on the latest to occur of: (i) the last day of the Post-Employment Consulting Period, (ii) the date that is twelve (12) months following the Eligible Executive’s Date of Retirement, and (iii) the last day of the Vesting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w:t>
      </w:r>
      <w:r>
        <w:rPr>
          <w:color w:val="000000"/>
        </w:rPr>
        <w:t>“</w:t>
      </w:r>
      <w:r>
        <w:rPr>
          <w:rFonts w:ascii="Times New Roman;sans-serif" w:hAnsi="Times New Roman;sans-serif"/>
          <w:b w:val="false"/>
          <w:i/>
          <w:color w:val="000000"/>
          <w:sz w:val="24"/>
        </w:rPr>
        <w:t>Restrictive Covenants</w:t>
      </w:r>
      <w:r>
        <w:rPr>
          <w:color w:val="000000"/>
        </w:rPr>
        <w:t xml:space="preserve">” </w:t>
      </w:r>
      <w:r>
        <w:rPr>
          <w:rFonts w:ascii="Times New Roman;sans-serif" w:hAnsi="Times New Roman;sans-serif"/>
          <w:b w:val="false"/>
          <w:color w:val="000000"/>
          <w:sz w:val="24"/>
        </w:rPr>
        <w:t xml:space="preserve">means, with respect to an Eligible Executive, the non-disparagement covenant set forth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hereof and any other restrictive covenants contained in the applicable Executive Employment Agreement and any other written agreement by and between such Eligible Executive and a member of the Company Group, collectively; provided, that, notwithstanding anything to the contrary set forth in any such agreement, the relevant duration of any non-perpetual Restrictive Covenant shall be the Restricted Period.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w:t>
      </w:r>
      <w:r>
        <w:rPr>
          <w:color w:val="000000"/>
        </w:rPr>
        <w:t>“</w:t>
      </w:r>
      <w:r>
        <w:rPr>
          <w:rFonts w:ascii="Times New Roman;sans-serif" w:hAnsi="Times New Roman;sans-serif"/>
          <w:b w:val="false"/>
          <w:i/>
          <w:color w:val="000000"/>
          <w:sz w:val="24"/>
        </w:rPr>
        <w:t>Retirement</w:t>
      </w:r>
      <w:r>
        <w:rPr>
          <w:color w:val="000000"/>
        </w:rPr>
        <w:t xml:space="preserve">” </w:t>
      </w:r>
      <w:r>
        <w:rPr>
          <w:rFonts w:ascii="Times New Roman;sans-serif" w:hAnsi="Times New Roman;sans-serif"/>
          <w:b w:val="false"/>
          <w:color w:val="000000"/>
          <w:sz w:val="24"/>
        </w:rPr>
        <w:t xml:space="preserve">means a voluntary resignation by an Eligible Executive at the end of the Notice Period where the sum of the Eligible Executive’s age, continuous service with the Company and the Post-Employment Consulting Period, equals or exceeds sixty (60), provided that if an Eligible Executive is entitled to severance benefits from the Company as a result of such Eligible Executive’s termination of employment, such Eligible Executive’s resignation shall not be considered a Retirement.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(u)</w:t>
      </w:r>
      <w:r>
        <w:rPr>
          <w:color w:val="000000"/>
        </w:rPr>
        <w:t>“</w:t>
      </w:r>
      <w:r>
        <w:rPr>
          <w:rFonts w:ascii="Times New Roman;sans-serif" w:hAnsi="Times New Roman;sans-serif"/>
          <w:b w:val="false"/>
          <w:i/>
          <w:color w:val="000000"/>
          <w:sz w:val="24"/>
        </w:rPr>
        <w:t>Retirement Notice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val="false"/>
          <w:i/>
          <w:color w:val="000000"/>
          <w:sz w:val="24"/>
        </w:rPr>
        <w:t>Section 409A</w:t>
      </w:r>
      <w:r>
        <w:rPr>
          <w:color w:val="000000"/>
        </w:rPr>
        <w:t xml:space="preserve">” </w:t>
      </w:r>
      <w:r>
        <w:rPr>
          <w:rFonts w:ascii="Times New Roman;sans-serif" w:hAnsi="Times New Roman;sans-serif"/>
          <w:b w:val="false"/>
          <w:color w:val="000000"/>
          <w:sz w:val="24"/>
        </w:rPr>
        <w:t>means Section 409A of the Code and the Department of Treasury regulations and other interpretive guidance issued thereunder, including any such regulations or guidance that may be amended or issued after the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w:t>
      </w:r>
      <w:r>
        <w:rPr>
          <w:color w:val="000000"/>
        </w:rPr>
        <w:t>“</w:t>
      </w:r>
      <w:r>
        <w:rPr>
          <w:rFonts w:ascii="Times New Roman;sans-serif" w:hAnsi="Times New Roman;sans-serif"/>
          <w:b w:val="false"/>
          <w:i/>
          <w:color w:val="000000"/>
          <w:sz w:val="24"/>
        </w:rPr>
        <w:t>Section 409A Payment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10(h)</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(x)</w:t>
      </w:r>
      <w:r>
        <w:rPr>
          <w:color w:val="000000"/>
        </w:rPr>
        <w:t>“</w:t>
      </w:r>
      <w:r>
        <w:rPr>
          <w:rFonts w:ascii="Times New Roman;sans-serif" w:hAnsi="Times New Roman;sans-serif"/>
          <w:b w:val="false"/>
          <w:i/>
          <w:color w:val="000000"/>
          <w:sz w:val="24"/>
        </w:rPr>
        <w:t>Subsidiary</w:t>
      </w:r>
      <w:r>
        <w:rPr>
          <w:color w:val="000000"/>
        </w:rPr>
        <w:t xml:space="preserve">” </w:t>
      </w:r>
      <w:r>
        <w:rPr>
          <w:rFonts w:ascii="Times New Roman;sans-serif" w:hAnsi="Times New Roman;sans-serif"/>
          <w:b w:val="false"/>
          <w:color w:val="000000"/>
          <w:sz w:val="24"/>
        </w:rPr>
        <w:t>means any subsidiary corporation of the Company within the meaning of Section 424(f)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(y)</w:t>
      </w:r>
      <w:r>
        <w:rPr>
          <w:color w:val="000000"/>
        </w:rPr>
        <w:t>“</w:t>
      </w:r>
      <w:r>
        <w:rPr>
          <w:rFonts w:ascii="Times New Roman;sans-serif" w:hAnsi="Times New Roman;sans-serif"/>
          <w:b w:val="false"/>
          <w:i/>
          <w:color w:val="000000"/>
          <w:sz w:val="24"/>
        </w:rPr>
        <w:t>Vesting Period</w:t>
      </w:r>
      <w:r>
        <w:rPr>
          <w:color w:val="000000"/>
        </w:rPr>
        <w:t xml:space="preserve">” </w:t>
      </w:r>
      <w:r>
        <w:rPr>
          <w:rFonts w:ascii="Times New Roman;sans-serif" w:hAnsi="Times New Roman;sans-serif"/>
          <w:b w:val="false"/>
          <w:color w:val="000000"/>
          <w:sz w:val="24"/>
        </w:rPr>
        <w:t xml:space="preserve">means, subject to </w:t>
      </w:r>
      <w:r>
        <w:rPr>
          <w:rFonts w:ascii="Times New Roman;sans-serif" w:hAnsi="Times New Roman;sans-serif"/>
          <w:b w:val="false"/>
          <w:color w:val="000000"/>
          <w:sz w:val="24"/>
          <w:u w:val="single"/>
        </w:rPr>
        <w:t>Section 6(a)(i)(B)</w:t>
      </w:r>
      <w:r>
        <w:rPr>
          <w:color w:val="000000"/>
        </w:rPr>
        <w:t xml:space="preserve"> </w:t>
      </w:r>
      <w:r>
        <w:rPr>
          <w:rFonts w:ascii="Times New Roman;sans-serif" w:hAnsi="Times New Roman;sans-serif"/>
          <w:b w:val="false"/>
          <w:color w:val="000000"/>
          <w:sz w:val="24"/>
        </w:rPr>
        <w:t xml:space="preserve">hereof, the period following the Date of Retirement during which the Eligible Executive’s equity incentive awards remain outstanding and eligible to vest in accordance with </w:t>
      </w:r>
      <w:r>
        <w:rPr>
          <w:rFonts w:ascii="Times New Roman;sans-serif" w:hAnsi="Times New Roman;sans-serif"/>
          <w:b w:val="false"/>
          <w:color w:val="000000"/>
          <w:sz w:val="24"/>
          <w:u w:val="single"/>
        </w:rPr>
        <w:t>Section 6(a)(i)(A)</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Notwithstanding anything to the contrary in the Plan, in the event that an Eligible Executive and a member of the Company Group are party to an Executive Employment Agreement that contains a different definition of any of the defined terms in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the definition set forth in such other agreement shall be applicable to such Eligible Executive for purposes of the Plan and not the definition included in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u w:val="single"/>
        </w:rPr>
        <w:t>Administration of the Plan</w:t>
      </w:r>
      <w:r>
        <w:rPr>
          <w:rFonts w:ascii="Times New Roman;sans-serif" w:hAnsi="Times New Roman;sans-serif"/>
          <w:b w:val="false"/>
          <w:color w:val="000000"/>
          <w:sz w:val="24"/>
        </w:rPr>
        <w:t>. The Committee shall be responsible for the management and control of the operation and the administration of the Plan, including interpretation of the Plan, decisions pertaining to eligibility to participate in the Plan, computation of retirement benefits, granting or denial of retirement benefit claims and review of claims denials. The Committee has absolute discretion in the exercise of its powers and responsibilities. For this purpose, the Committee’s powers shall include the following authority, in addition to all other powers provided by the Plan: (a) to make and enforce such rules and regulations as it deems necessary or proper for the efficient administration of the Plan; (b) to interpret the Plan, with the Committee’s interpretation thereof to be final and conclusive on all persons claiming benefits under the Plan; (c) to decide all questions concerning the Plan and the eligibility of any person to participate in the Plan; (d) to make a determination as to the right of any person to a benefit under the Plan; (e) to appoint such agents, counsel, accountants, consultants, claims administrator and other persons as may be required to assist in administering the Plan; (f) to allocate and delegate its responsibilities under the Plan and to designate other persons to carry out any of its responsibilities under the Plan, any such allocation, delegation or designation to be in writing; (g) to sue or cause suit to be brought in the name of the Plan; and (h) to obtain from the Company, its Affiliates and from Eligible Executives such information as is necessary for the proper administration of the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u w:val="single"/>
        </w:rPr>
        <w:t>Eligibility</w:t>
      </w:r>
      <w:r>
        <w:rPr>
          <w:rFonts w:ascii="Times New Roman;sans-serif" w:hAnsi="Times New Roman;sans-serif"/>
          <w:b w:val="false"/>
          <w:color w:val="000000"/>
          <w:sz w:val="24"/>
        </w:rPr>
        <w:t xml:space="preserve">. Only individuals who are designated as Eligible Executives may participate in the Plan. The Committee has full and absolute discretion to determine and select which employees of the Company and its Affiliates are Eligible Executives. Notwithstanding the foregoing, employees that have been employed by the Company or its Affiliates for less than seven (7) years shall not be designated as Eligible Executives. Once an employee has been designated as an Eligible Executive, such individual shall automatically continue to be an Eligible Executive until the Eligible Executive ceases to be an employee or is removed as an Eligible Executive by the Committee in accordance with </w:t>
      </w:r>
      <w:r>
        <w:rPr>
          <w:rFonts w:ascii="Times New Roman;sans-serif" w:hAnsi="Times New Roman;sans-serif"/>
          <w:b w:val="false"/>
          <w:color w:val="000000"/>
          <w:sz w:val="24"/>
          <w:u w:val="single"/>
        </w:rPr>
        <w:t>Section 10(c)</w:t>
      </w:r>
      <w:r>
        <w:rPr>
          <w:rFonts w:ascii="Times New Roman;sans-serif" w:hAnsi="Times New Roman;sans-serif"/>
          <w:b w:val="false"/>
          <w:color w:val="000000"/>
          <w:sz w:val="24"/>
        </w:rPr>
        <w:t xml:space="preserve">. Other than with respect to any applicable Executive Employment Agreement, the Plan shall supersede all prior agreements, practices, policies, procedures and plans relating to retirement benefits from all members of the Company Group with respect to the Eligible Executives. </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u w:val="single"/>
        </w:rPr>
        <w:t>Notice Period</w:t>
      </w:r>
      <w:r>
        <w:rPr>
          <w:rFonts w:ascii="Times New Roman;sans-serif" w:hAnsi="Times New Roman;sans-serif"/>
          <w:b w:val="false"/>
          <w:color w:val="000000"/>
          <w:sz w:val="24"/>
        </w:rPr>
        <w:t>. To provide the Company with sufficient time to plan for internal vacancies created from a retirement, Eligible Executives shall provide the Committee with a written notice of intent to retire (the “</w:t>
      </w:r>
      <w:r>
        <w:rPr>
          <w:rFonts w:ascii="Times New Roman;sans-serif" w:hAnsi="Times New Roman;sans-serif"/>
          <w:b w:val="false"/>
          <w:i/>
          <w:color w:val="000000"/>
          <w:sz w:val="24"/>
        </w:rPr>
        <w:t>Retirement Notice</w:t>
      </w:r>
      <w:r>
        <w:rPr>
          <w:color w:val="000000"/>
        </w:rPr>
        <w:t>”</w:t>
      </w:r>
      <w:r>
        <w:rPr>
          <w:rFonts w:ascii="Times New Roman;sans-serif" w:hAnsi="Times New Roman;sans-serif"/>
          <w:b w:val="false"/>
          <w:color w:val="000000"/>
          <w:sz w:val="24"/>
        </w:rPr>
        <w:t xml:space="preserve">) three (3) months before the Eligible Executive’s intended Date of Retirement (or such shorter period as determined by the Committee in its sole discretion, the </w:t>
      </w:r>
      <w:r>
        <w:rPr>
          <w:color w:val="000000"/>
        </w:rPr>
        <w:t>“</w:t>
      </w:r>
      <w:r>
        <w:rPr>
          <w:rFonts w:ascii="Times New Roman;sans-serif" w:hAnsi="Times New Roman;sans-serif"/>
          <w:b w:val="false"/>
          <w:i/>
          <w:color w:val="000000"/>
          <w:sz w:val="24"/>
        </w:rPr>
        <w:t>Notice Period”</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u w:val="single"/>
        </w:rPr>
        <w:t>Plan Benefits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Retirement</w:t>
      </w:r>
      <w:r>
        <w:rPr>
          <w:rFonts w:ascii="Times New Roman;sans-serif" w:hAnsi="Times New Roman;sans-serif"/>
          <w:b w:val="false"/>
          <w:color w:val="000000"/>
          <w:sz w:val="24"/>
        </w:rPr>
        <w:t xml:space="preserve">. In the event an Eligible Executive’s employment with any member of the Company Group ends due to the Eligible Executive’s Retirement, such Eligible Executive shall be entitled to receive the following benefits, provided that such Eligible Executive (A) remains an employee in good standing through the Notice Period, (B) satisfies the Release Requirement, (C) acknowledges that the transition of duties and responsibilities set forth in </w:t>
      </w:r>
      <w:r>
        <w:rPr>
          <w:rFonts w:ascii="Times New Roman;sans-serif" w:hAnsi="Times New Roman;sans-serif"/>
          <w:b w:val="false"/>
          <w:color w:val="000000"/>
          <w:sz w:val="24"/>
          <w:u w:val="single"/>
        </w:rPr>
        <w:t>Section 6(b)</w:t>
      </w:r>
      <w:r>
        <w:rPr>
          <w:color w:val="000000"/>
        </w:rPr>
        <w:t xml:space="preserve"> </w:t>
      </w:r>
      <w:r>
        <w:rPr>
          <w:rFonts w:ascii="Times New Roman;sans-serif" w:hAnsi="Times New Roman;sans-serif"/>
          <w:b w:val="false"/>
          <w:color w:val="000000"/>
          <w:sz w:val="24"/>
        </w:rPr>
        <w:t>shall not constitute “good reason” as defined in the Eligible Executive’s Executive Employment Agreement and (D) abides by the terms of the Restrictive Covenants in all material respects: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u w:val="single"/>
        </w:rPr>
        <w:t>Equity Incentive Awards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    All outstanding equity incentive awards held by the Eligible Executive on the Date of Retirement shall remain outstanding and shall continue to vest in accordance with the terms of the award agreement applicable to such equity incentive award as if the Eligible Executive was still employed by the Company Group.</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(B)    Notwithstanding anything to the contrary set forth in the Plan, the applicable Executive Employment Agreement or the applicable award agreement, the Eligible Executive may elect to deliver written notice to the Company expressly disavowing the continued vesting benefits set forth in </w:t>
      </w:r>
      <w:r>
        <w:rPr>
          <w:rFonts w:ascii="Times New Roman;sans-serif" w:hAnsi="Times New Roman;sans-serif"/>
          <w:b w:val="false"/>
          <w:color w:val="000000"/>
          <w:sz w:val="24"/>
          <w:u w:val="single"/>
        </w:rPr>
        <w:t>Section 6(a)(i)(A)</w:t>
      </w:r>
      <w:r>
        <w:rPr>
          <w:color w:val="000000"/>
        </w:rPr>
        <w:t xml:space="preserve"> </w:t>
      </w:r>
      <w:r>
        <w:rPr>
          <w:rFonts w:ascii="Times New Roman;sans-serif" w:hAnsi="Times New Roman;sans-serif"/>
          <w:b w:val="false"/>
          <w:color w:val="000000"/>
          <w:sz w:val="24"/>
        </w:rPr>
        <w:t>hereof, and upon the Company’s receipt of such notice the Vesting Period shall be deemed to have automatically expired as of the date of delivery of such notice (and, for the avoidance of doubt, effective as of such delivery date, all of the Eligible Executive’s outstanding equity incentive awards that remain unvested as of such date shall be immediately and automatically forfeited for no consideration therefor).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u w:val="single"/>
        </w:rPr>
        <w:t>Retirement Cash Payment</w:t>
      </w:r>
      <w:r>
        <w:rPr>
          <w:rFonts w:ascii="Times New Roman;sans-serif" w:hAnsi="Times New Roman;sans-serif"/>
          <w:b w:val="false"/>
          <w:color w:val="000000"/>
          <w:sz w:val="24"/>
        </w:rPr>
        <w:t>. The Company shall pay the Eligible Executive a total amount equal to a pro-rata portion of the cash bonus the Eligible Executive earned during the fiscal year proceeding the year in which the Date of Retirement occurs (pro-rated based on the number of days the Eligible Executive was employed by the Company Group in the year the Date of Retirement occurs).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Continuation of Executive Health</w:t>
      </w:r>
      <w:r>
        <w:rPr>
          <w:rFonts w:ascii="Times New Roman;sans-serif" w:hAnsi="Times New Roman;sans-serif"/>
          <w:b w:val="false"/>
          <w:color w:val="000000"/>
          <w:sz w:val="24"/>
        </w:rPr>
        <w:t>. To the extent that the Eligible Executive is enrolled under the Company’s group health plan at the time of the Eligible Executive’s Retirement, the Eligible Executive shall be entitled to elect to continue health benefits coverage under Sections 601 through 607 of the Employee Retirement Income Security Act of 1974, as amended or similar state laws (“</w:t>
      </w:r>
      <w:r>
        <w:rPr>
          <w:rFonts w:ascii="Times New Roman;sans-serif" w:hAnsi="Times New Roman;sans-serif"/>
          <w:b w:val="false"/>
          <w:i/>
          <w:color w:val="000000"/>
          <w:sz w:val="24"/>
        </w:rPr>
        <w:t>COBRA</w:t>
      </w:r>
      <w:r>
        <w:rPr>
          <w:color w:val="000000"/>
        </w:rPr>
        <w:t>”</w:t>
      </w:r>
      <w:r>
        <w:rPr>
          <w:rFonts w:ascii="Times New Roman;sans-serif" w:hAnsi="Times New Roman;sans-serif"/>
          <w:b w:val="false"/>
          <w:color w:val="000000"/>
          <w:sz w:val="24"/>
        </w:rPr>
        <w:t xml:space="preserve">). During the first eighteen (18) months following the Eligible Executive’s Retirement, assuming that the Eligible Executive has timely enrolled under COBRA, the Company shall pay the full COBRA monthly premiums for the Eligible Executive (and, if applicable, the Eligible Executive’s spouse’s and dependent’s) and the Company shall further reimburse the Eligible Executive for any medical expenses incurred by the Eligible Executive or, if applicable, the Eligible Executive’s dependents, that are not covered by COBRA but would have been subject to reimbursement under the Company’s senior executive health program. If the Eligible Executive has remained covered under the Company’s group health coverage through the end of the initial eighteen (18) month COBRA period, then for the remainder of the Restricted Period (if any), the Company will maintain coverage for Consultant under the Company’s senior executive health program. Notwithstanding anything in this </w:t>
      </w:r>
      <w:r>
        <w:rPr>
          <w:rFonts w:ascii="Times New Roman;sans-serif" w:hAnsi="Times New Roman;sans-serif"/>
          <w:b w:val="false"/>
          <w:color w:val="000000"/>
          <w:sz w:val="24"/>
          <w:u w:val="single"/>
        </w:rPr>
        <w:t>Section 6(a)(iii)</w:t>
      </w:r>
      <w:r>
        <w:rPr>
          <w:color w:val="000000"/>
        </w:rPr>
        <w:t xml:space="preserve"> </w:t>
      </w:r>
      <w:r>
        <w:rPr>
          <w:rFonts w:ascii="Times New Roman;sans-serif" w:hAnsi="Times New Roman;sans-serif"/>
          <w:b w:val="false"/>
          <w:color w:val="000000"/>
          <w:sz w:val="24"/>
        </w:rPr>
        <w:t xml:space="preserve">to the contrary, the health benefits and/or reimbursement in lieu thereof provided under this </w:t>
      </w:r>
      <w:r>
        <w:rPr>
          <w:rFonts w:ascii="Times New Roman;sans-serif" w:hAnsi="Times New Roman;sans-serif"/>
          <w:b w:val="false"/>
          <w:color w:val="000000"/>
          <w:sz w:val="24"/>
          <w:u w:val="single"/>
        </w:rPr>
        <w:t>Section 6(a)(iii)</w:t>
      </w:r>
      <w:r>
        <w:rPr>
          <w:color w:val="000000"/>
        </w:rPr>
        <w:t xml:space="preserve"> </w:t>
      </w:r>
      <w:r>
        <w:rPr>
          <w:rFonts w:ascii="Times New Roman;sans-serif" w:hAnsi="Times New Roman;sans-serif"/>
          <w:b w:val="false"/>
          <w:color w:val="000000"/>
          <w:sz w:val="24"/>
        </w:rPr>
        <w:t xml:space="preserve">shall cease upon the earlier of (A) the expiration of the Restricted Period, (B) the failure by the Eligible Executive to timely elect COBRA with respect to the initial eighteen (18) month COBRA period, (C) the Eligible Executive enrolling under Medicare after the date of the Eligible Executive’s Retirement or (D) if the Eligible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becomes employed by another employer and becomes eligible to enroll under that employer’s group health coverage.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Transition Period</w:t>
      </w:r>
      <w:r>
        <w:rPr>
          <w:rFonts w:ascii="Times New Roman;sans-serif" w:hAnsi="Times New Roman;sans-serif"/>
          <w:b w:val="false"/>
          <w:color w:val="000000"/>
          <w:sz w:val="24"/>
        </w:rPr>
        <w:t xml:space="preserve">. As a condition to the receipt of the retirement benefits set forth in </w:t>
      </w:r>
      <w:r>
        <w:rPr>
          <w:rFonts w:ascii="Times New Roman;sans-serif" w:hAnsi="Times New Roman;sans-serif"/>
          <w:b w:val="false"/>
          <w:color w:val="000000"/>
          <w:sz w:val="24"/>
          <w:u w:val="single"/>
        </w:rPr>
        <w:t>Section 6(a)(i),</w:t>
      </w:r>
      <w:r>
        <w:rPr>
          <w:color w:val="000000"/>
        </w:rPr>
        <w:t xml:space="preserve">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 xml:space="preserve">, during the Notice Period, an Eligible Executive will be required to devote the Eligible Executive’s full business time and best efforts to the smooth transition of the Eligible Executive’s knowledge, business contacts and relationships, and duties and responsibilities to designated Company employees. Without limiting the foregoing, during the Notice Period, the Company may transition the Eligible Executive’s duties and responsibilities, including the Eligible Executive’s title, to the Eligible Executive’s successor, which transition of duties and responsibilities shall not constitute “good reason” as defined in the Eligible Executive’s Executive Employment Agreement. The Eligible Executive’s receipt of the retirement benefits set forth in </w:t>
      </w:r>
      <w:r>
        <w:rPr>
          <w:rFonts w:ascii="Times New Roman;sans-serif" w:hAnsi="Times New Roman;sans-serif"/>
          <w:b w:val="false"/>
          <w:color w:val="000000"/>
          <w:sz w:val="24"/>
          <w:u w:val="single"/>
        </w:rPr>
        <w:t>Section 6(a)(i),</w:t>
      </w:r>
      <w:r>
        <w:rPr>
          <w:color w:val="000000"/>
        </w:rPr>
        <w:t xml:space="preserve">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shall be conditioned upon the Eligible Executive’s acknowledgement that the transition of duties and responsibilities set forth in this </w:t>
      </w:r>
      <w:r>
        <w:rPr>
          <w:rFonts w:ascii="Times New Roman;sans-serif" w:hAnsi="Times New Roman;sans-serif"/>
          <w:b w:val="false"/>
          <w:color w:val="000000"/>
          <w:sz w:val="24"/>
          <w:u w:val="single"/>
        </w:rPr>
        <w:t>Section 6(b)</w:t>
      </w:r>
      <w:r>
        <w:rPr>
          <w:color w:val="000000"/>
        </w:rPr>
        <w:t xml:space="preserve"> </w:t>
      </w:r>
      <w:r>
        <w:rPr>
          <w:rFonts w:ascii="Times New Roman;sans-serif" w:hAnsi="Times New Roman;sans-serif"/>
          <w:b w:val="false"/>
          <w:color w:val="000000"/>
          <w:sz w:val="24"/>
        </w:rPr>
        <w:t>shall not constitute “good reason” as defined in the Eligible Executive’s Executive Employment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Post-Employment Consulting Agreement</w:t>
      </w:r>
      <w:r>
        <w:rPr>
          <w:rFonts w:ascii="Times New Roman;sans-serif" w:hAnsi="Times New Roman;sans-serif"/>
          <w:b w:val="false"/>
          <w:color w:val="000000"/>
          <w:sz w:val="24"/>
        </w:rPr>
        <w:t xml:space="preserve">. The Company shall enter into a Post-Employment Consulting Agreement with the Eligible Executive without additional compensation, except the retirement benefits set forth in </w:t>
      </w:r>
      <w:r>
        <w:rPr>
          <w:rFonts w:ascii="Times New Roman;sans-serif" w:hAnsi="Times New Roman;sans-serif"/>
          <w:b w:val="false"/>
          <w:color w:val="000000"/>
          <w:sz w:val="24"/>
          <w:u w:val="single"/>
        </w:rPr>
        <w:t>Section 6(a)(i)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to assist in facilitating the successful transition of responsibilities, for a period of no more than eighteen (18) months, unless the Company no longer requires such services and terminates the Post-Employment Consulting Agreement prior to such date. The Post-Employment Consulting Agreement will provide that the Eligible Executive shall be reasonably available to the Chief Executive Officer on a non-exclusive basis not to exceed fifteen (15) hours per calendar month from a location of the Eligible Executive’s choosing. Notwithstanding the foregoing or anything to the contrary set forth herein, in the event that the Company terminates such Eligible Executive’s Post-Employment Consulting Agreement for any reason or no reason prior to the expiration of such Eligible Executive’s Post-Employment Consulting Period, the full Post-Employment Consulting Period set forth in such Post-Employment Consulting Agreement shall be used for purposes of calculating “Retirement” in respect of such Eligible Executive. In the event the Eligible Executive voluntarily chooses to cease providing services to the Company under the Post-Employment Consulting Agreement, the Company shall be relieved of its obligations to continue the retirement benefits set forth in </w:t>
      </w:r>
      <w:r>
        <w:rPr>
          <w:rFonts w:ascii="Times New Roman;sans-serif" w:hAnsi="Times New Roman;sans-serif"/>
          <w:b w:val="false"/>
          <w:color w:val="000000"/>
          <w:sz w:val="24"/>
          <w:u w:val="single"/>
        </w:rPr>
        <w:t>Section 6(a)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this provision conflicts with the Eligible Executive’s Executive Employment Agreement, the language of the Executive Employment Agreement shall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 Duplication</w:t>
      </w:r>
      <w:r>
        <w:rPr>
          <w:rFonts w:ascii="Times New Roman;sans-serif" w:hAnsi="Times New Roman;sans-serif"/>
          <w:b w:val="false"/>
          <w:color w:val="000000"/>
          <w:sz w:val="24"/>
        </w:rPr>
        <w:t xml:space="preserve">. Except as otherwise expressly provided pursuant to the Plan, the Plan shall be construed and administered in a manner which avoids duplication of compensation and benefits which may be provided under any other plan, program, policy or other arrangement or individual contract or under any statute, rule or regulation, including, without limitation, any applicable Executive Employment Agreement. In the event an Eligible Executive is covered by any other plan, program, policy, individually negotiated agreement or other arrangement in effect as of such Eligible Executive’s Date of Retirement, including, without limitation, an Executive Employment Agreement, that may duplicate the payments and benefits provided for in </w:t>
      </w:r>
      <w:r>
        <w:rPr>
          <w:rFonts w:ascii="Times New Roman;sans-serif" w:hAnsi="Times New Roman;sans-serif"/>
          <w:b w:val="false"/>
          <w:color w:val="000000"/>
          <w:sz w:val="24"/>
          <w:u w:val="single"/>
        </w:rPr>
        <w:t>Section 6(a)</w:t>
      </w:r>
      <w:r>
        <w:rPr>
          <w:rFonts w:ascii="Times New Roman;sans-serif" w:hAnsi="Times New Roman;sans-serif"/>
          <w:b w:val="false"/>
          <w:color w:val="000000"/>
          <w:sz w:val="24"/>
        </w:rPr>
        <w:t>, the Committee shall reduce or eliminate the duplicative benefits provided for under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Repayment</w:t>
      </w:r>
      <w:r>
        <w:rPr>
          <w:rFonts w:ascii="Times New Roman;sans-serif" w:hAnsi="Times New Roman;sans-serif"/>
          <w:b w:val="false"/>
          <w:color w:val="000000"/>
          <w:sz w:val="24"/>
        </w:rPr>
        <w:t xml:space="preserve">. Notwithstanding any provision of the Plan to the contrary, in the event that the Company determines that an Eligible Executive is eligible to receive the retirement benefits under </w:t>
      </w:r>
      <w:r>
        <w:rPr>
          <w:rFonts w:ascii="Times New Roman;sans-serif" w:hAnsi="Times New Roman;sans-serif"/>
          <w:b w:val="false"/>
          <w:color w:val="000000"/>
          <w:sz w:val="24"/>
          <w:u w:val="single"/>
        </w:rPr>
        <w:t>Section 6(a)(i),</w:t>
      </w:r>
      <w:r>
        <w:rPr>
          <w:color w:val="000000"/>
        </w:rPr>
        <w:t xml:space="preserve">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 and after such determination, the Company subsequently determines that one of the following events has occurred (each, an “</w:t>
      </w:r>
      <w:r>
        <w:rPr>
          <w:rFonts w:ascii="Times New Roman;sans-serif" w:hAnsi="Times New Roman;sans-serif"/>
          <w:b w:val="false"/>
          <w:i/>
          <w:color w:val="000000"/>
          <w:sz w:val="24"/>
        </w:rPr>
        <w:t>Unpermitted Violation</w:t>
      </w:r>
      <w:r>
        <w:rPr>
          <w:color w:val="000000"/>
        </w:rPr>
        <w:t>”</w:t>
      </w:r>
      <w:r>
        <w:rPr>
          <w:rFonts w:ascii="Times New Roman;sans-serif" w:hAnsi="Times New Roman;sans-serif"/>
          <w:b w:val="false"/>
          <w:color w:val="000000"/>
          <w:sz w:val="24"/>
        </w:rPr>
        <w:t xml:space="preserve">): (i) such Eligible Executive has breached any of the Restrictive Covenants in any material respect (unless such breach was explicitly approved in writing in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advance by the Compliance Committee of the Board) or (ii) a Cause condition existed prior to the Date of Retirement that the Company was not aware of but which would have given the Company the right to terminate such Eligible Executive’s employment for Cause if it had been aware, (it being understood that if the Company was aware of the Cause condition and chose not to act, this subclause (iii) shall not apply), then, in each case, the Company shall have the right to cease the payment of the retirement benefits under </w:t>
      </w:r>
      <w:r>
        <w:rPr>
          <w:rFonts w:ascii="Times New Roman;sans-serif" w:hAnsi="Times New Roman;sans-serif"/>
          <w:b w:val="false"/>
          <w:color w:val="000000"/>
          <w:sz w:val="24"/>
          <w:u w:val="single"/>
        </w:rPr>
        <w:t>Section 6(a)</w:t>
      </w:r>
      <w:r>
        <w:rPr>
          <w:color w:val="000000"/>
        </w:rPr>
        <w:t xml:space="preserve"> </w:t>
      </w:r>
      <w:r>
        <w:rPr>
          <w:rFonts w:ascii="Times New Roman;sans-serif" w:hAnsi="Times New Roman;sans-serif"/>
          <w:b w:val="false"/>
          <w:color w:val="000000"/>
          <w:sz w:val="24"/>
        </w:rPr>
        <w:t xml:space="preserve">as of the date of such determination and such Eligible Executive shall be required to promptly repay to the Company the full amount of any retirement benefits under </w:t>
      </w:r>
      <w:r>
        <w:rPr>
          <w:rFonts w:ascii="Times New Roman;sans-serif" w:hAnsi="Times New Roman;sans-serif"/>
          <w:b w:val="false"/>
          <w:color w:val="000000"/>
          <w:sz w:val="24"/>
          <w:u w:val="single"/>
        </w:rPr>
        <w:t>Section 6(a)(ii)</w:t>
      </w:r>
      <w:r>
        <w:rPr>
          <w:color w:val="000000"/>
        </w:rPr>
        <w:t xml:space="preserve"> </w:t>
      </w:r>
      <w:r>
        <w:rPr>
          <w:rFonts w:ascii="Times New Roman;sans-serif" w:hAnsi="Times New Roman;sans-serif"/>
          <w:b w:val="false"/>
          <w:color w:val="000000"/>
          <w:sz w:val="24"/>
        </w:rPr>
        <w:t xml:space="preserve">hereof already received by such Eligible Executive within thirty (30) days of notice of such breach or determination of Cause, as applicable. In the event that the applicable Unpermitted Violation is a breach of any confidentiality or non-disparagement provision of the Restrictive Covenants, any and all amounts that were already paid out to such Eligible Executive due to the exercise or settlement of any equity awards that were permitted to vest or remain outstanding pursuant to </w:t>
      </w:r>
      <w:r>
        <w:rPr>
          <w:rFonts w:ascii="Times New Roman;sans-serif" w:hAnsi="Times New Roman;sans-serif"/>
          <w:b w:val="false"/>
          <w:color w:val="000000"/>
          <w:sz w:val="24"/>
          <w:u w:val="single"/>
        </w:rPr>
        <w:t>Section 6(a)(i)(A)</w:t>
      </w:r>
      <w:r>
        <w:rPr>
          <w:color w:val="000000"/>
        </w:rPr>
        <w:t xml:space="preserve"> </w:t>
      </w:r>
      <w:r>
        <w:rPr>
          <w:rFonts w:ascii="Times New Roman;sans-serif" w:hAnsi="Times New Roman;sans-serif"/>
          <w:b w:val="false"/>
          <w:color w:val="000000"/>
          <w:sz w:val="24"/>
        </w:rPr>
        <w:t xml:space="preserve">hereof shall be promptly repaid to the Company by such Eligible Executive within thirty (30) days of notice of such breach or determination of Cause, as applicable, and the Company will cancel without consideration any such equity awards that remain outstanding. In the event of any other Unpermitted Violation, such Eligible Executive will be required to promptly repay any amounts that were already paid out to such Eligible Executive due to the exercise or settlement of any equity awards that were permitted to vest or remain outstanding pursuant to </w:t>
      </w:r>
      <w:r>
        <w:rPr>
          <w:rFonts w:ascii="Times New Roman;sans-serif" w:hAnsi="Times New Roman;sans-serif"/>
          <w:b w:val="false"/>
          <w:color w:val="000000"/>
          <w:sz w:val="24"/>
          <w:u w:val="single"/>
        </w:rPr>
        <w:t>Section 6(a)(i)(A)</w:t>
      </w:r>
      <w:r>
        <w:rPr>
          <w:color w:val="000000"/>
        </w:rPr>
        <w:t xml:space="preserve"> </w:t>
      </w:r>
      <w:r>
        <w:rPr>
          <w:rFonts w:ascii="Times New Roman;sans-serif" w:hAnsi="Times New Roman;sans-serif"/>
          <w:b w:val="false"/>
          <w:color w:val="000000"/>
          <w:sz w:val="24"/>
        </w:rPr>
        <w:t>hereof in respect of the period beginning on the date of the first occurrence of such Unpermitted Violation within thirty (30) days of notice of such breach or determination of Cause, as applicable, and the Company will cancel without consideration any such equity awards that remain outstanding as of the date of the first occurrence of such Unpermitted Violation.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u w:val="single"/>
        </w:rPr>
        <w:t>Non-Disparagement</w:t>
      </w:r>
      <w:r>
        <w:rPr>
          <w:rFonts w:ascii="Times New Roman;sans-serif" w:hAnsi="Times New Roman;sans-serif"/>
          <w:b w:val="false"/>
          <w:color w:val="000000"/>
          <w:sz w:val="24"/>
        </w:rPr>
        <w:t>. Each Eligible Executive agrees that, during and at all times following the Eligible Executive’s employment with any member of the Company Group, the Eligible Executive will not, and will cause the Eligible Executive’s Affiliates to not, make, publish, or communicate any disparaging or defamatory comments regarding any member of the Company Group or their current or former directors, officers, members, managers, partners, executives or direct or indirect owners (including equityholders).</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u w:val="single"/>
        </w:rPr>
        <w:t>Claims Procedure and Review</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Filing a Claim</w:t>
      </w:r>
      <w:r>
        <w:rPr>
          <w:rFonts w:ascii="Times New Roman;sans-serif" w:hAnsi="Times New Roman;sans-serif"/>
          <w:b w:val="false"/>
          <w:color w:val="000000"/>
          <w:sz w:val="24"/>
        </w:rPr>
        <w:t xml:space="preserve">. Any Eligible Executive that the Committee determines is entitled to receive the retirement benefits set forth in </w:t>
      </w:r>
      <w:r>
        <w:rPr>
          <w:rFonts w:ascii="Times New Roman;sans-serif" w:hAnsi="Times New Roman;sans-serif"/>
          <w:b w:val="false"/>
          <w:color w:val="000000"/>
          <w:sz w:val="24"/>
          <w:u w:val="single"/>
        </w:rPr>
        <w:t>Section 6(a)(i),</w:t>
      </w:r>
      <w:r>
        <w:rPr>
          <w:color w:val="000000"/>
        </w:rPr>
        <w:t xml:space="preserve">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is not required to file a claim for benefits. Any Eligible Executive (i) who is not paid retirement benefits hereunder and who believes that such Eligible Executive is entitled to retirement benefits hereunder, (ii) who has been paid retirement benefits hereunder and believes that such Eligible Executive is entitled to greater benefits hereunder may file a claim for retirement benefits under the Plan in writing with the Committee, or (iii) who has been paid retirement benefits hereunder with respect to which the Company has sought repayment of such retirement benefits by such Eligible Executive pursuant to </w:t>
      </w:r>
      <w:r>
        <w:rPr>
          <w:rFonts w:ascii="Times New Roman;sans-serif" w:hAnsi="Times New Roman;sans-serif"/>
          <w:b w:val="false"/>
          <w:color w:val="000000"/>
          <w:sz w:val="24"/>
          <w:u w:val="single"/>
        </w:rPr>
        <w:t>Section 6(e)</w:t>
      </w:r>
      <w:r>
        <w:rPr>
          <w:color w:val="000000"/>
        </w:rPr>
        <w:t xml:space="preserve"> </w:t>
      </w:r>
      <w:r>
        <w:rPr>
          <w:rFonts w:ascii="Times New Roman;sans-serif" w:hAnsi="Times New Roman;sans-serif"/>
          <w:b w:val="false"/>
          <w:color w:val="000000"/>
          <w:sz w:val="24"/>
        </w:rPr>
        <w:t xml:space="preserve">and believes that the Company is not entitled to such repayment under </w:t>
      </w:r>
      <w:r>
        <w:rPr>
          <w:rFonts w:ascii="Times New Roman;sans-serif" w:hAnsi="Times New Roman;sans-serif"/>
          <w:b w:val="false"/>
          <w:color w:val="000000"/>
          <w:sz w:val="24"/>
          <w:u w:val="single"/>
        </w:rPr>
        <w:t>Section 6(e)</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i/>
          <w:color w:val="000000"/>
          <w:sz w:val="24"/>
        </w:rPr>
        <w:t>Claim</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Initial Determination of a Claim</w:t>
      </w:r>
      <w:r>
        <w:rPr>
          <w:rFonts w:ascii="Times New Roman;sans-serif" w:hAnsi="Times New Roman;sans-serif"/>
          <w:b w:val="false"/>
          <w:color w:val="000000"/>
          <w:sz w:val="24"/>
        </w:rPr>
        <w:t xml:space="preserve">. If a Claim is wholly or partially denied, the Committee shall, within a reasonable period of time but no later than ninety (90) days after receipt of the Claim (or one-hundred and eighty (180) days after receipt of the Claim if special circumstances require an extension of time for processing the Claim), notify the claimant of the denial. Such notice shall (i) be in writing, (ii) be written in a manner calculated to be understood by the claimant, (iii) contain the specific reason or reasons for denial of the Claim, (iv) refer specifically to the pertinent Plan provisions upon which the denial is based, (v) describe any additional material or information necessary for the claimant to perfect the Claim (and explain why such material or information is necessary), and (vi) describe the Plan’s Claim review procedures and time limits applicable to such procedures, including a statement of the claimant’s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right to bring a civil action under Section 502(a) of ERISA following an adverse benefit determination on review.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Appeal of a Denied Claim</w:t>
      </w:r>
      <w:r>
        <w:rPr>
          <w:rFonts w:ascii="Times New Roman;sans-serif" w:hAnsi="Times New Roman;sans-serif"/>
          <w:b w:val="false"/>
          <w:color w:val="000000"/>
          <w:sz w:val="24"/>
        </w:rPr>
        <w:t xml:space="preserve">. Within sixty (60) days of the receipt by the claimant of this notice, the claimant may file a written appeal with the Committee. In connection with the appeal, the claimant may review Plan documents and may submit written issues and comments. The Committee shall deliver to the claimant a written decision on the appeal promptly, but not later than sixty (60) days after the receipt of the claimant’s appeal (or one-hundred and twenty (120) days after receipt of the claimant’s appeal if there are special circumstances which require an extension of time for processing). Such decision shall (i) be in writing, (ii) be written in a manner calculated to be understood by the claimant, (iii) include specific reasons for the decision, (iv) refer specifically to the Plan provisions upon which the decision is based, (v) state that the claimant is entitled to receive, on request and free of charge, reasonable access to and copies of all documents, records, and other information relevant to the claimant’s Claim, and (vi) a statement of the claimant’s right to bring an action under Section 502(a) of ERISA (other than with respect to Arbitrable Claims (as defined below) subject to arbitration under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hereof). If special circumstances require an extension of up to one-hundred and eighty (180) days for an initial Claim or one-hundred and twenty (120) days for an appeal, whichever applies, the Committee shall send written notice of the extension. This notice shall indicate the special circumstances requiring the extension and state when the Committee expects to render the decision.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Compliance with ERISA</w:t>
      </w:r>
      <w:r>
        <w:rPr>
          <w:rFonts w:ascii="Times New Roman;sans-serif" w:hAnsi="Times New Roman;sans-serif"/>
          <w:b w:val="false"/>
          <w:color w:val="000000"/>
          <w:sz w:val="24"/>
        </w:rPr>
        <w:t xml:space="preserve">. The benefits claim procedure provided in this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is intended to comply with the provisions of 29 C.F.R. §2560.503-1. All provisions of this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shall be interpreted, construed, and limited in accordance with such intent.</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u w:val="single"/>
        </w:rPr>
        <w:t>Arbitration</w:t>
      </w:r>
      <w:r>
        <w:rPr>
          <w:rFonts w:ascii="Times New Roman;sans-serif" w:hAnsi="Times New Roman;sans-serif"/>
          <w:b w:val="false"/>
          <w:color w:val="000000"/>
          <w:sz w:val="24"/>
        </w:rPr>
        <w:t xml:space="preserve">. Solely with respect to any Claims filed by an Eligible Executive related to or arising from the (i) denial of an Eligible Executive’s retirement benefits due to the Company determining that (A) such Eligible Executive has breached any of the Restricted Covenants as described in </w:t>
      </w:r>
      <w:r>
        <w:rPr>
          <w:rFonts w:ascii="Times New Roman;sans-serif" w:hAnsi="Times New Roman;sans-serif"/>
          <w:b w:val="false"/>
          <w:color w:val="000000"/>
          <w:sz w:val="24"/>
          <w:u w:val="single"/>
        </w:rPr>
        <w:t>Section 6(e)(i)</w:t>
      </w:r>
      <w:r>
        <w:rPr>
          <w:color w:val="000000"/>
        </w:rPr>
        <w:t xml:space="preserve"> </w:t>
      </w:r>
      <w:r>
        <w:rPr>
          <w:rFonts w:ascii="Times New Roman;sans-serif" w:hAnsi="Times New Roman;sans-serif"/>
          <w:b w:val="false"/>
          <w:color w:val="000000"/>
          <w:sz w:val="24"/>
        </w:rPr>
        <w:t xml:space="preserve">or (B) a Cause condition existed as described in </w:t>
      </w:r>
      <w:r>
        <w:rPr>
          <w:rFonts w:ascii="Times New Roman;sans-serif" w:hAnsi="Times New Roman;sans-serif"/>
          <w:b w:val="false"/>
          <w:color w:val="000000"/>
          <w:sz w:val="24"/>
          <w:u w:val="single"/>
        </w:rPr>
        <w:t>Section 6(e)(iii)</w:t>
      </w:r>
      <w:r>
        <w:rPr>
          <w:rFonts w:ascii="Times New Roman;sans-serif" w:hAnsi="Times New Roman;sans-serif"/>
          <w:b w:val="false"/>
          <w:color w:val="000000"/>
          <w:sz w:val="24"/>
        </w:rPr>
        <w:t xml:space="preserve">, or (ii) cessation and/or repayment of such Eligible Executive’s retirement benefits hereunder as set forth in </w:t>
      </w:r>
      <w:r>
        <w:rPr>
          <w:rFonts w:ascii="Times New Roman;sans-serif" w:hAnsi="Times New Roman;sans-serif"/>
          <w:b w:val="false"/>
          <w:color w:val="000000"/>
          <w:sz w:val="24"/>
          <w:u w:val="single"/>
        </w:rPr>
        <w:t>Section 6(e)</w:t>
      </w:r>
      <w:r>
        <w:rPr>
          <w:color w:val="000000"/>
        </w:rPr>
        <w:t xml:space="preserve"> </w:t>
      </w:r>
      <w:r>
        <w:rPr>
          <w:rFonts w:ascii="Times New Roman;sans-serif" w:hAnsi="Times New Roman;sans-serif"/>
          <w:b w:val="false"/>
          <w:color w:val="000000"/>
          <w:sz w:val="24"/>
        </w:rPr>
        <w:t>(each, an “</w:t>
      </w:r>
      <w:r>
        <w:rPr>
          <w:rFonts w:ascii="Times New Roman;sans-serif" w:hAnsi="Times New Roman;sans-serif"/>
          <w:b w:val="false"/>
          <w:i/>
          <w:color w:val="000000"/>
          <w:sz w:val="24"/>
        </w:rPr>
        <w:t>Arbitrable Claim</w:t>
      </w:r>
      <w:r>
        <w:rPr>
          <w:color w:val="000000"/>
        </w:rPr>
        <w:t>”</w:t>
      </w:r>
      <w:r>
        <w:rPr>
          <w:rFonts w:ascii="Times New Roman;sans-serif" w:hAnsi="Times New Roman;sans-serif"/>
          <w:b w:val="false"/>
          <w:color w:val="000000"/>
          <w:sz w:val="24"/>
        </w:rPr>
        <w:t xml:space="preserve">), following such Eligible Executive’s exhaustion of the ERISA claims and appeal procedure set forth in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hereof with respect to the applicable Arbitrable Claim, to the extent that such Arbitrable Claim is not fully resolved in accordance with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hereof then such Arbitrable Claim shall be submitted to binding arbitration in accordance with the employment arbitration rules then in effect of the American Arbitration Association (“</w:t>
      </w:r>
      <w:r>
        <w:rPr>
          <w:rFonts w:ascii="Times New Roman;sans-serif" w:hAnsi="Times New Roman;sans-serif"/>
          <w:b w:val="false"/>
          <w:i/>
          <w:color w:val="000000"/>
          <w:sz w:val="24"/>
        </w:rPr>
        <w:t>AAA</w:t>
      </w:r>
      <w:r>
        <w:rPr>
          <w:color w:val="000000"/>
        </w:rPr>
        <w:t>”</w:t>
      </w:r>
      <w:r>
        <w:rPr>
          <w:rFonts w:ascii="Times New Roman;sans-serif" w:hAnsi="Times New Roman;sans-serif"/>
          <w:b w:val="false"/>
          <w:color w:val="000000"/>
          <w:sz w:val="24"/>
        </w:rPr>
        <w:t xml:space="preserve">), to the extent not inconsistent with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as set forth below, and the Federal Arbitration Act, 9 U.S.C. § 1, </w:t>
      </w:r>
      <w:r>
        <w:rPr>
          <w:rFonts w:ascii="Times New Roman;sans-serif" w:hAnsi="Times New Roman;sans-serif"/>
          <w:b w:val="false"/>
          <w:i/>
          <w:color w:val="000000"/>
          <w:sz w:val="24"/>
        </w:rPr>
        <w:t>et seq.</w:t>
      </w:r>
      <w:r>
        <w:rPr>
          <w:color w:val="000000"/>
        </w:rPr>
        <w:t xml:space="preserve"> </w:t>
      </w:r>
      <w:r>
        <w:rPr>
          <w:rFonts w:ascii="Times New Roman;sans-serif" w:hAnsi="Times New Roman;sans-serif"/>
          <w:b w:val="false"/>
          <w:color w:val="000000"/>
          <w:sz w:val="24"/>
        </w:rPr>
        <w:t xml:space="preserve">and the Uniform Arbitration Act as adopted in Nevada Revised Statutes 38.015, </w:t>
      </w:r>
      <w:r>
        <w:rPr>
          <w:rFonts w:ascii="Times New Roman;sans-serif" w:hAnsi="Times New Roman;sans-serif"/>
          <w:b w:val="false"/>
          <w:i/>
          <w:color w:val="000000"/>
          <w:sz w:val="24"/>
        </w:rPr>
        <w:t xml:space="preserve">et seq. </w:t>
      </w:r>
      <w:r>
        <w:rPr>
          <w:rFonts w:ascii="Times New Roman;sans-serif" w:hAnsi="Times New Roman;sans-serif"/>
          <w:b w:val="false"/>
          <w:color w:val="000000"/>
          <w:sz w:val="24"/>
        </w:rPr>
        <w:t xml:space="preserve">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applies to any Arbitrable Claim such Eligible Executive might have against any officer, director, employee, or agent of the Company Group, and all successors and assigns of any of them. These arbitration provisions shall survive the termination of such Eligible Executive’s employment or service with the Company Group and the expiration of this Plan. Notwithstanding anything to the contrary set forth in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if at the time an Arbitrable Claim described in subclause (i) above would otherwise be brought by an Eligible Executive or the Company, another arbitration or proceeding is pending pursuant to the Eligible Executive’s Executive Employment Agreement or Post-Employment Consulting Agreement with respect to whether the conduct in subclause (i)(A) or (B) has occurred, then the Arbitrable Claim described in subclause (i) shall be determined in such pending proceeding.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Coverage of Arbitration Agreement</w:t>
      </w:r>
      <w:r>
        <w:rPr>
          <w:rFonts w:ascii="Times New Roman;sans-serif" w:hAnsi="Times New Roman;sans-serif"/>
          <w:b w:val="false"/>
          <w:color w:val="000000"/>
          <w:sz w:val="24"/>
        </w:rPr>
        <w:t xml:space="preserve">. The promises by the Company and such Eligible Executive to arbitrate differences, rather than litigate them before courts or other bodies, provide consideration for each other, in addition to other consideration provided under this Plan. The Company and such Eligible Executive contemplate by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arbitration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all Arbitrable Claims against each of them to the fullest extent permitted by law except as specifically excluded by this Plan. The Company and such Eligible Executive agree to pursue any and all Arbitrable Claims individually and waive any rights they may have to pursue said Arbitrable Claims as part of any class action. In that regard, the Company and such Eligible Executive agree that the arbitrator shall have no authority or jurisdiction to hear class or collective Arbitrable Claims.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excludes any claims that are prohibited as a matter of law from being covered by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Waiver of Rights to Pursue Claims in Court and to Jury Trial</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does not in any manner waive any rights or remedies available under applicable statutes or common law, but does, solely with respect to Arbitrable Claims, waive the Company’s and such Eligible Executive’s rights to pursue those rights and remedies in a judicial forum and waive any right to trial by jury of any Arbitrable Claims covered by </w:t>
      </w:r>
      <w:r>
        <w:rPr>
          <w:rFonts w:ascii="Times New Roman;sans-serif" w:hAnsi="Times New Roman;sans-serif"/>
          <w:b w:val="false"/>
          <w:color w:val="000000"/>
          <w:sz w:val="24"/>
          <w:u w:val="single"/>
        </w:rPr>
        <w:t>Section 9(a)</w:t>
      </w:r>
      <w:r>
        <w:rPr>
          <w:rFonts w:ascii="Times New Roman;sans-serif" w:hAnsi="Times New Roman;sans-serif"/>
          <w:b w:val="false"/>
          <w:color w:val="000000"/>
          <w:sz w:val="24"/>
        </w:rPr>
        <w:t>. The Company and such Eligible Executive voluntarily agree to arbitrate any covered Arbitrable Claims against each other. In the event of any administrative or judicial action by any agency or third party to adjudicate, on behalf of such Eligible Executive, an Arbitrable Claim, such Eligible Executive hereby waives the right to participate in any monetary or other recovery obtained by such agency or third party in any such action, and such Eligible Executive’s sole remedy with respect to any such Arbitrable Claims will be any award decreed by an arbitrator pursuant to the provisions of this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Initiation of Arbitration</w:t>
      </w:r>
      <w:r>
        <w:rPr>
          <w:rFonts w:ascii="Times New Roman;sans-serif" w:hAnsi="Times New Roman;sans-serif"/>
          <w:b w:val="false"/>
          <w:color w:val="000000"/>
          <w:sz w:val="24"/>
        </w:rPr>
        <w:t xml:space="preserve">. To commence arbitration of a Arbitrable Claim subject to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the aggrieved party must, within the time frame provided in </w:t>
      </w:r>
      <w:r>
        <w:rPr>
          <w:rFonts w:ascii="Times New Roman;sans-serif" w:hAnsi="Times New Roman;sans-serif"/>
          <w:b w:val="false"/>
          <w:color w:val="000000"/>
          <w:sz w:val="24"/>
          <w:u w:val="single"/>
        </w:rPr>
        <w:t>Section 9(d)</w:t>
      </w:r>
      <w:r>
        <w:rPr>
          <w:color w:val="000000"/>
        </w:rPr>
        <w:t xml:space="preserve"> </w:t>
      </w:r>
      <w:r>
        <w:rPr>
          <w:rFonts w:ascii="Times New Roman;sans-serif" w:hAnsi="Times New Roman;sans-serif"/>
          <w:b w:val="false"/>
          <w:color w:val="000000"/>
          <w:sz w:val="24"/>
        </w:rPr>
        <w:t xml:space="preserve">below, make written demand for arbitration and provide written notice of that demand to the other party. If an Arbitrable Claim is brought by such Eligible Executive against the Company, such notice shall be given to the Company’s Legal Department. Such written notice must identify and describe the nature of the Arbitrable Claim, the supporting facts, and the relief or remedy sought. In the event that either party files an action in any court to pursue any of the Arbitrable Claims covered by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the complaint, petition or other initial pleading commencing such court action shall be considered the demand for arbitration. In such event, the other party may move that court to compel arbitration.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Time Limit to Initiate Arbitration</w:t>
      </w:r>
      <w:r>
        <w:rPr>
          <w:rFonts w:ascii="Times New Roman;sans-serif" w:hAnsi="Times New Roman;sans-serif"/>
          <w:b w:val="false"/>
          <w:color w:val="000000"/>
          <w:sz w:val="24"/>
        </w:rPr>
        <w:t xml:space="preserve">. To ensure timely resolution of disputes, the Company and such Eligible Executive must initiate arbitration within the statute of limitations (deadline for filing) provided by applicable law pertaining to the Arbitrable Claim, or one (1) year following such Eligible Executive’s receipt of the Committee’s written decision on the appeal of such Arbitrable Claim in accordance with </w:t>
      </w:r>
      <w:r>
        <w:rPr>
          <w:rFonts w:ascii="Times New Roman;sans-serif" w:hAnsi="Times New Roman;sans-serif"/>
          <w:b w:val="false"/>
          <w:color w:val="000000"/>
          <w:sz w:val="24"/>
          <w:u w:val="single"/>
        </w:rPr>
        <w:t>Section 8(c)</w:t>
      </w:r>
      <w:r>
        <w:rPr>
          <w:color w:val="000000"/>
        </w:rPr>
        <w:t xml:space="preserve"> </w:t>
      </w:r>
      <w:r>
        <w:rPr>
          <w:rFonts w:ascii="Times New Roman;sans-serif" w:hAnsi="Times New Roman;sans-serif"/>
          <w:b w:val="false"/>
          <w:color w:val="000000"/>
          <w:sz w:val="24"/>
        </w:rPr>
        <w:t>hereof,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Arbitrable Claim. The parties understand that the Company and such Eligible Executive are waiving any longer statutes of limitations that would otherwise apply, and any aggrieved party is encouraged to give written notice of any Arbitrable Claim as soon as possible after the event(s) in dispute so that arbitration of any differences may take place promptly.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Arbitrator Selection</w:t>
      </w:r>
      <w:r>
        <w:rPr>
          <w:rFonts w:ascii="Times New Roman;sans-serif" w:hAnsi="Times New Roman;sans-serif"/>
          <w:b w:val="false"/>
          <w:color w:val="000000"/>
          <w:sz w:val="24"/>
        </w:rPr>
        <w:t xml:space="preserve">. The parties contemplate that, except as specifically set forth in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shd w:fill="FFFFFF" w:val="clear"/>
        </w:rPr>
        <w:t>Arbitration Rights and Procedures</w:t>
      </w:r>
      <w:r>
        <w:rPr>
          <w:rFonts w:ascii="Times New Roman;sans-serif" w:hAnsi="Times New Roman;sans-serif"/>
          <w:b w:val="false"/>
          <w:color w:val="000000"/>
          <w:sz w:val="24"/>
          <w:shd w:fill="FFFFFF" w:val="clear"/>
        </w:rPr>
        <w:t xml:space="preserve">. Such Eligible Executive may be represented by an attorney of his or her choice at his or 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w:t>
      </w:r>
      <w:r>
        <w:rPr>
          <w:rFonts w:ascii="Times New Roman;sans-serif" w:hAnsi="Times New Roman;sans-serif"/>
          <w:b w:val="false"/>
          <w:color w:val="000000"/>
          <w:sz w:val="24"/>
        </w:rPr>
        <w:t>Arbitrable Claim</w:t>
      </w:r>
      <w:r>
        <w:rPr>
          <w:rFonts w:ascii="Times New Roman;sans-serif" w:hAnsi="Times New Roman;sans-serif"/>
          <w:b w:val="false"/>
          <w:color w:val="000000"/>
          <w:sz w:val="24"/>
          <w:shd w:fill="FFFFFF" w:val="clear"/>
        </w:rPr>
        <w:t>(s) for relief asserted. The arbitrator is without power or jurisdiction to apply any different substantive law or law of remedies or to modify any term or condition of this Plan.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w:t>
      </w:r>
      <w:r>
        <w:rPr>
          <w:color w:val="000000"/>
        </w:rPr>
        <w:t xml:space="preserve"> </w:t>
      </w:r>
      <w:r>
        <w:rPr>
          <w:rFonts w:ascii="Times New Roman;sans-serif" w:hAnsi="Times New Roman;sans-serif"/>
          <w:b w:val="false"/>
          <w:color w:val="000000"/>
          <w:sz w:val="24"/>
        </w:rPr>
        <w:t>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thirty (30) days prior to the hearing. The arbitrator will have subpoena power so that either the Company or such Eligible Executive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Arbitrator’s Award</w:t>
      </w:r>
      <w:r>
        <w:rPr>
          <w:rFonts w:ascii="Times New Roman;sans-serif" w:hAnsi="Times New Roman;sans-serif"/>
          <w:b w:val="false"/>
          <w:color w:val="000000"/>
          <w:sz w:val="24"/>
        </w:rPr>
        <w:t>. The arbitrator will issue a written decision containing a statement as to the specific claims and issues raised by the parties, the specific findings of fact, and the specific conclusions of law. The award will be rendered promptly, typically within thirty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Fees and Expenses</w:t>
      </w:r>
      <w:r>
        <w:rPr>
          <w:rFonts w:ascii="Times New Roman;sans-serif" w:hAnsi="Times New Roman;sans-serif"/>
          <w:b w:val="false"/>
          <w:color w:val="000000"/>
          <w:sz w:val="24"/>
        </w:rPr>
        <w:t>. Unless the law requires otherwise for a particular claim or claims, the party demanding arbitration bears the responsibility for payment of the fee to file with AAA and the fees and expenses of the arbitrator shall be allocated by the AAA under its rules and procedures. The Company and such Eligible Executive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Severability and Waiver of Trial by Jury</w:t>
      </w:r>
      <w:r>
        <w:rPr>
          <w:rFonts w:ascii="Times New Roman;sans-serif" w:hAnsi="Times New Roman;sans-serif"/>
          <w:b w:val="false"/>
          <w:color w:val="000000"/>
          <w:sz w:val="24"/>
        </w:rPr>
        <w:t xml:space="preserve">. The Company and such Eligible Executive further agree that, if a court of competent jurisdiction finds any term or condition of this arbitration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arbitration dispute resolution process to render it enforceable as to all Arbitrable Claims asserted in any particular dispute and instead voids the application of this arbitration dispute resolution process as to one or more Arbitrable Claims and/or refuses to enforce the parties’ waiver of class action/collective release, </w:t>
      </w:r>
      <w:r>
        <w:rPr>
          <w:rFonts w:ascii="Times New Roman;sans-serif" w:hAnsi="Times New Roman;sans-serif"/>
          <w:b/>
          <w:color w:val="000000"/>
          <w:sz w:val="24"/>
        </w:rPr>
        <w:t>the Company and such Eligible Executive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rPr>
        <w:t>agree to mutually waive their respective rights to a trial by jury in a court of competent jurisdiction in which an action is filed to resolve any such Arbitrable Claims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u w:val="single"/>
        </w:rPr>
        <w:t>General Provisions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Company is authorized to withhold from all payments made hereunder amounts of withholding and other taxes due or potentially payable in connection therewith, and to take such other action as the Company may deem advisable to enable the Company and the Eligible Executive to satisfy obligations for the payment of withholding taxes and other tax obligations relating to any payments made under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Offset</w:t>
      </w:r>
      <w:r>
        <w:rPr>
          <w:rFonts w:ascii="Times New Roman;sans-serif" w:hAnsi="Times New Roman;sans-serif"/>
          <w:b w:val="false"/>
          <w:color w:val="000000"/>
          <w:sz w:val="24"/>
        </w:rPr>
        <w:t>. The Company may set off against, and each Eligible Executive authorizes the Company to deduct from, any payments due to the Eligible Executive, or to his or her estate, heirs, legal representatives, or successors, any amounts which may be due and owing to the Company or an Affiliate of the Company by the Eligible Executive, whether arising under the Plan or otherwise; provided, however, that no such offset may be made with respect to amounts payable that are subject to the requirements of Section 409A unless the offset would not result in a violation of the requirements of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Amendment and Termination</w:t>
      </w:r>
      <w:r>
        <w:rPr>
          <w:rFonts w:ascii="Times New Roman;sans-serif" w:hAnsi="Times New Roman;sans-serif"/>
          <w:b w:val="false"/>
          <w:color w:val="000000"/>
          <w:sz w:val="24"/>
        </w:rPr>
        <w:t>. The Board and the Committee shall have the power to amend or terminate the Plan from time to time in its discretion and for any reason (or no reason) (including the removal of an individual as an Eligible Executive); provided that no such amendment or termination shall be effective with respect to a Retirement that occurred prior to the amendment or termination of the Plan; and provided, further, that, to the extent any such amendment has a detrimental impact to any Eligible Executive, such amendment will become effective with respect to such Eligible Executive six (6) months following approval by the Board or Committee, provided that such six (6) month delay shall not apply in the event of an amendment for the removal of an individual as an Eligible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The Plan will be binding upon any successor to the Company, its assets, its businesses or its interest (whether as a result of the occurrence of a change in control or otherwise), in the same manner and to the same extent that the Company would be obligated under the Plan if no succession had taken place. All payments and benefits that become due to an Eligible Executive under the Plan will inure to the benefit of his or her heirs, assigns, designees or legal representatives.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Transfer and Assignment</w:t>
      </w:r>
      <w:r>
        <w:rPr>
          <w:rFonts w:ascii="Times New Roman;sans-serif" w:hAnsi="Times New Roman;sans-serif"/>
          <w:b w:val="false"/>
          <w:color w:val="000000"/>
          <w:sz w:val="24"/>
        </w:rPr>
        <w:t>. Neither an Eligible Executive nor any other person shall have any right to sell, assign, transfer, pledge, anticipate or otherwise encumber, transfer, hypothecate or convey any amounts payable under the Plan prior to the date that such amounts are paid.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Unfunded Obligation</w:t>
      </w:r>
      <w:r>
        <w:rPr>
          <w:rFonts w:ascii="Times New Roman;sans-serif" w:hAnsi="Times New Roman;sans-serif"/>
          <w:b w:val="false"/>
          <w:color w:val="000000"/>
          <w:sz w:val="24"/>
        </w:rPr>
        <w:t>. All benefits due an Eligible Executive under the Plan are unfunded and unsecured and are payable out of the general assets of the Company. The Company is not required to segregate any monies or other assets from its general funds with respect to these obligations. Eligible Executives shall not have any preference or security interest in any assets of the Company other than as a general unsecured creditor.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the Plan (or portion thereof) is held to be illegal or invalid for any reason, the illegality or invalidity of such provision (or portion thereof) will not affect the remaining provisions (or portions thereof) of the Plan, but such provision (or portion thereof) will be fully severable and the Plan will be construed and enforced as if the illegal or invalid provision (or portion thereof) had never been included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The Plan is intended to comply with Section 409A or an exemption thereunder and shall be construed and administered in accordance with Section 409A. Notwithstanding any other provision of the Plan, payments provided under the Plan may only be made upon an event and in a manner that complies with Section 409A or an applicable exemption. Any payments under the Plan that may be excluded from Section 409A either as separation pay due to an involuntary separation from service or as a short-term deferral shall be excluded from Section 409A to the maximum extent possible. Any payments to be made under the Plan upon the termination of an Eligible Executive’s employment shall only be made if such termination of employment constitutes a “separation from service” under Section 409A. In no event may an Eligible Executive, directly or indirectly, designate the calendar year of any payment under the Plan. Each installment payment under the Plan is intended to be a separate payment for purposes of Section 409A. Notwithstanding any provision in the Plan to the contrary, if any payment or benefit provided for herein would be subject to additional taxes and interest under Section 409A if an Eligible Executive’s receipt of such payment or benefit is not delayed until the earlier of (i) the date of such Eligible Executive’s death or (ii) the date that is six months after such Eligible Executive’s Date of Retirement (such date, the “</w:t>
      </w:r>
      <w:r>
        <w:rPr>
          <w:rFonts w:ascii="Times New Roman;sans-serif" w:hAnsi="Times New Roman;sans-serif"/>
          <w:b w:val="false"/>
          <w:i/>
          <w:color w:val="000000"/>
          <w:sz w:val="24"/>
        </w:rPr>
        <w:t>Section 409A Payment Date</w:t>
      </w:r>
      <w:r>
        <w:rPr>
          <w:color w:val="000000"/>
        </w:rPr>
        <w:t>”</w:t>
      </w:r>
      <w:r>
        <w:rPr>
          <w:rFonts w:ascii="Times New Roman;sans-serif" w:hAnsi="Times New Roman;sans-serif"/>
          <w:b w:val="false"/>
          <w:color w:val="000000"/>
          <w:sz w:val="24"/>
        </w:rPr>
        <w:t>), then such payment or benefit shall not be provided to such Eligible Executive (or such Eligible Executive’s estate, if applicable) until the Section 409A Payment Date. Notwithstanding the foregoing, the Company makes no representations that the payments and benefits provided under the Plan are exempt from, or compliant with, Section 409A and in no event shall the Company or any of its Affiliates be liable for all or any portion of any taxes, penalties, interest or other expenses that may be incurred by any Eligible Executive on account of non-compliance with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All questions arising with respect to the provisions of the Plan and payments due hereunder will be determined by application of the laws of the State of Nevada, without giving effect to any conflict of law provisions thereof, except to the extent preempted by federal law (including ERISA), the administration of the Plan and any claims made under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Status</w:t>
      </w:r>
      <w:r>
        <w:rPr>
          <w:rFonts w:ascii="Times New Roman;sans-serif" w:hAnsi="Times New Roman;sans-serif"/>
          <w:b w:val="false"/>
          <w:color w:val="000000"/>
          <w:sz w:val="24"/>
        </w:rPr>
        <w:t>. The Plan is intended to qualify for the exemptions under Title I of ERISA provided for plans that are unfunded and maintained primarily for the purpose of providing benefits for a select group of management or highly compensated employees.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Third-Party Beneficiaries</w:t>
      </w:r>
      <w:r>
        <w:rPr>
          <w:rFonts w:ascii="Times New Roman;sans-serif" w:hAnsi="Times New Roman;sans-serif"/>
          <w:b w:val="false"/>
          <w:color w:val="000000"/>
          <w:sz w:val="24"/>
        </w:rPr>
        <w:t xml:space="preserve">. Each Affiliate of the Company shall be a third-party beneficiary of the Eligible Executive’s covenants and obligations under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and shall be entitled to enforce such obligations as if a party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No Right to Continued Employment</w:t>
      </w:r>
      <w:r>
        <w:rPr>
          <w:rFonts w:ascii="Times New Roman;sans-serif" w:hAnsi="Times New Roman;sans-serif"/>
          <w:b w:val="false"/>
          <w:color w:val="000000"/>
          <w:sz w:val="24"/>
        </w:rPr>
        <w:t>. The adoption and maintenance of the Plan shall not be deemed to be a contract of employment between the Company or any of its Affiliates and any person, or to have any impact whatsoever on the at-will employment relationship between the Company or any of its Affiliates and the Eligible Executives. Nothing in the Plan shall be deemed to give any person the right to be retained in the employ of the Company or any of its Affiliates for any period of time or to restrict the right of the Company or any of its Affiliates to terminate the employment of any person at any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Overpayment</w:t>
      </w:r>
      <w:r>
        <w:rPr>
          <w:rFonts w:ascii="Times New Roman;sans-serif" w:hAnsi="Times New Roman;sans-serif"/>
          <w:b w:val="false"/>
          <w:color w:val="000000"/>
          <w:sz w:val="24"/>
        </w:rPr>
        <w:t>. If, due to mistake or any other reason, a person receives retirement payments or benefits under the Plan in excess of what the Plan provides, such person shall repay the overpayment to the Company in a lump sum within thirty (30) days of notice of the amount of overpayment. If such person fails to so repay the overpayment, then without limiting any other remedies available to the Company, the Company may deduct the amount of the overpayment from any other amounts which become payable to such person under the Plan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u w:val="single"/>
        </w:rPr>
        <w:t>Clawback</w:t>
      </w:r>
      <w:r>
        <w:rPr>
          <w:rFonts w:ascii="Times New Roman;sans-serif" w:hAnsi="Times New Roman;sans-serif"/>
          <w:b w:val="false"/>
          <w:color w:val="000000"/>
          <w:sz w:val="24"/>
        </w:rPr>
        <w:t xml:space="preserve">. Notwithstanding anything in the Plan or any other agreement between the Company and/or its related entities and an Eligible Executive to the contrary, any amounts payable under the Plan to such Eligible Executive are subject to (i) any right that the Company may have under such Eligible Executive’s Executive Employment Agreement, and (ii) </w:t>
      </w:r>
      <w:r>
        <w:rPr>
          <w:rFonts w:ascii="Times New Roman;sans-serif" w:hAnsi="Times New Roman;sans-serif"/>
          <w:b w:val="false"/>
          <w:color w:val="000000"/>
          <w:sz w:val="24"/>
          <w:shd w:fill="FFFFFF" w:val="clear"/>
        </w:rPr>
        <w:t>any right or obligation that the Company may have regarding the clawback of “incentive-based compensation” under Section 10D of the Securities Exchange Act of 1934, as amended, and any applicable rules and regulations promulgated thereunder from time to time by the U.S. Securities and Exchange Commission, the listing standards of any national securities exchange or association on which the Company’s securities are listed, or any other applicable law</w:t>
      </w:r>
      <w:r>
        <w:rPr>
          <w:rFonts w:ascii="Times New Roman;sans-serif" w:hAnsi="Times New Roman;sans-serif"/>
          <w:b w:val="false"/>
          <w:color w:val="000000"/>
          <w:sz w:val="24"/>
        </w:rPr>
        <w:t>. The Company will make any determination for clawback or recovery in its sole discretion and in accordance with applicable laws, regulations, and securities exchange listing standards.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Craig S. Billings, certify that: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5090"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724"/>
        <w:gridCol w:w="724"/>
        <w:gridCol w:w="102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br/>
              <w:t xml:space="preserve">Chief Executive Officer </w:t>
              <w:br/>
              <w:t>(Principal Executive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Julie Cameron-Doe, certify that: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6379"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1100"/>
        <w:gridCol w:w="1100"/>
        <w:gridCol w:w="156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Julie Cameron-Doe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br/>
              <w:t xml:space="preserve">Chief Financial Officer </w:t>
              <w:br/>
              <w:t>(Principal Financial and Accounting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 and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Wynn Resorts, Limited (the “Company”) for the quarter ended March 31, 2025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ind w:left="0" w:right="0" w:hanging="720"/>
        <w:jc w:val="left"/>
        <w:rPr/>
      </w:pPr>
      <w:r>
        <w:rPr/>
      </w:r>
    </w:p>
    <w:p>
      <w:pPr>
        <w:pStyle w:val="TextBody"/>
        <w:bidi w:val="0"/>
        <w:spacing w:before="180" w:after="283"/>
        <w:ind w:left="0" w:right="0" w:hanging="720"/>
        <w:jc w:val="left"/>
        <w:rPr/>
      </w:pPr>
      <w:r>
        <w:rPr/>
      </w:r>
    </w:p>
    <w:tbl>
      <w:tblPr>
        <w:tblW w:w="3163" w:type="dxa"/>
        <w:jc w:val="left"/>
        <w:tblInd w:w="0" w:type="dxa"/>
        <w:tblLayout w:type="fixed"/>
        <w:tblCellMar>
          <w:top w:w="28" w:type="dxa"/>
          <w:left w:w="28" w:type="dxa"/>
          <w:bottom w:w="28" w:type="dxa"/>
          <w:right w:w="28" w:type="dxa"/>
        </w:tblCellMar>
      </w:tblPr>
      <w:tblGrid>
        <w:gridCol w:w="249"/>
        <w:gridCol w:w="219"/>
        <w:gridCol w:w="221"/>
        <w:gridCol w:w="722"/>
        <w:gridCol w:w="722"/>
        <w:gridCol w:w="1030"/>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Craig S. Billings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249"/>
        <w:gridCol w:w="219"/>
        <w:gridCol w:w="221"/>
        <w:gridCol w:w="1100"/>
        <w:gridCol w:w="1100"/>
        <w:gridCol w:w="1565"/>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r>
    </w:tbl>
    <w:p>
      <w:pPr>
        <w:pStyle w:val="TextBody"/>
        <w:bidi w:val="0"/>
        <w:spacing w:lineRule="auto" w:line="288" w:before="29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4922/000117492215000044/ex-31.htm" TargetMode="External"/><Relationship Id="rId3" Type="http://schemas.openxmlformats.org/officeDocument/2006/relationships/hyperlink" Target="https://www.sec.gov/Archives/edgar/data/1174922/000117492220000024/ex32-bylaws.htm" TargetMode="External"/><Relationship Id="rId4" Type="http://schemas.openxmlformats.org/officeDocument/2006/relationships/hyperlink" Target="https://www.sec.gov/Archives/edgar/data/1174922/000117492225000032/ex101-completionguaranteex.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24905</Words>
  <Characters>137615</Characters>
  <CharactersWithSpaces>161025</CharactersWithSpaces>
  <Paragraphs>3005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