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ind w:left="2640"/>
        <w:spacing w:after="0"/>
        <w:rPr>
          <w:sz w:val="20"/>
          <w:szCs w:val="20"/>
          <w:color w:val="auto"/>
        </w:rPr>
      </w:pPr>
      <w:r>
        <w:rPr>
          <w:rFonts w:ascii="Arial" w:cs="Arial" w:eastAsia="Arial" w:hAnsi="Arial"/>
          <w:sz w:val="22"/>
          <w:szCs w:val="22"/>
          <w:b w:val="1"/>
          <w:bCs w:val="1"/>
          <w:color w:val="auto"/>
        </w:rPr>
        <w:t>Date of Report (Date of earliest event reported): November 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94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00" w:type="dxa"/>
            <w:vAlign w:val="bottom"/>
          </w:tcPr>
          <w:p>
            <w:pPr>
              <w:ind w:left="132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2940" w:type="dxa"/>
            <w:vAlign w:val="bottom"/>
          </w:tcPr>
          <w:p>
            <w:pPr>
              <w:jc w:val="center"/>
              <w:ind w:right="1222"/>
              <w:spacing w:after="0"/>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8"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304800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460" w:type="dxa"/>
            <w:vAlign w:val="bottom"/>
          </w:tcPr>
          <w:p>
            <w:pPr>
              <w:jc w:val="center"/>
              <w:ind w:right="440"/>
              <w:spacing w:after="0"/>
              <w:rPr>
                <w:sz w:val="20"/>
                <w:szCs w:val="20"/>
                <w:color w:val="auto"/>
              </w:rPr>
            </w:pPr>
            <w:r>
              <w:rPr>
                <w:rFonts w:ascii="Arial" w:cs="Arial" w:eastAsia="Arial" w:hAnsi="Arial"/>
                <w:sz w:val="18"/>
                <w:szCs w:val="18"/>
                <w:b w:val="1"/>
                <w:bCs w:val="1"/>
                <w:color w:val="auto"/>
                <w:w w:val="89"/>
              </w:rPr>
              <w:t>333-100768</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88-0494875</w:t>
            </w:r>
          </w:p>
        </w:tc>
      </w:tr>
      <w:tr>
        <w:trPr>
          <w:trHeight w:val="180"/>
        </w:trPr>
        <w:tc>
          <w:tcPr>
            <w:tcW w:w="35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(State or other jurisdiction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2"/>
              </w:rPr>
              <w:t>(Commission</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5"/>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3131 Las Vegas Boulevard South</w:t>
            </w: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Las Vegas, Nevada</w:t>
            </w:r>
          </w:p>
        </w:tc>
        <w:tc>
          <w:tcPr>
            <w:tcW w:w="446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460" w:type="dxa"/>
            <w:vAlign w:val="bottom"/>
          </w:tcPr>
          <w:p>
            <w:pPr>
              <w:spacing w:after="0"/>
              <w:rPr>
                <w:sz w:val="18"/>
                <w:szCs w:val="18"/>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0"/>
              </w:rPr>
              <w:t>(702) 770-7555</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408"/>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3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00" w:type="dxa"/>
            <w:vAlign w:val="bottom"/>
          </w:tcPr>
          <w:p>
            <w:pPr>
              <w:spacing w:after="0"/>
              <w:rPr>
                <w:sz w:val="16"/>
                <w:szCs w:val="16"/>
                <w:color w:val="auto"/>
              </w:rPr>
            </w:pPr>
          </w:p>
        </w:tc>
      </w:tr>
    </w:tbl>
    <w:p>
      <w:pPr>
        <w:spacing w:after="0" w:line="20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3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ectPr>
          <w:pgSz w:w="11900" w:h="16838" w:orient="portrait"/>
          <w:cols w:equalWidth="0" w:num="1">
            <w:col w:w="10860"/>
          </w:cols>
          <w:pgMar w:left="240" w:top="747" w:right="79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48"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On November 2, 2016, Wynn Resorts, Limited issued a press release announcing its results of operations for the third quarter ended September 30, 2016. The press release is furnished herewith as Exhibit 99.1. The information in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274"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On November 2, 2016, the Company announced a cash dividend of $0.50 per share, payable on November 29, 2016 to stockholders of record as of November 17, 2016.</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w w:val="89"/>
              </w:rPr>
              <w:t>Press release, dated November 2, 2016, of Wynn Resorts, Limited.</w:t>
            </w:r>
          </w:p>
        </w:tc>
      </w:tr>
    </w:tbl>
    <w:p>
      <w:pPr>
        <w:sectPr>
          <w:pgSz w:w="11900" w:h="16838" w:orient="portrait"/>
          <w:cols w:equalWidth="0" w:num="1">
            <w:col w:w="11300"/>
          </w:cols>
          <w:pgMar w:left="240" w:top="958" w:right="35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November 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796" w:right="879" w:bottom="1440" w:gutter="0" w:footer="0" w:header="0"/>
        </w:sectPr>
      </w:pPr>
    </w:p>
    <w:bookmarkStart w:id="3" w:name="page4"/>
    <w:bookmarkEnd w:id="3"/>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760" w:type="dxa"/>
            <w:vAlign w:val="bottom"/>
          </w:tcPr>
          <w:p>
            <w:pPr>
              <w:ind w:left="180"/>
              <w:spacing w:after="0"/>
              <w:rPr>
                <w:sz w:val="20"/>
                <w:szCs w:val="20"/>
                <w:color w:val="auto"/>
              </w:rPr>
            </w:pPr>
            <w:r>
              <w:rPr>
                <w:rFonts w:ascii="Arial" w:cs="Arial" w:eastAsia="Arial" w:hAnsi="Arial"/>
                <w:sz w:val="18"/>
                <w:szCs w:val="18"/>
                <w:b w:val="1"/>
                <w:bCs w:val="1"/>
                <w:color w:val="auto"/>
              </w:rPr>
              <w:t>WYNN LAS VEGAS, LLC</w:t>
            </w:r>
          </w:p>
        </w:tc>
      </w:tr>
      <w:tr>
        <w:trPr>
          <w:trHeight w:val="377"/>
        </w:trPr>
        <w:tc>
          <w:tcPr>
            <w:tcW w:w="4320" w:type="dxa"/>
            <w:vAlign w:val="bottom"/>
          </w:tcPr>
          <w:p>
            <w:pPr>
              <w:spacing w:after="0"/>
              <w:rPr>
                <w:sz w:val="20"/>
                <w:szCs w:val="20"/>
                <w:color w:val="auto"/>
              </w:rPr>
            </w:pPr>
            <w:r>
              <w:rPr>
                <w:rFonts w:ascii="Arial" w:cs="Arial" w:eastAsia="Arial" w:hAnsi="Arial"/>
                <w:sz w:val="18"/>
                <w:szCs w:val="18"/>
                <w:color w:val="auto"/>
              </w:rPr>
              <w:t>Dated: November 2, 2016</w:t>
            </w:r>
          </w:p>
        </w:tc>
        <w:tc>
          <w:tcPr>
            <w:tcW w:w="2960" w:type="dxa"/>
            <w:vAlign w:val="bottom"/>
          </w:tcPr>
          <w:p>
            <w:pPr>
              <w:ind w:left="246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Las Vegas Holdings, LLC, its</w:t>
            </w:r>
          </w:p>
        </w:tc>
      </w:tr>
      <w:tr>
        <w:trPr>
          <w:trHeight w:val="230"/>
        </w:trPr>
        <w:tc>
          <w:tcPr>
            <w:tcW w:w="43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760" w:type="dxa"/>
            <w:vAlign w:val="bottom"/>
          </w:tcPr>
          <w:p>
            <w:pPr>
              <w:ind w:left="120"/>
              <w:spacing w:after="0"/>
              <w:rPr>
                <w:sz w:val="20"/>
                <w:szCs w:val="20"/>
                <w:color w:val="auto"/>
              </w:rPr>
            </w:pPr>
            <w:r>
              <w:rPr>
                <w:rFonts w:ascii="Arial" w:cs="Arial" w:eastAsia="Arial" w:hAnsi="Arial"/>
                <w:sz w:val="18"/>
                <w:szCs w:val="18"/>
                <w:color w:val="auto"/>
              </w:rPr>
              <w:t>sole member</w:t>
            </w:r>
          </w:p>
        </w:tc>
      </w:tr>
      <w:tr>
        <w:trPr>
          <w:trHeight w:val="567"/>
        </w:trPr>
        <w:tc>
          <w:tcPr>
            <w:tcW w:w="4320" w:type="dxa"/>
            <w:vAlign w:val="bottom"/>
          </w:tcPr>
          <w:p>
            <w:pPr>
              <w:spacing w:after="0"/>
              <w:rPr>
                <w:sz w:val="24"/>
                <w:szCs w:val="24"/>
                <w:color w:val="auto"/>
              </w:rPr>
            </w:pPr>
          </w:p>
        </w:tc>
        <w:tc>
          <w:tcPr>
            <w:tcW w:w="2960" w:type="dxa"/>
            <w:vAlign w:val="bottom"/>
          </w:tcPr>
          <w:p>
            <w:pPr>
              <w:ind w:left="246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America, LLC, its sole member</w:t>
            </w:r>
          </w:p>
        </w:tc>
      </w:tr>
      <w:tr>
        <w:trPr>
          <w:trHeight w:val="553"/>
        </w:trPr>
        <w:tc>
          <w:tcPr>
            <w:tcW w:w="4320" w:type="dxa"/>
            <w:vAlign w:val="bottom"/>
          </w:tcPr>
          <w:p>
            <w:pPr>
              <w:spacing w:after="0"/>
              <w:rPr>
                <w:sz w:val="24"/>
                <w:szCs w:val="24"/>
                <w:color w:val="auto"/>
              </w:rPr>
            </w:pPr>
          </w:p>
        </w:tc>
        <w:tc>
          <w:tcPr>
            <w:tcW w:w="2960" w:type="dxa"/>
            <w:vAlign w:val="bottom"/>
          </w:tcPr>
          <w:p>
            <w:pPr>
              <w:ind w:left="246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Resorts Holdings, LLC, its</w:t>
            </w:r>
          </w:p>
        </w:tc>
      </w:tr>
      <w:tr>
        <w:trPr>
          <w:trHeight w:val="230"/>
        </w:trPr>
        <w:tc>
          <w:tcPr>
            <w:tcW w:w="43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sole member</w:t>
            </w:r>
          </w:p>
        </w:tc>
      </w:tr>
      <w:tr>
        <w:trPr>
          <w:trHeight w:val="526"/>
        </w:trPr>
        <w:tc>
          <w:tcPr>
            <w:tcW w:w="4320" w:type="dxa"/>
            <w:vAlign w:val="bottom"/>
          </w:tcPr>
          <w:p>
            <w:pPr>
              <w:spacing w:after="0"/>
              <w:rPr>
                <w:sz w:val="24"/>
                <w:szCs w:val="24"/>
                <w:color w:val="auto"/>
              </w:rPr>
            </w:pPr>
          </w:p>
        </w:tc>
        <w:tc>
          <w:tcPr>
            <w:tcW w:w="2960" w:type="dxa"/>
            <w:vAlign w:val="bottom"/>
          </w:tcPr>
          <w:p>
            <w:pPr>
              <w:ind w:left="246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Resorts, Limited, its</w:t>
            </w:r>
          </w:p>
        </w:tc>
      </w:tr>
      <w:tr>
        <w:trPr>
          <w:trHeight w:val="230"/>
        </w:trPr>
        <w:tc>
          <w:tcPr>
            <w:tcW w:w="43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sole member</w:t>
            </w:r>
          </w:p>
        </w:tc>
      </w:tr>
      <w:tr>
        <w:trPr>
          <w:trHeight w:val="567"/>
        </w:trPr>
        <w:tc>
          <w:tcPr>
            <w:tcW w:w="4320" w:type="dxa"/>
            <w:vAlign w:val="bottom"/>
          </w:tcPr>
          <w:p>
            <w:pPr>
              <w:spacing w:after="0"/>
              <w:rPr>
                <w:sz w:val="24"/>
                <w:szCs w:val="24"/>
                <w:color w:val="auto"/>
              </w:rPr>
            </w:pPr>
          </w:p>
        </w:tc>
        <w:tc>
          <w:tcPr>
            <w:tcW w:w="2960" w:type="dxa"/>
            <w:vAlign w:val="bottom"/>
          </w:tcPr>
          <w:p>
            <w:pPr>
              <w:ind w:left="2460"/>
              <w:spacing w:after="0"/>
              <w:rPr>
                <w:sz w:val="20"/>
                <w:szCs w:val="20"/>
                <w:color w:val="auto"/>
              </w:rPr>
            </w:pPr>
            <w:r>
              <w:rPr>
                <w:rFonts w:ascii="Arial" w:cs="Arial" w:eastAsia="Arial" w:hAnsi="Arial"/>
                <w:sz w:val="18"/>
                <w:szCs w:val="18"/>
                <w:color w:val="auto"/>
              </w:rPr>
              <w:t>By:</w:t>
            </w:r>
          </w:p>
        </w:tc>
        <w:tc>
          <w:tcPr>
            <w:tcW w:w="3760" w:type="dxa"/>
            <w:vAlign w:val="bottom"/>
          </w:tcPr>
          <w:p>
            <w:pPr>
              <w:ind w:left="180"/>
              <w:spacing w:after="0"/>
              <w:rPr>
                <w:sz w:val="20"/>
                <w:szCs w:val="20"/>
                <w:color w:val="auto"/>
              </w:rPr>
            </w:pPr>
            <w:r>
              <w:rPr>
                <w:rFonts w:ascii="Arial" w:cs="Arial" w:eastAsia="Arial" w:hAnsi="Arial"/>
                <w:sz w:val="18"/>
                <w:szCs w:val="18"/>
                <w:color w:val="auto"/>
              </w:rPr>
              <w:t>/s/ Stephen Cootey</w:t>
            </w:r>
          </w:p>
        </w:tc>
      </w:tr>
      <w:tr>
        <w:trPr>
          <w:trHeight w:val="27"/>
        </w:trPr>
        <w:tc>
          <w:tcPr>
            <w:tcW w:w="4320" w:type="dxa"/>
            <w:vAlign w:val="bottom"/>
          </w:tcPr>
          <w:p>
            <w:pPr>
              <w:spacing w:after="0"/>
              <w:rPr>
                <w:sz w:val="2"/>
                <w:szCs w:val="2"/>
                <w:color w:val="auto"/>
              </w:rPr>
            </w:pPr>
          </w:p>
        </w:tc>
        <w:tc>
          <w:tcPr>
            <w:tcW w:w="6720" w:type="dxa"/>
            <w:vAlign w:val="bottom"/>
            <w:gridSpan w:val="2"/>
          </w:tcPr>
          <w:p>
            <w:pPr>
              <w:spacing w:after="0"/>
              <w:rPr>
                <w:sz w:val="2"/>
                <w:szCs w:val="2"/>
                <w:color w:val="auto"/>
              </w:rPr>
            </w:pPr>
          </w:p>
        </w:tc>
      </w:tr>
      <w:tr>
        <w:trPr>
          <w:trHeight w:val="224"/>
        </w:trPr>
        <w:tc>
          <w:tcPr>
            <w:tcW w:w="4320" w:type="dxa"/>
            <w:vAlign w:val="bottom"/>
          </w:tcPr>
          <w:p>
            <w:pPr>
              <w:spacing w:after="0"/>
              <w:rPr>
                <w:sz w:val="19"/>
                <w:szCs w:val="19"/>
                <w:color w:val="auto"/>
              </w:rPr>
            </w:pPr>
          </w:p>
        </w:tc>
        <w:tc>
          <w:tcPr>
            <w:tcW w:w="2960" w:type="dxa"/>
            <w:vAlign w:val="bottom"/>
          </w:tcPr>
          <w:p>
            <w:pPr>
              <w:ind w:left="2460"/>
              <w:spacing w:after="0"/>
              <w:rPr>
                <w:sz w:val="20"/>
                <w:szCs w:val="20"/>
                <w:color w:val="auto"/>
              </w:rPr>
            </w:pPr>
            <w:r>
              <w:rPr>
                <w:rFonts w:ascii="Arial" w:cs="Arial" w:eastAsia="Arial" w:hAnsi="Arial"/>
                <w:sz w:val="18"/>
                <w:szCs w:val="18"/>
                <w:color w:val="auto"/>
                <w:w w:val="71"/>
              </w:rPr>
              <w:t>Stephen</w:t>
            </w:r>
          </w:p>
        </w:tc>
        <w:tc>
          <w:tcPr>
            <w:tcW w:w="37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Cootey</w:t>
            </w:r>
          </w:p>
        </w:tc>
      </w:tr>
    </w:tbl>
    <w:p>
      <w:pPr>
        <w:spacing w:after="0" w:line="5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80"/>
          </w:cols>
          <w:pgMar w:left="240" w:top="796" w:right="5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00" w:type="dxa"/>
            <w:vAlign w:val="bottom"/>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w w:val="93"/>
              </w:rPr>
              <w:t>Press release, dated November 2, 2016, of Wynn Resorts, Limited.</w:t>
            </w:r>
          </w:p>
        </w:tc>
      </w:tr>
    </w:tbl>
    <w:p>
      <w:pPr>
        <w:sectPr>
          <w:pgSz w:w="11900" w:h="16838" w:orient="portrait"/>
          <w:cols w:equalWidth="0" w:num="1">
            <w:col w:w="10179"/>
          </w:cols>
          <w:pgMar w:left="280" w:top="796"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Third Quarter 2016 Results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LAS VEGAS, November 2, 2016 — Wynn Resorts, Limited (Nasdaq: WYNN) today reported financial results for the third quarter ended September 30, 2016. The reported financial results include 40 days of operations of Wynn Palace, which opened on August 22, 2016.</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Net revenues were $1.11 billion for the third quarter of 2016, an increase of 11.4%, or $113.5 million, from $996.3 million for the same period of 2015. The increase was the result of $164.6 million from Wynn Palace and an increase of $15.9 million from our Las Vegas Operations, partially offset by a decrease of $67.0 million from Wynn Macau.</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 U.S. GAAP basis, net loss attributable to Wynn Resorts, Limited was $17.4 million, or $0.17 per diluted share, for the third quarter of 2016, a decrease of 118.1%, or $113.6 million, from net income attributable to Wynn Resorts, Limited of $96.2 million, or $0.95 per diluted share, for the same period of 2015. Adjusted net income attributable to Wynn Resorts, Limited (1) was $76.2 million, or $0.75 per diluted share, for the third quarter of 2016, compared to $87.6 million, or $0.86 per diluted share, for the same period of 2015.</w:t>
      </w:r>
    </w:p>
    <w:p>
      <w:pPr>
        <w:spacing w:after="0" w:line="187" w:lineRule="exact"/>
        <w:rPr>
          <w:sz w:val="20"/>
          <w:szCs w:val="20"/>
          <w:color w:val="auto"/>
        </w:rPr>
      </w:pPr>
    </w:p>
    <w:p>
      <w:pPr>
        <w:ind w:right="420"/>
        <w:spacing w:after="0" w:line="293" w:lineRule="auto"/>
        <w:rPr>
          <w:sz w:val="20"/>
          <w:szCs w:val="20"/>
          <w:color w:val="auto"/>
        </w:rPr>
      </w:pPr>
      <w:r>
        <w:rPr>
          <w:rFonts w:ascii="Arial" w:cs="Arial" w:eastAsia="Arial" w:hAnsi="Arial"/>
          <w:sz w:val="18"/>
          <w:szCs w:val="18"/>
          <w:color w:val="auto"/>
        </w:rPr>
        <w:t>Adjusted Property EBITDA (2) was $305.4 million for the third quarter of 2016, an increase of 9.1%, or $25.5 million, from $279.9 million for the same period of 2015, primarily a result of $25.5 million from Wynn Palace.</w:t>
      </w:r>
    </w:p>
    <w:p>
      <w:pPr>
        <w:spacing w:after="0" w:line="15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Wynn Resorts, Limited also announced today that the Company has approved a cash dividend of $0.50 per share, payable on November 29, 2016 to stockholders of record as of November 17,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revenues from Wynn Macau were $518.1 million for the third quarter of 2016, an 11.5% decrease from $585.1 million for the same period of 2015. Adjusted Property EBITDA from Wynn Macau was $151.0 million for the third quarter of 2016, a 7.3% decrease from $162.8 million for the same period of 2015.</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Casino revenues from Wynn Macau were $488.3 million for the third quarter of 2016, a 10.9% decrease from $547.9 million for the same period of 2015. Table games turnover in VIP operations was $10.94 billion, a 10.5% decrease from $12.22 billion for the third quarter of 2015. VIP table games win as a percentage of turnover (calculated before commissions) was 3.34%, above the expected range of 2.7% to 3.0% and the 3.17% we experienced for the third quarter of 2015. Table drop in mass market operations was $1.11 billion, a 7.6% decrease from $1.20 billion for the third quarter of 2015. Table games win in mass market operations was $205.2 million, a 12.6% decrease from $234.7 million for the third quarter of 2015. Table games win percentage in mass market operations was 18.6%, below the 19.6% experienced for the third quarter of 2015. Slot machine handle was $681.6 million, a 17.4% decrease from $824.6 million for the third quarter of 2015, while slot win decreased 30.0% to $29.3 million.</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Non-casino revenues before promotional allowances from Wynn Macau were $63.7 million for the third quarter of 2016, a 17.4% decrease from the $77.1 million for the same period of 2015. Room revenues decreased 14.6%, to $26.2 million for the third quarter of 2016, compared to $30.7 million for the same period of 2015. Our average daily rate ("ADR") was $270, a 14.8% decrease from $317 for the third quarter of 2015. Occupancy declined to 95.1% for the third quarter of 2016, from 95.9% for the same period of 2015. Revenue per available room ("REVPAR") was $257, a 15.5% decrease from $304 for the third quarter of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Palace</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August 22, 2016, the Company opened Wynn Palace, an integrated resort in the Cotai area of Macau. Wynn Palace features a luxury hotel tower with 1,706 guest rooms, suites and villas, approximately 500,000 square feet of casino space, 10 food and beverage outlets, approximately 40,000 square feet of lounge and meeting space, approximately 105,000 square feet of retail space, and public attractions including a performance lake and floral art displays, and recreation and leisure facilities.</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Prior to the opening of Wynn Palace, the Gaming Inspection and Coordination Bureau of Macau authorized 100 new table games for operations at Wynn Palace with 25 additional table games authorized for operation on each of January 1, 2017 and 2018 for a total of 150 new table games in the aggregate. We transferred 250 table games from Wynn Macau for operation at Wynn Palace.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Net revenues and Adjusted Property EBITDA from Wynn Palace were $164.6 million and $25.5 million, respectively, for the third quarter of 2016.</w:t>
      </w:r>
    </w:p>
    <w:p>
      <w:pPr>
        <w:spacing w:after="0" w:line="23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Casino revenues from Wynn Palace were $146.7 million for the third quarter of 2016. In VIP operations, table games turnover was $4.15 billion and table games win as a percentage of turnover (calculated before commissions) was 2.90%, within the expected range of 2.7% to 3.0%. In mass market operations, table drop was $275.9 million, table games win was $51.5 million and table games win percentage was 18.7%. Slot machine handle was $204.5 million and slot machine win was $12.6 million for the third quarter of 2016.</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Non-casino revenues before promotional allowances from Wynn Palace were $33.9 million for the third quarter of 2016. Room revenues were $14.2 million with an ADR of $287, occupancy of 70.8% and REVPAR of $203.</w:t>
      </w:r>
    </w:p>
    <w:p>
      <w:pPr>
        <w:spacing w:after="0" w:line="170"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As of September 30, 2016, the total Wynn Palace investment for the Company was $4.4 billion. This reflects a $300 million increase to the guaranteed maximum price ("GMP") under the GMP contract, pursuant to a final agreement that was reached on October 28, 2016, between the Company and the general contractor to fully settle all claims at this time under the GMP contract.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229"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Net revenues from our Las Vegas Operations were $427.1 million for the third quarter of 2016, a 3.9% increase from $411.2 million for the same period of 2015. Adjusted Property EBITDA from our Las Vegas Operations was $128.9 million, a 10.1% increase from $117.1 million for the third quarter of 2015.</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Casino revenues from our Las Vegas Operations were $153.2 million for the third quarter of 2016, a 0.7% increase from $152.1 million for the same period of 2015. Table games drop was $483.4 million, a 1.7% decrease from $491.6 million for the third quarter of 2015. Table games win was $119.4 million, a 2.3% increase from $116.7 million for the third quarter of 2015. Table games win percentage was 24.7%, within the property’s expected range of 21% to 25% and above the 23.7% experienced for the third quarter of 2015. Slot machine handle was $818.7 million, a 7.1% increase from $764.3 million for the third quarter of 2015, while slot win decreased 3.9% to $52.5 million.</w:t>
      </w:r>
    </w:p>
    <w:p>
      <w:pPr>
        <w:spacing w:after="0" w:line="18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Non-casino revenues before promotional allowances from our Las Vegas Operations were $316.3 million for the third quarter of 2016, a 4.2% increase from $303.6 million for the same period of 2015. Room revenues increased 9.1%, to $112.2 million for the third quarter of 2016, compared to $102.8 million for the same period of 2015. ADR was $288, a 4.7% increase from $275 for the third quarter of 2015. Occupancy increased to 90.0% for the third quarter of 2016, from the 88.3% experienced for the same period of 2015. REVPAR was $259, a 6.6% increase from $243 for the third quarter of 2015. Food and beverage revenues increased 1.8%, to $145.2 million for the third quarter of 2016, compared to the same period of 2015. Entertainment, retail and other revenues increased 1.1%, to $58.9 million for the third quarter of 2016, compared to the same period of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Boston Harbor Project in Massachusetts</w:t>
      </w:r>
    </w:p>
    <w:p>
      <w:pPr>
        <w:spacing w:after="0" w:line="22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November 2014, the Company was awarded a gaming license to develop and construct Wynn Boston Harbor, an integrated resort in Everett, Massachusetts, adjacent to Boston. Wynn Boston Harbor will be located on a 33-acre site along the Mystic River and will contain a hotel, a waterfront boardwalk, meeting space, casino space, a spa, retail offerings and food and beverage outlets. The total project budget, including construction costs, capitalized interest, pre-opening costs and land costs, is estimated to be between $1.9 billion and $2.1 billion. During the third quarter of 2016, we commenced construction activities and continue with site remediation and site preparation. We expect to open Wynn Boston Harbor in the first half of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restricted cash and investment securities at September 30, 2016 were $2.02 billion.</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debt outstanding at the end of the quarter was $9.44 billion, including $4.16 billion of Macau related debt, $3.17 billion of Wynn Las Vegas debt and $2.11 billion at the parent company and other.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will hold a conference call to discuss its results on November 2, 2016 at 1:30 p.m. PT (4:30 p.m. ET). Interested parties are invited to join the call by accessing a live audio webcast at http://www.wynnresorts.com.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our dependence on existing management, results of regulatory or enforcement actions and probity investigations, pending or future legal proceedings, uncertainties over the development and success of new gaming and resort properties, adverse tourism trends, general global macroeconomic conditions, changes in gaming laws or regulations, volatility and weakness in world-wide credit and financial markets, and our substantial indebtedness and leverage. Additional information concerning potential factors that could affect the Company’s financial results is included in the Company’s Annual Report on Form 10-K for the year ended December 31, 2015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20" w:firstLine="8"/>
        <w:spacing w:after="0" w:line="270"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“Adjusted net income attributable to Wynn Resorts, Limited” is net income (loss) attributable to Wynn Resorts, Limited before pre-opening costs, property charges and other, change in interest rate swap fair value, change in Redemption Note fair value, loss on extinguishment of debt, net of noncontrolling interest and taxes calculated using the specific tax treatment applicable to the adjustments based on their respective jurisdictions. Adjusted net income attributable to Wynn Resorts, Limited and adjusted net income attributable to Wynn Resorts, Limited per diluted share are presented as supplemental disclosures to financial measures in accordance with U.S. generally accepted accounting principles ("GAAP") because management believes that these non-GAAP financial measures are widely used to measure the performance, and as a principal basis for valuation, of gaming companies. These measures are used by management and/or evaluated by some investors, in addition to income and earnings per share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spacing w:after="0" w:line="123" w:lineRule="exact"/>
        <w:rPr>
          <w:rFonts w:ascii="Arial" w:cs="Arial" w:eastAsia="Arial" w:hAnsi="Arial"/>
          <w:sz w:val="17"/>
          <w:szCs w:val="17"/>
          <w:color w:val="auto"/>
        </w:rPr>
      </w:pPr>
    </w:p>
    <w:p>
      <w:pPr>
        <w:ind w:firstLine="8"/>
        <w:spacing w:after="0" w:line="285"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Property EBITDA” is net income (loss) before interest, taxes, depreciation and amortization, pre-opening costs, property charges and other, management and license fees, corporate expenses and other (including intercompany golf course and water rights leases), stock-based compensation, loss on extinguishment of debt, change in interest rate swap fair value, change in Redemption Note fair value and other non-operating income and expenses, and includes equity in income (loss)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7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(loss) attributable to Wynn Resorts, Limited to adjusted net income attributable to Wynn Resorts, Limited, (ii) operating income to Adjusted Property EBITDA, and (iii) Adjusted Property EBITDA to net income (loss) attributable to Wynn Resorts, Limited.</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796"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5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2015</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Casino</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788,219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700,014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2,263,608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2,240,321</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152,608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133,460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431,047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405,427</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167,997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160,283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469,072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477,312</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93,230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87,008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257,256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264,843</w:t>
            </w:r>
          </w:p>
        </w:tc>
      </w:tr>
      <w:tr>
        <w:trPr>
          <w:trHeight w:val="237"/>
        </w:trPr>
        <w:tc>
          <w:tcPr>
            <w:tcW w:w="550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1,202,054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1,080,765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3,420,983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3,387,903</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(255,119)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(258,922)</w:t>
            </w:r>
          </w:p>
        </w:tc>
      </w:tr>
      <w:tr>
        <w:trPr>
          <w:trHeight w:val="237"/>
        </w:trPr>
        <w:tc>
          <w:tcPr>
            <w:tcW w:w="550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1,109,822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996,285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3,165,864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3,128,981</w:t>
            </w: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Casino</w:t>
            </w:r>
          </w:p>
        </w:tc>
        <w:tc>
          <w:tcPr>
            <w:tcW w:w="2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505,620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445,167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1,428,532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1,435,755</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111,563</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109,333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101,161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294,480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288,519</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118,554</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144,206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116,639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381,156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352,546</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doubtful accounts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13,266</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70,778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19,467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150,496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52,433</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106,467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80,649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264,187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245,428</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18,514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31,366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3,963</w:t>
            </w: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1,032,891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843,511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2,783,096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2,622,027</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76,931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152,774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382,768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506,954</w:t>
            </w: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3,678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4,655</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(227,298)</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2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(7,010)</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Redemption Note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47,488</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(126,004)</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(loss) from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1,790</w:t>
            </w: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(205,720)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(306,311)</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120,847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177,048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200,643</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(23,913)</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113,429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175,903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176,730</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attributable to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(68,661)</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Net income (loss) attributable to Wynn Resorts, Limited</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(17,437)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96,210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128,175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108,069</w:t>
            </w:r>
          </w:p>
        </w:tc>
      </w:tr>
      <w:tr>
        <w:trPr>
          <w:trHeight w:val="67"/>
        </w:trPr>
        <w:tc>
          <w:tcPr>
            <w:tcW w:w="55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55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income per common share:</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Net income (loss) attributable to Wynn Resorts, Limited:</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43"/>
        </w:trPr>
        <w:tc>
          <w:tcPr>
            <w:tcW w:w="5500" w:type="dxa"/>
            <w:vAlign w:val="bottom"/>
          </w:tcPr>
          <w:p>
            <w:pPr>
              <w:ind w:left="72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7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101,439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101,161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101,423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101,151</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101,439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101,581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101,708</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2.50</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9" w:name="page10"/>
    <w:bookmarkEnd w:id="9"/>
    <w:p>
      <w:pPr>
        <w:jc w:val="center"/>
        <w:spacing w:after="0" w:line="263" w:lineRule="auto"/>
        <w:rPr>
          <w:sz w:val="20"/>
          <w:szCs w:val="20"/>
          <w:color w:val="auto"/>
        </w:rPr>
      </w:pPr>
      <w:r>
        <w:rPr>
          <w:rFonts w:ascii="Arial" w:cs="Arial" w:eastAsia="Arial" w:hAnsi="Arial"/>
          <w:sz w:val="18"/>
          <w:szCs w:val="18"/>
          <w:b w:val="1"/>
          <w:bCs w:val="1"/>
          <w:color w:val="auto"/>
        </w:rPr>
        <w:t>WYNN RESORTS, LIMITED AND SUBSIDIARIES RECONCILIATION OF NET INCOME (LOSS) ATTRIBUTABLE TO WYNN RESORTS, LIMITED TO ADJUSTED NET INCOME ATTRIBUTABLE TO WYNN RESORTS, LIMITED (in thousands, except per share data)</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Wynn Resorts, Limited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96,210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128,175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108,069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70,778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19,467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150,496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52,433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Redemption Note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(47,488)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5,971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126,004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impact 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16,126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Noncontrolling interest impact on adjustments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(12,763)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Wynn Resorts, Limited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76,182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87,574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294,386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253,354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2"/>
              </w:rPr>
              <w:t>Adjusted net income attributable to Wynn Resorts, Limited per diluted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6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101,917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101,581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101,835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101,708</w:t>
            </w:r>
          </w:p>
        </w:tc>
        <w:tc>
          <w:tcPr>
            <w:tcW w:w="0" w:type="dxa"/>
            <w:vAlign w:val="bottom"/>
          </w:tcPr>
          <w:p>
            <w:pPr>
              <w:spacing w:after="0"/>
              <w:rPr>
                <w:sz w:val="1"/>
                <w:szCs w:val="1"/>
                <w:color w:val="auto"/>
              </w:rPr>
            </w:pPr>
          </w:p>
        </w:tc>
      </w:tr>
      <w:tr>
        <w:trPr>
          <w:trHeight w:val="702"/>
        </w:trPr>
        <w:tc>
          <w:tcPr>
            <w:tcW w:w="5620" w:type="dxa"/>
            <w:vAlign w:val="bottom"/>
          </w:tcPr>
          <w:p>
            <w:pPr>
              <w:spacing w:after="0"/>
              <w:rPr>
                <w:sz w:val="24"/>
                <w:szCs w:val="24"/>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5"/>
              </w:rPr>
              <w:t>Three Months Ended September 30, 2016</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Operating income</w:t>
            </w: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Depreciation and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Pre-opening costs</w:t>
            </w:r>
          </w:p>
        </w:tc>
        <w:tc>
          <w:tcPr>
            <w:tcW w:w="11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(loss)</w:t>
            </w:r>
          </w:p>
        </w:tc>
        <w:tc>
          <w:tcPr>
            <w:tcW w:w="12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amortization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and other</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99,461</w:t>
            </w:r>
          </w:p>
        </w:tc>
        <w:tc>
          <w:tcPr>
            <w:tcW w:w="120" w:type="dxa"/>
            <w:vAlign w:val="bottom"/>
          </w:tcPr>
          <w:p>
            <w:pPr>
              <w:spacing w:after="0"/>
              <w:rPr>
                <w:sz w:val="22"/>
                <w:szCs w:val="22"/>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24,687</w:t>
            </w:r>
          </w:p>
        </w:tc>
        <w:tc>
          <w:tcPr>
            <w:tcW w:w="30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1,758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20,018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2,751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2,334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151,009</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(79,226)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65,548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31,561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25,547</w:t>
            </w: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Other Macau</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(4,884)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902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5,186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6"/>
              </w:rPr>
              <w:t>Total Macau Operations</w:t>
            </w: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15,351</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65,548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57,150</w:t>
            </w:r>
          </w:p>
        </w:tc>
        <w:tc>
          <w:tcPr>
            <w:tcW w:w="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26,572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8,784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1,385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176,556</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46,960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46,403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16,748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13,441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4,634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128,879</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14,620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5,166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2,914</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(40,013)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11,279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6,034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76,931</w:t>
            </w:r>
          </w:p>
        </w:tc>
        <w:tc>
          <w:tcPr>
            <w:tcW w:w="120" w:type="dxa"/>
            <w:vAlign w:val="bottom"/>
          </w:tcPr>
          <w:p>
            <w:pPr>
              <w:spacing w:after="0"/>
              <w:rPr>
                <w:sz w:val="21"/>
                <w:szCs w:val="21"/>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70,778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106,467</w:t>
            </w:r>
          </w:p>
        </w:tc>
        <w:tc>
          <w:tcPr>
            <w:tcW w:w="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18,514</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24,697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8,048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305,435</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1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5"/>
              </w:rPr>
              <w:t>Three Months Ended September 30, 2015</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Operating income</w:t>
            </w: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Depreciation and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Pre-opening costs</w:t>
            </w:r>
          </w:p>
        </w:tc>
        <w:tc>
          <w:tcPr>
            <w:tcW w:w="11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(loss)</w:t>
            </w:r>
          </w:p>
        </w:tc>
        <w:tc>
          <w:tcPr>
            <w:tcW w:w="12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amortization</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and other (1)</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105,762</w:t>
            </w:r>
          </w:p>
        </w:tc>
        <w:tc>
          <w:tcPr>
            <w:tcW w:w="120" w:type="dxa"/>
            <w:vAlign w:val="bottom"/>
          </w:tcPr>
          <w:p>
            <w:pPr>
              <w:spacing w:after="0"/>
              <w:rPr>
                <w:sz w:val="22"/>
                <w:szCs w:val="22"/>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27,954</w:t>
            </w:r>
          </w:p>
        </w:tc>
        <w:tc>
          <w:tcPr>
            <w:tcW w:w="30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890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22,368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3,049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2,799</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162,822</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(17,940)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Other Macau</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(4,772)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737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6"/>
              </w:rPr>
              <w:t>Total Macau Operations</w:t>
            </w: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83,050</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13,688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32,943</w:t>
            </w:r>
          </w:p>
        </w:tc>
        <w:tc>
          <w:tcPr>
            <w:tcW w:w="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22,368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6,172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3,711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162,822</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52,692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45,215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13,004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5,449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117,069</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17,032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5,779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2,491</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(35,372)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5,185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4,899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152,774</w:t>
            </w: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19,467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80,649</w:t>
            </w:r>
          </w:p>
        </w:tc>
        <w:tc>
          <w:tcPr>
            <w:tcW w:w="30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985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16,806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9,210</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279,891</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(1) Amounts previously presented as equity in income (loss) from unconsolidated affiliates have been combined with property charges and other to be consistent with current year presentation.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9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6"/>
              </w:rPr>
              <w:t>Nine Months Ended September 30, 2016</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Operating income</w:t>
            </w: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Depreciation and</w:t>
            </w:r>
          </w:p>
        </w:tc>
        <w:tc>
          <w:tcPr>
            <w:tcW w:w="120" w:type="dxa"/>
            <w:vAlign w:val="bottom"/>
          </w:tcPr>
          <w:p>
            <w:pPr>
              <w:spacing w:after="0"/>
              <w:rPr>
                <w:sz w:val="13"/>
                <w:szCs w:val="13"/>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Pre-opening costs</w:t>
            </w: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(loss)</w:t>
            </w:r>
          </w:p>
        </w:tc>
        <w:tc>
          <w:tcPr>
            <w:tcW w:w="12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amortization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and other</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369,490</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74,530</w:t>
            </w:r>
          </w:p>
        </w:tc>
        <w:tc>
          <w:tcPr>
            <w:tcW w:w="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4,206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67,154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9,196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8,067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532,643</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(154,602)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131,144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41,162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25,547</w:t>
            </w: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Other Macau</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(14,022)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2,379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10,667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6"/>
              </w:rPr>
              <w:t>Total Macau Operations</w:t>
            </w: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200,866</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131,144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118,071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4,393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73,708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20,710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9,298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558,190</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138,333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2,199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137,349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26,989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38,963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14,324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360,193</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43,569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17,153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8,767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(112,671)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25,660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17,522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382,768</w:t>
            </w:r>
          </w:p>
        </w:tc>
        <w:tc>
          <w:tcPr>
            <w:tcW w:w="120" w:type="dxa"/>
            <w:vAlign w:val="bottom"/>
          </w:tcPr>
          <w:p>
            <w:pPr>
              <w:spacing w:after="0"/>
              <w:rPr>
                <w:sz w:val="21"/>
                <w:szCs w:val="21"/>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150,496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264,187</w:t>
            </w:r>
          </w:p>
        </w:tc>
        <w:tc>
          <w:tcPr>
            <w:tcW w:w="12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31,382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60,694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28,856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918,383</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1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6"/>
              </w:rPr>
              <w:t>Nine Months Ended September 30, 2015</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Operating income</w:t>
            </w: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Depreciation and</w:t>
            </w:r>
          </w:p>
        </w:tc>
        <w:tc>
          <w:tcPr>
            <w:tcW w:w="120" w:type="dxa"/>
            <w:vAlign w:val="bottom"/>
          </w:tcPr>
          <w:p>
            <w:pPr>
              <w:spacing w:after="0"/>
              <w:rPr>
                <w:sz w:val="13"/>
                <w:szCs w:val="13"/>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Property charges</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Management</w:t>
            </w:r>
          </w:p>
        </w:tc>
        <w:tc>
          <w:tcPr>
            <w:tcW w:w="120" w:type="dxa"/>
            <w:vAlign w:val="bottom"/>
          </w:tcPr>
          <w:p>
            <w:pPr>
              <w:spacing w:after="0"/>
              <w:rPr>
                <w:sz w:val="13"/>
                <w:szCs w:val="13"/>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Stock-based</w:t>
            </w:r>
          </w:p>
        </w:tc>
        <w:tc>
          <w:tcPr>
            <w:tcW w:w="180" w:type="dxa"/>
            <w:vAlign w:val="bottom"/>
          </w:tcPr>
          <w:p>
            <w:pPr>
              <w:spacing w:after="0"/>
              <w:rPr>
                <w:sz w:val="13"/>
                <w:szCs w:val="13"/>
                <w:color w:val="auto"/>
              </w:rPr>
            </w:pPr>
          </w:p>
        </w:tc>
        <w:tc>
          <w:tcPr>
            <w:tcW w:w="94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Pre-opening costs</w:t>
            </w: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expense and</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92"/>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(loss)</w:t>
            </w:r>
          </w:p>
        </w:tc>
        <w:tc>
          <w:tcPr>
            <w:tcW w:w="12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amortization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and other (1)</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and license fees</w:t>
            </w:r>
          </w:p>
        </w:tc>
        <w:tc>
          <w:tcPr>
            <w:tcW w:w="120" w:type="dxa"/>
            <w:vAlign w:val="bottom"/>
          </w:tcPr>
          <w:p>
            <w:pPr>
              <w:spacing w:after="0"/>
              <w:rPr>
                <w:sz w:val="16"/>
                <w:szCs w:val="16"/>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0"/>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Macau Operations:</w:t>
            </w:r>
          </w:p>
        </w:tc>
        <w:tc>
          <w:tcPr>
            <w:tcW w:w="2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Wynn Macau</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365,874</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88,350</w:t>
            </w:r>
          </w:p>
        </w:tc>
        <w:tc>
          <w:tcPr>
            <w:tcW w:w="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2,585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73,301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9,192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9,253</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548,555</w:t>
            </w:r>
          </w:p>
        </w:tc>
        <w:tc>
          <w:tcPr>
            <w:tcW w:w="0" w:type="dxa"/>
            <w:vAlign w:val="bottom"/>
          </w:tcPr>
          <w:p>
            <w:pPr>
              <w:spacing w:after="0"/>
              <w:rPr>
                <w:sz w:val="1"/>
                <w:szCs w:val="1"/>
                <w:color w:val="auto"/>
              </w:rPr>
            </w:pPr>
          </w:p>
        </w:tc>
      </w:tr>
      <w:tr>
        <w:trPr>
          <w:trHeight w:val="276"/>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Wynn Palace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(45,188)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500" w:type="dxa"/>
            <w:vAlign w:val="bottom"/>
          </w:tcPr>
          <w:p>
            <w:pPr>
              <w:ind w:left="140"/>
              <w:spacing w:after="0"/>
              <w:rPr>
                <w:sz w:val="20"/>
                <w:szCs w:val="20"/>
                <w:color w:val="auto"/>
              </w:rPr>
            </w:pPr>
            <w:r>
              <w:rPr>
                <w:rFonts w:ascii="Arial" w:cs="Arial" w:eastAsia="Arial" w:hAnsi="Arial"/>
                <w:sz w:val="14"/>
                <w:szCs w:val="14"/>
                <w:color w:val="auto"/>
              </w:rPr>
              <w:t>Other Macau</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(13,343)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2,191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8,259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2,893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1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6"/>
              </w:rPr>
              <w:t>Total Macau Operations</w:t>
            </w:r>
          </w:p>
        </w:tc>
        <w:tc>
          <w:tcPr>
            <w:tcW w:w="26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307,343</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34,228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101,501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2,585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73,301</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17,451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12,146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548,555</w:t>
            </w:r>
          </w:p>
        </w:tc>
        <w:tc>
          <w:tcPr>
            <w:tcW w:w="0" w:type="dxa"/>
            <w:vAlign w:val="bottom"/>
          </w:tcPr>
          <w:p>
            <w:pPr>
              <w:spacing w:after="0"/>
              <w:rPr>
                <w:sz w:val="1"/>
                <w:szCs w:val="1"/>
                <w:color w:val="auto"/>
              </w:rPr>
            </w:pPr>
          </w:p>
        </w:tc>
      </w:tr>
      <w:tr>
        <w:trPr>
          <w:trHeight w:val="264"/>
        </w:trPr>
        <w:tc>
          <w:tcPr>
            <w:tcW w:w="1500" w:type="dxa"/>
            <w:vAlign w:val="bottom"/>
          </w:tcPr>
          <w:p>
            <w:pPr>
              <w:ind w:left="40"/>
              <w:spacing w:after="0"/>
              <w:rPr>
                <w:sz w:val="20"/>
                <w:szCs w:val="20"/>
                <w:color w:val="auto"/>
              </w:rPr>
            </w:pPr>
            <w:r>
              <w:rPr>
                <w:rFonts w:ascii="Arial" w:cs="Arial" w:eastAsia="Arial" w:hAnsi="Arial"/>
                <w:sz w:val="14"/>
                <w:szCs w:val="14"/>
                <w:color w:val="auto"/>
              </w:rPr>
              <w:t>Las Vegas Operations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158,794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136,704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34,458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16,547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349,783</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and 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40,817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18,205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7,223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(107,759)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25,288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15,988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4"/>
                <w:szCs w:val="14"/>
                <w:color w:val="auto"/>
              </w:rPr>
              <w:t>Total</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506,954</w:t>
            </w:r>
          </w:p>
        </w:tc>
        <w:tc>
          <w:tcPr>
            <w:tcW w:w="1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52,433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245,428</w:t>
            </w:r>
          </w:p>
        </w:tc>
        <w:tc>
          <w:tcPr>
            <w:tcW w:w="2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4,031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59,286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30,206</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898,338</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(1) Amounts previously presented as equity in income (loss) from unconsolidated affiliates have been combined with property charges and other to be consistent with current year presentation.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9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PROPERTY EBITDA TO NET INCOME (LOSS)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Property EBITDA</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305,435</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279,891</w:t>
            </w:r>
          </w:p>
        </w:tc>
        <w:tc>
          <w:tcPr>
            <w:tcW w:w="1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918,383</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898,338</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380"/>
              <w:spacing w:after="0"/>
              <w:rPr>
                <w:sz w:val="20"/>
                <w:szCs w:val="20"/>
                <w:color w:val="auto"/>
              </w:rPr>
            </w:pPr>
            <w:r>
              <w:rPr>
                <w:rFonts w:ascii="Arial" w:cs="Arial" w:eastAsia="Arial" w:hAnsi="Arial"/>
                <w:sz w:val="14"/>
                <w:szCs w:val="14"/>
                <w:color w:val="auto"/>
              </w:rPr>
              <w:t>Pre-opening costs</w:t>
            </w:r>
          </w:p>
        </w:tc>
        <w:tc>
          <w:tcPr>
            <w:tcW w:w="280" w:type="dxa"/>
            <w:vAlign w:val="bottom"/>
          </w:tcPr>
          <w:p>
            <w:pPr>
              <w:spacing w:after="0"/>
              <w:rPr>
                <w:sz w:val="16"/>
                <w:szCs w:val="16"/>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(70,778)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(19,467)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(150,496)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(52,433)</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(106,467)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(80,649)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(264,187)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(245,428)</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380"/>
              <w:spacing w:after="0"/>
              <w:rPr>
                <w:sz w:val="20"/>
                <w:szCs w:val="20"/>
                <w:color w:val="auto"/>
              </w:rPr>
            </w:pPr>
            <w:r>
              <w:rPr>
                <w:rFonts w:ascii="Arial" w:cs="Arial" w:eastAsia="Arial" w:hAnsi="Arial"/>
                <w:sz w:val="14"/>
                <w:szCs w:val="14"/>
                <w:color w:val="auto"/>
              </w:rPr>
              <w:t>Property charges and other</w:t>
            </w:r>
          </w:p>
        </w:tc>
        <w:tc>
          <w:tcPr>
            <w:tcW w:w="280" w:type="dxa"/>
            <w:vAlign w:val="bottom"/>
          </w:tcPr>
          <w:p>
            <w:pPr>
              <w:spacing w:after="0"/>
              <w:rPr>
                <w:sz w:val="16"/>
                <w:szCs w:val="16"/>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(18,514)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(987)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(31,366)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(3,963)</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Corporate expense and other</w:t>
            </w:r>
          </w:p>
        </w:tc>
        <w:tc>
          <w:tcPr>
            <w:tcW w:w="2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(24,697)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(16,806)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(60,694)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(59,286)</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280" w:type="dxa"/>
            <w:vAlign w:val="bottom"/>
          </w:tcPr>
          <w:p>
            <w:pPr>
              <w:spacing w:after="0"/>
              <w:rPr>
                <w:sz w:val="16"/>
                <w:szCs w:val="16"/>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(8,048)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(9,210)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(28,856)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(30,206)</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income</w:t>
            </w:r>
          </w:p>
        </w:tc>
        <w:tc>
          <w:tcPr>
            <w:tcW w:w="2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3,678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1,465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9,940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4,655</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380"/>
              <w:spacing w:after="0"/>
              <w:rPr>
                <w:sz w:val="20"/>
                <w:szCs w:val="20"/>
                <w:color w:val="auto"/>
              </w:rPr>
            </w:pPr>
            <w:r>
              <w:rPr>
                <w:rFonts w:ascii="Arial" w:cs="Arial" w:eastAsia="Arial" w:hAnsi="Arial"/>
                <w:sz w:val="14"/>
                <w:szCs w:val="14"/>
                <w:color w:val="auto"/>
              </w:rPr>
              <w:t>Interest expense, net of amounts capitalized</w:t>
            </w:r>
          </w:p>
        </w:tc>
        <w:tc>
          <w:tcPr>
            <w:tcW w:w="280" w:type="dxa"/>
            <w:vAlign w:val="bottom"/>
          </w:tcPr>
          <w:p>
            <w:pPr>
              <w:spacing w:after="0"/>
              <w:rPr>
                <w:sz w:val="16"/>
                <w:szCs w:val="16"/>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(79,669)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(74,079)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(193,698)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(227,298)</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in interest rate swap fair value</w:t>
            </w:r>
          </w:p>
        </w:tc>
        <w:tc>
          <w:tcPr>
            <w:tcW w:w="2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1,168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(1,287)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(7,010)</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380"/>
              <w:spacing w:after="0"/>
              <w:rPr>
                <w:sz w:val="20"/>
                <w:szCs w:val="20"/>
                <w:color w:val="auto"/>
              </w:rPr>
            </w:pPr>
            <w:r>
              <w:rPr>
                <w:rFonts w:ascii="Arial" w:cs="Arial" w:eastAsia="Arial" w:hAnsi="Arial"/>
                <w:sz w:val="14"/>
                <w:szCs w:val="14"/>
                <w:color w:val="auto"/>
              </w:rPr>
              <w:t>(Increase) decrease in Redemption Note fair value</w:t>
            </w:r>
          </w:p>
        </w:tc>
        <w:tc>
          <w:tcPr>
            <w:tcW w:w="280" w:type="dxa"/>
            <w:vAlign w:val="bottom"/>
          </w:tcPr>
          <w:p>
            <w:pPr>
              <w:spacing w:after="0"/>
              <w:rPr>
                <w:sz w:val="16"/>
                <w:szCs w:val="16"/>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(22,218)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47,488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(19,239)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47,488</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on extinguishment of debt</w:t>
            </w:r>
          </w:p>
        </w:tc>
        <w:tc>
          <w:tcPr>
            <w:tcW w:w="28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(5,971)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(126,004)</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34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8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38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899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(1,046)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1,790</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Provision for income taxes</w:t>
            </w:r>
          </w:p>
        </w:tc>
        <w:tc>
          <w:tcPr>
            <w:tcW w:w="2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(7,418)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(23,913)</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80" w:type="dxa"/>
            <w:vAlign w:val="bottom"/>
          </w:tcPr>
          <w:p>
            <w:pPr>
              <w:spacing w:after="0"/>
              <w:rPr>
                <w:sz w:val="14"/>
                <w:szCs w:val="14"/>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(19,331)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113,429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175,903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176,730</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(income) loss attributable to noncontrolling interest</w:t>
            </w:r>
          </w:p>
        </w:tc>
        <w:tc>
          <w:tcPr>
            <w:tcW w:w="2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1,894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(17,219)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(47,728)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(68,661)</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0"/>
              <w:spacing w:after="0"/>
              <w:rPr>
                <w:sz w:val="20"/>
                <w:szCs w:val="20"/>
                <w:color w:val="auto"/>
              </w:rPr>
            </w:pPr>
            <w:r>
              <w:rPr>
                <w:rFonts w:ascii="Arial" w:cs="Arial" w:eastAsia="Arial" w:hAnsi="Arial"/>
                <w:sz w:val="14"/>
                <w:szCs w:val="14"/>
                <w:color w:val="auto"/>
              </w:rPr>
              <w:t>Net income (loss) attributable to Wynn Resorts, Limited</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(17,437)</w:t>
            </w:r>
          </w:p>
        </w:tc>
        <w:tc>
          <w:tcPr>
            <w:tcW w:w="120" w:type="dxa"/>
            <w:vAlign w:val="bottom"/>
          </w:tcPr>
          <w:p>
            <w:pPr>
              <w:spacing w:after="0"/>
              <w:rPr>
                <w:sz w:val="14"/>
                <w:szCs w:val="14"/>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96,210</w:t>
            </w:r>
          </w:p>
        </w:tc>
        <w:tc>
          <w:tcPr>
            <w:tcW w:w="120" w:type="dxa"/>
            <w:vAlign w:val="bottom"/>
          </w:tcPr>
          <w:p>
            <w:pPr>
              <w:spacing w:after="0"/>
              <w:rPr>
                <w:sz w:val="14"/>
                <w:szCs w:val="14"/>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128,175</w:t>
            </w:r>
          </w:p>
        </w:tc>
        <w:tc>
          <w:tcPr>
            <w:tcW w:w="100" w:type="dxa"/>
            <w:vAlign w:val="bottom"/>
          </w:tcPr>
          <w:p>
            <w:pPr>
              <w:spacing w:after="0"/>
              <w:rPr>
                <w:sz w:val="14"/>
                <w:szCs w:val="14"/>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108,069</w:t>
            </w:r>
          </w:p>
        </w:tc>
        <w:tc>
          <w:tcPr>
            <w:tcW w:w="0" w:type="dxa"/>
            <w:vAlign w:val="bottom"/>
          </w:tcPr>
          <w:p>
            <w:pPr>
              <w:spacing w:after="0"/>
              <w:rPr>
                <w:sz w:val="1"/>
                <w:szCs w:val="1"/>
                <w:color w:val="auto"/>
              </w:rPr>
            </w:pPr>
          </w:p>
        </w:tc>
      </w:tr>
      <w:tr>
        <w:trPr>
          <w:trHeight w:val="65"/>
        </w:trPr>
        <w:tc>
          <w:tcPr>
            <w:tcW w:w="516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SCHEDULE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for win per unit per day, ADR and REVPAR)</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53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160"/>
              <w:spacing w:after="0"/>
              <w:rPr>
                <w:sz w:val="20"/>
                <w:szCs w:val="20"/>
                <w:color w:val="auto"/>
              </w:rPr>
            </w:pPr>
            <w:r>
              <w:rPr>
                <w:rFonts w:ascii="Arial" w:cs="Arial" w:eastAsia="Arial" w:hAnsi="Arial"/>
                <w:sz w:val="18"/>
                <w:szCs w:val="18"/>
                <w:color w:val="auto"/>
              </w:rPr>
              <w:t>Wynn Macau:</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243</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10,941,100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12,218,445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36,252,239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44,883,114</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VIP table games win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365,047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387,082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1,214,675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1,320,650</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 as a % of turnover</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28,003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18,422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25,871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19,953</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221</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1,105,938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1,196,940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3,489,272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3,672,269</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205,179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234,697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687,876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722,877</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11,089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11,319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11,008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11,988</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698</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681,552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824,646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2,584,342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2,891,818</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29,327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41,876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113,098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140,791</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Slot machine win per unit per day </w:t>
            </w:r>
            <w:r>
              <w:rPr>
                <w:rFonts w:ascii="Arial" w:cs="Arial" w:eastAsia="Arial" w:hAnsi="Arial"/>
                <w:sz w:val="14"/>
                <w:szCs w:val="14"/>
                <w:color w:val="auto"/>
              </w:rPr>
              <w:t>(3)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739</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96.6%</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323</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312</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5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 xml:space="preserve">Wynn Palace </w:t>
            </w:r>
            <w:r>
              <w:rPr>
                <w:rFonts w:ascii="Arial" w:cs="Arial" w:eastAsia="Arial" w:hAnsi="Arial"/>
                <w:sz w:val="14"/>
                <w:szCs w:val="14"/>
                <w:color w:val="auto"/>
              </w:rPr>
              <w:t>(6)</w:t>
            </w: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VIP:</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turnover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4,150,448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4,150,448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VIP table games win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120,455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120,455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 as a % of turnover</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42,117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42,117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Mass market: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275,898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275,898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51,525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51,525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4,702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4,702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204,515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204,515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12,610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12,610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Slot machine win per unit per day </w:t>
            </w:r>
            <w:r>
              <w:rPr>
                <w:rFonts w:ascii="Arial" w:cs="Arial" w:eastAsia="Arial" w:hAnsi="Arial"/>
                <w:sz w:val="14"/>
                <w:szCs w:val="14"/>
                <w:color w:val="auto"/>
              </w:rPr>
              <w:t>(3)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0"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SCHEDULE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for win per unit per day, ADR and REVPAR)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9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30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234</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483,382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491,616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1,385,963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1,574,537</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119,388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116,655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340,572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351,647</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5,552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5,505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5,264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5,502</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1,861</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818,719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764,263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2,286,559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2,238,594</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52,460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54,614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150,786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154,041</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 xml:space="preserve">Slot machine win per unit per day </w:t>
            </w:r>
            <w:r>
              <w:rPr>
                <w:rFonts w:ascii="Arial" w:cs="Arial" w:eastAsia="Arial" w:hAnsi="Arial"/>
                <w:sz w:val="14"/>
                <w:szCs w:val="14"/>
                <w:color w:val="auto"/>
              </w:rPr>
              <w:t>(3)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303</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 statistics: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86.6%</w:t>
            </w:r>
          </w:p>
        </w:tc>
      </w:tr>
      <w:tr>
        <w:trPr>
          <w:trHeight w:val="27"/>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282</w:t>
            </w:r>
          </w:p>
        </w:tc>
      </w:tr>
      <w:tr>
        <w:trPr>
          <w:trHeight w:val="243"/>
        </w:trPr>
        <w:tc>
          <w:tcPr>
            <w:tcW w:w="496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244</w:t>
            </w:r>
          </w:p>
        </w:tc>
      </w:tr>
    </w:tbl>
    <w:p>
      <w:pPr>
        <w:spacing w:after="0" w:line="265" w:lineRule="exact"/>
        <w:rPr>
          <w:sz w:val="20"/>
          <w:szCs w:val="20"/>
          <w:color w:val="auto"/>
        </w:rPr>
      </w:pPr>
    </w:p>
    <w:p>
      <w:pPr>
        <w:ind w:left="260" w:hanging="198"/>
        <w:spacing w:after="0"/>
        <w:tabs>
          <w:tab w:leader="none" w:pos="260" w:val="left"/>
        </w:tabs>
        <w:numPr>
          <w:ilvl w:val="1"/>
          <w:numId w:val="3"/>
        </w:numPr>
        <w:rPr>
          <w:rFonts w:ascii="Arial" w:cs="Arial" w:eastAsia="Arial" w:hAnsi="Arial"/>
          <w:sz w:val="14"/>
          <w:szCs w:val="14"/>
          <w:color w:val="auto"/>
        </w:rPr>
      </w:pPr>
      <w:r>
        <w:rPr>
          <w:rFonts w:ascii="Arial" w:cs="Arial" w:eastAsia="Arial" w:hAnsi="Arial"/>
          <w:sz w:val="14"/>
          <w:szCs w:val="14"/>
          <w:color w:val="auto"/>
        </w:rPr>
        <w:t>Table games win per unit per day is shown before discounts and commissions, as applicable.</w:t>
      </w:r>
    </w:p>
    <w:p>
      <w:pPr>
        <w:spacing w:after="0" w:line="13" w:lineRule="exact"/>
        <w:rPr>
          <w:rFonts w:ascii="Arial" w:cs="Arial" w:eastAsia="Arial" w:hAnsi="Arial"/>
          <w:sz w:val="14"/>
          <w:szCs w:val="14"/>
          <w:color w:val="auto"/>
        </w:rPr>
      </w:pPr>
    </w:p>
    <w:p>
      <w:pPr>
        <w:ind w:left="60" w:right="280" w:firstLine="2"/>
        <w:spacing w:after="0" w:line="241" w:lineRule="auto"/>
        <w:tabs>
          <w:tab w:leader="none" w:pos="264" w:val="left"/>
        </w:tabs>
        <w:numPr>
          <w:ilvl w:val="1"/>
          <w:numId w:val="3"/>
        </w:numPr>
        <w:rPr>
          <w:rFonts w:ascii="Arial" w:cs="Arial" w:eastAsia="Arial" w:hAnsi="Arial"/>
          <w:sz w:val="14"/>
          <w:szCs w:val="14"/>
          <w:color w:val="auto"/>
        </w:rPr>
      </w:pPr>
      <w:r>
        <w:rPr>
          <w:rFonts w:ascii="Arial" w:cs="Arial" w:eastAsia="Arial" w:hAnsi="Arial"/>
          <w:sz w:val="14"/>
          <w:szCs w:val="14"/>
          <w:color w:val="auto"/>
        </w:rPr>
        <w:t>In Macau, table drop is the amount of cash that is deposited in a gaming table’s drop box plus cash chips purchased at the casino cage. In Las Vegas, table drop is the amount of cash and net markers issued that are deposited in a gaming table’s drop box.</w:t>
      </w:r>
    </w:p>
    <w:p>
      <w:pPr>
        <w:ind w:left="260" w:hanging="198"/>
        <w:spacing w:after="0"/>
        <w:tabs>
          <w:tab w:leader="none" w:pos="260" w:val="left"/>
        </w:tabs>
        <w:numPr>
          <w:ilvl w:val="1"/>
          <w:numId w:val="3"/>
        </w:numPr>
        <w:rPr>
          <w:rFonts w:ascii="Arial" w:cs="Arial" w:eastAsia="Arial" w:hAnsi="Arial"/>
          <w:sz w:val="14"/>
          <w:szCs w:val="14"/>
          <w:color w:val="auto"/>
        </w:rPr>
      </w:pPr>
      <w:r>
        <w:rPr>
          <w:rFonts w:ascii="Arial" w:cs="Arial" w:eastAsia="Arial" w:hAnsi="Arial"/>
          <w:sz w:val="14"/>
          <w:szCs w:val="14"/>
          <w:color w:val="auto"/>
        </w:rPr>
        <w:t>Slot machine win per unit per day is calculated as gross slot win minus progressive accruals and free play.</w:t>
      </w:r>
    </w:p>
    <w:p>
      <w:pPr>
        <w:spacing w:after="0" w:line="1" w:lineRule="exact"/>
        <w:rPr>
          <w:rFonts w:ascii="Arial" w:cs="Arial" w:eastAsia="Arial" w:hAnsi="Arial"/>
          <w:sz w:val="14"/>
          <w:szCs w:val="14"/>
          <w:color w:val="auto"/>
        </w:rPr>
      </w:pPr>
    </w:p>
    <w:p>
      <w:pPr>
        <w:ind w:left="60" w:right="80" w:firstLine="2"/>
        <w:spacing w:after="0" w:line="241" w:lineRule="auto"/>
        <w:tabs>
          <w:tab w:leader="none" w:pos="264" w:val="left"/>
        </w:tabs>
        <w:numPr>
          <w:ilvl w:val="1"/>
          <w:numId w:val="3"/>
        </w:numPr>
        <w:rPr>
          <w:rFonts w:ascii="Arial" w:cs="Arial" w:eastAsia="Arial" w:hAnsi="Arial"/>
          <w:sz w:val="14"/>
          <w:szCs w:val="14"/>
          <w:color w:val="auto"/>
        </w:rPr>
      </w:pPr>
      <w:r>
        <w:rPr>
          <w:rFonts w:ascii="Arial" w:cs="Arial" w:eastAsia="Arial" w:hAnsi="Arial"/>
          <w:sz w:val="14"/>
          <w:szCs w:val="14"/>
          <w:color w:val="auto"/>
        </w:rPr>
        <w:t>ADR is average daily rate and is calculated by dividing total room revenues including the retail value of promotional allowances (less service charges, if any) by total rooms occupied including complimentary rooms.</w:t>
      </w:r>
    </w:p>
    <w:p>
      <w:pPr>
        <w:ind w:left="60" w:right="420" w:firstLine="2"/>
        <w:spacing w:after="0" w:line="241" w:lineRule="auto"/>
        <w:tabs>
          <w:tab w:leader="none" w:pos="264" w:val="left"/>
        </w:tabs>
        <w:numPr>
          <w:ilvl w:val="1"/>
          <w:numId w:val="3"/>
        </w:numPr>
        <w:rPr>
          <w:rFonts w:ascii="Arial" w:cs="Arial" w:eastAsia="Arial" w:hAnsi="Arial"/>
          <w:sz w:val="14"/>
          <w:szCs w:val="14"/>
          <w:color w:val="auto"/>
        </w:rPr>
      </w:pPr>
      <w:r>
        <w:rPr>
          <w:rFonts w:ascii="Arial" w:cs="Arial" w:eastAsia="Arial" w:hAnsi="Arial"/>
          <w:sz w:val="14"/>
          <w:szCs w:val="14"/>
          <w:color w:val="auto"/>
        </w:rPr>
        <w:t>REVPAR is revenue per available room and is calculated by dividing total room revenues including the retail value of promotional allowances (less service charges, if any) by total rooms available.</w:t>
      </w: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Wynn Palace opened on August 22, 2016.</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Strawn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lvl w:ilvl="1">
      <w:lvlJc w:val="left"/>
      <w:lvlText w:val="(%2)"/>
      <w:numFmt w:val="decimal"/>
      <w:start w:val="1"/>
    </w:lvl>
  </w:abstractNum>
  <w:abstractNum w:abstractNumId="3">
    <w:nsid w:val="625558EC"/>
    <w:multiLevelType w:val="hybridMultilevel"/>
    <w:lvl w:ilvl="0">
      <w:lvlJc w:val="left"/>
      <w:lvlText w:val="(%1)"/>
      <w:numFmt w:val="decimal"/>
      <w:start w:val="6"/>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2019-12-07T16:33:22Z</dcterms:created>
  <dcterms:modified xsi:type="dcterms:W3CDTF">2019-12-07T16:33:22Z</dcterms:modified>
</cp:coreProperties>
</file>