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May 2, 2024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center"/>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60" w:type="dxa"/>
        <w:jc w:val="left"/>
        <w:tblInd w:w="0" w:type="dxa"/>
        <w:tblLayout w:type="fixed"/>
        <w:tblCellMar>
          <w:top w:w="28" w:type="dxa"/>
          <w:left w:w="28" w:type="dxa"/>
          <w:bottom w:w="28" w:type="dxa"/>
          <w:right w:w="28" w:type="dxa"/>
        </w:tblCellMar>
      </w:tblPr>
      <w:tblGrid>
        <w:gridCol w:w="332"/>
        <w:gridCol w:w="291"/>
        <w:gridCol w:w="293"/>
        <w:gridCol w:w="1329"/>
        <w:gridCol w:w="1329"/>
        <w:gridCol w:w="188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Submission of Matters to a Vote of Security Holders.</w:t>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2, 2024, Wynn Resorts, Limited (the "Company") held its 2024 Annual Meeting of Stockholders (the "Annual Meeting"). The proposals voted upon at the Annual Meeting and the final results of the stockholder vote on each proposal, as certified by American Election Services, LLC, the independent inspector of elections for the Annual Meeting, were as follows: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Proposal 1: Election of Directors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elect three Class I directors, each to serve until the 2027 Annual Meeting of Stockholders:</w:t>
      </w:r>
    </w:p>
    <w:tbl>
      <w:tblPr>
        <w:tblW w:w="6801" w:type="dxa"/>
        <w:jc w:val="center"/>
        <w:tblInd w:w="0" w:type="dxa"/>
        <w:tblLayout w:type="fixed"/>
        <w:tblCellMar>
          <w:top w:w="28" w:type="dxa"/>
          <w:left w:w="28" w:type="dxa"/>
          <w:bottom w:w="28" w:type="dxa"/>
          <w:right w:w="28" w:type="dxa"/>
        </w:tblCellMar>
      </w:tblPr>
      <w:tblGrid>
        <w:gridCol w:w="618"/>
        <w:gridCol w:w="544"/>
        <w:gridCol w:w="548"/>
        <w:gridCol w:w="109"/>
        <w:gridCol w:w="109"/>
        <w:gridCol w:w="109"/>
        <w:gridCol w:w="344"/>
        <w:gridCol w:w="344"/>
        <w:gridCol w:w="348"/>
        <w:gridCol w:w="109"/>
        <w:gridCol w:w="109"/>
        <w:gridCol w:w="109"/>
        <w:gridCol w:w="464"/>
        <w:gridCol w:w="464"/>
        <w:gridCol w:w="466"/>
        <w:gridCol w:w="109"/>
        <w:gridCol w:w="109"/>
        <w:gridCol w:w="109"/>
        <w:gridCol w:w="492"/>
        <w:gridCol w:w="492"/>
        <w:gridCol w:w="69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Director Nominees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S. Atkins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59,637,903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10,068,370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21,793,211</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69,259,259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447,014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21,793,211</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Darnell O. Strom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67,337,645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2,368,628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21,793,211</w:t>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Proposal 2: Ratification of Appointment of Independent Auditors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ratify the Audit Committee’s appointment of Ernst &amp; Young LLP as the Company’s independent registered public accounting firm for the fiscal year ending December 31, 2024:</w:t>
      </w:r>
    </w:p>
    <w:tbl>
      <w:tblPr>
        <w:tblW w:w="5752"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259"/>
        <w:gridCol w:w="259"/>
        <w:gridCol w:w="263"/>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87,537,378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3,787,684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174,422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Proposal 3: Advisory Vote to Approve the Compensation of Named Executive Officers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approve, on a non-binding advisory basis, the compensation of the Company’s named executive officers as described in the Proxy Statement:</w:t>
      </w:r>
    </w:p>
    <w:p>
      <w:pPr>
        <w:pStyle w:val="TextBody"/>
        <w:bidi w:val="0"/>
        <w:spacing w:before="0" w:after="0"/>
        <w:jc w:val="left"/>
        <w:rPr/>
      </w:pPr>
      <w:r>
        <w:rPr/>
      </w:r>
    </w:p>
    <w:tbl>
      <w:tblPr>
        <w:tblW w:w="5752"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259"/>
        <w:gridCol w:w="259"/>
        <w:gridCol w:w="263"/>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64,980,272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4,553,073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172,928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21,793,211</w:t>
            </w:r>
          </w:p>
        </w:tc>
      </w:tr>
    </w:tbl>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Proposal 4: Approval of an Amendment to the 2014 Omnibus Incentive Plan to Increase the Authorized Shares by 2,000,000 Shares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approve an amendment to the Company's 2014 Omnibus Incentive Plan to increase the authorized shares by 2,000,000 shares:</w:t>
      </w:r>
    </w:p>
    <w:p>
      <w:pPr>
        <w:pStyle w:val="TextBody"/>
        <w:bidi w:val="0"/>
        <w:spacing w:before="0" w:after="0"/>
        <w:ind w:left="0" w:right="0" w:firstLine="720"/>
        <w:jc w:val="left"/>
        <w:rPr/>
      </w:pPr>
      <w:r>
        <w:rPr/>
      </w:r>
    </w:p>
    <w:tbl>
      <w:tblPr>
        <w:tblW w:w="5752"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259"/>
        <w:gridCol w:w="259"/>
        <w:gridCol w:w="263"/>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67,422,657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2,113,400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21,793,211</w:t>
            </w:r>
          </w:p>
        </w:tc>
      </w:tr>
    </w:tbl>
    <w:p>
      <w:pPr>
        <w:pStyle w:val="TextBody"/>
        <w:bidi w:val="0"/>
        <w:spacing w:before="0" w:after="0"/>
        <w:ind w:left="0" w:right="0" w:firstLine="540"/>
        <w:jc w:val="both"/>
        <w:rPr/>
      </w:pPr>
      <w:r>
        <w:rPr/>
      </w:r>
    </w:p>
    <w:p>
      <w:pPr>
        <w:pStyle w:val="TextBody"/>
        <w:bidi w:val="0"/>
        <w:spacing w:before="0" w:after="0"/>
        <w:jc w:val="both"/>
        <w:rPr/>
      </w:pPr>
      <w:r>
        <w:rPr/>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417"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134"/>
        <w:gridCol w:w="134"/>
        <w:gridCol w:w="136"/>
        <w:gridCol w:w="109"/>
        <w:gridCol w:w="109"/>
        <w:gridCol w:w="109"/>
        <w:gridCol w:w="1352"/>
        <w:gridCol w:w="1352"/>
        <w:gridCol w:w="1915"/>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Ellen F. Whittemore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Ellen F. Whittemore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&amp; Secretary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495"/>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3425</Characters>
  <CharactersWithSpaces>3997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