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155575</wp:posOffset>
            </wp:positionH>
            <wp:positionV relativeFrom="page">
              <wp:posOffset>163830</wp:posOffset>
            </wp:positionV>
            <wp:extent cx="7250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205105</wp:posOffset>
            </wp:positionV>
            <wp:extent cx="7250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8255"/>
                    </a:xfrm>
                    <a:prstGeom prst="rect">
                      <a:avLst/>
                    </a:prstGeom>
                    <a:noFill/>
                  </pic:spPr>
                </pic:pic>
              </a:graphicData>
            </a:graphic>
          </wp:anchor>
        </w:drawing>
        <w:t>UNITED STATES</w:t>
      </w:r>
    </w:p>
    <w:p>
      <w:pPr>
        <w:spacing w:after="0" w:line="32" w:lineRule="exact"/>
        <w:rPr>
          <w:sz w:val="24"/>
          <w:szCs w:val="24"/>
          <w:color w:val="auto"/>
        </w:rPr>
      </w:pPr>
    </w:p>
    <w:p>
      <w:pPr>
        <w:jc w:val="center"/>
        <w:ind w:right="-15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159"/>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214630</wp:posOffset>
            </wp:positionV>
            <wp:extent cx="15297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139"/>
        <w:spacing w:after="0"/>
        <w:rPr>
          <w:sz w:val="20"/>
          <w:szCs w:val="20"/>
          <w:color w:val="auto"/>
        </w:rPr>
      </w:pPr>
      <w:r>
        <w:rPr>
          <w:rFonts w:ascii="Arial" w:cs="Arial" w:eastAsia="Arial" w:hAnsi="Arial"/>
          <w:sz w:val="31"/>
          <w:szCs w:val="31"/>
          <w:b w:val="1"/>
          <w:bCs w:val="1"/>
          <w:color w:val="auto"/>
        </w:rPr>
        <w:t>SCHEDULE 14A INFORMATION</w:t>
      </w:r>
    </w:p>
    <w:p>
      <w:pPr>
        <w:spacing w:after="0" w:line="220" w:lineRule="exact"/>
        <w:rPr>
          <w:sz w:val="24"/>
          <w:szCs w:val="24"/>
          <w:color w:val="auto"/>
        </w:rPr>
      </w:pPr>
    </w:p>
    <w:p>
      <w:pPr>
        <w:jc w:val="center"/>
        <w:ind w:right="-159"/>
        <w:spacing w:after="0"/>
        <w:rPr>
          <w:sz w:val="20"/>
          <w:szCs w:val="20"/>
          <w:color w:val="auto"/>
        </w:rPr>
      </w:pPr>
      <w:r>
        <w:rPr>
          <w:rFonts w:ascii="Arial" w:cs="Arial" w:eastAsia="Arial" w:hAnsi="Arial"/>
          <w:sz w:val="21"/>
          <w:szCs w:val="21"/>
          <w:b w:val="1"/>
          <w:bCs w:val="1"/>
          <w:color w:val="auto"/>
        </w:rPr>
        <w:t>Proxy Statement Pursuant to Section 14(a) of the</w:t>
      </w:r>
    </w:p>
    <w:p>
      <w:pPr>
        <w:spacing w:after="0" w:line="12" w:lineRule="exact"/>
        <w:rPr>
          <w:sz w:val="24"/>
          <w:szCs w:val="24"/>
          <w:color w:val="auto"/>
        </w:rPr>
      </w:pPr>
    </w:p>
    <w:p>
      <w:pPr>
        <w:jc w:val="center"/>
        <w:ind w:right="-159"/>
        <w:spacing w:after="0"/>
        <w:rPr>
          <w:sz w:val="20"/>
          <w:szCs w:val="20"/>
          <w:color w:val="auto"/>
        </w:rPr>
      </w:pPr>
      <w:r>
        <w:rPr>
          <w:rFonts w:ascii="Arial" w:cs="Arial" w:eastAsia="Arial" w:hAnsi="Arial"/>
          <w:sz w:val="21"/>
          <w:szCs w:val="21"/>
          <w:b w:val="1"/>
          <w:bCs w:val="1"/>
          <w:color w:val="auto"/>
        </w:rPr>
        <w:t>Securities Exchange Act of 1934</w:t>
      </w:r>
    </w:p>
    <w:p>
      <w:pPr>
        <w:jc w:val="center"/>
        <w:ind w:right="-139"/>
        <w:spacing w:after="0"/>
        <w:tabs>
          <w:tab w:leader="none" w:pos="240" w:val="left"/>
        </w:tabs>
        <w:rPr>
          <w:sz w:val="20"/>
          <w:szCs w:val="20"/>
          <w:color w:val="auto"/>
        </w:rPr>
      </w:pPr>
      <w:r>
        <w:rPr>
          <w:rFonts w:ascii="Arial" w:cs="Arial" w:eastAsia="Arial" w:hAnsi="Arial"/>
          <w:sz w:val="21"/>
          <w:szCs w:val="21"/>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222885</wp:posOffset>
            </wp:positionV>
            <wp:extent cx="15297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p>
      <w:pPr>
        <w:spacing w:after="0" w:line="196" w:lineRule="exact"/>
        <w:tabs>
          <w:tab w:leader="none" w:pos="3080" w:val="left"/>
        </w:tabs>
        <w:rPr>
          <w:sz w:val="20"/>
          <w:szCs w:val="20"/>
          <w:color w:val="auto"/>
        </w:rPr>
      </w:pPr>
      <w:r>
        <w:rPr>
          <w:rFonts w:ascii="Arial" w:cs="Arial" w:eastAsia="Arial" w:hAnsi="Arial"/>
          <w:sz w:val="17"/>
          <w:szCs w:val="17"/>
          <w:color w:val="auto"/>
        </w:rPr>
        <w:t xml:space="preserve">Filed by the Registrant </w:t>
      </w:r>
      <w:r>
        <w:rPr>
          <w:rFonts w:ascii="MS PGothic" w:cs="MS PGothic" w:eastAsia="MS PGothic" w:hAnsi="MS PGothic"/>
          <w:sz w:val="17"/>
          <w:szCs w:val="17"/>
          <w:color w:val="auto"/>
        </w:rPr>
        <w:t>☐</w:t>
      </w:r>
      <w:r>
        <w:rPr>
          <w:sz w:val="20"/>
          <w:szCs w:val="20"/>
          <w:color w:val="auto"/>
        </w:rPr>
        <w:tab/>
      </w:r>
      <w:r>
        <w:rPr>
          <w:rFonts w:ascii="Arial" w:cs="Arial" w:eastAsia="Arial" w:hAnsi="Arial"/>
          <w:sz w:val="15"/>
          <w:szCs w:val="15"/>
          <w:color w:val="auto"/>
        </w:rPr>
        <w:t xml:space="preserve">Filed by a Party other than the Registrant </w:t>
      </w:r>
      <w:r>
        <w:rPr>
          <w:rFonts w:ascii="MS PGothic" w:cs="MS PGothic" w:eastAsia="MS PGothic" w:hAnsi="MS PGothic"/>
          <w:sz w:val="15"/>
          <w:szCs w:val="15"/>
          <w:color w:val="auto"/>
        </w:rPr>
        <w:t>☐</w:t>
      </w:r>
    </w:p>
    <w:p>
      <w:pPr>
        <w:spacing w:after="0" w:line="256"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w:t>
      </w:r>
    </w:p>
    <w:p>
      <w:pPr>
        <w:spacing w:after="0" w:line="132" w:lineRule="exact"/>
        <w:rPr>
          <w:sz w:val="24"/>
          <w:szCs w:val="24"/>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Preliminary Proxy Statement</w:t>
      </w:r>
    </w:p>
    <w:p>
      <w:pPr>
        <w:spacing w:after="0" w:line="112" w:lineRule="exact"/>
        <w:rPr>
          <w:rFonts w:ascii="MS PGothic" w:cs="MS PGothic" w:eastAsia="MS PGothic" w:hAnsi="MS PGothic"/>
          <w:sz w:val="17"/>
          <w:szCs w:val="17"/>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Confidential, for Use of the Commission Only (as permitted by Rule 14a-6(e)(2))</w:t>
      </w:r>
    </w:p>
    <w:p>
      <w:pPr>
        <w:spacing w:after="0" w:line="124" w:lineRule="exact"/>
        <w:rPr>
          <w:rFonts w:ascii="MS PGothic" w:cs="MS PGothic" w:eastAsia="MS PGothic" w:hAnsi="MS PGothic"/>
          <w:sz w:val="17"/>
          <w:szCs w:val="17"/>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Definitive Proxy Statement</w:t>
      </w:r>
    </w:p>
    <w:p>
      <w:pPr>
        <w:spacing w:after="0" w:line="119" w:lineRule="exact"/>
        <w:rPr>
          <w:sz w:val="24"/>
          <w:szCs w:val="24"/>
          <w:color w:val="auto"/>
        </w:rPr>
      </w:pPr>
    </w:p>
    <w:p>
      <w:pPr>
        <w:ind w:left="460" w:hanging="455"/>
        <w:spacing w:after="0"/>
        <w:tabs>
          <w:tab w:leader="none" w:pos="4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Definitive Additional Materials</w:t>
      </w:r>
    </w:p>
    <w:p>
      <w:pPr>
        <w:spacing w:after="0" w:line="119" w:lineRule="exact"/>
        <w:rPr>
          <w:sz w:val="24"/>
          <w:szCs w:val="24"/>
          <w:color w:val="auto"/>
        </w:rPr>
      </w:pPr>
    </w:p>
    <w:p>
      <w:pPr>
        <w:ind w:left="460" w:hanging="455"/>
        <w:spacing w:after="0"/>
        <w:tabs>
          <w:tab w:leader="none" w:pos="46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Soliciting Material under Rule 14a-12</w:t>
      </w:r>
    </w:p>
    <w:p>
      <w:pPr>
        <w:spacing w:after="0" w:line="295" w:lineRule="exact"/>
        <w:rPr>
          <w:sz w:val="24"/>
          <w:szCs w:val="24"/>
          <w:color w:val="auto"/>
        </w:rPr>
      </w:pPr>
    </w:p>
    <w:p>
      <w:pPr>
        <w:jc w:val="center"/>
        <w:ind w:right="-159"/>
        <w:spacing w:after="0"/>
        <w:rPr>
          <w:sz w:val="20"/>
          <w:szCs w:val="20"/>
          <w:color w:val="auto"/>
        </w:rPr>
      </w:pPr>
      <w:r>
        <w:rPr>
          <w:rFonts w:ascii="Arial" w:cs="Arial" w:eastAsia="Arial" w:hAnsi="Arial"/>
          <w:sz w:val="38"/>
          <w:szCs w:val="38"/>
          <w:b w:val="1"/>
          <w:bCs w:val="1"/>
          <w:color w:val="auto"/>
        </w:rPr>
        <w:t>Wynn Resorts, Limited</w:t>
      </w:r>
    </w:p>
    <w:p>
      <w:pPr>
        <w:spacing w:after="0" w:line="43" w:lineRule="exact"/>
        <w:rPr>
          <w:sz w:val="24"/>
          <w:szCs w:val="24"/>
          <w:color w:val="auto"/>
        </w:rPr>
      </w:pPr>
    </w:p>
    <w:p>
      <w:pPr>
        <w:jc w:val="center"/>
        <w:ind w:right="-159"/>
        <w:spacing w:after="0"/>
        <w:rPr>
          <w:sz w:val="20"/>
          <w:szCs w:val="20"/>
          <w:color w:val="auto"/>
        </w:rPr>
      </w:pPr>
      <w:r>
        <w:rPr>
          <w:rFonts w:ascii="Arial" w:cs="Arial" w:eastAsia="Arial" w:hAnsi="Arial"/>
          <w:sz w:val="17"/>
          <w:szCs w:val="17"/>
          <w:b w:val="1"/>
          <w:bCs w:val="1"/>
          <w:color w:val="auto"/>
        </w:rPr>
        <w:t>(Name of registrant as specified in its charter)</w:t>
      </w:r>
    </w:p>
    <w:p>
      <w:pPr>
        <w:spacing w:after="0" w:line="343"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07" w:lineRule="exact"/>
        <w:rPr>
          <w:sz w:val="24"/>
          <w:szCs w:val="24"/>
          <w:color w:val="auto"/>
        </w:rPr>
      </w:pPr>
    </w:p>
    <w:p>
      <w:pPr>
        <w:spacing w:after="0"/>
        <w:rPr>
          <w:sz w:val="20"/>
          <w:szCs w:val="20"/>
          <w:color w:val="auto"/>
        </w:rPr>
      </w:pPr>
      <w:r>
        <w:rPr>
          <w:rFonts w:ascii="Arial" w:cs="Arial" w:eastAsia="Arial" w:hAnsi="Arial"/>
          <w:sz w:val="17"/>
          <w:szCs w:val="17"/>
          <w:color w:val="auto"/>
        </w:rPr>
        <w:t>Payment of Filing Fee (Check the appropriate box):</w:t>
      </w:r>
    </w:p>
    <w:p>
      <w:pPr>
        <w:spacing w:after="0" w:line="224" w:lineRule="exact"/>
        <w:rPr>
          <w:sz w:val="24"/>
          <w:szCs w:val="24"/>
          <w:color w:val="auto"/>
        </w:rPr>
      </w:pPr>
    </w:p>
    <w:p>
      <w:pPr>
        <w:ind w:left="480" w:hanging="475"/>
        <w:spacing w:after="0"/>
        <w:tabs>
          <w:tab w:leader="none" w:pos="48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223" w:lineRule="exact"/>
        <w:rPr>
          <w:rFonts w:ascii="MS PGothic" w:cs="MS PGothic" w:eastAsia="MS PGothic" w:hAnsi="MS PGothic"/>
          <w:sz w:val="17"/>
          <w:szCs w:val="17"/>
          <w:color w:val="auto"/>
        </w:rPr>
      </w:pPr>
    </w:p>
    <w:p>
      <w:pPr>
        <w:ind w:left="480" w:hanging="475"/>
        <w:spacing w:after="0"/>
        <w:tabs>
          <w:tab w:leader="none" w:pos="48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Fee computed on table below per Exchange Act Rules 14a-6(i)(4) and 0-11.</w:t>
      </w:r>
    </w:p>
    <w:p>
      <w:pPr>
        <w:spacing w:after="0" w:line="223" w:lineRule="exact"/>
        <w:rPr>
          <w:rFonts w:ascii="MS PGothic" w:cs="MS PGothic" w:eastAsia="MS PGothic" w:hAnsi="MS PGothic"/>
          <w:sz w:val="17"/>
          <w:szCs w:val="17"/>
          <w:color w:val="auto"/>
        </w:rPr>
      </w:pPr>
    </w:p>
    <w:p>
      <w:pPr>
        <w:ind w:left="920" w:hanging="444"/>
        <w:spacing w:after="0"/>
        <w:tabs>
          <w:tab w:leader="none" w:pos="920" w:val="left"/>
        </w:tabs>
        <w:numPr>
          <w:ilvl w:val="1"/>
          <w:numId w:val="4"/>
        </w:numPr>
        <w:rPr>
          <w:rFonts w:ascii="Arial" w:cs="Arial" w:eastAsia="Arial" w:hAnsi="Arial"/>
          <w:sz w:val="17"/>
          <w:szCs w:val="17"/>
          <w:color w:val="auto"/>
        </w:rPr>
      </w:pPr>
      <w:r>
        <w:rPr>
          <w:rFonts w:ascii="Arial" w:cs="Arial" w:eastAsia="Arial" w:hAnsi="Arial"/>
          <w:sz w:val="17"/>
          <w:szCs w:val="17"/>
          <w:color w:val="auto"/>
        </w:rPr>
        <w:t>Title of each class of securities to which transaction applies:</w:t>
      </w:r>
    </w:p>
    <w:p>
      <w:pPr>
        <w:spacing w:after="0" w:line="200" w:lineRule="exact"/>
        <w:rPr>
          <w:rFonts w:ascii="Arial" w:cs="Arial" w:eastAsia="Arial" w:hAnsi="Arial"/>
          <w:sz w:val="17"/>
          <w:szCs w:val="17"/>
          <w:color w:val="auto"/>
        </w:rPr>
      </w:pPr>
    </w:p>
    <w:p>
      <w:pPr>
        <w:spacing w:after="0" w:line="285" w:lineRule="exact"/>
        <w:rPr>
          <w:rFonts w:ascii="Arial" w:cs="Arial" w:eastAsia="Arial" w:hAnsi="Arial"/>
          <w:sz w:val="17"/>
          <w:szCs w:val="17"/>
          <w:color w:val="auto"/>
        </w:rPr>
      </w:pPr>
    </w:p>
    <w:p>
      <w:pPr>
        <w:ind w:left="920" w:hanging="444"/>
        <w:spacing w:after="0"/>
        <w:tabs>
          <w:tab w:leader="none" w:pos="920" w:val="left"/>
        </w:tabs>
        <w:numPr>
          <w:ilvl w:val="1"/>
          <w:numId w:val="4"/>
        </w:numPr>
        <w:rPr>
          <w:rFonts w:ascii="Arial" w:cs="Arial" w:eastAsia="Arial" w:hAnsi="Arial"/>
          <w:sz w:val="17"/>
          <w:szCs w:val="17"/>
          <w:color w:val="auto"/>
        </w:rPr>
      </w:pPr>
      <w:r>
        <w:rPr>
          <w:rFonts w:ascii="Arial" w:cs="Arial" w:eastAsia="Arial" w:hAnsi="Arial"/>
          <w:sz w:val="17"/>
          <w:szCs w:val="17"/>
          <w:color w:val="auto"/>
        </w:rPr>
        <w:t>Aggregate number of securities to which transaction applies:</w:t>
      </w:r>
    </w:p>
    <w:p>
      <w:pPr>
        <w:spacing w:after="0" w:line="200" w:lineRule="exact"/>
        <w:rPr>
          <w:rFonts w:ascii="Arial" w:cs="Arial" w:eastAsia="Arial" w:hAnsi="Arial"/>
          <w:sz w:val="17"/>
          <w:szCs w:val="17"/>
          <w:color w:val="auto"/>
        </w:rPr>
      </w:pPr>
    </w:p>
    <w:p>
      <w:pPr>
        <w:spacing w:after="0" w:line="285" w:lineRule="exact"/>
        <w:rPr>
          <w:rFonts w:ascii="Arial" w:cs="Arial" w:eastAsia="Arial" w:hAnsi="Arial"/>
          <w:sz w:val="17"/>
          <w:szCs w:val="17"/>
          <w:color w:val="auto"/>
        </w:rPr>
      </w:pPr>
    </w:p>
    <w:p>
      <w:pPr>
        <w:ind w:left="920" w:hanging="444"/>
        <w:spacing w:after="0" w:line="289" w:lineRule="auto"/>
        <w:tabs>
          <w:tab w:leader="none" w:pos="920" w:val="left"/>
        </w:tabs>
        <w:numPr>
          <w:ilvl w:val="1"/>
          <w:numId w:val="4"/>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7"/>
          <w:szCs w:val="17"/>
          <w:color w:val="auto"/>
        </w:rPr>
      </w:pPr>
    </w:p>
    <w:p>
      <w:pPr>
        <w:spacing w:after="0" w:line="219" w:lineRule="exact"/>
        <w:rPr>
          <w:rFonts w:ascii="Arial" w:cs="Arial" w:eastAsia="Arial" w:hAnsi="Arial"/>
          <w:sz w:val="17"/>
          <w:szCs w:val="17"/>
          <w:color w:val="auto"/>
        </w:rPr>
      </w:pPr>
    </w:p>
    <w:p>
      <w:pPr>
        <w:ind w:left="920" w:hanging="444"/>
        <w:spacing w:after="0"/>
        <w:tabs>
          <w:tab w:leader="none" w:pos="920" w:val="left"/>
        </w:tabs>
        <w:numPr>
          <w:ilvl w:val="1"/>
          <w:numId w:val="4"/>
        </w:numPr>
        <w:rPr>
          <w:rFonts w:ascii="Arial" w:cs="Arial" w:eastAsia="Arial" w:hAnsi="Arial"/>
          <w:sz w:val="17"/>
          <w:szCs w:val="17"/>
          <w:color w:val="auto"/>
        </w:rPr>
      </w:pPr>
      <w:r>
        <w:rPr>
          <w:rFonts w:ascii="Arial" w:cs="Arial" w:eastAsia="Arial" w:hAnsi="Arial"/>
          <w:sz w:val="17"/>
          <w:szCs w:val="17"/>
          <w:color w:val="auto"/>
        </w:rPr>
        <w:t>Proposed maximum aggregate value of transaction:</w:t>
      </w:r>
    </w:p>
    <w:p>
      <w:pPr>
        <w:spacing w:after="0" w:line="200" w:lineRule="exact"/>
        <w:rPr>
          <w:rFonts w:ascii="Arial" w:cs="Arial" w:eastAsia="Arial" w:hAnsi="Arial"/>
          <w:sz w:val="17"/>
          <w:szCs w:val="17"/>
          <w:color w:val="auto"/>
        </w:rPr>
      </w:pPr>
    </w:p>
    <w:p>
      <w:pPr>
        <w:spacing w:after="0" w:line="285" w:lineRule="exact"/>
        <w:rPr>
          <w:rFonts w:ascii="Arial" w:cs="Arial" w:eastAsia="Arial" w:hAnsi="Arial"/>
          <w:sz w:val="17"/>
          <w:szCs w:val="17"/>
          <w:color w:val="auto"/>
        </w:rPr>
      </w:pPr>
    </w:p>
    <w:p>
      <w:pPr>
        <w:ind w:left="920" w:hanging="444"/>
        <w:spacing w:after="0"/>
        <w:tabs>
          <w:tab w:leader="none" w:pos="920" w:val="left"/>
        </w:tabs>
        <w:numPr>
          <w:ilvl w:val="1"/>
          <w:numId w:val="4"/>
        </w:numPr>
        <w:rPr>
          <w:rFonts w:ascii="Arial" w:cs="Arial" w:eastAsia="Arial" w:hAnsi="Arial"/>
          <w:sz w:val="17"/>
          <w:szCs w:val="17"/>
          <w:color w:val="auto"/>
        </w:rPr>
      </w:pPr>
      <w:r>
        <w:rPr>
          <w:rFonts w:ascii="Arial" w:cs="Arial" w:eastAsia="Arial" w:hAnsi="Arial"/>
          <w:sz w:val="17"/>
          <w:szCs w:val="17"/>
          <w:color w:val="auto"/>
        </w:rPr>
        <w:t>Total fee paid:</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99" w:lineRule="exact"/>
        <w:rPr>
          <w:rFonts w:ascii="Arial" w:cs="Arial" w:eastAsia="Arial" w:hAnsi="Arial"/>
          <w:sz w:val="17"/>
          <w:szCs w:val="17"/>
          <w:color w:val="auto"/>
        </w:rPr>
      </w:pPr>
    </w:p>
    <w:p>
      <w:pPr>
        <w:ind w:left="480" w:hanging="475"/>
        <w:spacing w:after="0"/>
        <w:tabs>
          <w:tab w:leader="none" w:pos="48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Fee paid previously with preliminary materials.</w:t>
      </w:r>
    </w:p>
    <w:p>
      <w:pPr>
        <w:spacing w:after="0" w:line="328" w:lineRule="exact"/>
        <w:rPr>
          <w:rFonts w:ascii="MS PGothic" w:cs="MS PGothic" w:eastAsia="MS PGothic" w:hAnsi="MS PGothic"/>
          <w:sz w:val="17"/>
          <w:szCs w:val="17"/>
          <w:color w:val="auto"/>
        </w:rPr>
      </w:pPr>
    </w:p>
    <w:p>
      <w:pPr>
        <w:ind w:left="480" w:right="600" w:hanging="475"/>
        <w:spacing w:after="0" w:line="289" w:lineRule="auto"/>
        <w:tabs>
          <w:tab w:leader="none" w:pos="48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62" w:lineRule="exact"/>
        <w:rPr>
          <w:rFonts w:ascii="MS PGothic" w:cs="MS PGothic" w:eastAsia="MS PGothic" w:hAnsi="MS PGothic"/>
          <w:sz w:val="17"/>
          <w:szCs w:val="17"/>
          <w:color w:val="auto"/>
        </w:rPr>
      </w:pPr>
    </w:p>
    <w:p>
      <w:pPr>
        <w:ind w:left="920" w:hanging="444"/>
        <w:spacing w:after="0"/>
        <w:tabs>
          <w:tab w:leader="none" w:pos="920" w:val="left"/>
        </w:tabs>
        <w:numPr>
          <w:ilvl w:val="1"/>
          <w:numId w:val="4"/>
        </w:numPr>
        <w:rPr>
          <w:rFonts w:ascii="Arial" w:cs="Arial" w:eastAsia="Arial" w:hAnsi="Arial"/>
          <w:sz w:val="17"/>
          <w:szCs w:val="17"/>
          <w:color w:val="auto"/>
        </w:rPr>
      </w:pPr>
      <w:r>
        <w:rPr>
          <w:rFonts w:ascii="Arial" w:cs="Arial" w:eastAsia="Arial" w:hAnsi="Arial"/>
          <w:sz w:val="17"/>
          <w:szCs w:val="17"/>
          <w:color w:val="auto"/>
        </w:rPr>
        <w:t>Amount Previously Paid:</w:t>
      </w:r>
    </w:p>
    <w:p>
      <w:pPr>
        <w:spacing w:after="0" w:line="200" w:lineRule="exact"/>
        <w:rPr>
          <w:rFonts w:ascii="Arial" w:cs="Arial" w:eastAsia="Arial" w:hAnsi="Arial"/>
          <w:sz w:val="17"/>
          <w:szCs w:val="17"/>
          <w:color w:val="auto"/>
        </w:rPr>
      </w:pPr>
    </w:p>
    <w:p>
      <w:pPr>
        <w:spacing w:after="0" w:line="285" w:lineRule="exact"/>
        <w:rPr>
          <w:rFonts w:ascii="Arial" w:cs="Arial" w:eastAsia="Arial" w:hAnsi="Arial"/>
          <w:sz w:val="17"/>
          <w:szCs w:val="17"/>
          <w:color w:val="auto"/>
        </w:rPr>
      </w:pPr>
    </w:p>
    <w:p>
      <w:pPr>
        <w:ind w:left="920" w:hanging="444"/>
        <w:spacing w:after="0"/>
        <w:tabs>
          <w:tab w:leader="none" w:pos="920" w:val="left"/>
        </w:tabs>
        <w:numPr>
          <w:ilvl w:val="1"/>
          <w:numId w:val="4"/>
        </w:numPr>
        <w:rPr>
          <w:rFonts w:ascii="Arial" w:cs="Arial" w:eastAsia="Arial" w:hAnsi="Arial"/>
          <w:sz w:val="17"/>
          <w:szCs w:val="17"/>
          <w:color w:val="auto"/>
        </w:rPr>
      </w:pPr>
      <w:r>
        <w:rPr>
          <w:rFonts w:ascii="Arial" w:cs="Arial" w:eastAsia="Arial" w:hAnsi="Arial"/>
          <w:sz w:val="17"/>
          <w:szCs w:val="17"/>
          <w:color w:val="auto"/>
        </w:rPr>
        <w:t>Form, Schedule or Registration Statement No.:</w:t>
      </w:r>
    </w:p>
    <w:p>
      <w:pPr>
        <w:spacing w:after="0" w:line="200" w:lineRule="exact"/>
        <w:rPr>
          <w:rFonts w:ascii="Arial" w:cs="Arial" w:eastAsia="Arial" w:hAnsi="Arial"/>
          <w:sz w:val="17"/>
          <w:szCs w:val="17"/>
          <w:color w:val="auto"/>
        </w:rPr>
      </w:pPr>
    </w:p>
    <w:p>
      <w:pPr>
        <w:spacing w:after="0" w:line="285" w:lineRule="exact"/>
        <w:rPr>
          <w:rFonts w:ascii="Arial" w:cs="Arial" w:eastAsia="Arial" w:hAnsi="Arial"/>
          <w:sz w:val="17"/>
          <w:szCs w:val="17"/>
          <w:color w:val="auto"/>
        </w:rPr>
      </w:pPr>
    </w:p>
    <w:p>
      <w:pPr>
        <w:ind w:left="920" w:hanging="444"/>
        <w:spacing w:after="0"/>
        <w:tabs>
          <w:tab w:leader="none" w:pos="920" w:val="left"/>
        </w:tabs>
        <w:numPr>
          <w:ilvl w:val="1"/>
          <w:numId w:val="4"/>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0" w:lineRule="exact"/>
        <w:rPr>
          <w:rFonts w:ascii="Arial" w:cs="Arial" w:eastAsia="Arial" w:hAnsi="Arial"/>
          <w:sz w:val="17"/>
          <w:szCs w:val="17"/>
          <w:color w:val="auto"/>
        </w:rPr>
      </w:pPr>
    </w:p>
    <w:p>
      <w:pPr>
        <w:spacing w:after="0" w:line="285" w:lineRule="exact"/>
        <w:rPr>
          <w:rFonts w:ascii="Arial" w:cs="Arial" w:eastAsia="Arial" w:hAnsi="Arial"/>
          <w:sz w:val="17"/>
          <w:szCs w:val="17"/>
          <w:color w:val="auto"/>
        </w:rPr>
      </w:pPr>
    </w:p>
    <w:p>
      <w:pPr>
        <w:ind w:left="920" w:hanging="444"/>
        <w:spacing w:after="0"/>
        <w:tabs>
          <w:tab w:leader="none" w:pos="920" w:val="left"/>
        </w:tabs>
        <w:numPr>
          <w:ilvl w:val="1"/>
          <w:numId w:val="4"/>
        </w:numPr>
        <w:rPr>
          <w:rFonts w:ascii="Arial" w:cs="Arial" w:eastAsia="Arial" w:hAnsi="Arial"/>
          <w:sz w:val="17"/>
          <w:szCs w:val="17"/>
          <w:color w:val="auto"/>
        </w:rPr>
      </w:pPr>
      <w:r>
        <w:rPr>
          <w:rFonts w:ascii="Arial" w:cs="Arial" w:eastAsia="Arial" w:hAnsi="Arial"/>
          <w:sz w:val="17"/>
          <w:szCs w:val="17"/>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584835</wp:posOffset>
            </wp:positionH>
            <wp:positionV relativeFrom="paragraph">
              <wp:posOffset>-4290060</wp:posOffset>
            </wp:positionV>
            <wp:extent cx="66687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8770" cy="8255"/>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-3857625</wp:posOffset>
            </wp:positionV>
            <wp:extent cx="66687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8770" cy="8255"/>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-3291840</wp:posOffset>
            </wp:positionV>
            <wp:extent cx="66687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8770" cy="8255"/>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-2859405</wp:posOffset>
            </wp:positionV>
            <wp:extent cx="66687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8770" cy="8255"/>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-2426970</wp:posOffset>
            </wp:positionV>
            <wp:extent cx="66687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8770" cy="8255"/>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-996950</wp:posOffset>
            </wp:positionV>
            <wp:extent cx="66687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8770" cy="8255"/>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-564515</wp:posOffset>
            </wp:positionV>
            <wp:extent cx="66687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8770" cy="8255"/>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-132080</wp:posOffset>
            </wp:positionV>
            <wp:extent cx="66687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8770" cy="8255"/>
                    </a:xfrm>
                    <a:prstGeom prst="rect">
                      <a:avLst/>
                    </a:prstGeom>
                    <a:noFill/>
                  </pic:spPr>
                </pic:pic>
              </a:graphicData>
            </a:graphic>
          </wp:anchor>
        </w:drawing>
      </w:r>
    </w:p>
    <w:p>
      <w:pPr>
        <w:sectPr>
          <w:pgSz w:w="11900" w:h="16838" w:orient="portrait"/>
          <w:cols w:equalWidth="0" w:num="1">
            <w:col w:w="11280"/>
          </w:cols>
          <w:pgMar w:left="240" w:top="504" w:right="379" w:bottom="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737235</wp:posOffset>
            </wp:positionH>
            <wp:positionV relativeFrom="page">
              <wp:posOffset>371475</wp:posOffset>
            </wp:positionV>
            <wp:extent cx="66687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8770" cy="8255"/>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554355</wp:posOffset>
            </wp:positionV>
            <wp:extent cx="72504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596265</wp:posOffset>
            </wp:positionV>
            <wp:extent cx="72504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8228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24725" cy="4822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8228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24725" cy="4822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8228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24725" cy="4822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8228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24725" cy="48228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2019-12-08T02:15:24Z</dcterms:created>
  <dcterms:modified xsi:type="dcterms:W3CDTF">2019-12-08T02:15:24Z</dcterms:modified>
</cp:coreProperties>
</file>