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14A</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4"/>
          <w:szCs w:val="24"/>
          <w:color w:val="auto"/>
        </w:rPr>
      </w:pPr>
    </w:p>
    <w:p>
      <w:pPr>
        <w:ind w:left="120"/>
        <w:spacing w:after="0" w:line="184" w:lineRule="exact"/>
        <w:tabs>
          <w:tab w:leader="none" w:pos="32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100"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86" w:lineRule="exact"/>
        <w:rPr>
          <w:rFonts w:ascii="MS PGothic" w:cs="MS PGothic" w:eastAsia="MS PGothic" w:hAnsi="MS PGothic"/>
          <w:sz w:val="16"/>
          <w:szCs w:val="16"/>
          <w:color w:val="auto"/>
        </w:rPr>
      </w:pPr>
    </w:p>
    <w:p>
      <w:pPr>
        <w:ind w:left="120" w:right="4500" w:hanging="4"/>
        <w:spacing w:after="0" w:line="234" w:lineRule="exact"/>
        <w:tabs>
          <w:tab w:leader="none" w:pos="7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72" w:lineRule="exact"/>
        <w:rPr>
          <w:rFonts w:ascii="MS PGothic" w:cs="MS PGothic" w:eastAsia="MS PGothic" w:hAnsi="MS PGothic"/>
          <w:sz w:val="16"/>
          <w:szCs w:val="16"/>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WYNN RESORTS, LIMITED</w:t>
      </w:r>
    </w:p>
    <w:p>
      <w:pPr>
        <w:spacing w:after="0" w:line="24"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93"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800" w:hanging="684"/>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800" w:hanging="684"/>
        <w:spacing w:after="0"/>
        <w:tabs>
          <w:tab w:leader="none" w:pos="8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99" w:lineRule="exact"/>
        <w:rPr>
          <w:rFonts w:ascii="MS PGothic" w:cs="MS PGothic" w:eastAsia="MS PGothic" w:hAnsi="MS PGothic"/>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9" w:lineRule="exact"/>
        <w:rPr>
          <w:rFonts w:ascii="Arial" w:cs="Arial" w:eastAsia="Arial" w:hAnsi="Arial"/>
          <w:sz w:val="16"/>
          <w:szCs w:val="16"/>
          <w:color w:val="auto"/>
        </w:rPr>
      </w:pPr>
    </w:p>
    <w:p>
      <w:pPr>
        <w:ind w:left="1340" w:right="40" w:hanging="549"/>
        <w:spacing w:after="0" w:line="260" w:lineRule="auto"/>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3"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9"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800" w:hanging="684"/>
        <w:spacing w:after="0"/>
        <w:tabs>
          <w:tab w:leader="none" w:pos="8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800" w:hanging="684"/>
        <w:spacing w:after="0" w:line="260" w:lineRule="auto"/>
        <w:tabs>
          <w:tab w:leader="none" w:pos="8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7" w:lineRule="exact"/>
        <w:rPr>
          <w:rFonts w:ascii="MS PGothic" w:cs="MS PGothic" w:eastAsia="MS PGothic" w:hAnsi="MS PGothic"/>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-3134995</wp:posOffset>
            </wp:positionV>
            <wp:extent cx="6223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-2809240</wp:posOffset>
            </wp:positionV>
            <wp:extent cx="6223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-2363470</wp:posOffset>
            </wp:positionV>
            <wp:extent cx="6223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-2037715</wp:posOffset>
            </wp:positionV>
            <wp:extent cx="6223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-1711960</wp:posOffset>
            </wp:positionV>
            <wp:extent cx="6223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-794385</wp:posOffset>
            </wp:positionV>
            <wp:extent cx="6223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-468630</wp:posOffset>
            </wp:positionV>
            <wp:extent cx="6223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-142875</wp:posOffset>
            </wp:positionV>
            <wp:extent cx="6223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182245</wp:posOffset>
            </wp:positionV>
            <wp:extent cx="6223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60"/>
        <w:spacing w:after="0"/>
        <w:rPr>
          <w:sz w:val="20"/>
          <w:szCs w:val="20"/>
          <w:color w:val="auto"/>
        </w:rPr>
      </w:pPr>
      <w:r>
        <w:rPr>
          <w:rFonts w:ascii="Arial" w:cs="Arial" w:eastAsia="Arial" w:hAnsi="Arial"/>
          <w:sz w:val="32"/>
          <w:szCs w:val="32"/>
          <w:i w:val="1"/>
          <w:iCs w:val="1"/>
          <w:color w:val="auto"/>
        </w:rPr>
        <w:t xml:space="preserve">Dear </w:t>
      </w:r>
      <w:r>
        <w:rPr>
          <w:rFonts w:ascii="Arial" w:cs="Arial" w:eastAsia="Arial" w:hAnsi="Arial"/>
          <w:sz w:val="32"/>
          <w:szCs w:val="32"/>
          <w:color w:val="auto"/>
        </w:rPr>
        <w:t>Shareholders,</w:t>
      </w:r>
    </w:p>
    <w:p>
      <w:pPr>
        <w:spacing w:after="0" w:line="167" w:lineRule="exact"/>
        <w:rPr>
          <w:sz w:val="20"/>
          <w:szCs w:val="20"/>
          <w:color w:val="auto"/>
        </w:rPr>
      </w:pPr>
    </w:p>
    <w:p>
      <w:pPr>
        <w:ind w:left="3860" w:right="959"/>
        <w:spacing w:after="0" w:line="253" w:lineRule="auto"/>
        <w:rPr>
          <w:sz w:val="20"/>
          <w:szCs w:val="20"/>
          <w:color w:val="auto"/>
        </w:rPr>
      </w:pPr>
      <w:r>
        <w:rPr>
          <w:rFonts w:ascii="Arial" w:cs="Arial" w:eastAsia="Arial" w:hAnsi="Arial"/>
          <w:sz w:val="16"/>
          <w:szCs w:val="16"/>
          <w:color w:val="auto"/>
        </w:rPr>
        <w:t>In his letter to you, Craig Billings, our newly appointed Chief Executive Officer, discusses the plans and opportunities he envisions for growing the enterprise in both the near- and long-term.</w:t>
      </w:r>
    </w:p>
    <w:p>
      <w:pPr>
        <w:spacing w:after="0" w:line="134" w:lineRule="exact"/>
        <w:rPr>
          <w:sz w:val="20"/>
          <w:szCs w:val="20"/>
          <w:color w:val="auto"/>
        </w:rPr>
      </w:pPr>
    </w:p>
    <w:p>
      <w:pPr>
        <w:ind w:left="3860" w:right="799"/>
        <w:spacing w:after="0" w:line="251" w:lineRule="auto"/>
        <w:rPr>
          <w:sz w:val="20"/>
          <w:szCs w:val="20"/>
          <w:color w:val="auto"/>
        </w:rPr>
      </w:pPr>
      <w:r>
        <w:rPr>
          <w:rFonts w:ascii="Arial" w:cs="Arial" w:eastAsia="Arial" w:hAnsi="Arial"/>
          <w:sz w:val="16"/>
          <w:szCs w:val="16"/>
          <w:color w:val="auto"/>
        </w:rPr>
        <w:t>These growth opportunities should not come as a surprise. As we reported in last year’s proxy, we committed to ensuring the Company would be well positioned to take advantage of anticipated strong consumer demand for our products and services when the pandemic subsided.</w:t>
      </w:r>
    </w:p>
    <w:p>
      <w:pPr>
        <w:spacing w:after="0" w:line="135" w:lineRule="exact"/>
        <w:rPr>
          <w:sz w:val="20"/>
          <w:szCs w:val="20"/>
          <w:color w:val="auto"/>
        </w:rPr>
      </w:pPr>
    </w:p>
    <w:p>
      <w:pPr>
        <w:ind w:left="3860" w:right="819"/>
        <w:spacing w:after="0" w:line="248" w:lineRule="auto"/>
        <w:rPr>
          <w:sz w:val="20"/>
          <w:szCs w:val="20"/>
          <w:color w:val="auto"/>
        </w:rPr>
      </w:pPr>
      <w:r>
        <w:rPr>
          <w:rFonts w:ascii="Arial" w:cs="Arial" w:eastAsia="Arial" w:hAnsi="Arial"/>
          <w:sz w:val="16"/>
          <w:szCs w:val="16"/>
          <w:color w:val="auto"/>
        </w:rPr>
        <w:t>The correct allocation of our financial resources by management, with the approval of the Board, is central to that growth plan. The strong financial results we are seeing in Boston make our planned multi-phase development there a solid investment. Our partnership with Marjan and operating agreement with RAK Hospitality Holdings in Ras Al Khaimah to develop a new beachside casino resort in the United Arab Emirates will give us access to two billion travelers within a four-hour plane fight. This is the first instance of our company being compensated for the quality of our brand and operating experience.</w:t>
      </w:r>
    </w:p>
    <w:p>
      <w:pPr>
        <w:spacing w:after="0" w:line="125" w:lineRule="exact"/>
        <w:rPr>
          <w:sz w:val="20"/>
          <w:szCs w:val="20"/>
          <w:color w:val="auto"/>
        </w:rPr>
      </w:pPr>
    </w:p>
    <w:p>
      <w:pPr>
        <w:jc w:val="both"/>
        <w:ind w:left="3860" w:right="799"/>
        <w:spacing w:after="0" w:line="250" w:lineRule="auto"/>
        <w:rPr>
          <w:sz w:val="20"/>
          <w:szCs w:val="20"/>
          <w:color w:val="auto"/>
        </w:rPr>
      </w:pPr>
      <w:r>
        <w:rPr>
          <w:rFonts w:ascii="Arial" w:cs="Arial" w:eastAsia="Arial" w:hAnsi="Arial"/>
          <w:sz w:val="16"/>
          <w:szCs w:val="16"/>
          <w:color w:val="auto"/>
        </w:rPr>
        <w:t>The new Las Vegas entertainment experience Craig cites is created with a new, younger customer in mind. New dining experiences targeting the high-frequency guest at Encore Boston Harbor, as well as new capital planned for the evolving customer base in Macau, are proof that this management team is focused on our future customers.</w:t>
      </w:r>
    </w:p>
    <w:p>
      <w:pPr>
        <w:spacing w:after="0" w:line="135" w:lineRule="exact"/>
        <w:rPr>
          <w:sz w:val="20"/>
          <w:szCs w:val="20"/>
          <w:color w:val="auto"/>
        </w:rPr>
      </w:pPr>
    </w:p>
    <w:p>
      <w:pPr>
        <w:ind w:left="3860" w:right="799"/>
        <w:spacing w:after="0" w:line="249" w:lineRule="auto"/>
        <w:rPr>
          <w:sz w:val="20"/>
          <w:szCs w:val="20"/>
          <w:color w:val="auto"/>
        </w:rPr>
      </w:pPr>
      <w:r>
        <w:rPr>
          <w:rFonts w:ascii="Arial" w:cs="Arial" w:eastAsia="Arial" w:hAnsi="Arial"/>
          <w:sz w:val="16"/>
          <w:szCs w:val="16"/>
          <w:color w:val="auto"/>
        </w:rPr>
        <w:t>We believe our single greatest asset is our people. That means all growth truly begins with our 27,000 employees at our resorts in Las Vegas, Boston, Macau, and Cotai, as well as our management team. That also includes our Board, whose succession planning for CEO resulted in a seamless transition with zero business interruption when Craig Billings assumed the role following Matt Maddox’s departure.</w:t>
      </w:r>
    </w:p>
    <w:p>
      <w:pPr>
        <w:spacing w:after="0" w:line="137" w:lineRule="exact"/>
        <w:rPr>
          <w:sz w:val="20"/>
          <w:szCs w:val="20"/>
          <w:color w:val="auto"/>
        </w:rPr>
      </w:pPr>
    </w:p>
    <w:p>
      <w:pPr>
        <w:ind w:left="3860" w:right="839"/>
        <w:spacing w:after="0" w:line="249" w:lineRule="auto"/>
        <w:rPr>
          <w:sz w:val="20"/>
          <w:szCs w:val="20"/>
          <w:color w:val="auto"/>
        </w:rPr>
      </w:pPr>
      <w:r>
        <w:rPr>
          <w:rFonts w:ascii="Arial" w:cs="Arial" w:eastAsia="Arial" w:hAnsi="Arial"/>
          <w:sz w:val="16"/>
          <w:szCs w:val="16"/>
          <w:color w:val="auto"/>
        </w:rPr>
        <w:t>Likewise, it spoke well of management’s own succession planning when former Encore Boston Harbor President Brian Gullbrants was appointed President of Wynn Las Vegas, and Jenny Holaday, who had worked shoulder-to-shoulder with Brian in Boston and played a key role in creating outstanding results there, was in-turn appointed President of Encore Boston Harbor.</w:t>
      </w:r>
    </w:p>
    <w:p>
      <w:pPr>
        <w:spacing w:after="0" w:line="124" w:lineRule="exact"/>
        <w:rPr>
          <w:sz w:val="20"/>
          <w:szCs w:val="20"/>
          <w:color w:val="auto"/>
        </w:rPr>
      </w:pPr>
    </w:p>
    <w:p>
      <w:pPr>
        <w:ind w:left="3860" w:right="819"/>
        <w:spacing w:after="0" w:line="248" w:lineRule="auto"/>
        <w:rPr>
          <w:sz w:val="20"/>
          <w:szCs w:val="20"/>
          <w:color w:val="auto"/>
        </w:rPr>
      </w:pPr>
      <w:r>
        <w:rPr>
          <w:rFonts w:ascii="Arial" w:cs="Arial" w:eastAsia="Arial" w:hAnsi="Arial"/>
          <w:sz w:val="16"/>
          <w:szCs w:val="16"/>
          <w:color w:val="auto"/>
        </w:rPr>
        <w:t>Finally, understanding that a diversity of experience is essential for the Company to be strong and competitive, the Board recruited Darnell Strom to join its ranks. As I previously reported to you, Darnell adds a young and fresh voice to the Board, and his professional experience in entertainment is of great benefit to the Company. Craig Billings also cultivated and recruited seasoned gaming financial executive Julie Cameron-Doe to fill the Chief Financial Officer opening created by his appointment as CEO.</w:t>
      </w:r>
    </w:p>
    <w:p>
      <w:pPr>
        <w:spacing w:after="0" w:line="138" w:lineRule="exact"/>
        <w:rPr>
          <w:sz w:val="20"/>
          <w:szCs w:val="20"/>
          <w:color w:val="auto"/>
        </w:rPr>
      </w:pPr>
    </w:p>
    <w:p>
      <w:pPr>
        <w:ind w:left="3860" w:right="799"/>
        <w:spacing w:after="0" w:line="238" w:lineRule="auto"/>
        <w:rPr>
          <w:sz w:val="20"/>
          <w:szCs w:val="20"/>
          <w:color w:val="auto"/>
        </w:rPr>
      </w:pPr>
      <w:r>
        <w:rPr>
          <w:rFonts w:ascii="Arial" w:cs="Arial" w:eastAsia="Arial" w:hAnsi="Arial"/>
          <w:sz w:val="18"/>
          <w:szCs w:val="18"/>
          <w:color w:val="auto"/>
        </w:rPr>
        <w:t>Growth ultimately requires the right focus, strategy and people to be sustainable. As Chair of Wynn Resorts, I have great confidence in all three of these elements and look forward to reporting back to you next year on our continued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45085</wp:posOffset>
            </wp:positionV>
            <wp:extent cx="87439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743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Arial" w:cs="Arial" w:eastAsia="Arial" w:hAnsi="Arial"/>
          <w:sz w:val="16"/>
          <w:szCs w:val="16"/>
          <w:color w:val="333D3F"/>
        </w:rPr>
        <w:t>Sincerely,</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6"/>
          <w:szCs w:val="16"/>
          <w:color w:val="333D3F"/>
        </w:rPr>
        <w:t>Philip P. Satre</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6"/>
          <w:szCs w:val="16"/>
          <w:color w:val="333D3F"/>
        </w:rPr>
        <w:t>Chair of the Board of Directors</w:t>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220345</wp:posOffset>
            </wp:positionV>
            <wp:extent cx="6789420" cy="8846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05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60"/>
        <w:spacing w:after="0"/>
        <w:rPr>
          <w:sz w:val="20"/>
          <w:szCs w:val="20"/>
          <w:color w:val="auto"/>
        </w:rPr>
      </w:pPr>
      <w:r>
        <w:rPr>
          <w:rFonts w:ascii="Arial" w:cs="Arial" w:eastAsia="Arial" w:hAnsi="Arial"/>
          <w:sz w:val="32"/>
          <w:szCs w:val="32"/>
          <w:i w:val="1"/>
          <w:iCs w:val="1"/>
          <w:color w:val="auto"/>
        </w:rPr>
        <w:t xml:space="preserve">Dear </w:t>
      </w:r>
      <w:r>
        <w:rPr>
          <w:rFonts w:ascii="Arial" w:cs="Arial" w:eastAsia="Arial" w:hAnsi="Arial"/>
          <w:sz w:val="32"/>
          <w:szCs w:val="32"/>
          <w:color w:val="auto"/>
        </w:rPr>
        <w:t>Shareholders,</w:t>
      </w:r>
    </w:p>
    <w:p>
      <w:pPr>
        <w:spacing w:after="0" w:line="194" w:lineRule="exact"/>
        <w:rPr>
          <w:sz w:val="20"/>
          <w:szCs w:val="20"/>
          <w:color w:val="auto"/>
        </w:rPr>
      </w:pPr>
    </w:p>
    <w:p>
      <w:pPr>
        <w:ind w:left="3860" w:right="479"/>
        <w:spacing w:after="0" w:line="251" w:lineRule="auto"/>
        <w:rPr>
          <w:sz w:val="20"/>
          <w:szCs w:val="20"/>
          <w:color w:val="auto"/>
        </w:rPr>
      </w:pPr>
      <w:r>
        <w:rPr>
          <w:rFonts w:ascii="Arial" w:cs="Arial" w:eastAsia="Arial" w:hAnsi="Arial"/>
          <w:sz w:val="16"/>
          <w:szCs w:val="16"/>
          <w:color w:val="auto"/>
        </w:rPr>
        <w:t>Following the extended period of significant challenges created by the pandemic, 2021 proved to be an incredible, dynamic year for Wynn Resorts. Significant portions of our business reemerged stronger than ever; others are still experiencing the impact of pandemic-related restrictions.</w:t>
      </w:r>
    </w:p>
    <w:p>
      <w:pPr>
        <w:spacing w:after="0" w:line="94" w:lineRule="exact"/>
        <w:rPr>
          <w:sz w:val="20"/>
          <w:szCs w:val="20"/>
          <w:color w:val="auto"/>
        </w:rPr>
      </w:pPr>
    </w:p>
    <w:p>
      <w:pPr>
        <w:jc w:val="both"/>
        <w:ind w:left="3860" w:right="499"/>
        <w:spacing w:after="0" w:line="253" w:lineRule="auto"/>
        <w:rPr>
          <w:sz w:val="20"/>
          <w:szCs w:val="20"/>
          <w:color w:val="auto"/>
        </w:rPr>
      </w:pPr>
      <w:r>
        <w:rPr>
          <w:rFonts w:ascii="Arial" w:cs="Arial" w:eastAsia="Arial" w:hAnsi="Arial"/>
          <w:sz w:val="16"/>
          <w:szCs w:val="16"/>
          <w:color w:val="auto"/>
        </w:rPr>
        <w:t>Overall, the heart of our business – our employees and the tremendous sense of ownership they take in creating singular guest experiences – is unwavering. It is their sense of proprietorship which results in our strong performance.</w:t>
      </w:r>
    </w:p>
    <w:p>
      <w:pPr>
        <w:spacing w:after="0" w:line="93" w:lineRule="exact"/>
        <w:rPr>
          <w:sz w:val="20"/>
          <w:szCs w:val="20"/>
          <w:color w:val="auto"/>
        </w:rPr>
      </w:pPr>
    </w:p>
    <w:p>
      <w:pPr>
        <w:ind w:left="3860" w:right="439"/>
        <w:spacing w:after="0" w:line="248" w:lineRule="auto"/>
        <w:rPr>
          <w:sz w:val="20"/>
          <w:szCs w:val="20"/>
          <w:color w:val="auto"/>
        </w:rPr>
      </w:pPr>
      <w:r>
        <w:rPr>
          <w:rFonts w:ascii="Arial" w:cs="Arial" w:eastAsia="Arial" w:hAnsi="Arial"/>
          <w:sz w:val="16"/>
          <w:szCs w:val="16"/>
          <w:color w:val="auto"/>
        </w:rPr>
        <w:t>We concluded last year on a wave of strength and success in North America. Our exceptional resort offerings and focus on service resonated well with guests who felt they had spent the whole of 2020 and early 2021 isolated and at home. Our Las Vegas team learned new ways to operate in a changed environment, one in which interest from convention and meetings groups was limited but featured roaring demand for our product from gaming and leisure travelers. Our Encore Boston Harbor team’s recalibration toward the casino side of the business began to show strong results with more to come.</w:t>
      </w:r>
    </w:p>
    <w:p>
      <w:pPr>
        <w:spacing w:after="0" w:line="99" w:lineRule="exact"/>
        <w:rPr>
          <w:sz w:val="20"/>
          <w:szCs w:val="20"/>
          <w:color w:val="auto"/>
        </w:rPr>
      </w:pPr>
    </w:p>
    <w:p>
      <w:pPr>
        <w:ind w:left="3860" w:right="479"/>
        <w:spacing w:after="0" w:line="249" w:lineRule="auto"/>
        <w:rPr>
          <w:sz w:val="20"/>
          <w:szCs w:val="20"/>
          <w:color w:val="auto"/>
        </w:rPr>
      </w:pPr>
      <w:r>
        <w:rPr>
          <w:rFonts w:ascii="Arial" w:cs="Arial" w:eastAsia="Arial" w:hAnsi="Arial"/>
          <w:sz w:val="16"/>
          <w:szCs w:val="16"/>
          <w:color w:val="auto"/>
        </w:rPr>
        <w:t>Travel remains constrained in the Macau market due to the pandemic. We believe consumer demand will continue to build and the changes we have continuously made since the opening of Wynn Palace to increase our appeal to premium mass and direct VIP customers will be rewarded when travelers return to the market. Looking forward, the Macau concession renewal process continues to move ahead as anticipated in a very logical and methodical manner.</w:t>
      </w:r>
    </w:p>
    <w:p>
      <w:pPr>
        <w:spacing w:after="0" w:line="97" w:lineRule="exact"/>
        <w:rPr>
          <w:sz w:val="20"/>
          <w:szCs w:val="20"/>
          <w:color w:val="auto"/>
        </w:rPr>
      </w:pPr>
    </w:p>
    <w:p>
      <w:pPr>
        <w:ind w:left="3860" w:right="479"/>
        <w:spacing w:after="0" w:line="250" w:lineRule="auto"/>
        <w:rPr>
          <w:sz w:val="20"/>
          <w:szCs w:val="20"/>
          <w:color w:val="auto"/>
        </w:rPr>
      </w:pPr>
      <w:r>
        <w:rPr>
          <w:rFonts w:ascii="Arial" w:cs="Arial" w:eastAsia="Arial" w:hAnsi="Arial"/>
          <w:sz w:val="16"/>
          <w:szCs w:val="16"/>
          <w:color w:val="auto"/>
        </w:rPr>
        <w:t>This year also looks bright for our resorts in North America with new room product for Wynn Las Vegas and a new entertainment offering and programming that will expand our audience of guests and deepen our relevance to them. New dining offerings and database growth at Encore Boston Harbor will further solidify our market position in the Northeast.</w:t>
      </w:r>
    </w:p>
    <w:p>
      <w:pPr>
        <w:spacing w:after="0" w:line="95" w:lineRule="exact"/>
        <w:rPr>
          <w:sz w:val="20"/>
          <w:szCs w:val="20"/>
          <w:color w:val="auto"/>
        </w:rPr>
      </w:pPr>
    </w:p>
    <w:p>
      <w:pPr>
        <w:ind w:left="3860" w:right="479"/>
        <w:spacing w:after="0" w:line="248" w:lineRule="auto"/>
        <w:rPr>
          <w:sz w:val="20"/>
          <w:szCs w:val="20"/>
          <w:color w:val="auto"/>
        </w:rPr>
      </w:pPr>
      <w:r>
        <w:rPr>
          <w:rFonts w:ascii="Arial" w:cs="Arial" w:eastAsia="Arial" w:hAnsi="Arial"/>
          <w:sz w:val="16"/>
          <w:szCs w:val="16"/>
          <w:color w:val="auto"/>
        </w:rPr>
        <w:t>The closure of our sale-leaseback transaction of Encore Boston Harbor with Realty Income will, in part, facilitate the ground-breaking on Phase One of development of the significant real estate holdings we have across Lower Broadway, adjacent to Encore Boston Harbor. We will further diversify our business and meaningfully extend our brand into the Middle East and Europe with our recently announced resort in Ras Al-Khaimah in the United Arab Emirates. Design and development on that project will continue throughout 2022.</w:t>
      </w:r>
    </w:p>
    <w:p>
      <w:pPr>
        <w:spacing w:after="0" w:line="100" w:lineRule="exact"/>
        <w:rPr>
          <w:sz w:val="20"/>
          <w:szCs w:val="20"/>
          <w:color w:val="auto"/>
        </w:rPr>
      </w:pPr>
    </w:p>
    <w:p>
      <w:pPr>
        <w:ind w:left="3860" w:right="519"/>
        <w:spacing w:after="0" w:line="260" w:lineRule="auto"/>
        <w:rPr>
          <w:sz w:val="20"/>
          <w:szCs w:val="20"/>
          <w:color w:val="auto"/>
        </w:rPr>
      </w:pPr>
      <w:r>
        <w:rPr>
          <w:rFonts w:ascii="Arial" w:cs="Arial" w:eastAsia="Arial" w:hAnsi="Arial"/>
          <w:sz w:val="16"/>
          <w:szCs w:val="16"/>
          <w:color w:val="auto"/>
        </w:rPr>
        <w:t>In such a pivotal year, no team is better positioned to gain advantage than Wynn Resorts.</w:t>
      </w:r>
    </w:p>
    <w:p>
      <w:pPr>
        <w:spacing w:after="0" w:line="87"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Craig Billings</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220345</wp:posOffset>
            </wp:positionV>
            <wp:extent cx="6789420" cy="8846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20"/>
        <w:spacing w:after="0"/>
        <w:rPr>
          <w:sz w:val="20"/>
          <w:szCs w:val="20"/>
          <w:color w:val="auto"/>
        </w:rPr>
      </w:pPr>
      <w:r>
        <w:rPr>
          <w:rFonts w:ascii="Arial" w:cs="Arial" w:eastAsia="Arial" w:hAnsi="Arial"/>
          <w:sz w:val="47"/>
          <w:szCs w:val="47"/>
          <w:i w:val="1"/>
          <w:iCs w:val="1"/>
          <w:color w:val="auto"/>
        </w:rPr>
        <w:t xml:space="preserve">Notice of </w:t>
      </w:r>
      <w:r>
        <w:rPr>
          <w:rFonts w:ascii="Arial" w:cs="Arial" w:eastAsia="Arial" w:hAnsi="Arial"/>
          <w:sz w:val="47"/>
          <w:szCs w:val="47"/>
          <w:color w:val="auto"/>
        </w:rPr>
        <w:t>Annual Meeting</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333D3F"/>
        </w:rPr>
        <w:t>Our 2022 Annual Meeting will be held online.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A1B35"/>
        </w:rPr>
        <w:t>PURPOSE OF THE MEETING</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4"/>
          <w:szCs w:val="14"/>
          <w:color w:val="6A1B35"/>
        </w:rPr>
        <w:t>THE ANNUAL MEETING WILL BE HELD FOR THE FOLLOWING PURPOSES:</w:t>
      </w:r>
    </w:p>
    <w:p>
      <w:pPr>
        <w:ind w:left="440" w:hanging="324"/>
        <w:spacing w:after="0"/>
        <w:tabs>
          <w:tab w:leader="none" w:pos="440" w:val="left"/>
        </w:tabs>
        <w:numPr>
          <w:ilvl w:val="0"/>
          <w:numId w:val="4"/>
        </w:numPr>
        <w:rPr>
          <w:rFonts w:ascii="Arial" w:cs="Arial" w:eastAsia="Arial" w:hAnsi="Arial"/>
          <w:sz w:val="16"/>
          <w:szCs w:val="16"/>
          <w:color w:val="6A1B35"/>
        </w:rPr>
      </w:pPr>
      <w:r>
        <w:rPr>
          <w:rFonts w:ascii="Arial" w:cs="Arial" w:eastAsia="Arial" w:hAnsi="Arial"/>
          <w:sz w:val="16"/>
          <w:szCs w:val="16"/>
          <w:color w:val="333D3F"/>
        </w:rPr>
        <w:t>To elect three Class II directors to serve until the 2025 Annual Meeting of Shareholders;</w:t>
      </w:r>
    </w:p>
    <w:p>
      <w:pPr>
        <w:spacing w:after="0" w:line="221" w:lineRule="exact"/>
        <w:rPr>
          <w:rFonts w:ascii="Arial" w:cs="Arial" w:eastAsia="Arial" w:hAnsi="Arial"/>
          <w:sz w:val="16"/>
          <w:szCs w:val="16"/>
          <w:color w:val="6A1B35"/>
        </w:rPr>
      </w:pPr>
    </w:p>
    <w:p>
      <w:pPr>
        <w:ind w:left="440" w:right="1720" w:hanging="324"/>
        <w:spacing w:after="0" w:line="260" w:lineRule="auto"/>
        <w:tabs>
          <w:tab w:leader="none" w:pos="440" w:val="left"/>
        </w:tabs>
        <w:numPr>
          <w:ilvl w:val="0"/>
          <w:numId w:val="4"/>
        </w:numPr>
        <w:rPr>
          <w:rFonts w:ascii="Arial" w:cs="Arial" w:eastAsia="Arial" w:hAnsi="Arial"/>
          <w:sz w:val="16"/>
          <w:szCs w:val="16"/>
          <w:color w:val="6A1B35"/>
        </w:rPr>
      </w:pPr>
      <w:r>
        <w:rPr>
          <w:rFonts w:ascii="Arial" w:cs="Arial" w:eastAsia="Arial" w:hAnsi="Arial"/>
          <w:sz w:val="16"/>
          <w:szCs w:val="16"/>
          <w:color w:val="333D3F"/>
        </w:rPr>
        <w:t>To ratify the appointment of Ernst &amp; Young LLP as our independent registered public accounting firm for the fiscal year ending December 31, 2022;</w:t>
      </w:r>
    </w:p>
    <w:p>
      <w:pPr>
        <w:spacing w:after="0" w:line="195" w:lineRule="exact"/>
        <w:rPr>
          <w:rFonts w:ascii="Arial" w:cs="Arial" w:eastAsia="Arial" w:hAnsi="Arial"/>
          <w:sz w:val="16"/>
          <w:szCs w:val="16"/>
          <w:color w:val="6A1B35"/>
        </w:rPr>
      </w:pPr>
    </w:p>
    <w:p>
      <w:pPr>
        <w:ind w:left="440" w:right="2460" w:hanging="324"/>
        <w:spacing w:after="0" w:line="260" w:lineRule="auto"/>
        <w:tabs>
          <w:tab w:leader="none" w:pos="440" w:val="left"/>
        </w:tabs>
        <w:numPr>
          <w:ilvl w:val="0"/>
          <w:numId w:val="4"/>
        </w:numPr>
        <w:rPr>
          <w:rFonts w:ascii="Arial" w:cs="Arial" w:eastAsia="Arial" w:hAnsi="Arial"/>
          <w:sz w:val="16"/>
          <w:szCs w:val="16"/>
          <w:color w:val="6A1B35"/>
        </w:rPr>
      </w:pPr>
      <w:r>
        <w:rPr>
          <w:rFonts w:ascii="Arial" w:cs="Arial" w:eastAsia="Arial" w:hAnsi="Arial"/>
          <w:sz w:val="16"/>
          <w:szCs w:val="16"/>
          <w:color w:val="333D3F"/>
        </w:rPr>
        <w:t>To approve, on a non-binding advisory basis, the compensation of our named executive officers as described in the Proxy Statement;</w:t>
      </w:r>
    </w:p>
    <w:p>
      <w:pPr>
        <w:spacing w:after="0" w:line="195" w:lineRule="exact"/>
        <w:rPr>
          <w:rFonts w:ascii="Arial" w:cs="Arial" w:eastAsia="Arial" w:hAnsi="Arial"/>
          <w:sz w:val="16"/>
          <w:szCs w:val="16"/>
          <w:color w:val="6A1B35"/>
        </w:rPr>
      </w:pPr>
    </w:p>
    <w:p>
      <w:pPr>
        <w:ind w:left="440" w:right="3140" w:hanging="324"/>
        <w:spacing w:after="0" w:line="260" w:lineRule="auto"/>
        <w:tabs>
          <w:tab w:leader="none" w:pos="440" w:val="left"/>
        </w:tabs>
        <w:numPr>
          <w:ilvl w:val="0"/>
          <w:numId w:val="4"/>
        </w:numPr>
        <w:rPr>
          <w:rFonts w:ascii="Arial" w:cs="Arial" w:eastAsia="Arial" w:hAnsi="Arial"/>
          <w:sz w:val="16"/>
          <w:szCs w:val="16"/>
          <w:color w:val="6A1B35"/>
        </w:rPr>
      </w:pPr>
      <w:r>
        <w:rPr>
          <w:rFonts w:ascii="Arial" w:cs="Arial" w:eastAsia="Arial" w:hAnsi="Arial"/>
          <w:sz w:val="16"/>
          <w:szCs w:val="16"/>
          <w:color w:val="333D3F"/>
        </w:rPr>
        <w:t>To consider and transact such other business as may properly come before the Annual Meeting, or at any adjournments or postponements thereof.</w:t>
      </w:r>
    </w:p>
    <w:p>
      <w:pPr>
        <w:spacing w:after="0" w:line="168" w:lineRule="exact"/>
        <w:rPr>
          <w:sz w:val="20"/>
          <w:szCs w:val="20"/>
          <w:color w:val="auto"/>
        </w:rPr>
      </w:pPr>
    </w:p>
    <w:p>
      <w:pPr>
        <w:ind w:left="120" w:right="680"/>
        <w:spacing w:after="0" w:line="251" w:lineRule="auto"/>
        <w:rPr>
          <w:sz w:val="20"/>
          <w:szCs w:val="20"/>
          <w:color w:val="auto"/>
        </w:rPr>
      </w:pPr>
      <w:r>
        <w:rPr>
          <w:rFonts w:ascii="Arial" w:cs="Arial" w:eastAsia="Arial" w:hAnsi="Arial"/>
          <w:sz w:val="16"/>
          <w:szCs w:val="16"/>
          <w:color w:val="333D3F"/>
        </w:rPr>
        <w:t>The foregoing items of business are more fully described in the Proxy Statement accompanying this Notice. Only the Company’s shareholders of record at the close of business on March 11, 2022,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6A1B35"/>
        </w:rPr>
        <w:t>IMPORTANT NOTICE REGARDING AVAILABILITY OF PROXY MATERIALS FOR THE SHAREHOLDER MEETING TO BE HELD ON MAY 5, 2022</w:t>
      </w:r>
    </w:p>
    <w:p>
      <w:pPr>
        <w:ind w:left="120" w:right="460"/>
        <w:spacing w:after="0" w:line="251" w:lineRule="auto"/>
        <w:rPr>
          <w:sz w:val="20"/>
          <w:szCs w:val="20"/>
          <w:color w:val="auto"/>
        </w:rPr>
      </w:pPr>
      <w:r>
        <w:rPr>
          <w:rFonts w:ascii="Arial" w:cs="Arial" w:eastAsia="Arial" w:hAnsi="Arial"/>
          <w:sz w:val="16"/>
          <w:szCs w:val="16"/>
          <w:color w:val="333D3F"/>
        </w:rPr>
        <w:t>This Proxy Statement and our Annual Report for the fiscal year ended December 31, 2021, are available at http://www.wynnresorts.com on the Company Information page under the “Annual Meeting” heading. On or about March 24, 2022, we mailed to our shareholders (other than those who previously requested electronic or paper delivery) a notice containing instructions on how to access our Annual Meeting materials (including the Proxy Statement and our Annual Report for the fiscal year ended December 31, 2021) and how to vote.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6A1B35"/>
        </w:rPr>
        <w:t>PARTICIPATING IN THE VIRTUAL ANNUAL MEETING</w:t>
      </w:r>
    </w:p>
    <w:p>
      <w:pPr>
        <w:ind w:left="120" w:right="460"/>
        <w:spacing w:after="0" w:line="260" w:lineRule="auto"/>
        <w:rPr>
          <w:sz w:val="20"/>
          <w:szCs w:val="20"/>
          <w:color w:val="auto"/>
        </w:rPr>
      </w:pPr>
      <w:r>
        <w:rPr>
          <w:rFonts w:ascii="Arial" w:cs="Arial" w:eastAsia="Arial" w:hAnsi="Arial"/>
          <w:sz w:val="16"/>
          <w:szCs w:val="16"/>
          <w:color w:val="333D3F"/>
        </w:rPr>
        <w:t>To participate in the virtual Annual Meeting, visit http://www.virtualshareholdermeeting.com/WYNN2022, and log in using the 16-digit control number printed in the box marked by the arrow on your Notice of Internet Availability, proxy card or voter instruction form.</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color w:val="6A1B35"/>
        </w:rPr>
        <w:t>YOUR VOTE IS IMPORTANT</w:t>
      </w:r>
    </w:p>
    <w:p>
      <w:pPr>
        <w:ind w:left="120" w:right="520"/>
        <w:spacing w:after="0" w:line="248" w:lineRule="auto"/>
        <w:rPr>
          <w:sz w:val="20"/>
          <w:szCs w:val="20"/>
          <w:color w:val="auto"/>
        </w:rPr>
      </w:pPr>
      <w:r>
        <w:rPr>
          <w:rFonts w:ascii="Arial" w:cs="Arial" w:eastAsia="Arial" w:hAnsi="Arial"/>
          <w:sz w:val="16"/>
          <w:szCs w:val="16"/>
          <w:color w:val="333D3F"/>
        </w:rPr>
        <w:t>You are encouraged to read the attached Proxy Statement and then cast your vote as promptly as possible by following the instructions on the proxy card you receive. Even if you have given your proxy, you may still vote electronically during the virtual Annual Meeting by visiting http://www.virtualshareholdermeeting.com/WYNN2022, logging in using the 16-digit control number printed in the box marked by the arrow on your Notice of Internet Availability, proxy card or voter instruction form, clicking on the vote button on the screen and following the instructions provided. If your shares are held through an intermediary, such as a bank, broker or other nominee, unless you provide voting instructions to such person, your shares will not be voted on most matters being considered at the Annual Meeting and, therefore, it is especially important you return the proxy card with your vote or vote via the internet or by telephone as further explained in the accompanying proxy materials.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color w:val="333D3F"/>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215138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13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Ellen F. Whittemore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 Vegas, Nevada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24, 2022</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180" w:type="dxa"/>
            <w:vAlign w:val="bottom"/>
            <w:shd w:val="clear" w:color="auto" w:fill="6A1B35"/>
          </w:tcPr>
          <w:p>
            <w:pPr>
              <w:ind w:left="200"/>
              <w:spacing w:after="0"/>
              <w:rPr>
                <w:sz w:val="20"/>
                <w:szCs w:val="20"/>
                <w:color w:val="auto"/>
              </w:rPr>
            </w:pPr>
            <w:r>
              <w:rPr>
                <w:rFonts w:ascii="Arial" w:cs="Arial" w:eastAsia="Arial" w:hAnsi="Arial"/>
                <w:sz w:val="18"/>
                <w:szCs w:val="18"/>
                <w:color w:val="FFFFFF"/>
              </w:rPr>
              <w:t>DATE AND TIME</w:t>
            </w:r>
          </w:p>
        </w:tc>
        <w:tc>
          <w:tcPr>
            <w:tcW w:w="120" w:type="dxa"/>
            <w:vAlign w:val="bottom"/>
          </w:tcPr>
          <w:p>
            <w:pPr>
              <w:spacing w:after="0"/>
              <w:rPr>
                <w:sz w:val="18"/>
                <w:szCs w:val="18"/>
                <w:color w:val="auto"/>
              </w:rPr>
            </w:pPr>
          </w:p>
        </w:tc>
        <w:tc>
          <w:tcPr>
            <w:tcW w:w="7720" w:type="dxa"/>
            <w:vAlign w:val="bottom"/>
            <w:shd w:val="clear" w:color="auto" w:fill="6A1B35"/>
          </w:tcPr>
          <w:p>
            <w:pPr>
              <w:ind w:left="220"/>
              <w:spacing w:after="0"/>
              <w:rPr>
                <w:sz w:val="20"/>
                <w:szCs w:val="20"/>
                <w:color w:val="auto"/>
              </w:rPr>
            </w:pPr>
            <w:r>
              <w:rPr>
                <w:rFonts w:ascii="Arial" w:cs="Arial" w:eastAsia="Arial" w:hAnsi="Arial"/>
                <w:sz w:val="18"/>
                <w:szCs w:val="18"/>
                <w:color w:val="FFFFFF"/>
              </w:rPr>
              <w:t>PLACE</w:t>
            </w:r>
          </w:p>
        </w:tc>
      </w:tr>
      <w:tr>
        <w:trPr>
          <w:trHeight w:val="241"/>
        </w:trPr>
        <w:tc>
          <w:tcPr>
            <w:tcW w:w="3180" w:type="dxa"/>
            <w:vAlign w:val="bottom"/>
            <w:shd w:val="clear" w:color="auto" w:fill="6A1B35"/>
          </w:tcPr>
          <w:p>
            <w:pPr>
              <w:ind w:left="200"/>
              <w:spacing w:after="0"/>
              <w:rPr>
                <w:sz w:val="20"/>
                <w:szCs w:val="20"/>
                <w:color w:val="auto"/>
              </w:rPr>
            </w:pPr>
            <w:r>
              <w:rPr>
                <w:rFonts w:ascii="Arial" w:cs="Arial" w:eastAsia="Arial" w:hAnsi="Arial"/>
                <w:sz w:val="18"/>
                <w:szCs w:val="18"/>
                <w:color w:val="FFFFFF"/>
              </w:rPr>
              <w:t>May 5, 2022</w:t>
            </w:r>
          </w:p>
        </w:tc>
        <w:tc>
          <w:tcPr>
            <w:tcW w:w="120" w:type="dxa"/>
            <w:vAlign w:val="bottom"/>
          </w:tcPr>
          <w:p>
            <w:pPr>
              <w:spacing w:after="0"/>
              <w:rPr>
                <w:sz w:val="20"/>
                <w:szCs w:val="20"/>
                <w:color w:val="auto"/>
              </w:rPr>
            </w:pPr>
          </w:p>
        </w:tc>
        <w:tc>
          <w:tcPr>
            <w:tcW w:w="7720" w:type="dxa"/>
            <w:vAlign w:val="bottom"/>
            <w:shd w:val="clear" w:color="auto" w:fill="6A1B35"/>
          </w:tcPr>
          <w:p>
            <w:pPr>
              <w:ind w:left="220"/>
              <w:spacing w:after="0"/>
              <w:rPr>
                <w:sz w:val="20"/>
                <w:szCs w:val="20"/>
                <w:color w:val="auto"/>
              </w:rPr>
            </w:pPr>
            <w:r>
              <w:rPr>
                <w:rFonts w:ascii="Arial" w:cs="Arial" w:eastAsia="Arial" w:hAnsi="Arial"/>
                <w:sz w:val="18"/>
                <w:szCs w:val="18"/>
                <w:color w:val="FFFFFF"/>
              </w:rPr>
              <w:t>Virtual meeting conducted via live webcast accessed at this website:</w:t>
            </w:r>
          </w:p>
        </w:tc>
      </w:tr>
      <w:tr>
        <w:trPr>
          <w:trHeight w:val="217"/>
        </w:trPr>
        <w:tc>
          <w:tcPr>
            <w:tcW w:w="3180" w:type="dxa"/>
            <w:vAlign w:val="bottom"/>
            <w:shd w:val="clear" w:color="auto" w:fill="6A1B35"/>
          </w:tcPr>
          <w:p>
            <w:pPr>
              <w:ind w:left="200"/>
              <w:spacing w:after="0"/>
              <w:rPr>
                <w:sz w:val="20"/>
                <w:szCs w:val="20"/>
                <w:color w:val="auto"/>
              </w:rPr>
            </w:pPr>
            <w:r>
              <w:rPr>
                <w:rFonts w:ascii="Arial" w:cs="Arial" w:eastAsia="Arial" w:hAnsi="Arial"/>
                <w:sz w:val="18"/>
                <w:szCs w:val="18"/>
                <w:color w:val="FFFFFF"/>
              </w:rPr>
              <w:t>9:00 am PT</w:t>
            </w:r>
          </w:p>
        </w:tc>
        <w:tc>
          <w:tcPr>
            <w:tcW w:w="120" w:type="dxa"/>
            <w:vAlign w:val="bottom"/>
          </w:tcPr>
          <w:p>
            <w:pPr>
              <w:spacing w:after="0"/>
              <w:rPr>
                <w:sz w:val="18"/>
                <w:szCs w:val="18"/>
                <w:color w:val="auto"/>
              </w:rPr>
            </w:pPr>
          </w:p>
        </w:tc>
        <w:tc>
          <w:tcPr>
            <w:tcW w:w="7720" w:type="dxa"/>
            <w:vAlign w:val="bottom"/>
            <w:shd w:val="clear" w:color="auto" w:fill="6A1B35"/>
          </w:tcPr>
          <w:p>
            <w:pPr>
              <w:ind w:left="220"/>
              <w:spacing w:after="0"/>
              <w:rPr>
                <w:sz w:val="20"/>
                <w:szCs w:val="20"/>
                <w:color w:val="auto"/>
              </w:rPr>
            </w:pPr>
            <w:r>
              <w:rPr>
                <w:rFonts w:ascii="Arial" w:cs="Arial" w:eastAsia="Arial" w:hAnsi="Arial"/>
                <w:sz w:val="18"/>
                <w:szCs w:val="18"/>
                <w:color w:val="FFFFFF"/>
              </w:rPr>
              <w:t>http://www.virtualshareholdermeeting.com/WYNN2022</w:t>
            </w:r>
          </w:p>
        </w:tc>
      </w:tr>
      <w:tr>
        <w:trPr>
          <w:trHeight w:val="202"/>
        </w:trPr>
        <w:tc>
          <w:tcPr>
            <w:tcW w:w="3180" w:type="dxa"/>
            <w:vAlign w:val="bottom"/>
            <w:shd w:val="clear" w:color="auto" w:fill="6A1B35"/>
          </w:tcPr>
          <w:p>
            <w:pPr>
              <w:spacing w:after="0"/>
              <w:rPr>
                <w:sz w:val="17"/>
                <w:szCs w:val="17"/>
                <w:color w:val="auto"/>
              </w:rPr>
            </w:pPr>
          </w:p>
        </w:tc>
        <w:tc>
          <w:tcPr>
            <w:tcW w:w="120" w:type="dxa"/>
            <w:vAlign w:val="bottom"/>
          </w:tcPr>
          <w:p>
            <w:pPr>
              <w:spacing w:after="0"/>
              <w:rPr>
                <w:sz w:val="17"/>
                <w:szCs w:val="17"/>
                <w:color w:val="auto"/>
              </w:rPr>
            </w:pPr>
          </w:p>
        </w:tc>
        <w:tc>
          <w:tcPr>
            <w:tcW w:w="7720" w:type="dxa"/>
            <w:vAlign w:val="bottom"/>
            <w:shd w:val="clear" w:color="auto" w:fill="6A1B35"/>
          </w:tcPr>
          <w:p>
            <w:pPr>
              <w:spacing w:after="0"/>
              <w:rPr>
                <w:sz w:val="17"/>
                <w:szCs w:val="17"/>
                <w:color w:val="auto"/>
              </w:rPr>
            </w:pPr>
          </w:p>
        </w:tc>
      </w:tr>
    </w:tbl>
    <w:p>
      <w:pPr>
        <w:spacing w:after="0" w:line="177" w:lineRule="exact"/>
        <w:rPr>
          <w:sz w:val="20"/>
          <w:szCs w:val="20"/>
          <w:color w:val="auto"/>
        </w:rPr>
      </w:pPr>
    </w:p>
    <w:p>
      <w:pPr>
        <w:ind w:left="120" w:right="1060"/>
        <w:spacing w:after="0" w:line="260" w:lineRule="auto"/>
        <w:rPr>
          <w:sz w:val="20"/>
          <w:szCs w:val="20"/>
          <w:color w:val="auto"/>
        </w:rPr>
      </w:pPr>
      <w:r>
        <w:rPr>
          <w:rFonts w:ascii="Arial" w:cs="Arial" w:eastAsia="Arial" w:hAnsi="Arial"/>
          <w:sz w:val="16"/>
          <w:szCs w:val="16"/>
          <w:color w:val="333D3F"/>
        </w:rPr>
        <w:t>This Proxy Statement and our 2021 Annual Report on Form 10-K are available at http://www.wynnresorts.com on the Company Information page under the “Annual Meeting” heading.</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05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Arial" w:cs="Arial" w:eastAsia="Arial" w:hAnsi="Arial"/>
          <w:sz w:val="67"/>
          <w:szCs w:val="67"/>
          <w:color w:val="auto"/>
        </w:rPr>
        <w:t xml:space="preserve">Table </w:t>
      </w:r>
      <w:r>
        <w:rPr>
          <w:rFonts w:ascii="Arial" w:cs="Arial" w:eastAsia="Arial" w:hAnsi="Arial"/>
          <w:sz w:val="67"/>
          <w:szCs w:val="67"/>
          <w:i w:val="1"/>
          <w:iCs w:val="1"/>
          <w:color w:val="auto"/>
        </w:rPr>
        <w:t>of</w:t>
      </w:r>
      <w:r>
        <w:rPr>
          <w:rFonts w:ascii="Arial" w:cs="Arial" w:eastAsia="Arial" w:hAnsi="Arial"/>
          <w:sz w:val="67"/>
          <w:szCs w:val="67"/>
          <w:color w:val="auto"/>
        </w:rPr>
        <w:t xml:space="preserve"> Contents</w:t>
      </w:r>
    </w:p>
    <w:p>
      <w:pPr>
        <w:spacing w:after="0" w:line="326" w:lineRule="exact"/>
        <w:rPr>
          <w:sz w:val="20"/>
          <w:szCs w:val="20"/>
          <w:color w:val="auto"/>
        </w:rPr>
      </w:pPr>
    </w:p>
    <w:tbl>
      <w:tblPr>
        <w:tblLayout w:type="fixed"/>
        <w:tblInd w:w="2860" w:type="dxa"/>
        <w:tblCellMar>
          <w:top w:w="0" w:type="dxa"/>
          <w:left w:w="0" w:type="dxa"/>
          <w:bottom w:w="0" w:type="dxa"/>
          <w:right w:w="0" w:type="dxa"/>
        </w:tblCellMar>
      </w:tblPr>
      <w:tr>
        <w:trPr>
          <w:trHeight w:val="149"/>
        </w:trPr>
        <w:tc>
          <w:tcPr>
            <w:tcW w:w="4240" w:type="dxa"/>
            <w:vAlign w:val="bottom"/>
            <w:gridSpan w:val="18"/>
          </w:tcPr>
          <w:p>
            <w:pPr>
              <w:ind w:left="20"/>
              <w:spacing w:after="0"/>
              <w:rPr>
                <w:rFonts w:ascii="Arial" w:cs="Arial" w:eastAsia="Arial" w:hAnsi="Arial"/>
                <w:sz w:val="13"/>
                <w:szCs w:val="13"/>
                <w:b w:val="1"/>
                <w:bCs w:val="1"/>
                <w:color w:val="0000EE"/>
              </w:rPr>
            </w:pPr>
            <w:hyperlink w:anchor="page14">
              <w:r>
                <w:rPr>
                  <w:rFonts w:ascii="Arial" w:cs="Arial" w:eastAsia="Arial" w:hAnsi="Arial"/>
                  <w:sz w:val="13"/>
                  <w:szCs w:val="13"/>
                  <w:b w:val="1"/>
                  <w:bCs w:val="1"/>
                  <w:color w:val="0000EE"/>
                </w:rPr>
                <w:t>OUR BOARD AND CORPORATE GOVERNANCE</w:t>
              </w:r>
            </w:hyperlink>
          </w:p>
        </w:tc>
        <w:tc>
          <w:tcPr>
            <w:tcW w:w="1240" w:type="dxa"/>
            <w:vAlign w:val="bottom"/>
            <w:vMerge w:val="restart"/>
          </w:tcPr>
          <w:p>
            <w:pPr>
              <w:jc w:val="right"/>
              <w:spacing w:after="0"/>
              <w:rPr>
                <w:sz w:val="20"/>
                <w:szCs w:val="20"/>
                <w:color w:val="auto"/>
              </w:rPr>
            </w:pPr>
            <w:r>
              <w:rPr>
                <w:rFonts w:ascii="Arial" w:cs="Arial" w:eastAsia="Arial" w:hAnsi="Arial"/>
                <w:sz w:val="16"/>
                <w:szCs w:val="16"/>
                <w:color w:val="FFFFFF"/>
              </w:rPr>
              <w:t>1</w:t>
            </w:r>
          </w:p>
        </w:tc>
        <w:tc>
          <w:tcPr>
            <w:tcW w:w="0" w:type="dxa"/>
            <w:vAlign w:val="bottom"/>
          </w:tcPr>
          <w:p>
            <w:pPr>
              <w:spacing w:after="0"/>
              <w:rPr>
                <w:sz w:val="1"/>
                <w:szCs w:val="1"/>
                <w:color w:val="auto"/>
              </w:rPr>
            </w:pPr>
          </w:p>
        </w:tc>
      </w:tr>
      <w:tr>
        <w:trPr>
          <w:trHeight w:val="156"/>
        </w:trPr>
        <w:tc>
          <w:tcPr>
            <w:tcW w:w="2860" w:type="dxa"/>
            <w:vAlign w:val="bottom"/>
            <w:tcBorders>
              <w:top w:val="single" w:sz="8" w:color="0000EE"/>
            </w:tcBorders>
            <w:gridSpan w:val="14"/>
          </w:tcPr>
          <w:p>
            <w:pPr>
              <w:ind w:left="20"/>
              <w:spacing w:after="0" w:line="155" w:lineRule="exact"/>
              <w:rPr>
                <w:rFonts w:ascii="Arial" w:cs="Arial" w:eastAsia="Arial" w:hAnsi="Arial"/>
                <w:sz w:val="16"/>
                <w:szCs w:val="16"/>
                <w:color w:val="0000EE"/>
              </w:rPr>
            </w:pPr>
            <w:hyperlink w:anchor="page15">
              <w:r>
                <w:rPr>
                  <w:rFonts w:ascii="Arial" w:cs="Arial" w:eastAsia="Arial" w:hAnsi="Arial"/>
                  <w:sz w:val="16"/>
                  <w:szCs w:val="16"/>
                  <w:color w:val="0000EE"/>
                </w:rPr>
                <w:t>Board Composition and Diversity</w:t>
              </w:r>
            </w:hyperlink>
          </w:p>
        </w:tc>
        <w:tc>
          <w:tcPr>
            <w:tcW w:w="1380" w:type="dxa"/>
            <w:vAlign w:val="bottom"/>
            <w:gridSpan w:val="4"/>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80" w:type="dxa"/>
            <w:vAlign w:val="bottom"/>
            <w:tcBorders>
              <w:top w:val="single" w:sz="8" w:color="0000EE"/>
              <w:bottom w:val="single" w:sz="8" w:color="0000EE"/>
            </w:tcBorders>
            <w:gridSpan w:val="10"/>
          </w:tcPr>
          <w:p>
            <w:pPr>
              <w:ind w:left="20"/>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Director Skills and Experience</w:t>
              </w:r>
            </w:hyperlink>
          </w:p>
        </w:tc>
        <w:tc>
          <w:tcPr>
            <w:tcW w:w="180" w:type="dxa"/>
            <w:vAlign w:val="bottom"/>
            <w:tcBorders>
              <w:top w:val="single" w:sz="8" w:color="0000EE"/>
            </w:tcBorders>
            <w:gridSpan w:val="2"/>
          </w:tcPr>
          <w:p>
            <w:pPr>
              <w:spacing w:after="0"/>
              <w:rPr>
                <w:sz w:val="14"/>
                <w:szCs w:val="14"/>
                <w:color w:val="auto"/>
              </w:rPr>
            </w:pPr>
          </w:p>
        </w:tc>
        <w:tc>
          <w:tcPr>
            <w:tcW w:w="1880" w:type="dxa"/>
            <w:vAlign w:val="bottom"/>
            <w:gridSpan w:val="6"/>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2</w:t>
            </w:r>
          </w:p>
        </w:tc>
        <w:tc>
          <w:tcPr>
            <w:tcW w:w="0" w:type="dxa"/>
            <w:vAlign w:val="bottom"/>
          </w:tcPr>
          <w:p>
            <w:pPr>
              <w:spacing w:after="0"/>
              <w:rPr>
                <w:sz w:val="1"/>
                <w:szCs w:val="1"/>
                <w:color w:val="auto"/>
              </w:rPr>
            </w:pPr>
          </w:p>
        </w:tc>
      </w:tr>
      <w:tr>
        <w:trPr>
          <w:trHeight w:val="169"/>
        </w:trPr>
        <w:tc>
          <w:tcPr>
            <w:tcW w:w="1480" w:type="dxa"/>
            <w:vAlign w:val="bottom"/>
            <w:tcBorders>
              <w:bottom w:val="single" w:sz="8" w:color="0000EE"/>
            </w:tcBorders>
            <w:gridSpan w:val="6"/>
          </w:tcPr>
          <w:p>
            <w:pPr>
              <w:ind w:left="20"/>
              <w:spacing w:after="0" w:line="169" w:lineRule="exact"/>
              <w:rPr>
                <w:rFonts w:ascii="Arial" w:cs="Arial" w:eastAsia="Arial" w:hAnsi="Arial"/>
                <w:sz w:val="16"/>
                <w:szCs w:val="16"/>
                <w:color w:val="0000EE"/>
                <w:w w:val="99"/>
              </w:rPr>
            </w:pPr>
            <w:hyperlink w:anchor="page17">
              <w:r>
                <w:rPr>
                  <w:rFonts w:ascii="Arial" w:cs="Arial" w:eastAsia="Arial" w:hAnsi="Arial"/>
                  <w:sz w:val="16"/>
                  <w:szCs w:val="16"/>
                  <w:color w:val="0000EE"/>
                  <w:w w:val="99"/>
                </w:rPr>
                <w:t>Director Biographies</w:t>
              </w:r>
            </w:hyperlink>
          </w:p>
        </w:tc>
        <w:tc>
          <w:tcPr>
            <w:tcW w:w="2760" w:type="dxa"/>
            <w:vAlign w:val="bottom"/>
            <w:gridSpan w:val="12"/>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3</w:t>
            </w:r>
          </w:p>
        </w:tc>
        <w:tc>
          <w:tcPr>
            <w:tcW w:w="0" w:type="dxa"/>
            <w:vAlign w:val="bottom"/>
          </w:tcPr>
          <w:p>
            <w:pPr>
              <w:spacing w:after="0"/>
              <w:rPr>
                <w:sz w:val="1"/>
                <w:szCs w:val="1"/>
                <w:color w:val="auto"/>
              </w:rPr>
            </w:pPr>
          </w:p>
        </w:tc>
      </w:tr>
      <w:tr>
        <w:trPr>
          <w:trHeight w:val="169"/>
        </w:trPr>
        <w:tc>
          <w:tcPr>
            <w:tcW w:w="2880" w:type="dxa"/>
            <w:vAlign w:val="bottom"/>
            <w:tcBorders>
              <w:bottom w:val="single" w:sz="8" w:color="0000EE"/>
            </w:tcBorders>
            <w:gridSpan w:val="15"/>
          </w:tcPr>
          <w:p>
            <w:pPr>
              <w:ind w:left="20"/>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Why Our Board Governance is Effective</w:t>
              </w:r>
            </w:hyperlink>
          </w:p>
        </w:tc>
        <w:tc>
          <w:tcPr>
            <w:tcW w:w="1360" w:type="dxa"/>
            <w:vAlign w:val="bottom"/>
            <w:gridSpan w:val="3"/>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12</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0000EE"/>
            </w:tcBorders>
            <w:gridSpan w:val="4"/>
          </w:tcPr>
          <w:p>
            <w:pPr>
              <w:ind w:left="20"/>
              <w:spacing w:after="0" w:line="169" w:lineRule="exact"/>
              <w:rPr>
                <w:rFonts w:ascii="Arial" w:cs="Arial" w:eastAsia="Arial" w:hAnsi="Arial"/>
                <w:sz w:val="16"/>
                <w:szCs w:val="16"/>
                <w:color w:val="0000EE"/>
                <w:w w:val="99"/>
              </w:rPr>
            </w:pPr>
            <w:hyperlink w:anchor="page26">
              <w:r>
                <w:rPr>
                  <w:rFonts w:ascii="Arial" w:cs="Arial" w:eastAsia="Arial" w:hAnsi="Arial"/>
                  <w:sz w:val="16"/>
                  <w:szCs w:val="16"/>
                  <w:color w:val="0000EE"/>
                  <w:w w:val="99"/>
                </w:rPr>
                <w:t>Board Committees</w:t>
              </w:r>
            </w:hyperlink>
          </w:p>
        </w:tc>
        <w:tc>
          <w:tcPr>
            <w:tcW w:w="2880" w:type="dxa"/>
            <w:vAlign w:val="bottom"/>
            <w:gridSpan w:val="14"/>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12</w:t>
            </w:r>
          </w:p>
        </w:tc>
        <w:tc>
          <w:tcPr>
            <w:tcW w:w="0" w:type="dxa"/>
            <w:vAlign w:val="bottom"/>
          </w:tcPr>
          <w:p>
            <w:pPr>
              <w:spacing w:after="0"/>
              <w:rPr>
                <w:sz w:val="1"/>
                <w:szCs w:val="1"/>
                <w:color w:val="auto"/>
              </w:rPr>
            </w:pPr>
          </w:p>
        </w:tc>
      </w:tr>
      <w:tr>
        <w:trPr>
          <w:trHeight w:val="169"/>
        </w:trPr>
        <w:tc>
          <w:tcPr>
            <w:tcW w:w="4240" w:type="dxa"/>
            <w:vAlign w:val="bottom"/>
            <w:gridSpan w:val="18"/>
          </w:tcPr>
          <w:p>
            <w:pPr>
              <w:ind w:left="20"/>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Board Role in Risk Oversight</w:t>
              </w:r>
            </w:hyperlink>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20" w:type="dxa"/>
            <w:vAlign w:val="bottom"/>
            <w:tcBorders>
              <w:bottom w:val="single" w:sz="8" w:color="0000EE"/>
            </w:tcBorders>
            <w:gridSpan w:val="11"/>
          </w:tcPr>
          <w:p>
            <w:pPr>
              <w:ind w:left="20"/>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Board Meetings/Annual Meeting</w:t>
              </w:r>
            </w:hyperlink>
          </w:p>
        </w:tc>
        <w:tc>
          <w:tcPr>
            <w:tcW w:w="1920" w:type="dxa"/>
            <w:vAlign w:val="bottom"/>
            <w:gridSpan w:val="7"/>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17</w:t>
            </w:r>
          </w:p>
        </w:tc>
        <w:tc>
          <w:tcPr>
            <w:tcW w:w="0" w:type="dxa"/>
            <w:vAlign w:val="bottom"/>
          </w:tcPr>
          <w:p>
            <w:pPr>
              <w:spacing w:after="0"/>
              <w:rPr>
                <w:sz w:val="1"/>
                <w:szCs w:val="1"/>
                <w:color w:val="auto"/>
              </w:rPr>
            </w:pPr>
          </w:p>
        </w:tc>
      </w:tr>
      <w:tr>
        <w:trPr>
          <w:trHeight w:val="169"/>
        </w:trPr>
        <w:tc>
          <w:tcPr>
            <w:tcW w:w="2900" w:type="dxa"/>
            <w:vAlign w:val="bottom"/>
            <w:tcBorders>
              <w:bottom w:val="single" w:sz="8" w:color="0000EE"/>
            </w:tcBorders>
            <w:gridSpan w:val="16"/>
          </w:tcPr>
          <w:p>
            <w:pPr>
              <w:ind w:left="20"/>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Board Communication and Engagement</w:t>
              </w:r>
            </w:hyperlink>
          </w:p>
        </w:tc>
        <w:tc>
          <w:tcPr>
            <w:tcW w:w="1340" w:type="dxa"/>
            <w:vAlign w:val="bottom"/>
            <w:gridSpan w:val="2"/>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17</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0000EE"/>
            </w:tcBorders>
            <w:gridSpan w:val="8"/>
          </w:tcPr>
          <w:p>
            <w:pPr>
              <w:ind w:left="20"/>
              <w:spacing w:after="0" w:line="169" w:lineRule="exact"/>
              <w:rPr>
                <w:rFonts w:ascii="Arial" w:cs="Arial" w:eastAsia="Arial" w:hAnsi="Arial"/>
                <w:sz w:val="16"/>
                <w:szCs w:val="16"/>
                <w:color w:val="0000EE"/>
                <w:w w:val="99"/>
              </w:rPr>
            </w:pPr>
            <w:hyperlink w:anchor="page31">
              <w:r>
                <w:rPr>
                  <w:rFonts w:ascii="Arial" w:cs="Arial" w:eastAsia="Arial" w:hAnsi="Arial"/>
                  <w:sz w:val="16"/>
                  <w:szCs w:val="16"/>
                  <w:color w:val="0000EE"/>
                  <w:w w:val="99"/>
                </w:rPr>
                <w:t>Shareholder Engagement</w:t>
              </w:r>
            </w:hyperlink>
          </w:p>
        </w:tc>
        <w:tc>
          <w:tcPr>
            <w:tcW w:w="2380" w:type="dxa"/>
            <w:vAlign w:val="bottom"/>
            <w:gridSpan w:val="10"/>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17</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0000EE"/>
            </w:tcBorders>
            <w:gridSpan w:val="7"/>
          </w:tcPr>
          <w:p>
            <w:pPr>
              <w:ind w:left="20"/>
              <w:spacing w:after="0" w:line="169" w:lineRule="exact"/>
              <w:rPr>
                <w:rFonts w:ascii="Arial" w:cs="Arial" w:eastAsia="Arial" w:hAnsi="Arial"/>
                <w:sz w:val="16"/>
                <w:szCs w:val="16"/>
                <w:color w:val="0000EE"/>
                <w:w w:val="99"/>
              </w:rPr>
            </w:pPr>
            <w:hyperlink w:anchor="page32">
              <w:r>
                <w:rPr>
                  <w:rFonts w:ascii="Arial" w:cs="Arial" w:eastAsia="Arial" w:hAnsi="Arial"/>
                  <w:sz w:val="16"/>
                  <w:szCs w:val="16"/>
                  <w:color w:val="0000EE"/>
                  <w:w w:val="99"/>
                </w:rPr>
                <w:t>Board Compensation</w:t>
              </w:r>
            </w:hyperlink>
          </w:p>
        </w:tc>
        <w:tc>
          <w:tcPr>
            <w:tcW w:w="2700" w:type="dxa"/>
            <w:vAlign w:val="bottom"/>
            <w:gridSpan w:val="11"/>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18</w:t>
            </w:r>
          </w:p>
        </w:tc>
        <w:tc>
          <w:tcPr>
            <w:tcW w:w="0" w:type="dxa"/>
            <w:vAlign w:val="bottom"/>
          </w:tcPr>
          <w:p>
            <w:pPr>
              <w:spacing w:after="0"/>
              <w:rPr>
                <w:sz w:val="1"/>
                <w:szCs w:val="1"/>
                <w:color w:val="auto"/>
              </w:rPr>
            </w:pPr>
          </w:p>
        </w:tc>
      </w:tr>
      <w:tr>
        <w:trPr>
          <w:trHeight w:val="169"/>
        </w:trPr>
        <w:tc>
          <w:tcPr>
            <w:tcW w:w="3220" w:type="dxa"/>
            <w:vAlign w:val="bottom"/>
            <w:tcBorders>
              <w:bottom w:val="single" w:sz="8" w:color="0000EE"/>
            </w:tcBorders>
            <w:gridSpan w:val="17"/>
          </w:tcPr>
          <w:p>
            <w:pPr>
              <w:ind w:left="20"/>
              <w:spacing w:after="0" w:line="169" w:lineRule="exact"/>
              <w:rPr>
                <w:rFonts w:ascii="Arial" w:cs="Arial" w:eastAsia="Arial" w:hAnsi="Arial"/>
                <w:sz w:val="16"/>
                <w:szCs w:val="16"/>
                <w:color w:val="0000EE"/>
                <w:w w:val="99"/>
              </w:rPr>
            </w:pPr>
            <w:hyperlink w:anchor="page33">
              <w:r>
                <w:rPr>
                  <w:rFonts w:ascii="Arial" w:cs="Arial" w:eastAsia="Arial" w:hAnsi="Arial"/>
                  <w:sz w:val="16"/>
                  <w:szCs w:val="16"/>
                  <w:color w:val="0000EE"/>
                  <w:w w:val="99"/>
                </w:rPr>
                <w:t>Non-Employee Director Compensation Table</w:t>
              </w:r>
            </w:hyperlink>
          </w:p>
        </w:tc>
        <w:tc>
          <w:tcPr>
            <w:tcW w:w="102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19</w:t>
            </w:r>
          </w:p>
        </w:tc>
        <w:tc>
          <w:tcPr>
            <w:tcW w:w="0" w:type="dxa"/>
            <w:vAlign w:val="bottom"/>
          </w:tcPr>
          <w:p>
            <w:pPr>
              <w:spacing w:after="0"/>
              <w:rPr>
                <w:sz w:val="1"/>
                <w:szCs w:val="1"/>
                <w:color w:val="auto"/>
              </w:rPr>
            </w:pPr>
          </w:p>
        </w:tc>
      </w:tr>
      <w:tr>
        <w:trPr>
          <w:trHeight w:val="668"/>
        </w:trPr>
        <w:tc>
          <w:tcPr>
            <w:tcW w:w="2420" w:type="dxa"/>
            <w:vAlign w:val="bottom"/>
            <w:tcBorders>
              <w:bottom w:val="single" w:sz="8" w:color="0000EE"/>
            </w:tcBorders>
            <w:gridSpan w:val="13"/>
          </w:tcPr>
          <w:p>
            <w:pPr>
              <w:ind w:left="20"/>
              <w:spacing w:after="0"/>
              <w:rPr>
                <w:rFonts w:ascii="Arial" w:cs="Arial" w:eastAsia="Arial" w:hAnsi="Arial"/>
                <w:sz w:val="13"/>
                <w:szCs w:val="13"/>
                <w:b w:val="1"/>
                <w:bCs w:val="1"/>
                <w:color w:val="0000EE"/>
                <w:w w:val="95"/>
              </w:rPr>
            </w:pPr>
            <w:hyperlink w:anchor="page36">
              <w:r>
                <w:rPr>
                  <w:rFonts w:ascii="Arial" w:cs="Arial" w:eastAsia="Arial" w:hAnsi="Arial"/>
                  <w:sz w:val="13"/>
                  <w:szCs w:val="13"/>
                  <w:b w:val="1"/>
                  <w:bCs w:val="1"/>
                  <w:color w:val="0000EE"/>
                  <w:w w:val="95"/>
                </w:rPr>
                <w:t>OUR PEOPLE AND OUR STEWARDSHIP</w:t>
              </w:r>
            </w:hyperlink>
          </w:p>
        </w:tc>
        <w:tc>
          <w:tcPr>
            <w:tcW w:w="1820" w:type="dxa"/>
            <w:vAlign w:val="bottom"/>
            <w:gridSpan w:val="5"/>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FFFFFF"/>
              </w:rPr>
              <w:t>23</w:t>
            </w:r>
          </w:p>
        </w:tc>
        <w:tc>
          <w:tcPr>
            <w:tcW w:w="0" w:type="dxa"/>
            <w:vAlign w:val="bottom"/>
          </w:tcPr>
          <w:p>
            <w:pPr>
              <w:spacing w:after="0"/>
              <w:rPr>
                <w:sz w:val="1"/>
                <w:szCs w:val="1"/>
                <w:color w:val="auto"/>
              </w:rPr>
            </w:pPr>
          </w:p>
        </w:tc>
      </w:tr>
      <w:tr>
        <w:trPr>
          <w:trHeight w:val="156"/>
        </w:trPr>
        <w:tc>
          <w:tcPr>
            <w:tcW w:w="860" w:type="dxa"/>
            <w:vAlign w:val="bottom"/>
            <w:tcBorders>
              <w:bottom w:val="single" w:sz="8" w:color="0000EE"/>
            </w:tcBorders>
            <w:gridSpan w:val="2"/>
          </w:tcPr>
          <w:p>
            <w:pPr>
              <w:ind w:left="20"/>
              <w:spacing w:after="0" w:line="155" w:lineRule="exact"/>
              <w:rPr>
                <w:rFonts w:ascii="Arial" w:cs="Arial" w:eastAsia="Arial" w:hAnsi="Arial"/>
                <w:sz w:val="16"/>
                <w:szCs w:val="16"/>
                <w:color w:val="0000EE"/>
                <w:w w:val="98"/>
              </w:rPr>
            </w:pPr>
            <w:hyperlink w:anchor="page37">
              <w:r>
                <w:rPr>
                  <w:rFonts w:ascii="Arial" w:cs="Arial" w:eastAsia="Arial" w:hAnsi="Arial"/>
                  <w:sz w:val="16"/>
                  <w:szCs w:val="16"/>
                  <w:color w:val="0000EE"/>
                  <w:w w:val="98"/>
                </w:rPr>
                <w:t>Introduction</w:t>
              </w:r>
            </w:hyperlink>
          </w:p>
        </w:tc>
        <w:tc>
          <w:tcPr>
            <w:tcW w:w="3380" w:type="dxa"/>
            <w:vAlign w:val="bottom"/>
            <w:gridSpan w:val="16"/>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40" w:type="dxa"/>
            <w:vAlign w:val="bottom"/>
            <w:gridSpan w:val="18"/>
          </w:tcPr>
          <w:p>
            <w:pPr>
              <w:ind w:left="20"/>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Our People</w:t>
              </w:r>
            </w:hyperlink>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24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tcBorders>
              <w:bottom w:val="single" w:sz="8" w:color="0000EE"/>
            </w:tcBorders>
            <w:gridSpan w:val="3"/>
          </w:tcPr>
          <w:p>
            <w:pPr>
              <w:ind w:left="20"/>
              <w:spacing w:after="0" w:line="169" w:lineRule="exact"/>
              <w:rPr>
                <w:rFonts w:ascii="Arial" w:cs="Arial" w:eastAsia="Arial" w:hAnsi="Arial"/>
                <w:sz w:val="16"/>
                <w:szCs w:val="16"/>
                <w:color w:val="0000EE"/>
                <w:w w:val="99"/>
              </w:rPr>
            </w:pPr>
            <w:hyperlink w:anchor="page38">
              <w:r>
                <w:rPr>
                  <w:rFonts w:ascii="Arial" w:cs="Arial" w:eastAsia="Arial" w:hAnsi="Arial"/>
                  <w:sz w:val="16"/>
                  <w:szCs w:val="16"/>
                  <w:color w:val="0000EE"/>
                  <w:w w:val="99"/>
                </w:rPr>
                <w:t>Our Communities</w:t>
              </w:r>
            </w:hyperlink>
          </w:p>
        </w:tc>
        <w:tc>
          <w:tcPr>
            <w:tcW w:w="2960" w:type="dxa"/>
            <w:vAlign w:val="bottom"/>
            <w:gridSpan w:val="15"/>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24</w:t>
            </w:r>
          </w:p>
        </w:tc>
        <w:tc>
          <w:tcPr>
            <w:tcW w:w="0" w:type="dxa"/>
            <w:vAlign w:val="bottom"/>
          </w:tcPr>
          <w:p>
            <w:pPr>
              <w:spacing w:after="0"/>
              <w:rPr>
                <w:sz w:val="1"/>
                <w:szCs w:val="1"/>
                <w:color w:val="auto"/>
              </w:rPr>
            </w:pPr>
          </w:p>
        </w:tc>
      </w:tr>
      <w:tr>
        <w:trPr>
          <w:trHeight w:val="169"/>
        </w:trPr>
        <w:tc>
          <w:tcPr>
            <w:tcW w:w="4240" w:type="dxa"/>
            <w:vAlign w:val="bottom"/>
            <w:gridSpan w:val="18"/>
          </w:tcPr>
          <w:p>
            <w:pPr>
              <w:ind w:left="20"/>
              <w:spacing w:after="0" w:line="169" w:lineRule="exact"/>
              <w:rPr>
                <w:rFonts w:ascii="Arial" w:cs="Arial" w:eastAsia="Arial" w:hAnsi="Arial"/>
                <w:sz w:val="16"/>
                <w:szCs w:val="16"/>
                <w:color w:val="0000EE"/>
              </w:rPr>
            </w:pPr>
            <w:hyperlink w:anchor="page39">
              <w:r>
                <w:rPr>
                  <w:rFonts w:ascii="Arial" w:cs="Arial" w:eastAsia="Arial" w:hAnsi="Arial"/>
                  <w:sz w:val="16"/>
                  <w:szCs w:val="16"/>
                  <w:color w:val="0000EE"/>
                </w:rPr>
                <w:t>Our Planet</w:t>
              </w:r>
            </w:hyperlink>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FFFFFF"/>
              </w:rPr>
              <w:t>25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0" w:type="dxa"/>
            <w:vAlign w:val="bottom"/>
            <w:tcBorders>
              <w:bottom w:val="single" w:sz="8" w:color="0000EE"/>
            </w:tcBorders>
            <w:gridSpan w:val="5"/>
          </w:tcPr>
          <w:p>
            <w:pPr>
              <w:ind w:left="20"/>
              <w:spacing w:after="0"/>
              <w:rPr>
                <w:rFonts w:ascii="Arial" w:cs="Arial" w:eastAsia="Arial" w:hAnsi="Arial"/>
                <w:sz w:val="13"/>
                <w:szCs w:val="13"/>
                <w:b w:val="1"/>
                <w:bCs w:val="1"/>
                <w:color w:val="0000EE"/>
                <w:w w:val="95"/>
              </w:rPr>
            </w:pPr>
            <w:hyperlink w:anchor="page40">
              <w:r>
                <w:rPr>
                  <w:rFonts w:ascii="Arial" w:cs="Arial" w:eastAsia="Arial" w:hAnsi="Arial"/>
                  <w:sz w:val="13"/>
                  <w:szCs w:val="13"/>
                  <w:b w:val="1"/>
                  <w:bCs w:val="1"/>
                  <w:color w:val="0000EE"/>
                  <w:w w:val="95"/>
                </w:rPr>
                <w:t>EXECUTIVE OFFICERS</w:t>
              </w:r>
            </w:hyperlink>
          </w:p>
        </w:tc>
        <w:tc>
          <w:tcPr>
            <w:tcW w:w="2840" w:type="dxa"/>
            <w:vAlign w:val="bottom"/>
            <w:gridSpan w:val="1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FFFFFF"/>
              </w:rPr>
              <w:t>26</w:t>
            </w: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6990080" cy="905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008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860" w:type="dxa"/>
        <w:tblCellMar>
          <w:top w:w="0" w:type="dxa"/>
          <w:left w:w="0" w:type="dxa"/>
          <w:bottom w:w="0" w:type="dxa"/>
          <w:right w:w="0" w:type="dxa"/>
        </w:tblCellMar>
      </w:tblPr>
      <w:tr>
        <w:trPr>
          <w:trHeight w:val="149"/>
        </w:trPr>
        <w:tc>
          <w:tcPr>
            <w:tcW w:w="2820" w:type="dxa"/>
            <w:vAlign w:val="bottom"/>
            <w:tcBorders>
              <w:bottom w:val="single" w:sz="8" w:color="0000EE"/>
            </w:tcBorders>
            <w:gridSpan w:val="19"/>
          </w:tcPr>
          <w:p>
            <w:pPr>
              <w:ind w:left="20"/>
              <w:spacing w:after="0"/>
              <w:rPr>
                <w:rFonts w:ascii="Arial" w:cs="Arial" w:eastAsia="Arial" w:hAnsi="Arial"/>
                <w:sz w:val="13"/>
                <w:szCs w:val="13"/>
                <w:b w:val="1"/>
                <w:bCs w:val="1"/>
                <w:color w:val="0000EE"/>
                <w:w w:val="95"/>
              </w:rPr>
            </w:pPr>
            <w:hyperlink w:anchor="page44">
              <w:r>
                <w:rPr>
                  <w:rFonts w:ascii="Arial" w:cs="Arial" w:eastAsia="Arial" w:hAnsi="Arial"/>
                  <w:sz w:val="13"/>
                  <w:szCs w:val="13"/>
                  <w:b w:val="1"/>
                  <w:bCs w:val="1"/>
                  <w:color w:val="0000EE"/>
                  <w:w w:val="95"/>
                </w:rPr>
                <w:t>COMPENSATION DISCUSSION AND ANALYSIS</w:t>
              </w:r>
            </w:hyperlink>
          </w:p>
        </w:tc>
        <w:tc>
          <w:tcPr>
            <w:tcW w:w="1980" w:type="dxa"/>
            <w:vAlign w:val="bottom"/>
            <w:gridSpan w:val="16"/>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FFFFFF"/>
              </w:rPr>
              <w:t>33</w:t>
            </w:r>
          </w:p>
        </w:tc>
        <w:tc>
          <w:tcPr>
            <w:tcW w:w="0" w:type="dxa"/>
            <w:vAlign w:val="bottom"/>
          </w:tcPr>
          <w:p>
            <w:pPr>
              <w:spacing w:after="0"/>
              <w:rPr>
                <w:sz w:val="1"/>
                <w:szCs w:val="1"/>
                <w:color w:val="auto"/>
              </w:rPr>
            </w:pPr>
          </w:p>
        </w:tc>
      </w:tr>
      <w:tr>
        <w:trPr>
          <w:trHeight w:val="155"/>
        </w:trPr>
        <w:tc>
          <w:tcPr>
            <w:tcW w:w="3380" w:type="dxa"/>
            <w:vAlign w:val="bottom"/>
            <w:tcBorders>
              <w:bottom w:val="single" w:sz="8" w:color="0000EE"/>
            </w:tcBorders>
            <w:gridSpan w:val="29"/>
          </w:tcPr>
          <w:p>
            <w:pPr>
              <w:ind w:left="20"/>
              <w:spacing w:after="0" w:line="155" w:lineRule="exact"/>
              <w:rPr>
                <w:rFonts w:ascii="Arial" w:cs="Arial" w:eastAsia="Arial" w:hAnsi="Arial"/>
                <w:sz w:val="16"/>
                <w:szCs w:val="16"/>
                <w:color w:val="0000EE"/>
                <w:w w:val="99"/>
              </w:rPr>
            </w:pPr>
            <w:hyperlink w:anchor="page47">
              <w:r>
                <w:rPr>
                  <w:rFonts w:ascii="Arial" w:cs="Arial" w:eastAsia="Arial" w:hAnsi="Arial"/>
                  <w:sz w:val="16"/>
                  <w:szCs w:val="16"/>
                  <w:color w:val="0000EE"/>
                  <w:w w:val="99"/>
                </w:rPr>
                <w:t>Why You Should Vote for the 2021 Say-on-Pay</w:t>
              </w:r>
            </w:hyperlink>
          </w:p>
        </w:tc>
        <w:tc>
          <w:tcPr>
            <w:tcW w:w="1420" w:type="dxa"/>
            <w:vAlign w:val="bottom"/>
            <w:gridSpan w:val="6"/>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0000EE"/>
            </w:tcBorders>
            <w:gridSpan w:val="24"/>
          </w:tcPr>
          <w:p>
            <w:pPr>
              <w:ind w:left="20"/>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How We Approach Executive Compensation</w:t>
              </w:r>
            </w:hyperlink>
          </w:p>
        </w:tc>
        <w:tc>
          <w:tcPr>
            <w:tcW w:w="1600" w:type="dxa"/>
            <w:vAlign w:val="bottom"/>
            <w:gridSpan w:val="11"/>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34</w:t>
            </w:r>
          </w:p>
        </w:tc>
        <w:tc>
          <w:tcPr>
            <w:tcW w:w="0" w:type="dxa"/>
            <w:vAlign w:val="bottom"/>
          </w:tcPr>
          <w:p>
            <w:pPr>
              <w:spacing w:after="0"/>
              <w:rPr>
                <w:sz w:val="1"/>
                <w:szCs w:val="1"/>
                <w:color w:val="auto"/>
              </w:rPr>
            </w:pPr>
          </w:p>
        </w:tc>
      </w:tr>
      <w:tr>
        <w:trPr>
          <w:trHeight w:val="169"/>
        </w:trPr>
        <w:tc>
          <w:tcPr>
            <w:tcW w:w="2480" w:type="dxa"/>
            <w:vAlign w:val="bottom"/>
            <w:tcBorders>
              <w:bottom w:val="single" w:sz="8" w:color="0000EE"/>
            </w:tcBorders>
            <w:gridSpan w:val="16"/>
          </w:tcPr>
          <w:p>
            <w:pPr>
              <w:ind w:left="20"/>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How the Company Has Performed</w:t>
              </w:r>
            </w:hyperlink>
          </w:p>
        </w:tc>
        <w:tc>
          <w:tcPr>
            <w:tcW w:w="2320" w:type="dxa"/>
            <w:vAlign w:val="bottom"/>
            <w:gridSpan w:val="19"/>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36</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0000EE"/>
            </w:tcBorders>
            <w:gridSpan w:val="18"/>
          </w:tcPr>
          <w:p>
            <w:pPr>
              <w:ind w:left="20"/>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How We Designed Incentives in 2021</w:t>
              </w:r>
            </w:hyperlink>
          </w:p>
        </w:tc>
        <w:tc>
          <w:tcPr>
            <w:tcW w:w="2100" w:type="dxa"/>
            <w:vAlign w:val="bottom"/>
            <w:gridSpan w:val="17"/>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37</w:t>
            </w:r>
          </w:p>
        </w:tc>
        <w:tc>
          <w:tcPr>
            <w:tcW w:w="0" w:type="dxa"/>
            <w:vAlign w:val="bottom"/>
          </w:tcPr>
          <w:p>
            <w:pPr>
              <w:spacing w:after="0"/>
              <w:rPr>
                <w:sz w:val="1"/>
                <w:szCs w:val="1"/>
                <w:color w:val="auto"/>
              </w:rPr>
            </w:pPr>
          </w:p>
        </w:tc>
      </w:tr>
      <w:tr>
        <w:trPr>
          <w:trHeight w:val="169"/>
        </w:trPr>
        <w:tc>
          <w:tcPr>
            <w:tcW w:w="4800" w:type="dxa"/>
            <w:vAlign w:val="bottom"/>
            <w:gridSpan w:val="35"/>
          </w:tcPr>
          <w:p>
            <w:pPr>
              <w:ind w:left="20"/>
              <w:spacing w:after="0" w:line="169" w:lineRule="exact"/>
              <w:rPr>
                <w:rFonts w:ascii="Arial" w:cs="Arial" w:eastAsia="Arial" w:hAnsi="Arial"/>
                <w:sz w:val="16"/>
                <w:szCs w:val="16"/>
                <w:color w:val="0000EE"/>
              </w:rPr>
            </w:pPr>
            <w:hyperlink w:anchor="page56">
              <w:r>
                <w:rPr>
                  <w:rFonts w:ascii="Arial" w:cs="Arial" w:eastAsia="Arial" w:hAnsi="Arial"/>
                  <w:sz w:val="16"/>
                  <w:szCs w:val="16"/>
                  <w:color w:val="0000EE"/>
                </w:rPr>
                <w:t>Other Aspects of Our Executive Compensation</w:t>
              </w:r>
            </w:hyperlink>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42</w:t>
            </w:r>
          </w:p>
        </w:tc>
        <w:tc>
          <w:tcPr>
            <w:tcW w:w="0" w:type="dxa"/>
            <w:vAlign w:val="bottom"/>
          </w:tcPr>
          <w:p>
            <w:pPr>
              <w:spacing w:after="0"/>
              <w:rPr>
                <w:sz w:val="1"/>
                <w:szCs w:val="1"/>
                <w:color w:val="auto"/>
              </w:rPr>
            </w:pPr>
          </w:p>
        </w:tc>
      </w:tr>
      <w:tr>
        <w:trPr>
          <w:trHeight w:val="169"/>
        </w:trPr>
        <w:tc>
          <w:tcPr>
            <w:tcW w:w="2420" w:type="dxa"/>
            <w:vAlign w:val="bottom"/>
            <w:tcBorders>
              <w:top w:val="single" w:sz="8" w:color="0000EE"/>
              <w:bottom w:val="single" w:sz="8" w:color="0000EE"/>
            </w:tcBorders>
            <w:gridSpan w:val="15"/>
          </w:tcPr>
          <w:p>
            <w:pPr>
              <w:ind w:left="20"/>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Compensation Committee Report</w:t>
              </w:r>
            </w:hyperlink>
          </w:p>
        </w:tc>
        <w:tc>
          <w:tcPr>
            <w:tcW w:w="940" w:type="dxa"/>
            <w:vAlign w:val="bottom"/>
            <w:tcBorders>
              <w:top w:val="single" w:sz="8" w:color="0000EE"/>
            </w:tcBorders>
            <w:gridSpan w:val="13"/>
          </w:tcPr>
          <w:p>
            <w:pPr>
              <w:spacing w:after="0"/>
              <w:rPr>
                <w:sz w:val="14"/>
                <w:szCs w:val="14"/>
                <w:color w:val="auto"/>
              </w:rPr>
            </w:pPr>
          </w:p>
        </w:tc>
        <w:tc>
          <w:tcPr>
            <w:tcW w:w="1440" w:type="dxa"/>
            <w:vAlign w:val="bottom"/>
            <w:gridSpan w:val="7"/>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43</w:t>
            </w:r>
          </w:p>
        </w:tc>
        <w:tc>
          <w:tcPr>
            <w:tcW w:w="0" w:type="dxa"/>
            <w:vAlign w:val="bottom"/>
          </w:tcPr>
          <w:p>
            <w:pPr>
              <w:spacing w:after="0"/>
              <w:rPr>
                <w:sz w:val="1"/>
                <w:szCs w:val="1"/>
                <w:color w:val="auto"/>
              </w:rPr>
            </w:pPr>
          </w:p>
        </w:tc>
      </w:tr>
      <w:tr>
        <w:trPr>
          <w:trHeight w:val="398"/>
        </w:trPr>
        <w:tc>
          <w:tcPr>
            <w:tcW w:w="4800" w:type="dxa"/>
            <w:vAlign w:val="bottom"/>
            <w:gridSpan w:val="35"/>
          </w:tcPr>
          <w:p>
            <w:pPr>
              <w:ind w:left="20"/>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EXECUTIVE COMPENSATION TABLES AND OTHER INFORMATION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FFFFFF"/>
              </w:rPr>
              <w:t>47</w:t>
            </w:r>
          </w:p>
        </w:tc>
        <w:tc>
          <w:tcPr>
            <w:tcW w:w="0" w:type="dxa"/>
            <w:vAlign w:val="bottom"/>
          </w:tcPr>
          <w:p>
            <w:pPr>
              <w:spacing w:after="0"/>
              <w:rPr>
                <w:sz w:val="1"/>
                <w:szCs w:val="1"/>
                <w:color w:val="auto"/>
              </w:rPr>
            </w:pPr>
          </w:p>
        </w:tc>
      </w:tr>
      <w:tr>
        <w:trPr>
          <w:trHeight w:val="155"/>
        </w:trPr>
        <w:tc>
          <w:tcPr>
            <w:tcW w:w="4000" w:type="dxa"/>
            <w:vAlign w:val="bottom"/>
            <w:tcBorders>
              <w:top w:val="single" w:sz="8" w:color="0000EE"/>
            </w:tcBorders>
            <w:gridSpan w:val="31"/>
          </w:tcPr>
          <w:p>
            <w:pPr>
              <w:ind w:left="20"/>
              <w:spacing w:after="0" w:line="155" w:lineRule="exact"/>
              <w:rPr>
                <w:rFonts w:ascii="Arial" w:cs="Arial" w:eastAsia="Arial" w:hAnsi="Arial"/>
                <w:sz w:val="16"/>
                <w:szCs w:val="16"/>
                <w:color w:val="0000EE"/>
              </w:rPr>
            </w:pPr>
            <w:hyperlink w:anchor="page61">
              <w:r>
                <w:rPr>
                  <w:rFonts w:ascii="Arial" w:cs="Arial" w:eastAsia="Arial" w:hAnsi="Arial"/>
                  <w:sz w:val="16"/>
                  <w:szCs w:val="16"/>
                  <w:color w:val="0000EE"/>
                </w:rPr>
                <w:t>Summary Compensation Table</w:t>
              </w:r>
            </w:hyperlink>
          </w:p>
        </w:tc>
        <w:tc>
          <w:tcPr>
            <w:tcW w:w="800" w:type="dxa"/>
            <w:vAlign w:val="bottom"/>
            <w:gridSpan w:val="4"/>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tcBorders>
              <w:bottom w:val="single" w:sz="8" w:color="0000EE"/>
            </w:tcBorders>
            <w:gridSpan w:val="25"/>
          </w:tcPr>
          <w:p>
            <w:pPr>
              <w:ind w:left="20"/>
              <w:spacing w:after="0" w:line="169" w:lineRule="exact"/>
              <w:rPr>
                <w:rFonts w:ascii="Arial" w:cs="Arial" w:eastAsia="Arial" w:hAnsi="Arial"/>
                <w:sz w:val="16"/>
                <w:szCs w:val="16"/>
                <w:color w:val="0000EE"/>
                <w:w w:val="99"/>
              </w:rPr>
            </w:pPr>
            <w:hyperlink w:anchor="page62">
              <w:r>
                <w:rPr>
                  <w:rFonts w:ascii="Arial" w:cs="Arial" w:eastAsia="Arial" w:hAnsi="Arial"/>
                  <w:sz w:val="16"/>
                  <w:szCs w:val="16"/>
                  <w:color w:val="0000EE"/>
                  <w:w w:val="99"/>
                </w:rPr>
                <w:t>Discussion of Summary Compensation Table</w:t>
              </w:r>
            </w:hyperlink>
          </w:p>
        </w:tc>
        <w:tc>
          <w:tcPr>
            <w:tcW w:w="1560" w:type="dxa"/>
            <w:vAlign w:val="bottom"/>
            <w:gridSpan w:val="10"/>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48</w:t>
            </w:r>
          </w:p>
        </w:tc>
        <w:tc>
          <w:tcPr>
            <w:tcW w:w="0" w:type="dxa"/>
            <w:vAlign w:val="bottom"/>
          </w:tcPr>
          <w:p>
            <w:pPr>
              <w:spacing w:after="0"/>
              <w:rPr>
                <w:sz w:val="1"/>
                <w:szCs w:val="1"/>
                <w:color w:val="auto"/>
              </w:rPr>
            </w:pPr>
          </w:p>
        </w:tc>
      </w:tr>
      <w:tr>
        <w:trPr>
          <w:trHeight w:val="169"/>
        </w:trPr>
        <w:tc>
          <w:tcPr>
            <w:tcW w:w="2980" w:type="dxa"/>
            <w:vAlign w:val="bottom"/>
            <w:tcBorders>
              <w:bottom w:val="single" w:sz="8" w:color="0000EE"/>
            </w:tcBorders>
            <w:gridSpan w:val="21"/>
          </w:tcPr>
          <w:p>
            <w:pPr>
              <w:ind w:left="20"/>
              <w:spacing w:after="0" w:line="169" w:lineRule="exact"/>
              <w:rPr>
                <w:rFonts w:ascii="Arial" w:cs="Arial" w:eastAsia="Arial" w:hAnsi="Arial"/>
                <w:sz w:val="16"/>
                <w:szCs w:val="16"/>
                <w:color w:val="0000EE"/>
                <w:w w:val="99"/>
              </w:rPr>
            </w:pPr>
            <w:hyperlink w:anchor="page63">
              <w:r>
                <w:rPr>
                  <w:rFonts w:ascii="Arial" w:cs="Arial" w:eastAsia="Arial" w:hAnsi="Arial"/>
                  <w:sz w:val="16"/>
                  <w:szCs w:val="16"/>
                  <w:color w:val="0000EE"/>
                  <w:w w:val="99"/>
                </w:rPr>
                <w:t>2021 Grants of Plan-Based Awards Table</w:t>
              </w:r>
            </w:hyperlink>
          </w:p>
        </w:tc>
        <w:tc>
          <w:tcPr>
            <w:tcW w:w="1820" w:type="dxa"/>
            <w:vAlign w:val="bottom"/>
            <w:gridSpan w:val="14"/>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49</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0000EE"/>
            </w:tcBorders>
            <w:gridSpan w:val="27"/>
          </w:tcPr>
          <w:p>
            <w:pPr>
              <w:ind w:left="20"/>
              <w:spacing w:after="0" w:line="169" w:lineRule="exact"/>
              <w:rPr>
                <w:rFonts w:ascii="Arial" w:cs="Arial" w:eastAsia="Arial" w:hAnsi="Arial"/>
                <w:sz w:val="16"/>
                <w:szCs w:val="16"/>
                <w:color w:val="0000EE"/>
              </w:rPr>
            </w:pPr>
            <w:hyperlink w:anchor="page64">
              <w:r>
                <w:rPr>
                  <w:rFonts w:ascii="Arial" w:cs="Arial" w:eastAsia="Arial" w:hAnsi="Arial"/>
                  <w:sz w:val="16"/>
                  <w:szCs w:val="16"/>
                  <w:color w:val="0000EE"/>
                </w:rPr>
                <w:t>Outstanding Equity Awards at Fiscal Year-end</w:t>
              </w:r>
            </w:hyperlink>
          </w:p>
        </w:tc>
        <w:tc>
          <w:tcPr>
            <w:tcW w:w="1480" w:type="dxa"/>
            <w:vAlign w:val="bottom"/>
            <w:gridSpan w:val="8"/>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50</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0000EE"/>
            </w:tcBorders>
            <w:gridSpan w:val="23"/>
          </w:tcPr>
          <w:p>
            <w:pPr>
              <w:ind w:left="20"/>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Option Exercises and Stock Vested in 2021</w:t>
              </w:r>
            </w:hyperlink>
          </w:p>
        </w:tc>
        <w:tc>
          <w:tcPr>
            <w:tcW w:w="1680" w:type="dxa"/>
            <w:vAlign w:val="bottom"/>
            <w:gridSpan w:val="12"/>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51</w:t>
            </w:r>
          </w:p>
        </w:tc>
        <w:tc>
          <w:tcPr>
            <w:tcW w:w="0" w:type="dxa"/>
            <w:vAlign w:val="bottom"/>
          </w:tcPr>
          <w:p>
            <w:pPr>
              <w:spacing w:after="0"/>
              <w:rPr>
                <w:sz w:val="1"/>
                <w:szCs w:val="1"/>
                <w:color w:val="auto"/>
              </w:rPr>
            </w:pPr>
          </w:p>
        </w:tc>
      </w:tr>
      <w:tr>
        <w:trPr>
          <w:trHeight w:val="169"/>
        </w:trPr>
        <w:tc>
          <w:tcPr>
            <w:tcW w:w="4260" w:type="dxa"/>
            <w:vAlign w:val="bottom"/>
            <w:tcBorders>
              <w:bottom w:val="single" w:sz="8" w:color="0000EE"/>
            </w:tcBorders>
            <w:gridSpan w:val="33"/>
          </w:tcPr>
          <w:p>
            <w:pPr>
              <w:ind w:left="20"/>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Potential Payments Upon Termination or Change in Control</w:t>
              </w:r>
            </w:hyperlink>
          </w:p>
        </w:tc>
        <w:tc>
          <w:tcPr>
            <w:tcW w:w="540" w:type="dxa"/>
            <w:vAlign w:val="bottom"/>
            <w:gridSpan w:val="2"/>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51</w:t>
            </w:r>
          </w:p>
        </w:tc>
        <w:tc>
          <w:tcPr>
            <w:tcW w:w="0" w:type="dxa"/>
            <w:vAlign w:val="bottom"/>
          </w:tcPr>
          <w:p>
            <w:pPr>
              <w:spacing w:after="0"/>
              <w:rPr>
                <w:sz w:val="1"/>
                <w:szCs w:val="1"/>
                <w:color w:val="auto"/>
              </w:rPr>
            </w:pPr>
          </w:p>
        </w:tc>
      </w:tr>
      <w:tr>
        <w:trPr>
          <w:trHeight w:val="399"/>
        </w:trPr>
        <w:tc>
          <w:tcPr>
            <w:tcW w:w="2960" w:type="dxa"/>
            <w:vAlign w:val="bottom"/>
            <w:tcBorders>
              <w:bottom w:val="single" w:sz="8" w:color="0000EE"/>
            </w:tcBorders>
            <w:gridSpan w:val="20"/>
          </w:tcPr>
          <w:p>
            <w:pPr>
              <w:ind w:left="20"/>
              <w:spacing w:after="0"/>
              <w:rPr>
                <w:rFonts w:ascii="Arial" w:cs="Arial" w:eastAsia="Arial" w:hAnsi="Arial"/>
                <w:sz w:val="13"/>
                <w:szCs w:val="13"/>
                <w:b w:val="1"/>
                <w:bCs w:val="1"/>
                <w:color w:val="0000EE"/>
                <w:w w:val="95"/>
              </w:rPr>
            </w:pPr>
            <w:hyperlink w:anchor="page69">
              <w:r>
                <w:rPr>
                  <w:rFonts w:ascii="Arial" w:cs="Arial" w:eastAsia="Arial" w:hAnsi="Arial"/>
                  <w:sz w:val="13"/>
                  <w:szCs w:val="13"/>
                  <w:b w:val="1"/>
                  <w:bCs w:val="1"/>
                  <w:color w:val="0000EE"/>
                  <w:w w:val="95"/>
                </w:rPr>
                <w:t>CERTAIN RELATIONSHIPS AND TRANSACTIONS</w:t>
              </w:r>
            </w:hyperlink>
          </w:p>
        </w:tc>
        <w:tc>
          <w:tcPr>
            <w:tcW w:w="18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FFFFFF"/>
              </w:rPr>
              <w:t>55</w:t>
            </w:r>
          </w:p>
        </w:tc>
        <w:tc>
          <w:tcPr>
            <w:tcW w:w="0" w:type="dxa"/>
            <w:vAlign w:val="bottom"/>
          </w:tcPr>
          <w:p>
            <w:pPr>
              <w:spacing w:after="0"/>
              <w:rPr>
                <w:sz w:val="1"/>
                <w:szCs w:val="1"/>
                <w:color w:val="auto"/>
              </w:rPr>
            </w:pPr>
          </w:p>
        </w:tc>
      </w:tr>
      <w:tr>
        <w:trPr>
          <w:trHeight w:val="385"/>
        </w:trPr>
        <w:tc>
          <w:tcPr>
            <w:tcW w:w="4800" w:type="dxa"/>
            <w:vAlign w:val="bottom"/>
            <w:gridSpan w:val="35"/>
          </w:tcPr>
          <w:p>
            <w:pPr>
              <w:ind w:left="2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PAY RATIO DISCLOSURE</w:t>
              </w:r>
            </w:hyperlink>
          </w:p>
        </w:tc>
        <w:tc>
          <w:tcPr>
            <w:tcW w:w="680" w:type="dxa"/>
            <w:vAlign w:val="bottom"/>
          </w:tcPr>
          <w:p>
            <w:pPr>
              <w:jc w:val="right"/>
              <w:spacing w:after="0"/>
              <w:rPr>
                <w:sz w:val="20"/>
                <w:szCs w:val="20"/>
                <w:color w:val="auto"/>
              </w:rPr>
            </w:pPr>
            <w:r>
              <w:rPr>
                <w:rFonts w:ascii="Arial" w:cs="Arial" w:eastAsia="Arial" w:hAnsi="Arial"/>
                <w:sz w:val="13"/>
                <w:szCs w:val="13"/>
                <w:b w:val="1"/>
                <w:bCs w:val="1"/>
                <w:color w:val="FFFFFF"/>
              </w:rPr>
              <w:t>56</w:t>
            </w:r>
          </w:p>
        </w:tc>
        <w:tc>
          <w:tcPr>
            <w:tcW w:w="0" w:type="dxa"/>
            <w:vAlign w:val="bottom"/>
          </w:tcPr>
          <w:p>
            <w:pPr>
              <w:spacing w:after="0"/>
              <w:rPr>
                <w:sz w:val="1"/>
                <w:szCs w:val="1"/>
                <w:color w:val="auto"/>
              </w:rPr>
            </w:pPr>
          </w:p>
        </w:tc>
      </w:tr>
      <w:tr>
        <w:trPr>
          <w:trHeight w:val="385"/>
        </w:trPr>
        <w:tc>
          <w:tcPr>
            <w:tcW w:w="1460" w:type="dxa"/>
            <w:vAlign w:val="bottom"/>
            <w:tcBorders>
              <w:top w:val="single" w:sz="8" w:color="0000EE"/>
              <w:bottom w:val="single" w:sz="8" w:color="0000EE"/>
            </w:tcBorders>
            <w:gridSpan w:val="6"/>
          </w:tcPr>
          <w:p>
            <w:pPr>
              <w:ind w:left="20"/>
              <w:spacing w:after="0"/>
              <w:rPr>
                <w:rFonts w:ascii="Arial" w:cs="Arial" w:eastAsia="Arial" w:hAnsi="Arial"/>
                <w:sz w:val="13"/>
                <w:szCs w:val="13"/>
                <w:b w:val="1"/>
                <w:bCs w:val="1"/>
                <w:color w:val="0000EE"/>
                <w:w w:val="94"/>
              </w:rPr>
            </w:pPr>
            <w:hyperlink w:anchor="page71">
              <w:r>
                <w:rPr>
                  <w:rFonts w:ascii="Arial" w:cs="Arial" w:eastAsia="Arial" w:hAnsi="Arial"/>
                  <w:sz w:val="13"/>
                  <w:szCs w:val="13"/>
                  <w:b w:val="1"/>
                  <w:bCs w:val="1"/>
                  <w:color w:val="0000EE"/>
                  <w:w w:val="94"/>
                </w:rPr>
                <w:t>SECURITY OWNERSHIP</w:t>
              </w:r>
            </w:hyperlink>
          </w:p>
        </w:tc>
        <w:tc>
          <w:tcPr>
            <w:tcW w:w="60" w:type="dxa"/>
            <w:vAlign w:val="bottom"/>
            <w:tcBorders>
              <w:top w:val="single" w:sz="8" w:color="0000EE"/>
            </w:tcBorders>
            <w:gridSpan w:val="2"/>
          </w:tcPr>
          <w:p>
            <w:pPr>
              <w:spacing w:after="0"/>
              <w:rPr>
                <w:sz w:val="24"/>
                <w:szCs w:val="24"/>
                <w:color w:val="auto"/>
              </w:rPr>
            </w:pPr>
          </w:p>
        </w:tc>
        <w:tc>
          <w:tcPr>
            <w:tcW w:w="3280" w:type="dxa"/>
            <w:vAlign w:val="bottom"/>
            <w:gridSpan w:val="2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FFFFFF"/>
              </w:rPr>
              <w:t>57</w:t>
            </w:r>
          </w:p>
        </w:tc>
        <w:tc>
          <w:tcPr>
            <w:tcW w:w="0" w:type="dxa"/>
            <w:vAlign w:val="bottom"/>
          </w:tcPr>
          <w:p>
            <w:pPr>
              <w:spacing w:after="0"/>
              <w:rPr>
                <w:sz w:val="1"/>
                <w:szCs w:val="1"/>
                <w:color w:val="auto"/>
              </w:rPr>
            </w:pPr>
          </w:p>
        </w:tc>
      </w:tr>
      <w:tr>
        <w:trPr>
          <w:trHeight w:val="155"/>
        </w:trPr>
        <w:tc>
          <w:tcPr>
            <w:tcW w:w="4800" w:type="dxa"/>
            <w:vAlign w:val="bottom"/>
            <w:gridSpan w:val="35"/>
          </w:tcPr>
          <w:p>
            <w:pPr>
              <w:ind w:left="20"/>
              <w:spacing w:after="0" w:line="155" w:lineRule="exact"/>
              <w:rPr>
                <w:rFonts w:ascii="Arial" w:cs="Arial" w:eastAsia="Arial" w:hAnsi="Arial"/>
                <w:sz w:val="16"/>
                <w:szCs w:val="16"/>
                <w:color w:val="0000EE"/>
              </w:rPr>
            </w:pPr>
            <w:hyperlink w:anchor="page71">
              <w:r>
                <w:rPr>
                  <w:rFonts w:ascii="Arial" w:cs="Arial" w:eastAsia="Arial" w:hAnsi="Arial"/>
                  <w:sz w:val="16"/>
                  <w:szCs w:val="16"/>
                  <w:color w:val="0000EE"/>
                </w:rPr>
                <w:t>Certain Beneficial Ownership and Management</w:t>
              </w:r>
            </w:hyperlink>
          </w:p>
        </w:tc>
        <w:tc>
          <w:tcPr>
            <w:tcW w:w="680" w:type="dxa"/>
            <w:vAlign w:val="bottom"/>
          </w:tcPr>
          <w:p>
            <w:pPr>
              <w:jc w:val="right"/>
              <w:spacing w:after="0" w:line="155" w:lineRule="exact"/>
              <w:rPr>
                <w:sz w:val="20"/>
                <w:szCs w:val="20"/>
                <w:color w:val="auto"/>
              </w:rPr>
            </w:pPr>
            <w:r>
              <w:rPr>
                <w:rFonts w:ascii="Arial" w:cs="Arial" w:eastAsia="Arial" w:hAnsi="Arial"/>
                <w:sz w:val="16"/>
                <w:szCs w:val="16"/>
                <w:color w:val="FFFFFF"/>
              </w:rPr>
              <w:t>57</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0" w:type="dxa"/>
            <w:vAlign w:val="bottom"/>
            <w:gridSpan w:val="35"/>
          </w:tcPr>
          <w:p>
            <w:pPr>
              <w:ind w:left="20"/>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Section 16(a) Beneficial Ownership Reporting Compliance</w:t>
              </w:r>
            </w:hyperlink>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58</w:t>
            </w:r>
          </w:p>
        </w:tc>
        <w:tc>
          <w:tcPr>
            <w:tcW w:w="0" w:type="dxa"/>
            <w:vAlign w:val="bottom"/>
          </w:tcPr>
          <w:p>
            <w:pPr>
              <w:spacing w:after="0"/>
              <w:rPr>
                <w:sz w:val="1"/>
                <w:szCs w:val="1"/>
                <w:color w:val="auto"/>
              </w:rPr>
            </w:pPr>
          </w:p>
        </w:tc>
      </w:tr>
      <w:tr>
        <w:trPr>
          <w:trHeight w:val="398"/>
        </w:trPr>
        <w:tc>
          <w:tcPr>
            <w:tcW w:w="4180" w:type="dxa"/>
            <w:vAlign w:val="bottom"/>
            <w:tcBorders>
              <w:top w:val="single" w:sz="8" w:color="0000EE"/>
            </w:tcBorders>
            <w:gridSpan w:val="32"/>
          </w:tcPr>
          <w:p>
            <w:pPr>
              <w:ind w:left="20"/>
              <w:spacing w:after="0"/>
              <w:rPr>
                <w:rFonts w:ascii="Arial" w:cs="Arial" w:eastAsia="Arial" w:hAnsi="Arial"/>
                <w:sz w:val="13"/>
                <w:szCs w:val="13"/>
                <w:b w:val="1"/>
                <w:bCs w:val="1"/>
                <w:color w:val="0000EE"/>
              </w:rPr>
            </w:pPr>
            <w:hyperlink w:anchor="page76">
              <w:r>
                <w:rPr>
                  <w:rFonts w:ascii="Arial" w:cs="Arial" w:eastAsia="Arial" w:hAnsi="Arial"/>
                  <w:sz w:val="13"/>
                  <w:szCs w:val="13"/>
                  <w:b w:val="1"/>
                  <w:bCs w:val="1"/>
                  <w:color w:val="0000EE"/>
                </w:rPr>
                <w:t>ITEMS TO BE VOTED ON</w:t>
              </w:r>
            </w:hyperlink>
          </w:p>
        </w:tc>
        <w:tc>
          <w:tcPr>
            <w:tcW w:w="620" w:type="dxa"/>
            <w:vAlign w:val="bottom"/>
            <w:gridSpan w:val="3"/>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FFFFFF"/>
              </w:rPr>
              <w:t>63</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gridSpan w:val="35"/>
          </w:tcPr>
          <w:p>
            <w:pPr>
              <w:ind w:left="20"/>
              <w:spacing w:after="0" w:line="155" w:lineRule="exact"/>
              <w:rPr>
                <w:rFonts w:ascii="Arial" w:cs="Arial" w:eastAsia="Arial" w:hAnsi="Arial"/>
                <w:sz w:val="16"/>
                <w:szCs w:val="16"/>
                <w:color w:val="0000EE"/>
              </w:rPr>
            </w:pPr>
            <w:hyperlink w:anchor="page77">
              <w:r>
                <w:rPr>
                  <w:rFonts w:ascii="Arial" w:cs="Arial" w:eastAsia="Arial" w:hAnsi="Arial"/>
                  <w:sz w:val="16"/>
                  <w:szCs w:val="16"/>
                  <w:color w:val="0000EE"/>
                </w:rPr>
                <w:t>Proposal 1: Election of Directors</w:t>
              </w:r>
            </w:hyperlink>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0" w:type="dxa"/>
            <w:vAlign w:val="bottom"/>
            <w:gridSpan w:val="35"/>
          </w:tcPr>
          <w:p>
            <w:pPr>
              <w:ind w:left="20"/>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Proposal 2: Ratification of Appointment of Independent Auditors</w:t>
              </w:r>
            </w:hyperlink>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63</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0" w:type="dxa"/>
            <w:vAlign w:val="bottom"/>
            <w:tcBorders>
              <w:bottom w:val="single" w:sz="8" w:color="0000EE"/>
            </w:tcBorders>
            <w:gridSpan w:val="35"/>
          </w:tcPr>
          <w:p>
            <w:pPr>
              <w:ind w:left="20"/>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Proposal 3: Advisory Vote to Approve the Compensation of Named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Borders>
              <w:bottom w:val="single" w:sz="8" w:color="0000EE"/>
            </w:tcBorders>
            <w:gridSpan w:val="4"/>
          </w:tcPr>
          <w:p>
            <w:pPr>
              <w:ind w:left="20"/>
              <w:spacing w:after="0" w:line="169" w:lineRule="exact"/>
              <w:rPr>
                <w:rFonts w:ascii="Arial" w:cs="Arial" w:eastAsia="Arial" w:hAnsi="Arial"/>
                <w:sz w:val="16"/>
                <w:szCs w:val="16"/>
                <w:color w:val="0000EE"/>
                <w:w w:val="99"/>
              </w:rPr>
            </w:pPr>
            <w:hyperlink w:anchor="page80">
              <w:r>
                <w:rPr>
                  <w:rFonts w:ascii="Arial" w:cs="Arial" w:eastAsia="Arial" w:hAnsi="Arial"/>
                  <w:sz w:val="16"/>
                  <w:szCs w:val="16"/>
                  <w:color w:val="0000EE"/>
                  <w:w w:val="99"/>
                </w:rPr>
                <w:t>Executive Officers</w:t>
              </w:r>
            </w:hyperlink>
          </w:p>
        </w:tc>
        <w:tc>
          <w:tcPr>
            <w:tcW w:w="3480" w:type="dxa"/>
            <w:vAlign w:val="bottom"/>
            <w:gridSpan w:val="31"/>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66</w:t>
            </w:r>
          </w:p>
        </w:tc>
        <w:tc>
          <w:tcPr>
            <w:tcW w:w="0" w:type="dxa"/>
            <w:vAlign w:val="bottom"/>
          </w:tcPr>
          <w:p>
            <w:pPr>
              <w:spacing w:after="0"/>
              <w:rPr>
                <w:sz w:val="1"/>
                <w:szCs w:val="1"/>
                <w:color w:val="auto"/>
              </w:rPr>
            </w:pPr>
          </w:p>
        </w:tc>
      </w:tr>
      <w:tr>
        <w:trPr>
          <w:trHeight w:val="398"/>
        </w:trPr>
        <w:tc>
          <w:tcPr>
            <w:tcW w:w="1540" w:type="dxa"/>
            <w:vAlign w:val="bottom"/>
            <w:tcBorders>
              <w:bottom w:val="single" w:sz="8" w:color="0000EE"/>
            </w:tcBorders>
            <w:gridSpan w:val="9"/>
          </w:tcPr>
          <w:p>
            <w:pPr>
              <w:ind w:left="20"/>
              <w:spacing w:after="0"/>
              <w:rPr>
                <w:rFonts w:ascii="Arial" w:cs="Arial" w:eastAsia="Arial" w:hAnsi="Arial"/>
                <w:sz w:val="13"/>
                <w:szCs w:val="13"/>
                <w:b w:val="1"/>
                <w:bCs w:val="1"/>
                <w:color w:val="0000EE"/>
                <w:w w:val="94"/>
              </w:rPr>
            </w:pPr>
            <w:hyperlink w:anchor="page81">
              <w:r>
                <w:rPr>
                  <w:rFonts w:ascii="Arial" w:cs="Arial" w:eastAsia="Arial" w:hAnsi="Arial"/>
                  <w:sz w:val="13"/>
                  <w:szCs w:val="13"/>
                  <w:b w:val="1"/>
                  <w:bCs w:val="1"/>
                  <w:color w:val="0000EE"/>
                  <w:w w:val="94"/>
                </w:rPr>
                <w:t>GENERAL INFORMATION</w:t>
              </w:r>
            </w:hyperlink>
          </w:p>
        </w:tc>
        <w:tc>
          <w:tcPr>
            <w:tcW w:w="3260" w:type="dxa"/>
            <w:vAlign w:val="bottom"/>
            <w:gridSpan w:val="2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FFFFFF"/>
              </w:rPr>
              <w:t>67</w:t>
            </w:r>
          </w:p>
        </w:tc>
        <w:tc>
          <w:tcPr>
            <w:tcW w:w="0" w:type="dxa"/>
            <w:vAlign w:val="bottom"/>
          </w:tcPr>
          <w:p>
            <w:pPr>
              <w:spacing w:after="0"/>
              <w:rPr>
                <w:sz w:val="1"/>
                <w:szCs w:val="1"/>
                <w:color w:val="auto"/>
              </w:rPr>
            </w:pPr>
          </w:p>
        </w:tc>
      </w:tr>
      <w:tr>
        <w:trPr>
          <w:trHeight w:val="155"/>
        </w:trPr>
        <w:tc>
          <w:tcPr>
            <w:tcW w:w="4800" w:type="dxa"/>
            <w:vAlign w:val="bottom"/>
            <w:gridSpan w:val="35"/>
          </w:tcPr>
          <w:p>
            <w:pPr>
              <w:ind w:left="20"/>
              <w:spacing w:after="0" w:line="155" w:lineRule="exact"/>
              <w:rPr>
                <w:rFonts w:ascii="Arial" w:cs="Arial" w:eastAsia="Arial" w:hAnsi="Arial"/>
                <w:sz w:val="16"/>
                <w:szCs w:val="16"/>
                <w:color w:val="0000EE"/>
              </w:rPr>
            </w:pPr>
            <w:hyperlink w:anchor="page81">
              <w:r>
                <w:rPr>
                  <w:rFonts w:ascii="Arial" w:cs="Arial" w:eastAsia="Arial" w:hAnsi="Arial"/>
                  <w:sz w:val="16"/>
                  <w:szCs w:val="16"/>
                  <w:color w:val="0000EE"/>
                </w:rPr>
                <w:t>Our 2022 Annual Meeting of Shareholders</w:t>
              </w:r>
            </w:hyperlink>
          </w:p>
        </w:tc>
        <w:tc>
          <w:tcPr>
            <w:tcW w:w="680" w:type="dxa"/>
            <w:vAlign w:val="bottom"/>
          </w:tcPr>
          <w:p>
            <w:pPr>
              <w:jc w:val="right"/>
              <w:spacing w:after="0" w:line="155" w:lineRule="exact"/>
              <w:rPr>
                <w:sz w:val="20"/>
                <w:szCs w:val="20"/>
                <w:color w:val="auto"/>
              </w:rPr>
            </w:pPr>
            <w:r>
              <w:rPr>
                <w:rFonts w:ascii="Arial" w:cs="Arial" w:eastAsia="Arial" w:hAnsi="Arial"/>
                <w:sz w:val="16"/>
                <w:szCs w:val="16"/>
                <w:color w:val="FFFFFF"/>
              </w:rPr>
              <w:t>67</w:t>
            </w:r>
          </w:p>
        </w:tc>
        <w:tc>
          <w:tcPr>
            <w:tcW w:w="0" w:type="dxa"/>
            <w:vAlign w:val="bottom"/>
          </w:tcPr>
          <w:p>
            <w:pPr>
              <w:spacing w:after="0"/>
              <w:rPr>
                <w:sz w:val="1"/>
                <w:szCs w:val="1"/>
                <w:color w:val="auto"/>
              </w:rPr>
            </w:pPr>
          </w:p>
        </w:tc>
      </w:tr>
      <w:tr>
        <w:trPr>
          <w:trHeight w:val="169"/>
        </w:trPr>
        <w:tc>
          <w:tcPr>
            <w:tcW w:w="3040" w:type="dxa"/>
            <w:vAlign w:val="bottom"/>
            <w:tcBorders>
              <w:top w:val="single" w:sz="8" w:color="0000EE"/>
            </w:tcBorders>
            <w:gridSpan w:val="22"/>
          </w:tcPr>
          <w:p>
            <w:pPr>
              <w:ind w:left="20"/>
              <w:spacing w:after="0" w:line="169" w:lineRule="exact"/>
              <w:rPr>
                <w:rFonts w:ascii="Arial" w:cs="Arial" w:eastAsia="Arial" w:hAnsi="Arial"/>
                <w:sz w:val="16"/>
                <w:szCs w:val="16"/>
                <w:color w:val="0000EE"/>
              </w:rPr>
            </w:pPr>
            <w:hyperlink w:anchor="page81">
              <w:r>
                <w:rPr>
                  <w:rFonts w:ascii="Arial" w:cs="Arial" w:eastAsia="Arial" w:hAnsi="Arial"/>
                  <w:sz w:val="16"/>
                  <w:szCs w:val="16"/>
                  <w:color w:val="0000EE"/>
                </w:rPr>
                <w:t>Voting and Solicitation</w:t>
              </w:r>
            </w:hyperlink>
          </w:p>
        </w:tc>
        <w:tc>
          <w:tcPr>
            <w:tcW w:w="1760" w:type="dxa"/>
            <w:vAlign w:val="bottom"/>
            <w:gridSpan w:val="1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67</w:t>
            </w:r>
          </w:p>
        </w:tc>
        <w:tc>
          <w:tcPr>
            <w:tcW w:w="0" w:type="dxa"/>
            <w:vAlign w:val="bottom"/>
          </w:tcPr>
          <w:p>
            <w:pPr>
              <w:spacing w:after="0"/>
              <w:rPr>
                <w:sz w:val="1"/>
                <w:szCs w:val="1"/>
                <w:color w:val="auto"/>
              </w:rPr>
            </w:pPr>
          </w:p>
        </w:tc>
      </w:tr>
      <w:tr>
        <w:trPr>
          <w:trHeight w:val="169"/>
        </w:trPr>
        <w:tc>
          <w:tcPr>
            <w:tcW w:w="1600" w:type="dxa"/>
            <w:vAlign w:val="bottom"/>
            <w:tcBorders>
              <w:top w:val="single" w:sz="8" w:color="0000EE"/>
            </w:tcBorders>
            <w:gridSpan w:val="10"/>
          </w:tcPr>
          <w:p>
            <w:pPr>
              <w:ind w:left="20"/>
              <w:spacing w:after="0" w:line="169" w:lineRule="exact"/>
              <w:rPr>
                <w:rFonts w:ascii="Arial" w:cs="Arial" w:eastAsia="Arial" w:hAnsi="Arial"/>
                <w:sz w:val="16"/>
                <w:szCs w:val="16"/>
                <w:color w:val="0000EE"/>
              </w:rPr>
            </w:pPr>
            <w:hyperlink w:anchor="page82">
              <w:r>
                <w:rPr>
                  <w:rFonts w:ascii="Arial" w:cs="Arial" w:eastAsia="Arial" w:hAnsi="Arial"/>
                  <w:sz w:val="16"/>
                  <w:szCs w:val="16"/>
                  <w:color w:val="0000EE"/>
                </w:rPr>
                <w:t>How You Can Vote</w:t>
              </w:r>
            </w:hyperlink>
          </w:p>
        </w:tc>
        <w:tc>
          <w:tcPr>
            <w:tcW w:w="3200" w:type="dxa"/>
            <w:vAlign w:val="bottom"/>
            <w:gridSpan w:val="25"/>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0" w:type="dxa"/>
            <w:vAlign w:val="bottom"/>
            <w:gridSpan w:val="35"/>
          </w:tcPr>
          <w:p>
            <w:pPr>
              <w:ind w:left="20"/>
              <w:spacing w:after="0" w:line="169" w:lineRule="exact"/>
              <w:rPr>
                <w:rFonts w:ascii="Arial" w:cs="Arial" w:eastAsia="Arial" w:hAnsi="Arial"/>
                <w:sz w:val="16"/>
                <w:szCs w:val="16"/>
                <w:color w:val="0000EE"/>
              </w:rPr>
            </w:pPr>
            <w:hyperlink w:anchor="page82">
              <w:r>
                <w:rPr>
                  <w:rFonts w:ascii="Arial" w:cs="Arial" w:eastAsia="Arial" w:hAnsi="Arial"/>
                  <w:sz w:val="16"/>
                  <w:szCs w:val="16"/>
                  <w:color w:val="0000EE"/>
                </w:rPr>
                <w:t>Revocability of Proxies</w:t>
              </w:r>
            </w:hyperlink>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tcBorders>
              <w:bottom w:val="single" w:sz="8" w:color="0000EE"/>
            </w:tcBorders>
            <w:gridSpan w:val="17"/>
          </w:tcPr>
          <w:p>
            <w:pPr>
              <w:ind w:left="20"/>
              <w:spacing w:after="0" w:line="169" w:lineRule="exact"/>
              <w:rPr>
                <w:rFonts w:ascii="Arial" w:cs="Arial" w:eastAsia="Arial" w:hAnsi="Arial"/>
                <w:sz w:val="16"/>
                <w:szCs w:val="16"/>
                <w:color w:val="0000EE"/>
              </w:rPr>
            </w:pPr>
            <w:hyperlink w:anchor="page82">
              <w:r>
                <w:rPr>
                  <w:rFonts w:ascii="Arial" w:cs="Arial" w:eastAsia="Arial" w:hAnsi="Arial"/>
                  <w:sz w:val="16"/>
                  <w:szCs w:val="16"/>
                  <w:color w:val="0000EE"/>
                </w:rPr>
                <w:t>Participating in the Annual Meeting</w:t>
              </w:r>
            </w:hyperlink>
          </w:p>
        </w:tc>
        <w:tc>
          <w:tcPr>
            <w:tcW w:w="2280" w:type="dxa"/>
            <w:vAlign w:val="bottom"/>
            <w:gridSpan w:val="18"/>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68</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0000EE"/>
            </w:tcBorders>
            <w:gridSpan w:val="26"/>
          </w:tcPr>
          <w:p>
            <w:pPr>
              <w:ind w:left="20"/>
              <w:spacing w:after="0" w:line="169" w:lineRule="exact"/>
              <w:rPr>
                <w:rFonts w:ascii="Arial" w:cs="Arial" w:eastAsia="Arial" w:hAnsi="Arial"/>
                <w:sz w:val="16"/>
                <w:szCs w:val="16"/>
                <w:color w:val="0000EE"/>
              </w:rPr>
            </w:pPr>
            <w:hyperlink w:anchor="page83">
              <w:r>
                <w:rPr>
                  <w:rFonts w:ascii="Arial" w:cs="Arial" w:eastAsia="Arial" w:hAnsi="Arial"/>
                  <w:sz w:val="16"/>
                  <w:szCs w:val="16"/>
                  <w:color w:val="0000EE"/>
                </w:rPr>
                <w:t>Proxy Procedure and Expenses of Solicitation</w:t>
              </w:r>
            </w:hyperlink>
          </w:p>
        </w:tc>
        <w:tc>
          <w:tcPr>
            <w:tcW w:w="1500" w:type="dxa"/>
            <w:vAlign w:val="bottom"/>
            <w:gridSpan w:val="9"/>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69</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0000EE"/>
            </w:tcBorders>
            <w:gridSpan w:val="12"/>
          </w:tcPr>
          <w:p>
            <w:pPr>
              <w:ind w:left="20"/>
              <w:spacing w:after="0" w:line="169" w:lineRule="exact"/>
              <w:rPr>
                <w:rFonts w:ascii="Arial" w:cs="Arial" w:eastAsia="Arial" w:hAnsi="Arial"/>
                <w:sz w:val="16"/>
                <w:szCs w:val="16"/>
                <w:color w:val="0000EE"/>
                <w:w w:val="99"/>
              </w:rPr>
            </w:pPr>
            <w:hyperlink w:anchor="page83">
              <w:r>
                <w:rPr>
                  <w:rFonts w:ascii="Arial" w:cs="Arial" w:eastAsia="Arial" w:hAnsi="Arial"/>
                  <w:sz w:val="16"/>
                  <w:szCs w:val="16"/>
                  <w:color w:val="0000EE"/>
                  <w:w w:val="99"/>
                </w:rPr>
                <w:t>Shareholder Proposals</w:t>
              </w:r>
            </w:hyperlink>
          </w:p>
        </w:tc>
        <w:tc>
          <w:tcPr>
            <w:tcW w:w="3140" w:type="dxa"/>
            <w:vAlign w:val="bottom"/>
            <w:gridSpan w:val="2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69</w:t>
            </w:r>
          </w:p>
        </w:tc>
        <w:tc>
          <w:tcPr>
            <w:tcW w:w="0" w:type="dxa"/>
            <w:vAlign w:val="bottom"/>
          </w:tcPr>
          <w:p>
            <w:pPr>
              <w:spacing w:after="0"/>
              <w:rPr>
                <w:sz w:val="1"/>
                <w:szCs w:val="1"/>
                <w:color w:val="auto"/>
              </w:rPr>
            </w:pPr>
          </w:p>
        </w:tc>
      </w:tr>
      <w:tr>
        <w:trPr>
          <w:trHeight w:val="169"/>
        </w:trPr>
        <w:tc>
          <w:tcPr>
            <w:tcW w:w="4800" w:type="dxa"/>
            <w:vAlign w:val="bottom"/>
            <w:gridSpan w:val="35"/>
          </w:tcPr>
          <w:p>
            <w:pPr>
              <w:ind w:left="20"/>
              <w:spacing w:after="0" w:line="169" w:lineRule="exact"/>
              <w:rPr>
                <w:rFonts w:ascii="Arial" w:cs="Arial" w:eastAsia="Arial" w:hAnsi="Arial"/>
                <w:sz w:val="16"/>
                <w:szCs w:val="16"/>
                <w:color w:val="0000EE"/>
              </w:rPr>
            </w:pPr>
            <w:hyperlink w:anchor="page84">
              <w:r>
                <w:rPr>
                  <w:rFonts w:ascii="Arial" w:cs="Arial" w:eastAsia="Arial" w:hAnsi="Arial"/>
                  <w:sz w:val="16"/>
                  <w:szCs w:val="16"/>
                  <w:color w:val="0000EE"/>
                </w:rPr>
                <w:t>Annual Report</w:t>
              </w:r>
            </w:hyperlink>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70</w:t>
            </w:r>
          </w:p>
        </w:tc>
        <w:tc>
          <w:tcPr>
            <w:tcW w:w="0" w:type="dxa"/>
            <w:vAlign w:val="bottom"/>
          </w:tcPr>
          <w:p>
            <w:pPr>
              <w:spacing w:after="0"/>
              <w:rPr>
                <w:sz w:val="1"/>
                <w:szCs w:val="1"/>
                <w:color w:val="auto"/>
              </w:rPr>
            </w:pPr>
          </w:p>
        </w:tc>
      </w:tr>
      <w:tr>
        <w:trPr>
          <w:trHeight w:val="169"/>
        </w:trPr>
        <w:tc>
          <w:tcPr>
            <w:tcW w:w="1040" w:type="dxa"/>
            <w:vAlign w:val="bottom"/>
            <w:tcBorders>
              <w:top w:val="single" w:sz="8" w:color="0000EE"/>
            </w:tcBorders>
            <w:gridSpan w:val="2"/>
          </w:tcPr>
          <w:p>
            <w:pPr>
              <w:ind w:left="20"/>
              <w:spacing w:after="0" w:line="169" w:lineRule="exact"/>
              <w:rPr>
                <w:rFonts w:ascii="Arial" w:cs="Arial" w:eastAsia="Arial" w:hAnsi="Arial"/>
                <w:sz w:val="16"/>
                <w:szCs w:val="16"/>
                <w:color w:val="0000EE"/>
              </w:rPr>
            </w:pPr>
            <w:hyperlink w:anchor="page84">
              <w:r>
                <w:rPr>
                  <w:rFonts w:ascii="Arial" w:cs="Arial" w:eastAsia="Arial" w:hAnsi="Arial"/>
                  <w:sz w:val="16"/>
                  <w:szCs w:val="16"/>
                  <w:color w:val="0000EE"/>
                </w:rPr>
                <w:t>Householding</w:t>
              </w:r>
            </w:hyperlink>
          </w:p>
        </w:tc>
        <w:tc>
          <w:tcPr>
            <w:tcW w:w="3760" w:type="dxa"/>
            <w:vAlign w:val="bottom"/>
            <w:gridSpan w:val="3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70</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80" w:type="dxa"/>
            <w:vAlign w:val="bottom"/>
            <w:gridSpan w:val="3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tcBorders>
              <w:bottom w:val="single" w:sz="8" w:color="0000EE"/>
            </w:tcBorders>
            <w:gridSpan w:val="3"/>
          </w:tcPr>
          <w:p>
            <w:pPr>
              <w:ind w:left="20"/>
              <w:spacing w:after="0" w:line="169" w:lineRule="exact"/>
              <w:rPr>
                <w:rFonts w:ascii="Arial" w:cs="Arial" w:eastAsia="Arial" w:hAnsi="Arial"/>
                <w:sz w:val="16"/>
                <w:szCs w:val="16"/>
                <w:color w:val="0000EE"/>
                <w:w w:val="98"/>
              </w:rPr>
            </w:pPr>
            <w:hyperlink w:anchor="page84">
              <w:r>
                <w:rPr>
                  <w:rFonts w:ascii="Arial" w:cs="Arial" w:eastAsia="Arial" w:hAnsi="Arial"/>
                  <w:sz w:val="16"/>
                  <w:szCs w:val="16"/>
                  <w:color w:val="0000EE"/>
                  <w:w w:val="98"/>
                </w:rPr>
                <w:t>Other Business</w:t>
              </w:r>
            </w:hyperlink>
          </w:p>
        </w:tc>
        <w:tc>
          <w:tcPr>
            <w:tcW w:w="3680" w:type="dxa"/>
            <w:vAlign w:val="bottom"/>
            <w:gridSpan w:val="32"/>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FFFFFF"/>
              </w:rPr>
              <w:t>70</w:t>
            </w: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220345</wp:posOffset>
            </wp:positionV>
            <wp:extent cx="6677660" cy="8846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7766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220345</wp:posOffset>
            </wp:positionV>
            <wp:extent cx="6694805" cy="8846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94805"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220345</wp:posOffset>
            </wp:positionV>
            <wp:extent cx="6789420" cy="8846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7"/>
          <w:szCs w:val="27"/>
          <w:color w:val="auto"/>
        </w:rPr>
        <w:t>Introduction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this section, Wynn Resorts, Limited (the “Company,” “Wynn Resorts,” or “we”) will tell you about:</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Board Composition and Diversity</w:t>
      </w:r>
    </w:p>
    <w:p>
      <w:pPr>
        <w:ind w:left="120"/>
        <w:spacing w:after="0" w:line="234" w:lineRule="auto"/>
        <w:rPr>
          <w:sz w:val="20"/>
          <w:szCs w:val="20"/>
          <w:color w:val="auto"/>
        </w:rPr>
      </w:pPr>
      <w:r>
        <w:rPr>
          <w:rFonts w:ascii="Arial" w:cs="Arial" w:eastAsia="Arial" w:hAnsi="Arial"/>
          <w:sz w:val="18"/>
          <w:szCs w:val="18"/>
          <w:color w:val="auto"/>
        </w:rPr>
        <w:t>–   Director Skills and Experience</w:t>
      </w:r>
    </w:p>
    <w:p>
      <w:pPr>
        <w:ind w:left="120"/>
        <w:spacing w:after="0" w:line="234" w:lineRule="auto"/>
        <w:rPr>
          <w:sz w:val="20"/>
          <w:szCs w:val="20"/>
          <w:color w:val="auto"/>
        </w:rPr>
      </w:pPr>
      <w:r>
        <w:rPr>
          <w:rFonts w:ascii="Arial" w:cs="Arial" w:eastAsia="Arial" w:hAnsi="Arial"/>
          <w:sz w:val="18"/>
          <w:szCs w:val="18"/>
          <w:color w:val="auto"/>
        </w:rPr>
        <w:t>–   Director Biographies</w:t>
      </w:r>
    </w:p>
    <w:p>
      <w:pPr>
        <w:ind w:left="120"/>
        <w:spacing w:after="0" w:line="234" w:lineRule="auto"/>
        <w:rPr>
          <w:sz w:val="20"/>
          <w:szCs w:val="20"/>
          <w:color w:val="auto"/>
        </w:rPr>
      </w:pPr>
      <w:r>
        <w:rPr>
          <w:rFonts w:ascii="Arial" w:cs="Arial" w:eastAsia="Arial" w:hAnsi="Arial"/>
          <w:sz w:val="18"/>
          <w:szCs w:val="18"/>
          <w:color w:val="auto"/>
        </w:rPr>
        <w:t>–   Why Our Board Governance is Effective</w:t>
      </w:r>
    </w:p>
    <w:p>
      <w:pPr>
        <w:ind w:left="120"/>
        <w:spacing w:after="0" w:line="234" w:lineRule="auto"/>
        <w:rPr>
          <w:sz w:val="20"/>
          <w:szCs w:val="20"/>
          <w:color w:val="auto"/>
        </w:rPr>
      </w:pPr>
      <w:r>
        <w:rPr>
          <w:rFonts w:ascii="Arial" w:cs="Arial" w:eastAsia="Arial" w:hAnsi="Arial"/>
          <w:sz w:val="18"/>
          <w:szCs w:val="18"/>
          <w:color w:val="auto"/>
        </w:rPr>
        <w:t>–   Board Committees</w:t>
      </w:r>
    </w:p>
    <w:p>
      <w:pPr>
        <w:ind w:left="120"/>
        <w:spacing w:after="0" w:line="234" w:lineRule="auto"/>
        <w:rPr>
          <w:sz w:val="20"/>
          <w:szCs w:val="20"/>
          <w:color w:val="auto"/>
        </w:rPr>
      </w:pPr>
      <w:r>
        <w:rPr>
          <w:rFonts w:ascii="Arial" w:cs="Arial" w:eastAsia="Arial" w:hAnsi="Arial"/>
          <w:sz w:val="18"/>
          <w:szCs w:val="18"/>
          <w:color w:val="auto"/>
        </w:rPr>
        <w:t>–   Board Governance</w:t>
      </w:r>
    </w:p>
    <w:p>
      <w:pPr>
        <w:ind w:left="120"/>
        <w:spacing w:after="0" w:line="234" w:lineRule="auto"/>
        <w:rPr>
          <w:sz w:val="20"/>
          <w:szCs w:val="20"/>
          <w:color w:val="auto"/>
        </w:rPr>
      </w:pPr>
      <w:r>
        <w:rPr>
          <w:rFonts w:ascii="Arial" w:cs="Arial" w:eastAsia="Arial" w:hAnsi="Arial"/>
          <w:sz w:val="18"/>
          <w:szCs w:val="18"/>
          <w:color w:val="auto"/>
        </w:rPr>
        <w:t>–   Board Role in Risk Oversight</w:t>
      </w:r>
    </w:p>
    <w:p>
      <w:pPr>
        <w:ind w:left="120"/>
        <w:spacing w:after="0" w:line="234" w:lineRule="auto"/>
        <w:rPr>
          <w:sz w:val="20"/>
          <w:szCs w:val="20"/>
          <w:color w:val="auto"/>
        </w:rPr>
      </w:pPr>
      <w:r>
        <w:rPr>
          <w:rFonts w:ascii="Arial" w:cs="Arial" w:eastAsia="Arial" w:hAnsi="Arial"/>
          <w:sz w:val="18"/>
          <w:szCs w:val="18"/>
          <w:color w:val="auto"/>
        </w:rPr>
        <w:t>–   Board Meetings/Annual Meeting</w:t>
      </w:r>
    </w:p>
    <w:p>
      <w:pPr>
        <w:ind w:left="120"/>
        <w:spacing w:after="0" w:line="234" w:lineRule="auto"/>
        <w:rPr>
          <w:sz w:val="20"/>
          <w:szCs w:val="20"/>
          <w:color w:val="auto"/>
        </w:rPr>
      </w:pPr>
      <w:r>
        <w:rPr>
          <w:rFonts w:ascii="Arial" w:cs="Arial" w:eastAsia="Arial" w:hAnsi="Arial"/>
          <w:sz w:val="18"/>
          <w:szCs w:val="18"/>
          <w:color w:val="auto"/>
        </w:rPr>
        <w:t>–   Board Communication and Engagement</w:t>
      </w:r>
    </w:p>
    <w:p>
      <w:pPr>
        <w:ind w:left="120"/>
        <w:spacing w:after="0" w:line="234" w:lineRule="auto"/>
        <w:rPr>
          <w:sz w:val="20"/>
          <w:szCs w:val="20"/>
          <w:color w:val="auto"/>
        </w:rPr>
      </w:pPr>
      <w:r>
        <w:rPr>
          <w:rFonts w:ascii="Arial" w:cs="Arial" w:eastAsia="Arial" w:hAnsi="Arial"/>
          <w:sz w:val="18"/>
          <w:szCs w:val="18"/>
          <w:color w:val="auto"/>
        </w:rPr>
        <w:t>–   Shareholder Engagement</w:t>
      </w:r>
    </w:p>
    <w:p>
      <w:pPr>
        <w:ind w:left="120"/>
        <w:spacing w:after="0"/>
        <w:rPr>
          <w:sz w:val="20"/>
          <w:szCs w:val="20"/>
          <w:color w:val="auto"/>
        </w:rPr>
      </w:pPr>
      <w:r>
        <w:rPr>
          <w:rFonts w:ascii="Arial" w:cs="Arial" w:eastAsia="Arial" w:hAnsi="Arial"/>
          <w:sz w:val="18"/>
          <w:szCs w:val="18"/>
          <w:color w:val="auto"/>
        </w:rPr>
        <w:t>–   Board Compensation</w:t>
      </w: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27"/>
          <w:szCs w:val="27"/>
          <w:color w:val="auto"/>
        </w:rPr>
        <w:t>Board composition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227965</wp:posOffset>
            </wp:positionV>
            <wp:extent cx="6995160" cy="1431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43129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AVERAGE</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ind w:left="260"/>
        <w:spacing w:after="0" w:line="234" w:lineRule="auto"/>
        <w:rPr>
          <w:sz w:val="20"/>
          <w:szCs w:val="20"/>
          <w:color w:val="auto"/>
        </w:rPr>
      </w:pPr>
      <w:r>
        <w:rPr>
          <w:rFonts w:ascii="Arial" w:cs="Arial" w:eastAsia="Arial" w:hAnsi="Arial"/>
          <w:sz w:val="18"/>
          <w:szCs w:val="18"/>
          <w:b w:val="1"/>
          <w:bCs w:val="1"/>
          <w:color w:val="auto"/>
        </w:rPr>
        <w:t>TENURE: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3.7 YEARS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Compared with</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7.7 years average tenure for the S&amp;P</w:t>
      </w:r>
    </w:p>
    <w:p>
      <w:pPr>
        <w:ind w:left="260"/>
        <w:spacing w:after="0"/>
        <w:rPr>
          <w:sz w:val="20"/>
          <w:szCs w:val="20"/>
          <w:color w:val="auto"/>
        </w:rPr>
      </w:pPr>
      <w:r>
        <w:rPr>
          <w:rFonts w:ascii="Arial" w:cs="Arial" w:eastAsia="Arial" w:hAnsi="Arial"/>
          <w:sz w:val="16"/>
          <w:szCs w:val="16"/>
          <w:color w:val="auto"/>
        </w:rPr>
        <w:t>500</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63%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OF 8)</w:t>
      </w:r>
    </w:p>
    <w:p>
      <w:pPr>
        <w:spacing w:after="0" w:line="234" w:lineRule="auto"/>
        <w:rPr>
          <w:sz w:val="20"/>
          <w:szCs w:val="20"/>
          <w:color w:val="auto"/>
        </w:rPr>
      </w:pPr>
      <w:r>
        <w:rPr>
          <w:rFonts w:ascii="Arial" w:cs="Arial" w:eastAsia="Arial" w:hAnsi="Arial"/>
          <w:sz w:val="18"/>
          <w:szCs w:val="18"/>
          <w:b w:val="1"/>
          <w:bCs w:val="1"/>
          <w:color w:val="auto"/>
        </w:rPr>
        <w:t>INDEPENDENT</w:t>
      </w:r>
    </w:p>
    <w:p>
      <w:pPr>
        <w:spacing w:after="0" w:line="235" w:lineRule="auto"/>
        <w:rPr>
          <w:sz w:val="20"/>
          <w:szCs w:val="20"/>
          <w:color w:val="auto"/>
        </w:rPr>
      </w:pPr>
      <w:r>
        <w:rPr>
          <w:rFonts w:ascii="Arial" w:cs="Arial" w:eastAsia="Arial" w:hAnsi="Arial"/>
          <w:sz w:val="18"/>
          <w:szCs w:val="18"/>
          <w:b w:val="1"/>
          <w:bCs w:val="1"/>
          <w:color w:val="auto"/>
        </w:rPr>
        <w:t>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DIVERSE</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Compared with 30% gender and 21% ethnic diversity for the S&amp;P 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100%</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 CHAIRS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 WOMEN</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Compared with 30% for the S&amp;P 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w:t>
      </w:r>
    </w:p>
    <w:p>
      <w:pPr>
        <w:spacing w:after="0" w:line="12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Prevalent at less than 37% of the S&amp;P 500</w:t>
      </w:r>
    </w:p>
    <w:p>
      <w:pPr>
        <w:spacing w:after="0" w:line="1215" w:lineRule="exact"/>
        <w:rPr>
          <w:sz w:val="20"/>
          <w:szCs w:val="20"/>
          <w:color w:val="auto"/>
        </w:rPr>
      </w:pPr>
    </w:p>
    <w:p>
      <w:pPr>
        <w:sectPr>
          <w:pgSz w:w="11900" w:h="16838" w:orient="portrait"/>
          <w:cols w:equalWidth="0" w:num="4">
            <w:col w:w="2940" w:space="180"/>
            <w:col w:w="2320" w:space="420"/>
            <w:col w:w="2340" w:space="400"/>
            <w:col w:w="2400"/>
          </w:cols>
          <w:pgMar w:left="320" w:top="459" w:right="579" w:bottom="1440" w:gutter="0" w:footer="0" w:header="0"/>
          <w:type w:val="continuous"/>
        </w:sectPr>
      </w:pPr>
    </w:p>
    <w:p>
      <w:pPr>
        <w:ind w:left="120"/>
        <w:spacing w:after="0"/>
        <w:rPr>
          <w:sz w:val="20"/>
          <w:szCs w:val="20"/>
          <w:color w:val="auto"/>
        </w:rPr>
      </w:pPr>
      <w:r>
        <w:rPr>
          <w:rFonts w:ascii="Arial" w:cs="Arial" w:eastAsia="Arial" w:hAnsi="Arial"/>
          <w:sz w:val="13"/>
          <w:szCs w:val="13"/>
          <w:i w:val="1"/>
          <w:iCs w:val="1"/>
          <w:color w:val="auto"/>
        </w:rPr>
        <w:t>* All figures are as of the day of the 2022 Annual Meeting.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Nominating and Corporate Governance Committee is committed to maintaining a Board of Directors (“Board”) with a broad spectrum of experience and expertise that will promote the presentation and consideration of different points of view, meet the Company’s evolving needs and strengthen our diversity.</w:t>
      </w:r>
    </w:p>
    <w:p>
      <w:pPr>
        <w:spacing w:after="0" w:line="25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2019, the Nominating and Corporate Governance Committee reinforced the Board’s commitment to diversity of experiences and perspectives among its members. The Nominating and Corporate Governance Committee amended the Company’s Corporate Governance Guidelines to adopt a policy that requires diverse candidates be included in the pool when recruiting, and have any search firm that it engages to include, candidates with a diverse – race, gender, and ethnicity – background when evaluating new candidates for the Board. At that time, the Nominating and Corporate Governance Committee had also established a goal of achieving 50% diversity among Board members. These considerations have been important factors in recent additions to the Board, including the appointment of Mr. Strom to the Board.</w:t>
      </w:r>
    </w:p>
    <w:p>
      <w:pPr>
        <w:spacing w:after="0" w:line="203" w:lineRule="exact"/>
        <w:rPr>
          <w:sz w:val="20"/>
          <w:szCs w:val="20"/>
          <w:color w:val="auto"/>
        </w:rPr>
      </w:pPr>
    </w:p>
    <w:p>
      <w:pPr>
        <w:ind w:left="120" w:right="1880"/>
        <w:spacing w:after="0" w:line="246" w:lineRule="auto"/>
        <w:rPr>
          <w:sz w:val="20"/>
          <w:szCs w:val="20"/>
          <w:color w:val="auto"/>
        </w:rPr>
      </w:pPr>
      <w:r>
        <w:rPr>
          <w:rFonts w:ascii="Arial" w:cs="Arial" w:eastAsia="Arial" w:hAnsi="Arial"/>
          <w:sz w:val="18"/>
          <w:szCs w:val="18"/>
          <w:color w:val="auto"/>
        </w:rPr>
        <w:t>As of the 2022 Annual Meeting, our independent board is 63% diverse, with four female directors and one racially diverse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80" w:hanging="164"/>
        <w:spacing w:after="0"/>
        <w:tabs>
          <w:tab w:leader="none" w:pos="280" w:val="left"/>
        </w:tabs>
        <w:numPr>
          <w:ilvl w:val="0"/>
          <w:numId w:val="6"/>
        </w:numPr>
        <w:rPr>
          <w:rFonts w:ascii="Arial" w:cs="Arial" w:eastAsia="Arial" w:hAnsi="Arial"/>
          <w:sz w:val="11"/>
          <w:szCs w:val="11"/>
          <w:color w:val="auto"/>
        </w:rPr>
      </w:pPr>
      <w:r>
        <w:rPr>
          <w:rFonts w:ascii="Arial" w:cs="Arial" w:eastAsia="Arial" w:hAnsi="Arial"/>
          <w:sz w:val="13"/>
          <w:szCs w:val="13"/>
          <w:color w:val="auto"/>
        </w:rPr>
        <w:t>Comparisons are based on information contained in the 2021 US Spencer Stuart Board Index.</w:t>
      </w:r>
    </w:p>
    <w:p>
      <w:pPr>
        <w:spacing w:after="0" w:line="14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 1 //</w:t>
      </w:r>
    </w:p>
    <w:p>
      <w:pPr>
        <w:sectPr>
          <w:pgSz w:w="11900" w:h="16838" w:orient="portrait"/>
          <w:cols w:equalWidth="0" w:num="1">
            <w:col w:w="11000"/>
          </w:cols>
          <w:pgMar w:left="320" w:top="459" w:right="57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220345</wp:posOffset>
            </wp:positionV>
            <wp:extent cx="6789420" cy="8846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564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6"/>
          <w:szCs w:val="26"/>
          <w:color w:val="auto"/>
          <w:vertAlign w:val="subscript"/>
        </w:rPr>
        <w:t>// 2 //</w:t>
      </w:r>
    </w:p>
    <w:p>
      <w:pPr>
        <w:sectPr>
          <w:pgSz w:w="11900" w:h="16838" w:orient="portrait"/>
          <w:cols w:equalWidth="0" w:num="1">
            <w:col w:w="10139"/>
          </w:cols>
          <w:pgMar w:left="320" w:top="459" w:right="1440" w:bottom="1095"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Director Biographies </w:t>
      </w:r>
      <w:r>
        <w:rPr>
          <w:rFonts w:ascii="Arial" w:cs="Arial" w:eastAsia="Arial" w:hAnsi="Arial"/>
          <w:sz w:val="14"/>
          <w:szCs w:val="14"/>
          <w:color w:val="auto"/>
        </w:rPr>
        <w:t>Biographical and other information for our directors is provided below.</w:t>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Betsy S. Atkins </w:t>
      </w:r>
      <w:r>
        <w:rPr>
          <w:rFonts w:ascii="Arial" w:cs="Arial" w:eastAsia="Arial" w:hAnsi="Arial"/>
          <w:sz w:val="14"/>
          <w:szCs w:val="14"/>
          <w:i w:val="1"/>
          <w:iCs w:val="1"/>
          <w:color w:val="333D3F"/>
        </w:rPr>
        <w:t>Chief Executive Officer and Founder, Baja Corporation</w:t>
      </w:r>
    </w:p>
    <w:p>
      <w:pPr>
        <w:spacing w:after="0" w:line="223" w:lineRule="exact"/>
        <w:rPr>
          <w:sz w:val="20"/>
          <w:szCs w:val="20"/>
          <w:color w:val="auto"/>
        </w:rPr>
      </w:pPr>
    </w:p>
    <w:p>
      <w:pPr>
        <w:ind w:left="120" w:right="160"/>
        <w:spacing w:after="0" w:line="258" w:lineRule="auto"/>
        <w:rPr>
          <w:sz w:val="20"/>
          <w:szCs w:val="20"/>
          <w:color w:val="auto"/>
        </w:rPr>
      </w:pPr>
      <w:r>
        <w:rPr>
          <w:rFonts w:ascii="Arial" w:cs="Arial" w:eastAsia="Arial" w:hAnsi="Arial"/>
          <w:sz w:val="14"/>
          <w:szCs w:val="14"/>
          <w:color w:val="auto"/>
        </w:rPr>
        <w:t>Ms. Atkins has been the Chief Executive Officer of Baja Corporation, an independent venture capital firm focused on technology, renewable energy and life sciences, since 1994. Ms. Atkins currently serves on the Board of SL Green Realty (since April 2015), and other private companies.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2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April 2018</w:t>
            </w: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182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2024 Annual Meeting</w:t>
            </w: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74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68</w:t>
            </w:r>
          </w:p>
        </w:tc>
        <w:tc>
          <w:tcPr>
            <w:tcW w:w="80" w:type="dxa"/>
            <w:vAlign w:val="bottom"/>
            <w:shd w:val="clear" w:color="auto" w:fill="F9F9EA"/>
          </w:tcPr>
          <w:p>
            <w:pPr>
              <w:spacing w:after="0"/>
              <w:rPr>
                <w:sz w:val="19"/>
                <w:szCs w:val="19"/>
                <w:color w:val="auto"/>
              </w:rPr>
            </w:pP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04"/>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182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Compensation,</w:t>
            </w:r>
          </w:p>
        </w:tc>
      </w:tr>
      <w:tr>
        <w:trPr>
          <w:trHeight w:val="135"/>
        </w:trPr>
        <w:tc>
          <w:tcPr>
            <w:tcW w:w="1460" w:type="dxa"/>
            <w:vAlign w:val="bottom"/>
            <w:shd w:val="clear" w:color="auto" w:fill="F9F9EA"/>
          </w:tcPr>
          <w:p>
            <w:pPr>
              <w:spacing w:after="0"/>
              <w:rPr>
                <w:sz w:val="11"/>
                <w:szCs w:val="11"/>
                <w:color w:val="auto"/>
              </w:rPr>
            </w:pPr>
          </w:p>
        </w:tc>
        <w:tc>
          <w:tcPr>
            <w:tcW w:w="1820" w:type="dxa"/>
            <w:vAlign w:val="bottom"/>
            <w:gridSpan w:val="2"/>
            <w:shd w:val="clear" w:color="auto" w:fill="F9F9EA"/>
          </w:tcPr>
          <w:p>
            <w:pPr>
              <w:ind w:left="40"/>
              <w:spacing w:after="0" w:line="135" w:lineRule="exact"/>
              <w:rPr>
                <w:sz w:val="20"/>
                <w:szCs w:val="20"/>
                <w:color w:val="auto"/>
              </w:rPr>
            </w:pPr>
            <w:r>
              <w:rPr>
                <w:rFonts w:ascii="Arial" w:cs="Arial" w:eastAsia="Arial" w:hAnsi="Arial"/>
                <w:sz w:val="13"/>
                <w:szCs w:val="13"/>
                <w:color w:val="333D3F"/>
              </w:rPr>
              <w:t>Chair Nominating and</w:t>
            </w:r>
          </w:p>
        </w:tc>
      </w:tr>
      <w:tr>
        <w:trPr>
          <w:trHeight w:val="152"/>
        </w:trPr>
        <w:tc>
          <w:tcPr>
            <w:tcW w:w="1460" w:type="dxa"/>
            <w:vAlign w:val="bottom"/>
            <w:shd w:val="clear" w:color="auto" w:fill="F9F9EA"/>
          </w:tcPr>
          <w:p>
            <w:pPr>
              <w:spacing w:after="0"/>
              <w:rPr>
                <w:sz w:val="13"/>
                <w:szCs w:val="13"/>
                <w:color w:val="auto"/>
              </w:rPr>
            </w:pPr>
          </w:p>
        </w:tc>
        <w:tc>
          <w:tcPr>
            <w:tcW w:w="182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Corporate Governance</w:t>
            </w:r>
          </w:p>
        </w:tc>
      </w:tr>
      <w:tr>
        <w:trPr>
          <w:trHeight w:val="124"/>
        </w:trPr>
        <w:tc>
          <w:tcPr>
            <w:tcW w:w="1460" w:type="dxa"/>
            <w:vAlign w:val="bottom"/>
            <w:shd w:val="clear" w:color="auto" w:fill="F9F9EA"/>
          </w:tcPr>
          <w:p>
            <w:pPr>
              <w:spacing w:after="0"/>
              <w:rPr>
                <w:sz w:val="10"/>
                <w:szCs w:val="10"/>
                <w:color w:val="auto"/>
              </w:rPr>
            </w:pPr>
          </w:p>
        </w:tc>
        <w:tc>
          <w:tcPr>
            <w:tcW w:w="1740" w:type="dxa"/>
            <w:vAlign w:val="bottom"/>
            <w:shd w:val="clear" w:color="auto" w:fill="F9F9EA"/>
          </w:tcPr>
          <w:p>
            <w:pPr>
              <w:spacing w:after="0"/>
              <w:rPr>
                <w:sz w:val="10"/>
                <w:szCs w:val="10"/>
                <w:color w:val="auto"/>
              </w:rPr>
            </w:pPr>
          </w:p>
        </w:tc>
        <w:tc>
          <w:tcPr>
            <w:tcW w:w="80" w:type="dxa"/>
            <w:vAlign w:val="bottom"/>
            <w:shd w:val="clear" w:color="auto" w:fill="F9F9EA"/>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-2536825</wp:posOffset>
            </wp:positionV>
            <wp:extent cx="2005965" cy="1423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2016 to October 2018: Director, Cognizant Technology Solutions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2013 to 2016: Chair, APX Labs (a Google Glass enterprise software company)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February 2009 to August 2009: Chair and Chief Executive Officer, Clear Standards (until acquired by SAP)</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1991 to 1993: Chair and Chief Executive Officer, NCI</w:t>
      </w:r>
    </w:p>
    <w:p>
      <w:pPr>
        <w:spacing w:after="0" w:line="82" w:lineRule="exact"/>
        <w:rPr>
          <w:sz w:val="20"/>
          <w:szCs w:val="20"/>
          <w:color w:val="auto"/>
        </w:rPr>
      </w:pPr>
    </w:p>
    <w:p>
      <w:pPr>
        <w:ind w:left="180" w:right="220" w:hanging="180"/>
        <w:spacing w:after="0" w:line="258" w:lineRule="auto"/>
        <w:rPr>
          <w:sz w:val="20"/>
          <w:szCs w:val="20"/>
          <w:color w:val="auto"/>
        </w:rPr>
      </w:pPr>
      <w:r>
        <w:rPr>
          <w:rFonts w:ascii="Arial" w:cs="Arial" w:eastAsia="Arial" w:hAnsi="Arial"/>
          <w:sz w:val="14"/>
          <w:szCs w:val="14"/>
          <w:color w:val="auto"/>
        </w:rPr>
        <w:t>– 1989 to 1999: Co-founder, Director, Executive Vice President Sales, Marketing, International Operations, Ascend Communications (until acquired by Lucent Technologies)</w:t>
      </w:r>
    </w:p>
    <w:p>
      <w:pPr>
        <w:spacing w:after="0" w:line="58" w:lineRule="exact"/>
        <w:rPr>
          <w:sz w:val="20"/>
          <w:szCs w:val="20"/>
          <w:color w:val="auto"/>
        </w:rPr>
      </w:pPr>
    </w:p>
    <w:p>
      <w:pPr>
        <w:ind w:left="180" w:right="340" w:hanging="180"/>
        <w:spacing w:after="0" w:line="258" w:lineRule="auto"/>
        <w:rPr>
          <w:sz w:val="20"/>
          <w:szCs w:val="20"/>
          <w:color w:val="auto"/>
        </w:rPr>
      </w:pPr>
      <w:r>
        <w:rPr>
          <w:rFonts w:ascii="Arial" w:cs="Arial" w:eastAsia="Arial" w:hAnsi="Arial"/>
          <w:sz w:val="14"/>
          <w:szCs w:val="14"/>
          <w:color w:val="auto"/>
        </w:rPr>
        <w:t>– Previously served on the boards of Schneider Electric, HD Supply Holdings, Polycom, SunPower, Chico’s FAS, Ciber, Darden Restaurants</w:t>
      </w:r>
    </w:p>
    <w:p>
      <w:pPr>
        <w:spacing w:after="0" w:line="58" w:lineRule="exact"/>
        <w:rPr>
          <w:sz w:val="20"/>
          <w:szCs w:val="20"/>
          <w:color w:val="auto"/>
        </w:rPr>
      </w:pPr>
    </w:p>
    <w:p>
      <w:pPr>
        <w:ind w:left="180" w:right="20" w:hanging="180"/>
        <w:spacing w:after="0" w:line="258" w:lineRule="auto"/>
        <w:rPr>
          <w:sz w:val="20"/>
          <w:szCs w:val="20"/>
          <w:color w:val="auto"/>
        </w:rPr>
      </w:pPr>
      <w:r>
        <w:rPr>
          <w:rFonts w:ascii="Arial" w:cs="Arial" w:eastAsia="Arial" w:hAnsi="Arial"/>
          <w:sz w:val="14"/>
          <w:szCs w:val="14"/>
          <w:color w:val="auto"/>
        </w:rPr>
        <w:t>– Formerly Chair, Executive Advisory Board, SAP, AG, an advisor to British Telecom and presidential-appointee to the Pension Benefit Guaranty Corporation advisory committee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Ms. Atkins graduated with a B.A. from the University of Massachusetts.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Technology/Digital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&amp; Governance experience</w:t>
      </w:r>
    </w:p>
    <w:p>
      <w:pPr>
        <w:spacing w:after="0" w:line="200" w:lineRule="exact"/>
        <w:rPr>
          <w:sz w:val="20"/>
          <w:szCs w:val="20"/>
          <w:color w:val="auto"/>
        </w:rPr>
      </w:pPr>
    </w:p>
    <w:p>
      <w:pPr>
        <w:sectPr>
          <w:pgSz w:w="11900" w:h="16838" w:orient="portrait"/>
          <w:cols w:equalWidth="0" w:num="2">
            <w:col w:w="3400" w:space="160"/>
            <w:col w:w="7560"/>
          </w:cols>
          <w:pgMar w:left="320" w:top="459" w:right="459" w:bottom="1440" w:gutter="0" w:footer="0" w:header="0"/>
          <w:type w:val="continuous"/>
        </w:sectPr>
      </w:pPr>
    </w:p>
    <w:p>
      <w:pPr>
        <w:spacing w:after="0" w:line="28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1120"/>
          </w:cols>
          <w:pgMar w:left="32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Craig S. Billings </w:t>
      </w:r>
      <w:r>
        <w:rPr>
          <w:rFonts w:ascii="Arial" w:cs="Arial" w:eastAsia="Arial" w:hAnsi="Arial"/>
          <w:sz w:val="14"/>
          <w:szCs w:val="14"/>
          <w:i w:val="1"/>
          <w:iCs w:val="1"/>
          <w:color w:val="333D3F"/>
        </w:rPr>
        <w:t>Chief Executive Officer, Wynn Resorts, Limited</w:t>
      </w:r>
    </w:p>
    <w:p>
      <w:pPr>
        <w:spacing w:after="0" w:line="223"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auto"/>
        </w:rPr>
        <w:t>Mr. Billings has served as the Company’s CEO since February 1, 2022, and as President from March 2019 until May 2020. Mr. Billings joined the Company in March 2017 as Chief Financial Officer. Mr. Billings also served as CEO of Wynn Interactive. On August 17, 2018, Mr. Billings was appointed as a Non-Executive Director of Wynn Macau, Limited, a majority owned subsidiary of the Company. Mr. Billings serves as a Director of Applovin Corporation.</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2000" w:type="dxa"/>
            <w:vAlign w:val="bottom"/>
            <w:gridSpan w:val="2"/>
            <w:shd w:val="clear" w:color="auto" w:fill="F9F9EA"/>
          </w:tcPr>
          <w:p>
            <w:pPr>
              <w:ind w:left="60"/>
              <w:spacing w:after="0"/>
              <w:rPr>
                <w:sz w:val="20"/>
                <w:szCs w:val="20"/>
                <w:color w:val="auto"/>
              </w:rPr>
            </w:pPr>
            <w:r>
              <w:rPr>
                <w:rFonts w:ascii="Arial" w:cs="Arial" w:eastAsia="Arial" w:hAnsi="Arial"/>
                <w:sz w:val="13"/>
                <w:szCs w:val="13"/>
                <w:color w:val="333D3F"/>
              </w:rPr>
              <w:t>February 2022</w:t>
            </w:r>
          </w:p>
        </w:tc>
      </w:tr>
      <w:tr>
        <w:trPr>
          <w:trHeight w:val="137"/>
        </w:trPr>
        <w:tc>
          <w:tcPr>
            <w:tcW w:w="1280" w:type="dxa"/>
            <w:vAlign w:val="bottom"/>
            <w:tcBorders>
              <w:bottom w:val="single" w:sz="8" w:color="auto"/>
            </w:tcBorders>
            <w:shd w:val="clear" w:color="auto" w:fill="F9F9EA"/>
          </w:tcPr>
          <w:p>
            <w:pPr>
              <w:spacing w:after="0"/>
              <w:rPr>
                <w:sz w:val="11"/>
                <w:szCs w:val="11"/>
                <w:color w:val="auto"/>
              </w:rPr>
            </w:pPr>
          </w:p>
        </w:tc>
        <w:tc>
          <w:tcPr>
            <w:tcW w:w="19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2000" w:type="dxa"/>
            <w:vAlign w:val="bottom"/>
            <w:gridSpan w:val="2"/>
            <w:shd w:val="clear" w:color="auto" w:fill="F9F9EA"/>
          </w:tcPr>
          <w:p>
            <w:pPr>
              <w:ind w:left="60"/>
              <w:spacing w:after="0"/>
              <w:rPr>
                <w:sz w:val="20"/>
                <w:szCs w:val="20"/>
                <w:color w:val="auto"/>
              </w:rPr>
            </w:pPr>
            <w:r>
              <w:rPr>
                <w:rFonts w:ascii="Arial" w:cs="Arial" w:eastAsia="Arial" w:hAnsi="Arial"/>
                <w:sz w:val="13"/>
                <w:szCs w:val="13"/>
                <w:color w:val="333D3F"/>
              </w:rPr>
              <w:t>2022 Annual Meeting</w:t>
            </w:r>
          </w:p>
        </w:tc>
      </w:tr>
      <w:tr>
        <w:trPr>
          <w:trHeight w:val="138"/>
        </w:trPr>
        <w:tc>
          <w:tcPr>
            <w:tcW w:w="1280" w:type="dxa"/>
            <w:vAlign w:val="bottom"/>
            <w:tcBorders>
              <w:bottom w:val="single" w:sz="8" w:color="auto"/>
            </w:tcBorders>
            <w:shd w:val="clear" w:color="auto" w:fill="F9F9EA"/>
          </w:tcPr>
          <w:p>
            <w:pPr>
              <w:spacing w:after="0"/>
              <w:rPr>
                <w:sz w:val="11"/>
                <w:szCs w:val="11"/>
                <w:color w:val="auto"/>
              </w:rPr>
            </w:pPr>
          </w:p>
        </w:tc>
        <w:tc>
          <w:tcPr>
            <w:tcW w:w="19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920" w:type="dxa"/>
            <w:vAlign w:val="bottom"/>
            <w:shd w:val="clear" w:color="auto" w:fill="F9F9EA"/>
          </w:tcPr>
          <w:p>
            <w:pPr>
              <w:ind w:left="60"/>
              <w:spacing w:after="0"/>
              <w:rPr>
                <w:sz w:val="20"/>
                <w:szCs w:val="20"/>
                <w:color w:val="auto"/>
              </w:rPr>
            </w:pPr>
            <w:r>
              <w:rPr>
                <w:rFonts w:ascii="Arial" w:cs="Arial" w:eastAsia="Arial" w:hAnsi="Arial"/>
                <w:sz w:val="13"/>
                <w:szCs w:val="13"/>
                <w:color w:val="333D3F"/>
              </w:rPr>
              <w:t>49</w:t>
            </w:r>
          </w:p>
        </w:tc>
        <w:tc>
          <w:tcPr>
            <w:tcW w:w="80" w:type="dxa"/>
            <w:vAlign w:val="bottom"/>
            <w:shd w:val="clear" w:color="auto" w:fill="F9F9EA"/>
          </w:tcPr>
          <w:p>
            <w:pPr>
              <w:spacing w:after="0"/>
              <w:rPr>
                <w:sz w:val="19"/>
                <w:szCs w:val="19"/>
                <w:color w:val="auto"/>
              </w:rPr>
            </w:pPr>
          </w:p>
        </w:tc>
      </w:tr>
      <w:tr>
        <w:trPr>
          <w:trHeight w:val="151"/>
        </w:trPr>
        <w:tc>
          <w:tcPr>
            <w:tcW w:w="1280" w:type="dxa"/>
            <w:vAlign w:val="bottom"/>
            <w:shd w:val="clear" w:color="auto" w:fill="F9F9EA"/>
          </w:tcPr>
          <w:p>
            <w:pPr>
              <w:spacing w:after="0"/>
              <w:rPr>
                <w:sz w:val="13"/>
                <w:szCs w:val="13"/>
                <w:color w:val="auto"/>
              </w:rPr>
            </w:pPr>
          </w:p>
        </w:tc>
        <w:tc>
          <w:tcPr>
            <w:tcW w:w="1920" w:type="dxa"/>
            <w:vAlign w:val="bottom"/>
            <w:shd w:val="clear" w:color="auto" w:fill="F9F9EA"/>
          </w:tcPr>
          <w:p>
            <w:pPr>
              <w:spacing w:after="0"/>
              <w:rPr>
                <w:sz w:val="13"/>
                <w:szCs w:val="13"/>
                <w:color w:val="auto"/>
              </w:rPr>
            </w:pPr>
          </w:p>
        </w:tc>
        <w:tc>
          <w:tcPr>
            <w:tcW w:w="80" w:type="dxa"/>
            <w:vAlign w:val="bottom"/>
            <w:shd w:val="clear" w:color="auto" w:fill="F9F9EA"/>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-2236470</wp:posOffset>
            </wp:positionV>
            <wp:extent cx="2005965" cy="1517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5965" cy="1517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2015 to 2017: Gaming industry independent advisor and investor</w:t>
      </w:r>
    </w:p>
    <w:p>
      <w:pPr>
        <w:spacing w:after="0" w:line="82" w:lineRule="exact"/>
        <w:rPr>
          <w:sz w:val="20"/>
          <w:szCs w:val="20"/>
          <w:color w:val="auto"/>
        </w:rPr>
      </w:pPr>
    </w:p>
    <w:p>
      <w:pPr>
        <w:ind w:left="180" w:right="160" w:hanging="180"/>
        <w:spacing w:after="0" w:line="258" w:lineRule="auto"/>
        <w:rPr>
          <w:sz w:val="20"/>
          <w:szCs w:val="20"/>
          <w:color w:val="auto"/>
        </w:rPr>
      </w:pPr>
      <w:r>
        <w:rPr>
          <w:rFonts w:ascii="Arial" w:cs="Arial" w:eastAsia="Arial" w:hAnsi="Arial"/>
          <w:sz w:val="14"/>
          <w:szCs w:val="14"/>
          <w:color w:val="auto"/>
        </w:rPr>
        <w:t>– 2012 to 2015: Chief Digital Officer, Strategy &amp; Business Development Managing Director, various roles, Aristocrat Leisure Ltd.</w:t>
      </w:r>
    </w:p>
    <w:p>
      <w:pPr>
        <w:spacing w:after="0" w:line="58" w:lineRule="exact"/>
        <w:rPr>
          <w:sz w:val="20"/>
          <w:szCs w:val="20"/>
          <w:color w:val="auto"/>
        </w:rPr>
      </w:pPr>
    </w:p>
    <w:p>
      <w:pPr>
        <w:ind w:left="180" w:right="300" w:hanging="180"/>
        <w:spacing w:after="0" w:line="258" w:lineRule="auto"/>
        <w:rPr>
          <w:sz w:val="20"/>
          <w:szCs w:val="20"/>
          <w:color w:val="auto"/>
        </w:rPr>
      </w:pPr>
      <w:r>
        <w:rPr>
          <w:rFonts w:ascii="Arial" w:cs="Arial" w:eastAsia="Arial" w:hAnsi="Arial"/>
          <w:sz w:val="14"/>
          <w:szCs w:val="14"/>
          <w:color w:val="auto"/>
        </w:rPr>
        <w:t>– Previously Vice President in the Investment Banking Division of Goldman Sachs in both New York and London, covering the gaming industry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Previously Manager in the Audit Division of Deloitte &amp; Touche in Las Vegas, NV</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2015 to 2018: Director and Non-Executive Chair, NYX Gaming Group</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Mr. Billings graduated with a B.S. (cum laude) in Accounting from the University of Nevada, Las Vegas, and received an M.B.A. from Columbia Business School. Mr. Billings is a Certified Public Accountant.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Mr. Billings has extensive leadership and innovation in the gaming industry, both domestically and internationally, as well experience in the investment banking and financial services industries.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Gov’t Service/Public Policy Experience</w:t>
      </w:r>
    </w:p>
    <w:p>
      <w:pPr>
        <w:spacing w:after="0" w:line="200" w:lineRule="exact"/>
        <w:rPr>
          <w:sz w:val="20"/>
          <w:szCs w:val="20"/>
          <w:color w:val="auto"/>
        </w:rPr>
      </w:pPr>
    </w:p>
    <w:p>
      <w:pPr>
        <w:sectPr>
          <w:pgSz w:w="11900" w:h="16838" w:orient="portrait"/>
          <w:cols w:equalWidth="0" w:num="2">
            <w:col w:w="3400" w:space="160"/>
            <w:col w:w="7540"/>
          </w:cols>
          <w:pgMar w:left="320" w:top="459" w:right="479" w:bottom="1440" w:gutter="0" w:footer="0" w:header="0"/>
          <w:type w:val="continuous"/>
        </w:sectPr>
      </w:pPr>
    </w:p>
    <w:p>
      <w:pPr>
        <w:spacing w:after="0" w:line="389" w:lineRule="exact"/>
        <w:rPr>
          <w:sz w:val="20"/>
          <w:szCs w:val="20"/>
          <w:color w:val="auto"/>
        </w:rPr>
      </w:pPr>
    </w:p>
    <w:p>
      <w:pPr>
        <w:ind w:left="120"/>
        <w:spacing w:after="0"/>
        <w:tabs>
          <w:tab w:leader="none" w:pos="564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6"/>
          <w:szCs w:val="26"/>
          <w:color w:val="auto"/>
          <w:vertAlign w:val="subscript"/>
        </w:rPr>
        <w:t>// 4 //</w:t>
      </w:r>
    </w:p>
    <w:p>
      <w:pPr>
        <w:sectPr>
          <w:pgSz w:w="11900" w:h="16838" w:orient="portrait"/>
          <w:cols w:equalWidth="0" w:num="1">
            <w:col w:w="11100"/>
          </w:cols>
          <w:pgMar w:left="320" w:top="459" w:right="4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Richard J. Byrne </w:t>
      </w:r>
      <w:r>
        <w:rPr>
          <w:rFonts w:ascii="Arial" w:cs="Arial" w:eastAsia="Arial" w:hAnsi="Arial"/>
          <w:sz w:val="14"/>
          <w:szCs w:val="14"/>
          <w:i w:val="1"/>
          <w:iCs w:val="1"/>
          <w:color w:val="333D3F"/>
        </w:rPr>
        <w:t>President, Benefit Street Partners</w:t>
      </w:r>
    </w:p>
    <w:p>
      <w:pPr>
        <w:spacing w:after="0" w:line="223"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Mr. Byrne has been the President of Benefit Street Partners since 2013. He also serves as Chairman and Chief Executive Officer of Benefit Street Partners. Mr. Byrne is also the Chairman and Chief Executive Officer of Franklin BSP Lending Corporation, Franklin BSP Capital Corporation, Franklin BSP Realty Trust, Inc., and Benefit Street Partners Multifamily Trust. He currently serves on the Board of New York Road Runners (since 2009). He is also the Founder and Chief Executive Officer of Kasai Elite Grappling Championships.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August 2018</w:t>
            </w: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2023 Annual Meeting</w:t>
            </w: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740" w:type="dxa"/>
            <w:vAlign w:val="bottom"/>
            <w:shd w:val="clear" w:color="auto" w:fill="F9F9EA"/>
          </w:tcPr>
          <w:p>
            <w:pPr>
              <w:ind w:left="20"/>
              <w:spacing w:after="0"/>
              <w:rPr>
                <w:sz w:val="20"/>
                <w:szCs w:val="20"/>
                <w:color w:val="auto"/>
              </w:rPr>
            </w:pPr>
            <w:r>
              <w:rPr>
                <w:rFonts w:ascii="Arial" w:cs="Arial" w:eastAsia="Arial" w:hAnsi="Arial"/>
                <w:sz w:val="13"/>
                <w:szCs w:val="13"/>
                <w:color w:val="333D3F"/>
              </w:rPr>
              <w:t>61</w:t>
            </w:r>
          </w:p>
        </w:tc>
        <w:tc>
          <w:tcPr>
            <w:tcW w:w="80" w:type="dxa"/>
            <w:vAlign w:val="bottom"/>
            <w:shd w:val="clear" w:color="auto" w:fill="F9F9EA"/>
          </w:tcPr>
          <w:p>
            <w:pPr>
              <w:spacing w:after="0"/>
              <w:rPr>
                <w:sz w:val="19"/>
                <w:szCs w:val="19"/>
                <w:color w:val="auto"/>
              </w:rPr>
            </w:pP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04"/>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Audit (Financial Expert)</w:t>
            </w:r>
          </w:p>
        </w:tc>
      </w:tr>
      <w:tr>
        <w:trPr>
          <w:trHeight w:val="152"/>
        </w:trPr>
        <w:tc>
          <w:tcPr>
            <w:tcW w:w="1460" w:type="dxa"/>
            <w:vAlign w:val="bottom"/>
            <w:shd w:val="clear" w:color="auto" w:fill="F9F9EA"/>
          </w:tcPr>
          <w:p>
            <w:pPr>
              <w:spacing w:after="0"/>
              <w:rPr>
                <w:sz w:val="13"/>
                <w:szCs w:val="13"/>
                <w:color w:val="auto"/>
              </w:rPr>
            </w:pP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Compensation</w:t>
            </w:r>
          </w:p>
        </w:tc>
      </w:tr>
      <w:tr>
        <w:trPr>
          <w:trHeight w:val="826"/>
        </w:trPr>
        <w:tc>
          <w:tcPr>
            <w:tcW w:w="1460" w:type="dxa"/>
            <w:vAlign w:val="bottom"/>
            <w:shd w:val="clear" w:color="auto" w:fill="F9F9EA"/>
          </w:tcPr>
          <w:p>
            <w:pPr>
              <w:spacing w:after="0"/>
              <w:rPr>
                <w:sz w:val="24"/>
                <w:szCs w:val="24"/>
                <w:color w:val="auto"/>
              </w:rPr>
            </w:pPr>
          </w:p>
        </w:tc>
        <w:tc>
          <w:tcPr>
            <w:tcW w:w="1740" w:type="dxa"/>
            <w:vAlign w:val="bottom"/>
            <w:shd w:val="clear" w:color="auto" w:fill="F9F9EA"/>
          </w:tcPr>
          <w:p>
            <w:pPr>
              <w:spacing w:after="0"/>
              <w:rPr>
                <w:sz w:val="24"/>
                <w:szCs w:val="24"/>
                <w:color w:val="auto"/>
              </w:rPr>
            </w:pPr>
          </w:p>
        </w:tc>
        <w:tc>
          <w:tcPr>
            <w:tcW w:w="80" w:type="dxa"/>
            <w:vAlign w:val="bottom"/>
            <w:shd w:val="clear" w:color="auto" w:fill="F9F9EA"/>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-2896870</wp:posOffset>
            </wp:positionV>
            <wp:extent cx="2005965" cy="142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ind w:left="180" w:right="360" w:hanging="180"/>
        <w:spacing w:after="0" w:line="249" w:lineRule="auto"/>
        <w:rPr>
          <w:sz w:val="20"/>
          <w:szCs w:val="20"/>
          <w:color w:val="auto"/>
        </w:rPr>
      </w:pPr>
      <w:r>
        <w:rPr>
          <w:rFonts w:ascii="Arial" w:cs="Arial" w:eastAsia="Arial" w:hAnsi="Arial"/>
          <w:sz w:val="14"/>
          <w:szCs w:val="14"/>
          <w:color w:val="auto"/>
        </w:rPr>
        <w:t>– 1999 to 2013: Chief Executive Officer, Deutsche Bank Securities, Inc. (2008-2013); Global Co-Head of Capital Markets at Deutsche Bank (2006-2013); member of the Global Banking Executive Committee and the Global Markets Executive Committee (2001-2010)</w:t>
      </w:r>
    </w:p>
    <w:p>
      <w:pPr>
        <w:spacing w:after="0" w:line="65" w:lineRule="exact"/>
        <w:rPr>
          <w:sz w:val="20"/>
          <w:szCs w:val="20"/>
          <w:color w:val="auto"/>
        </w:rPr>
      </w:pPr>
    </w:p>
    <w:p>
      <w:pPr>
        <w:ind w:left="180" w:right="340" w:hanging="180"/>
        <w:spacing w:after="0" w:line="258" w:lineRule="auto"/>
        <w:rPr>
          <w:sz w:val="20"/>
          <w:szCs w:val="20"/>
          <w:color w:val="auto"/>
        </w:rPr>
      </w:pPr>
      <w:r>
        <w:rPr>
          <w:rFonts w:ascii="Arial" w:cs="Arial" w:eastAsia="Arial" w:hAnsi="Arial"/>
          <w:sz w:val="14"/>
          <w:szCs w:val="14"/>
          <w:color w:val="auto"/>
        </w:rPr>
        <w:t>– 1985 to 1999: Global Co-Head of the Leveraged Finance Group and Global Head of Credit Research at Merrill Lynch &amp; Co.</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Highly-ranked credit research analyst, principally in the gaming, lodging and leisure sector</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Mr. Byrne graduated with a B.A. from Binghamton University and a Masters of Business Administration (M.B.A.) from the Kellogg School of Management at Northwestern University.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ind w:right="360"/>
        <w:spacing w:after="0" w:line="249" w:lineRule="auto"/>
        <w:rPr>
          <w:sz w:val="20"/>
          <w:szCs w:val="20"/>
          <w:color w:val="auto"/>
        </w:rPr>
      </w:pPr>
      <w:r>
        <w:rPr>
          <w:rFonts w:ascii="Arial" w:cs="Arial" w:eastAsia="Arial" w:hAnsi="Arial"/>
          <w:sz w:val="14"/>
          <w:szCs w:val="14"/>
          <w:color w:val="auto"/>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resort industry.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905" w:lineRule="exact"/>
        <w:rPr>
          <w:sz w:val="20"/>
          <w:szCs w:val="20"/>
          <w:color w:val="auto"/>
        </w:rPr>
      </w:pPr>
    </w:p>
    <w:p>
      <w:pPr>
        <w:sectPr>
          <w:pgSz w:w="11900" w:h="16838" w:orient="portrait"/>
          <w:cols w:equalWidth="0" w:num="2">
            <w:col w:w="3400" w:space="160"/>
            <w:col w:w="7540"/>
          </w:cols>
          <w:pgMar w:left="320" w:top="459" w:right="479" w:bottom="1440" w:gutter="0" w:footer="0" w:header="0"/>
          <w:type w:val="continuous"/>
        </w:sectPr>
      </w:pPr>
    </w:p>
    <w:p>
      <w:pPr>
        <w:ind w:left="5660"/>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100"/>
          </w:cols>
          <w:pgMar w:left="320" w:top="459"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right="3460"/>
        <w:spacing w:after="0" w:line="195" w:lineRule="auto"/>
        <w:rPr>
          <w:sz w:val="20"/>
          <w:szCs w:val="20"/>
          <w:color w:val="auto"/>
        </w:rPr>
      </w:pPr>
      <w:r>
        <w:rPr>
          <w:rFonts w:ascii="Arial" w:cs="Arial" w:eastAsia="Arial" w:hAnsi="Arial"/>
          <w:sz w:val="30"/>
          <w:szCs w:val="30"/>
          <w:color w:val="auto"/>
        </w:rPr>
        <w:t xml:space="preserve">Patricia Mulroy </w:t>
      </w:r>
      <w:r>
        <w:rPr>
          <w:rFonts w:ascii="Arial" w:cs="Arial" w:eastAsia="Arial" w:hAnsi="Arial"/>
          <w:sz w:val="13"/>
          <w:szCs w:val="13"/>
          <w:i w:val="1"/>
          <w:iCs w:val="1"/>
          <w:color w:val="333D3F"/>
        </w:rPr>
        <w:t>Non-Resident Senior Fellow for Climate Adaptation &amp; Environmental Policy, Practitioner in</w:t>
      </w:r>
      <w:r>
        <w:rPr>
          <w:rFonts w:ascii="Arial" w:cs="Arial" w:eastAsia="Arial" w:hAnsi="Arial"/>
          <w:sz w:val="30"/>
          <w:szCs w:val="30"/>
          <w:color w:val="auto"/>
        </w:rPr>
        <w:t xml:space="preserve"> </w:t>
      </w:r>
      <w:r>
        <w:rPr>
          <w:rFonts w:ascii="Arial" w:cs="Arial" w:eastAsia="Arial" w:hAnsi="Arial"/>
          <w:sz w:val="13"/>
          <w:szCs w:val="13"/>
          <w:i w:val="1"/>
          <w:iCs w:val="1"/>
          <w:color w:val="333D3F"/>
        </w:rPr>
        <w:t>Residence, Saltman Center for Conflict Resolution, William S. Boyd School of Law, University of Nevada, Las Vegas</w:t>
      </w:r>
    </w:p>
    <w:p>
      <w:pPr>
        <w:spacing w:after="0" w:line="179"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Ms. Mulroy is currently a Non-Resident Senior Fellow for Climate Adaptation and Environmental Policy and Practitioner in Residence at the Saltman Center for Conflict Resolution at the William S. Boyd School of Law at the University of Nevada, Las Vegas. Ms. Mulroy operates a consulting firm representing both corporate and government clients in water matters. Ms. Mulroy is a recognized expert in climate related adaptation strategies for both governments and corporations. Ms. Mulroy recently completed her term as a member of the Global Agenda Council on Water of the World Economic Forum.</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October 2015</w:t>
            </w: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2023 Annual Meeting</w:t>
            </w: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740" w:type="dxa"/>
            <w:vAlign w:val="bottom"/>
            <w:shd w:val="clear" w:color="auto" w:fill="F9F9EA"/>
          </w:tcPr>
          <w:p>
            <w:pPr>
              <w:ind w:left="20"/>
              <w:spacing w:after="0"/>
              <w:rPr>
                <w:sz w:val="20"/>
                <w:szCs w:val="20"/>
                <w:color w:val="auto"/>
              </w:rPr>
            </w:pPr>
            <w:r>
              <w:rPr>
                <w:rFonts w:ascii="Arial" w:cs="Arial" w:eastAsia="Arial" w:hAnsi="Arial"/>
                <w:sz w:val="13"/>
                <w:szCs w:val="13"/>
                <w:color w:val="333D3F"/>
              </w:rPr>
              <w:t>69</w:t>
            </w:r>
          </w:p>
        </w:tc>
        <w:tc>
          <w:tcPr>
            <w:tcW w:w="80" w:type="dxa"/>
            <w:vAlign w:val="bottom"/>
            <w:shd w:val="clear" w:color="auto" w:fill="F9F9EA"/>
          </w:tcPr>
          <w:p>
            <w:pPr>
              <w:spacing w:after="0"/>
              <w:rPr>
                <w:sz w:val="19"/>
                <w:szCs w:val="19"/>
                <w:color w:val="auto"/>
              </w:rPr>
            </w:pP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04"/>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Audit</w:t>
            </w:r>
          </w:p>
        </w:tc>
      </w:tr>
      <w:tr>
        <w:trPr>
          <w:trHeight w:val="135"/>
        </w:trPr>
        <w:tc>
          <w:tcPr>
            <w:tcW w:w="1460" w:type="dxa"/>
            <w:vAlign w:val="bottom"/>
            <w:shd w:val="clear" w:color="auto" w:fill="F9F9EA"/>
          </w:tcPr>
          <w:p>
            <w:pPr>
              <w:spacing w:after="0"/>
              <w:rPr>
                <w:sz w:val="11"/>
                <w:szCs w:val="11"/>
                <w:color w:val="auto"/>
              </w:rPr>
            </w:pPr>
          </w:p>
        </w:tc>
        <w:tc>
          <w:tcPr>
            <w:tcW w:w="1820" w:type="dxa"/>
            <w:vAlign w:val="bottom"/>
            <w:gridSpan w:val="2"/>
            <w:shd w:val="clear" w:color="auto" w:fill="F9F9EA"/>
          </w:tcPr>
          <w:p>
            <w:pPr>
              <w:ind w:left="20"/>
              <w:spacing w:after="0" w:line="135" w:lineRule="exact"/>
              <w:rPr>
                <w:sz w:val="20"/>
                <w:szCs w:val="20"/>
                <w:color w:val="auto"/>
              </w:rPr>
            </w:pPr>
            <w:r>
              <w:rPr>
                <w:rFonts w:ascii="Arial" w:cs="Arial" w:eastAsia="Arial" w:hAnsi="Arial"/>
                <w:sz w:val="13"/>
                <w:szCs w:val="13"/>
                <w:color w:val="333D3F"/>
              </w:rPr>
              <w:t>Nominating and Corporate</w:t>
            </w:r>
          </w:p>
        </w:tc>
      </w:tr>
      <w:tr>
        <w:trPr>
          <w:trHeight w:val="152"/>
        </w:trPr>
        <w:tc>
          <w:tcPr>
            <w:tcW w:w="1460" w:type="dxa"/>
            <w:vAlign w:val="bottom"/>
            <w:shd w:val="clear" w:color="auto" w:fill="F9F9EA"/>
          </w:tcPr>
          <w:p>
            <w:pPr>
              <w:spacing w:after="0"/>
              <w:rPr>
                <w:sz w:val="13"/>
                <w:szCs w:val="13"/>
                <w:color w:val="auto"/>
              </w:rPr>
            </w:pP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Governance</w:t>
            </w:r>
          </w:p>
        </w:tc>
      </w:tr>
      <w:tr>
        <w:trPr>
          <w:trHeight w:val="462"/>
        </w:trPr>
        <w:tc>
          <w:tcPr>
            <w:tcW w:w="1460" w:type="dxa"/>
            <w:vAlign w:val="bottom"/>
            <w:shd w:val="clear" w:color="auto" w:fill="F9F9EA"/>
          </w:tcPr>
          <w:p>
            <w:pPr>
              <w:spacing w:after="0"/>
              <w:rPr>
                <w:sz w:val="24"/>
                <w:szCs w:val="24"/>
                <w:color w:val="auto"/>
              </w:rPr>
            </w:pPr>
          </w:p>
        </w:tc>
        <w:tc>
          <w:tcPr>
            <w:tcW w:w="1740" w:type="dxa"/>
            <w:vAlign w:val="bottom"/>
            <w:shd w:val="clear" w:color="auto" w:fill="F9F9EA"/>
          </w:tcPr>
          <w:p>
            <w:pPr>
              <w:spacing w:after="0"/>
              <w:rPr>
                <w:sz w:val="24"/>
                <w:szCs w:val="24"/>
                <w:color w:val="auto"/>
              </w:rPr>
            </w:pPr>
          </w:p>
        </w:tc>
        <w:tc>
          <w:tcPr>
            <w:tcW w:w="80" w:type="dxa"/>
            <w:vAlign w:val="bottom"/>
            <w:shd w:val="clear" w:color="auto" w:fill="F9F9EA"/>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-2751455</wp:posOffset>
            </wp:positionV>
            <wp:extent cx="2005965" cy="1423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July 2014 through October 2015: served on the Nevada Gaming Commission</w:t>
      </w:r>
    </w:p>
    <w:p>
      <w:pPr>
        <w:spacing w:after="0" w:line="82" w:lineRule="exact"/>
        <w:rPr>
          <w:sz w:val="20"/>
          <w:szCs w:val="20"/>
          <w:color w:val="auto"/>
        </w:rPr>
      </w:pPr>
    </w:p>
    <w:p>
      <w:pPr>
        <w:ind w:left="180" w:hanging="180"/>
        <w:spacing w:after="0" w:line="258" w:lineRule="auto"/>
        <w:rPr>
          <w:sz w:val="20"/>
          <w:szCs w:val="20"/>
          <w:color w:val="auto"/>
        </w:rPr>
      </w:pPr>
      <w:r>
        <w:rPr>
          <w:rFonts w:ascii="Arial" w:cs="Arial" w:eastAsia="Arial" w:hAnsi="Arial"/>
          <w:sz w:val="14"/>
          <w:szCs w:val="14"/>
          <w:color w:val="auto"/>
        </w:rPr>
        <w:t>– 1995 to 2014: Nevada’s representative on Colorado River Basin issues, serving as the lead negotiator from 2007 to 2014</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1993 to 2014: General Manager of the Southern Nevada Water Authority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1989 to 2014: General Manager of the Las Vegas Valley Water District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Ms. Mulroy graduated with a B.A. and M.A. from the University of Nevada, Las Vegas.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Regulatory/Legal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&amp; Governance experience</w:t>
      </w:r>
    </w:p>
    <w:p>
      <w:pPr>
        <w:spacing w:after="0" w:line="928" w:lineRule="exact"/>
        <w:rPr>
          <w:sz w:val="20"/>
          <w:szCs w:val="20"/>
          <w:color w:val="auto"/>
        </w:rPr>
      </w:pPr>
    </w:p>
    <w:p>
      <w:pPr>
        <w:sectPr>
          <w:pgSz w:w="11900" w:h="16838" w:orient="portrait"/>
          <w:cols w:equalWidth="0" w:num="2">
            <w:col w:w="3400" w:space="160"/>
            <w:col w:w="7500"/>
          </w:cols>
          <w:pgMar w:left="320" w:top="459" w:right="519" w:bottom="1440" w:gutter="0" w:footer="0" w:header="0"/>
          <w:type w:val="continuous"/>
        </w:sectPr>
      </w:pPr>
    </w:p>
    <w:p>
      <w:pPr>
        <w:ind w:left="120"/>
        <w:spacing w:after="0"/>
        <w:tabs>
          <w:tab w:leader="none" w:pos="564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6"/>
          <w:szCs w:val="26"/>
          <w:color w:val="auto"/>
          <w:vertAlign w:val="subscript"/>
        </w:rPr>
        <w:t>// 6 //</w:t>
      </w:r>
    </w:p>
    <w:p>
      <w:pPr>
        <w:sectPr>
          <w:pgSz w:w="11900" w:h="16838" w:orient="portrait"/>
          <w:cols w:equalWidth="0" w:num="1">
            <w:col w:w="11060"/>
          </w:cols>
          <w:pgMar w:left="320" w:top="459" w:right="5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right="3540"/>
        <w:spacing w:after="0" w:line="183" w:lineRule="auto"/>
        <w:rPr>
          <w:sz w:val="20"/>
          <w:szCs w:val="20"/>
          <w:color w:val="auto"/>
        </w:rPr>
      </w:pPr>
      <w:r>
        <w:rPr>
          <w:rFonts w:ascii="Arial" w:cs="Arial" w:eastAsia="Arial" w:hAnsi="Arial"/>
          <w:sz w:val="32"/>
          <w:szCs w:val="32"/>
          <w:color w:val="auto"/>
        </w:rPr>
        <w:t xml:space="preserve">Margaret J. Myers </w:t>
      </w:r>
      <w:r>
        <w:rPr>
          <w:rFonts w:ascii="Arial" w:cs="Arial" w:eastAsia="Arial" w:hAnsi="Arial"/>
          <w:sz w:val="14"/>
          <w:szCs w:val="14"/>
          <w:i w:val="1"/>
          <w:iCs w:val="1"/>
          <w:color w:val="333D3F"/>
        </w:rPr>
        <w:t>Senior Advisor to the Governor of California and Director of the Governor’s Office of</w:t>
      </w:r>
      <w:r>
        <w:rPr>
          <w:rFonts w:ascii="Arial" w:cs="Arial" w:eastAsia="Arial" w:hAnsi="Arial"/>
          <w:sz w:val="32"/>
          <w:szCs w:val="32"/>
          <w:color w:val="auto"/>
        </w:rPr>
        <w:t xml:space="preserve"> </w:t>
      </w:r>
      <w:r>
        <w:rPr>
          <w:rFonts w:ascii="Arial" w:cs="Arial" w:eastAsia="Arial" w:hAnsi="Arial"/>
          <w:sz w:val="14"/>
          <w:szCs w:val="14"/>
          <w:i w:val="1"/>
          <w:iCs w:val="1"/>
          <w:color w:val="333D3F"/>
        </w:rPr>
        <w:t>Business and Economic Development</w:t>
      </w:r>
    </w:p>
    <w:p>
      <w:pPr>
        <w:spacing w:after="0" w:line="179" w:lineRule="exact"/>
        <w:rPr>
          <w:sz w:val="20"/>
          <w:szCs w:val="20"/>
          <w:color w:val="auto"/>
        </w:rPr>
      </w:pPr>
    </w:p>
    <w:p>
      <w:pPr>
        <w:jc w:val="both"/>
        <w:ind w:left="120"/>
        <w:spacing w:after="0" w:line="249" w:lineRule="auto"/>
        <w:rPr>
          <w:sz w:val="20"/>
          <w:szCs w:val="20"/>
          <w:color w:val="auto"/>
        </w:rPr>
      </w:pPr>
      <w:r>
        <w:rPr>
          <w:rFonts w:ascii="Arial" w:cs="Arial" w:eastAsia="Arial" w:hAnsi="Arial"/>
          <w:sz w:val="14"/>
          <w:szCs w:val="14"/>
          <w:color w:val="auto"/>
        </w:rPr>
        <w:t>Ms. Myers is currently Senior Advisor to the Governor of California and Director of the Governor’s Office of Business and Economic Development. From September 2014 to April 2020, Ms. Myers was Executive Vice President, Worldwide Corporate Communications and Public Affairs for Warner Bros. Entertainment, a broad-based entertainment company.</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April 2018</w:t>
            </w: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2022 Annual Meeting</w:t>
            </w: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740" w:type="dxa"/>
            <w:vAlign w:val="bottom"/>
            <w:shd w:val="clear" w:color="auto" w:fill="F9F9EA"/>
          </w:tcPr>
          <w:p>
            <w:pPr>
              <w:ind w:left="20"/>
              <w:spacing w:after="0"/>
              <w:rPr>
                <w:sz w:val="20"/>
                <w:szCs w:val="20"/>
                <w:color w:val="auto"/>
              </w:rPr>
            </w:pPr>
            <w:r>
              <w:rPr>
                <w:rFonts w:ascii="Arial" w:cs="Arial" w:eastAsia="Arial" w:hAnsi="Arial"/>
                <w:sz w:val="13"/>
                <w:szCs w:val="13"/>
                <w:color w:val="333D3F"/>
              </w:rPr>
              <w:t>60</w:t>
            </w:r>
          </w:p>
        </w:tc>
        <w:tc>
          <w:tcPr>
            <w:tcW w:w="80" w:type="dxa"/>
            <w:vAlign w:val="bottom"/>
            <w:shd w:val="clear" w:color="auto" w:fill="F9F9EA"/>
          </w:tcPr>
          <w:p>
            <w:pPr>
              <w:spacing w:after="0"/>
              <w:rPr>
                <w:sz w:val="19"/>
                <w:szCs w:val="19"/>
                <w:color w:val="auto"/>
              </w:rPr>
            </w:pP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04"/>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Compensation</w:t>
            </w:r>
          </w:p>
        </w:tc>
      </w:tr>
      <w:tr>
        <w:trPr>
          <w:trHeight w:val="135"/>
        </w:trPr>
        <w:tc>
          <w:tcPr>
            <w:tcW w:w="1460" w:type="dxa"/>
            <w:vAlign w:val="bottom"/>
            <w:shd w:val="clear" w:color="auto" w:fill="F9F9EA"/>
          </w:tcPr>
          <w:p>
            <w:pPr>
              <w:spacing w:after="0"/>
              <w:rPr>
                <w:sz w:val="11"/>
                <w:szCs w:val="11"/>
                <w:color w:val="auto"/>
              </w:rPr>
            </w:pPr>
          </w:p>
        </w:tc>
        <w:tc>
          <w:tcPr>
            <w:tcW w:w="1820" w:type="dxa"/>
            <w:vAlign w:val="bottom"/>
            <w:gridSpan w:val="2"/>
            <w:shd w:val="clear" w:color="auto" w:fill="F9F9EA"/>
          </w:tcPr>
          <w:p>
            <w:pPr>
              <w:ind w:left="20"/>
              <w:spacing w:after="0" w:line="135" w:lineRule="exact"/>
              <w:rPr>
                <w:sz w:val="20"/>
                <w:szCs w:val="20"/>
                <w:color w:val="auto"/>
              </w:rPr>
            </w:pPr>
            <w:r>
              <w:rPr>
                <w:rFonts w:ascii="Arial" w:cs="Arial" w:eastAsia="Arial" w:hAnsi="Arial"/>
                <w:sz w:val="13"/>
                <w:szCs w:val="13"/>
                <w:color w:val="333D3F"/>
              </w:rPr>
              <w:t>Nominating and Corporate</w:t>
            </w:r>
          </w:p>
        </w:tc>
      </w:tr>
      <w:tr>
        <w:trPr>
          <w:trHeight w:val="152"/>
        </w:trPr>
        <w:tc>
          <w:tcPr>
            <w:tcW w:w="1460" w:type="dxa"/>
            <w:vAlign w:val="bottom"/>
            <w:shd w:val="clear" w:color="auto" w:fill="F9F9EA"/>
          </w:tcPr>
          <w:p>
            <w:pPr>
              <w:spacing w:after="0"/>
              <w:rPr>
                <w:sz w:val="13"/>
                <w:szCs w:val="13"/>
                <w:color w:val="auto"/>
              </w:rPr>
            </w:pP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Governance</w:t>
            </w:r>
          </w:p>
        </w:tc>
      </w:tr>
      <w:tr>
        <w:trPr>
          <w:trHeight w:val="610"/>
        </w:trPr>
        <w:tc>
          <w:tcPr>
            <w:tcW w:w="1460" w:type="dxa"/>
            <w:vAlign w:val="bottom"/>
            <w:shd w:val="clear" w:color="auto" w:fill="F9F9EA"/>
          </w:tcPr>
          <w:p>
            <w:pPr>
              <w:spacing w:after="0"/>
              <w:rPr>
                <w:sz w:val="24"/>
                <w:szCs w:val="24"/>
                <w:color w:val="auto"/>
              </w:rPr>
            </w:pPr>
          </w:p>
        </w:tc>
        <w:tc>
          <w:tcPr>
            <w:tcW w:w="1740" w:type="dxa"/>
            <w:vAlign w:val="bottom"/>
            <w:shd w:val="clear" w:color="auto" w:fill="F9F9EA"/>
          </w:tcPr>
          <w:p>
            <w:pPr>
              <w:spacing w:after="0"/>
              <w:rPr>
                <w:sz w:val="24"/>
                <w:szCs w:val="24"/>
                <w:color w:val="auto"/>
              </w:rPr>
            </w:pPr>
          </w:p>
        </w:tc>
        <w:tc>
          <w:tcPr>
            <w:tcW w:w="80" w:type="dxa"/>
            <w:vAlign w:val="bottom"/>
            <w:shd w:val="clear" w:color="auto" w:fill="F9F9EA"/>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-2845435</wp:posOffset>
            </wp:positionV>
            <wp:extent cx="2005965" cy="1423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ind w:left="180" w:right="180" w:hanging="180"/>
        <w:spacing w:after="0" w:line="258" w:lineRule="auto"/>
        <w:rPr>
          <w:sz w:val="20"/>
          <w:szCs w:val="20"/>
          <w:color w:val="auto"/>
        </w:rPr>
      </w:pPr>
      <w:r>
        <w:rPr>
          <w:rFonts w:ascii="Arial" w:cs="Arial" w:eastAsia="Arial" w:hAnsi="Arial"/>
          <w:sz w:val="14"/>
          <w:szCs w:val="14"/>
          <w:color w:val="auto"/>
        </w:rPr>
        <w:t>– September 2010 to June 2014: Managing Director, Strategic Communications and Public Affairs Practice, Glover Park Group</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1994 to 2010: Political analyst, commentator and writer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January 1993 to December 1994: White House Press Secretary</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Ms. Myers is the author of the 2008 New York Times best-selling book, </w:t>
      </w:r>
      <w:r>
        <w:rPr>
          <w:rFonts w:ascii="Arial" w:cs="Arial" w:eastAsia="Arial" w:hAnsi="Arial"/>
          <w:sz w:val="14"/>
          <w:szCs w:val="14"/>
          <w:i w:val="1"/>
          <w:iCs w:val="1"/>
          <w:color w:val="auto"/>
        </w:rPr>
        <w:t>“Why Women Should Rule the World”</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Ms. Myers graduated with a B.S. from Santa Clara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Ms. Myers has extensive experience in both the public and private sectors, as a C-Suite executive, senior government official and board member. She brings to our Board expertise in strategic growth, policy and governance and corporate communications strategies, including media relations, crisis and reputation management, executive communications, corporate responsibility, and philanthropy.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067" w:lineRule="exact"/>
        <w:rPr>
          <w:sz w:val="20"/>
          <w:szCs w:val="20"/>
          <w:color w:val="auto"/>
        </w:rPr>
      </w:pPr>
    </w:p>
    <w:p>
      <w:pPr>
        <w:sectPr>
          <w:pgSz w:w="11900" w:h="16838" w:orient="portrait"/>
          <w:cols w:equalWidth="0" w:num="2">
            <w:col w:w="3400" w:space="160"/>
            <w:col w:w="7520"/>
          </w:cols>
          <w:pgMar w:left="320" w:top="459" w:right="499" w:bottom="1440" w:gutter="0" w:footer="0" w:header="0"/>
          <w:type w:val="continuous"/>
        </w:sectPr>
      </w:pPr>
    </w:p>
    <w:p>
      <w:pPr>
        <w:ind w:left="5660"/>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11080"/>
          </w:cols>
          <w:pgMar w:left="320" w:top="459" w:right="4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Clark T. Randt Jr. </w:t>
      </w:r>
      <w:r>
        <w:rPr>
          <w:rFonts w:ascii="Arial" w:cs="Arial" w:eastAsia="Arial" w:hAnsi="Arial"/>
          <w:sz w:val="14"/>
          <w:szCs w:val="14"/>
          <w:i w:val="1"/>
          <w:iCs w:val="1"/>
          <w:color w:val="333D3F"/>
        </w:rPr>
        <w:t>President, Randt &amp; Co. LLC</w:t>
      </w:r>
    </w:p>
    <w:p>
      <w:pPr>
        <w:spacing w:after="0" w:line="223"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auto"/>
        </w:rPr>
        <w:t>Ambassador Randt is currently President of Randt &amp; Co. LLC, which advises firms with interests in China. Ambassador Randt has been a Director of Valmont Industries since February 2009. Ambassador Randt is also a member of the Council on Foreign Relations. Ambassador Randt is a member of the New York State Bar Association, was admitted to the Hong Kong Bar Association, and has over 25 years of experience in cross-border corporate and finance transactions.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8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00" w:type="dxa"/>
            <w:vAlign w:val="bottom"/>
            <w:gridSpan w:val="2"/>
            <w:shd w:val="clear" w:color="auto" w:fill="F9F9EA"/>
          </w:tcPr>
          <w:p>
            <w:pPr>
              <w:ind w:left="60"/>
              <w:spacing w:after="0"/>
              <w:rPr>
                <w:sz w:val="20"/>
                <w:szCs w:val="20"/>
                <w:color w:val="auto"/>
              </w:rPr>
            </w:pPr>
            <w:r>
              <w:rPr>
                <w:rFonts w:ascii="Arial" w:cs="Arial" w:eastAsia="Arial" w:hAnsi="Arial"/>
                <w:sz w:val="13"/>
                <w:szCs w:val="13"/>
                <w:color w:val="333D3F"/>
              </w:rPr>
              <w:t>October 2015</w:t>
            </w:r>
          </w:p>
        </w:tc>
      </w:tr>
      <w:tr>
        <w:trPr>
          <w:trHeight w:val="138"/>
        </w:trPr>
        <w:tc>
          <w:tcPr>
            <w:tcW w:w="40" w:type="dxa"/>
            <w:vAlign w:val="bottom"/>
            <w:tcBorders>
              <w:bottom w:val="single" w:sz="8" w:color="auto"/>
            </w:tcBorders>
            <w:shd w:val="clear" w:color="auto" w:fill="F9F9EA"/>
          </w:tcPr>
          <w:p>
            <w:pPr>
              <w:spacing w:after="0"/>
              <w:rPr>
                <w:sz w:val="11"/>
                <w:szCs w:val="11"/>
                <w:color w:val="auto"/>
              </w:rPr>
            </w:pPr>
          </w:p>
        </w:tc>
        <w:tc>
          <w:tcPr>
            <w:tcW w:w="1440" w:type="dxa"/>
            <w:vAlign w:val="bottom"/>
            <w:tcBorders>
              <w:bottom w:val="single" w:sz="8" w:color="auto"/>
            </w:tcBorders>
            <w:shd w:val="clear" w:color="auto" w:fill="F9F9EA"/>
          </w:tcPr>
          <w:p>
            <w:pPr>
              <w:spacing w:after="0"/>
              <w:rPr>
                <w:sz w:val="11"/>
                <w:szCs w:val="11"/>
                <w:color w:val="auto"/>
              </w:rPr>
            </w:pPr>
          </w:p>
        </w:tc>
        <w:tc>
          <w:tcPr>
            <w:tcW w:w="17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40" w:type="dxa"/>
            <w:vAlign w:val="bottom"/>
          </w:tcPr>
          <w:p>
            <w:pPr>
              <w:spacing w:after="0"/>
              <w:rPr>
                <w:sz w:val="19"/>
                <w:szCs w:val="19"/>
                <w:color w:val="auto"/>
              </w:rPr>
            </w:pPr>
          </w:p>
        </w:tc>
        <w:tc>
          <w:tcPr>
            <w:tcW w:w="1440" w:type="dxa"/>
            <w:vAlign w:val="bottom"/>
            <w:shd w:val="clear" w:color="auto" w:fill="F9F9EA"/>
          </w:tcPr>
          <w:p>
            <w:pPr>
              <w:spacing w:after="0"/>
              <w:rPr>
                <w:sz w:val="20"/>
                <w:szCs w:val="20"/>
                <w:color w:val="auto"/>
              </w:rPr>
            </w:pPr>
            <w:r>
              <w:rPr>
                <w:rFonts w:ascii="Arial" w:cs="Arial" w:eastAsia="Arial" w:hAnsi="Arial"/>
                <w:sz w:val="13"/>
                <w:szCs w:val="13"/>
                <w:color w:val="333D3F"/>
              </w:rPr>
              <w:t>Term Expires</w:t>
            </w:r>
          </w:p>
        </w:tc>
        <w:tc>
          <w:tcPr>
            <w:tcW w:w="1800" w:type="dxa"/>
            <w:vAlign w:val="bottom"/>
            <w:gridSpan w:val="2"/>
            <w:shd w:val="clear" w:color="auto" w:fill="F9F9EA"/>
          </w:tcPr>
          <w:p>
            <w:pPr>
              <w:ind w:left="60"/>
              <w:spacing w:after="0"/>
              <w:rPr>
                <w:sz w:val="20"/>
                <w:szCs w:val="20"/>
                <w:color w:val="auto"/>
              </w:rPr>
            </w:pPr>
            <w:r>
              <w:rPr>
                <w:rFonts w:ascii="Arial" w:cs="Arial" w:eastAsia="Arial" w:hAnsi="Arial"/>
                <w:sz w:val="13"/>
                <w:szCs w:val="13"/>
                <w:color w:val="333D3F"/>
              </w:rPr>
              <w:t>2023 Annual Meeting</w:t>
            </w:r>
          </w:p>
        </w:tc>
      </w:tr>
      <w:tr>
        <w:trPr>
          <w:trHeight w:val="138"/>
        </w:trPr>
        <w:tc>
          <w:tcPr>
            <w:tcW w:w="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shd w:val="clear" w:color="auto" w:fill="F9F9EA"/>
          </w:tcPr>
          <w:p>
            <w:pPr>
              <w:spacing w:after="0"/>
              <w:rPr>
                <w:sz w:val="11"/>
                <w:szCs w:val="11"/>
                <w:color w:val="auto"/>
              </w:rPr>
            </w:pPr>
          </w:p>
        </w:tc>
        <w:tc>
          <w:tcPr>
            <w:tcW w:w="17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80" w:type="dxa"/>
            <w:vAlign w:val="bottom"/>
            <w:gridSpan w:val="2"/>
          </w:tcPr>
          <w:p>
            <w:pPr>
              <w:ind w:left="40"/>
              <w:spacing w:after="0"/>
              <w:rPr>
                <w:sz w:val="20"/>
                <w:szCs w:val="20"/>
                <w:color w:val="auto"/>
              </w:rPr>
            </w:pPr>
            <w:r>
              <w:rPr>
                <w:rFonts w:ascii="Arial" w:cs="Arial" w:eastAsia="Arial" w:hAnsi="Arial"/>
                <w:sz w:val="13"/>
                <w:szCs w:val="13"/>
                <w:color w:val="333D3F"/>
              </w:rPr>
              <w:t>Age</w:t>
            </w:r>
          </w:p>
        </w:tc>
        <w:tc>
          <w:tcPr>
            <w:tcW w:w="1720" w:type="dxa"/>
            <w:vAlign w:val="bottom"/>
            <w:shd w:val="clear" w:color="auto" w:fill="F9F9EA"/>
          </w:tcPr>
          <w:p>
            <w:pPr>
              <w:ind w:left="60"/>
              <w:spacing w:after="0"/>
              <w:rPr>
                <w:sz w:val="20"/>
                <w:szCs w:val="20"/>
                <w:color w:val="auto"/>
              </w:rPr>
            </w:pPr>
            <w:r>
              <w:rPr>
                <w:rFonts w:ascii="Arial" w:cs="Arial" w:eastAsia="Arial" w:hAnsi="Arial"/>
                <w:sz w:val="13"/>
                <w:szCs w:val="13"/>
                <w:color w:val="333D3F"/>
              </w:rPr>
              <w:t>76</w:t>
            </w:r>
          </w:p>
        </w:tc>
        <w:tc>
          <w:tcPr>
            <w:tcW w:w="80" w:type="dxa"/>
            <w:vAlign w:val="bottom"/>
            <w:shd w:val="clear" w:color="auto" w:fill="F9F9EA"/>
          </w:tcPr>
          <w:p>
            <w:pPr>
              <w:spacing w:after="0"/>
              <w:rPr>
                <w:sz w:val="19"/>
                <w:szCs w:val="19"/>
                <w:color w:val="auto"/>
              </w:rPr>
            </w:pPr>
          </w:p>
        </w:tc>
      </w:tr>
      <w:tr>
        <w:trPr>
          <w:trHeight w:val="137"/>
        </w:trPr>
        <w:tc>
          <w:tcPr>
            <w:tcW w:w="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720" w:type="dxa"/>
            <w:vAlign w:val="bottom"/>
            <w:shd w:val="clear" w:color="auto" w:fill="F9F9EA"/>
          </w:tcPr>
          <w:p>
            <w:pPr>
              <w:spacing w:after="0"/>
              <w:rPr>
                <w:sz w:val="11"/>
                <w:szCs w:val="11"/>
                <w:color w:val="auto"/>
              </w:rPr>
            </w:pPr>
          </w:p>
        </w:tc>
        <w:tc>
          <w:tcPr>
            <w:tcW w:w="80" w:type="dxa"/>
            <w:vAlign w:val="bottom"/>
            <w:shd w:val="clear" w:color="auto" w:fill="F9F9EA"/>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-2134235</wp:posOffset>
            </wp:positionV>
            <wp:extent cx="2031365" cy="27603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31365" cy="2760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2001 to 2009: United States Ambassador to the People’s Republic of China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Previously, partner at Shearman &amp; Sterling, head of China practice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Ambassador Randt graduated with a B.A. from Yale University, and has a J.D. from the University of Michigan Law School.</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Ambassador Randt’s service as the U.S. Ambassador to the People’s Republic of China and 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Regulatory/Legal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&amp; Governance experience</w:t>
      </w:r>
    </w:p>
    <w:p>
      <w:pPr>
        <w:spacing w:after="0" w:line="137" w:lineRule="exact"/>
        <w:rPr>
          <w:sz w:val="20"/>
          <w:szCs w:val="20"/>
          <w:color w:val="auto"/>
        </w:rPr>
      </w:pPr>
    </w:p>
    <w:p>
      <w:pPr>
        <w:sectPr>
          <w:pgSz w:w="11900" w:h="16838" w:orient="portrait"/>
          <w:cols w:equalWidth="0" w:num="2">
            <w:col w:w="3400" w:space="160"/>
            <w:col w:w="7540"/>
          </w:cols>
          <w:pgMar w:left="320" w:top="459" w:right="479" w:bottom="1440" w:gutter="0" w:footer="0" w:header="0"/>
          <w:type w:val="continuous"/>
        </w:sectPr>
      </w:pPr>
    </w:p>
    <w:tbl>
      <w:tblPr>
        <w:tblLayout w:type="fixed"/>
        <w:tblInd w:w="160" w:type="dxa"/>
        <w:tblCellMar>
          <w:top w:w="0" w:type="dxa"/>
          <w:left w:w="0" w:type="dxa"/>
          <w:bottom w:w="0" w:type="dxa"/>
          <w:right w:w="0" w:type="dxa"/>
        </w:tblCellMar>
      </w:tblPr>
      <w:tr>
        <w:trPr>
          <w:trHeight w:val="221"/>
        </w:trPr>
        <w:tc>
          <w:tcPr>
            <w:tcW w:w="1500" w:type="dxa"/>
            <w:vAlign w:val="bottom"/>
          </w:tcPr>
          <w:p>
            <w:pPr>
              <w:spacing w:after="0"/>
              <w:rPr>
                <w:sz w:val="20"/>
                <w:szCs w:val="20"/>
                <w:color w:val="auto"/>
              </w:rPr>
            </w:pPr>
            <w:r>
              <w:rPr>
                <w:rFonts w:ascii="Arial" w:cs="Arial" w:eastAsia="Arial" w:hAnsi="Arial"/>
                <w:sz w:val="13"/>
                <w:szCs w:val="13"/>
                <w:color w:val="333D3F"/>
              </w:rPr>
              <w:t>Board Committees</w:t>
            </w:r>
          </w:p>
        </w:tc>
        <w:tc>
          <w:tcPr>
            <w:tcW w:w="1740" w:type="dxa"/>
            <w:vAlign w:val="bottom"/>
            <w:shd w:val="clear" w:color="auto" w:fill="F9F9EA"/>
          </w:tcPr>
          <w:p>
            <w:pPr>
              <w:spacing w:after="0"/>
              <w:rPr>
                <w:sz w:val="20"/>
                <w:szCs w:val="20"/>
                <w:color w:val="auto"/>
              </w:rPr>
            </w:pPr>
            <w:r>
              <w:rPr>
                <w:rFonts w:ascii="Arial" w:cs="Arial" w:eastAsia="Arial" w:hAnsi="Arial"/>
                <w:sz w:val="13"/>
                <w:szCs w:val="13"/>
                <w:color w:val="333D3F"/>
              </w:rPr>
              <w:t>Compensation</w:t>
            </w:r>
          </w:p>
        </w:tc>
      </w:tr>
      <w:tr>
        <w:trPr>
          <w:trHeight w:val="745"/>
        </w:trPr>
        <w:tc>
          <w:tcPr>
            <w:tcW w:w="1500" w:type="dxa"/>
            <w:vAlign w:val="bottom"/>
          </w:tcPr>
          <w:p>
            <w:pPr>
              <w:spacing w:after="0"/>
              <w:rPr>
                <w:sz w:val="24"/>
                <w:szCs w:val="24"/>
                <w:color w:val="auto"/>
              </w:rPr>
            </w:pPr>
          </w:p>
        </w:tc>
        <w:tc>
          <w:tcPr>
            <w:tcW w:w="1740" w:type="dxa"/>
            <w:vAlign w:val="bottom"/>
            <w:shd w:val="clear" w:color="auto" w:fill="F9F9EA"/>
          </w:tcPr>
          <w:p>
            <w:pPr>
              <w:spacing w:after="0"/>
              <w:rPr>
                <w:sz w:val="24"/>
                <w:szCs w:val="24"/>
                <w:color w:val="auto"/>
              </w:rPr>
            </w:pPr>
          </w:p>
        </w:tc>
      </w:tr>
    </w:tbl>
    <w:p>
      <w:pPr>
        <w:ind w:left="120"/>
        <w:spacing w:after="0"/>
        <w:tabs>
          <w:tab w:leader="none" w:pos="564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6"/>
          <w:szCs w:val="26"/>
          <w:color w:val="auto"/>
          <w:vertAlign w:val="subscript"/>
        </w:rPr>
        <w:t>// 8 //</w:t>
      </w:r>
    </w:p>
    <w:p>
      <w:pPr>
        <w:sectPr>
          <w:pgSz w:w="11900" w:h="16838" w:orient="portrait"/>
          <w:cols w:equalWidth="0" w:num="1">
            <w:col w:w="11100"/>
          </w:cols>
          <w:pgMar w:left="320" w:top="459" w:right="4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Philip G. Satre </w:t>
      </w:r>
      <w:r>
        <w:rPr>
          <w:rFonts w:ascii="Arial" w:cs="Arial" w:eastAsia="Arial" w:hAnsi="Arial"/>
          <w:sz w:val="14"/>
          <w:szCs w:val="14"/>
          <w:i w:val="1"/>
          <w:iCs w:val="1"/>
          <w:color w:val="333D3F"/>
        </w:rPr>
        <w:t>Retired</w:t>
      </w:r>
    </w:p>
    <w:p>
      <w:pPr>
        <w:spacing w:after="0" w:line="223"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auto"/>
        </w:rPr>
        <w:t>Mr. Satre has served as the Non-Executive Chair of the Board since November 2018 and joined the Board as Vice-Chair in August 2018. In the not-for-profit sector, Mr. Satre is President Emeritus of the International Center for Responsible Gaming; a Trustee of The National World War II Museum; serves on the Board of the National Automobile Museum – The Harrah Collection in Reno, Nevada; and serves on the Stanford Alumni Association Board of Directors.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0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8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August 2018</w:t>
            </w:r>
          </w:p>
        </w:tc>
      </w:tr>
      <w:tr>
        <w:trPr>
          <w:trHeight w:val="137"/>
        </w:trPr>
        <w:tc>
          <w:tcPr>
            <w:tcW w:w="1400" w:type="dxa"/>
            <w:vAlign w:val="bottom"/>
            <w:tcBorders>
              <w:bottom w:val="single" w:sz="8" w:color="auto"/>
            </w:tcBorders>
            <w:shd w:val="clear" w:color="auto" w:fill="F9F9EA"/>
          </w:tcPr>
          <w:p>
            <w:pPr>
              <w:spacing w:after="0"/>
              <w:rPr>
                <w:sz w:val="11"/>
                <w:szCs w:val="11"/>
                <w:color w:val="auto"/>
              </w:rPr>
            </w:pPr>
          </w:p>
        </w:tc>
        <w:tc>
          <w:tcPr>
            <w:tcW w:w="180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0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188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2024 Annual Meeting</w:t>
            </w:r>
          </w:p>
        </w:tc>
      </w:tr>
      <w:tr>
        <w:trPr>
          <w:trHeight w:val="138"/>
        </w:trPr>
        <w:tc>
          <w:tcPr>
            <w:tcW w:w="1400" w:type="dxa"/>
            <w:vAlign w:val="bottom"/>
            <w:tcBorders>
              <w:bottom w:val="single" w:sz="8" w:color="auto"/>
            </w:tcBorders>
            <w:shd w:val="clear" w:color="auto" w:fill="F9F9EA"/>
          </w:tcPr>
          <w:p>
            <w:pPr>
              <w:spacing w:after="0"/>
              <w:rPr>
                <w:sz w:val="11"/>
                <w:szCs w:val="11"/>
                <w:color w:val="auto"/>
              </w:rPr>
            </w:pPr>
          </w:p>
        </w:tc>
        <w:tc>
          <w:tcPr>
            <w:tcW w:w="180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0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80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72</w:t>
            </w:r>
          </w:p>
        </w:tc>
        <w:tc>
          <w:tcPr>
            <w:tcW w:w="80" w:type="dxa"/>
            <w:vAlign w:val="bottom"/>
            <w:shd w:val="clear" w:color="auto" w:fill="F9F9EA"/>
          </w:tcPr>
          <w:p>
            <w:pPr>
              <w:spacing w:after="0"/>
              <w:rPr>
                <w:sz w:val="19"/>
                <w:szCs w:val="19"/>
                <w:color w:val="auto"/>
              </w:rPr>
            </w:pPr>
          </w:p>
        </w:tc>
      </w:tr>
      <w:tr>
        <w:trPr>
          <w:trHeight w:val="137"/>
        </w:trPr>
        <w:tc>
          <w:tcPr>
            <w:tcW w:w="1400" w:type="dxa"/>
            <w:vAlign w:val="bottom"/>
            <w:tcBorders>
              <w:bottom w:val="single" w:sz="8" w:color="auto"/>
            </w:tcBorders>
            <w:shd w:val="clear" w:color="auto" w:fill="F9F9EA"/>
          </w:tcPr>
          <w:p>
            <w:pPr>
              <w:spacing w:after="0"/>
              <w:rPr>
                <w:sz w:val="11"/>
                <w:szCs w:val="11"/>
                <w:color w:val="auto"/>
              </w:rPr>
            </w:pPr>
          </w:p>
        </w:tc>
        <w:tc>
          <w:tcPr>
            <w:tcW w:w="180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04"/>
        </w:trPr>
        <w:tc>
          <w:tcPr>
            <w:tcW w:w="140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188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Nominating and Corporate</w:t>
            </w:r>
          </w:p>
        </w:tc>
      </w:tr>
      <w:tr>
        <w:trPr>
          <w:trHeight w:val="152"/>
        </w:trPr>
        <w:tc>
          <w:tcPr>
            <w:tcW w:w="1400" w:type="dxa"/>
            <w:vAlign w:val="bottom"/>
            <w:shd w:val="clear" w:color="auto" w:fill="F9F9EA"/>
          </w:tcPr>
          <w:p>
            <w:pPr>
              <w:spacing w:after="0"/>
              <w:rPr>
                <w:sz w:val="13"/>
                <w:szCs w:val="13"/>
                <w:color w:val="auto"/>
              </w:rPr>
            </w:pPr>
          </w:p>
        </w:tc>
        <w:tc>
          <w:tcPr>
            <w:tcW w:w="1880" w:type="dxa"/>
            <w:vAlign w:val="bottom"/>
            <w:gridSpan w:val="2"/>
            <w:shd w:val="clear" w:color="auto" w:fill="F9F9EA"/>
          </w:tcPr>
          <w:p>
            <w:pPr>
              <w:ind w:left="40"/>
              <w:spacing w:after="0"/>
              <w:rPr>
                <w:sz w:val="20"/>
                <w:szCs w:val="20"/>
                <w:color w:val="auto"/>
              </w:rPr>
            </w:pPr>
            <w:r>
              <w:rPr>
                <w:rFonts w:ascii="Arial" w:cs="Arial" w:eastAsia="Arial" w:hAnsi="Arial"/>
                <w:sz w:val="13"/>
                <w:szCs w:val="13"/>
                <w:color w:val="333D3F"/>
              </w:rPr>
              <w:t>Governance</w:t>
            </w:r>
          </w:p>
        </w:tc>
      </w:tr>
      <w:tr>
        <w:trPr>
          <w:trHeight w:val="164"/>
        </w:trPr>
        <w:tc>
          <w:tcPr>
            <w:tcW w:w="1400" w:type="dxa"/>
            <w:vAlign w:val="bottom"/>
            <w:shd w:val="clear" w:color="auto" w:fill="F9F9EA"/>
          </w:tcPr>
          <w:p>
            <w:pPr>
              <w:spacing w:after="0"/>
              <w:rPr>
                <w:sz w:val="14"/>
                <w:szCs w:val="14"/>
                <w:color w:val="auto"/>
              </w:rPr>
            </w:pPr>
          </w:p>
        </w:tc>
        <w:tc>
          <w:tcPr>
            <w:tcW w:w="1800" w:type="dxa"/>
            <w:vAlign w:val="bottom"/>
            <w:shd w:val="clear" w:color="auto" w:fill="F9F9EA"/>
          </w:tcPr>
          <w:p>
            <w:pPr>
              <w:spacing w:after="0"/>
              <w:rPr>
                <w:sz w:val="14"/>
                <w:szCs w:val="14"/>
                <w:color w:val="auto"/>
              </w:rPr>
            </w:pPr>
          </w:p>
        </w:tc>
        <w:tc>
          <w:tcPr>
            <w:tcW w:w="80" w:type="dxa"/>
            <w:vAlign w:val="bottom"/>
            <w:shd w:val="clear" w:color="auto" w:fill="F9F9EA"/>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-2477135</wp:posOffset>
            </wp:positionV>
            <wp:extent cx="2005965" cy="1423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ind w:left="180" w:hanging="180"/>
        <w:spacing w:after="0" w:line="249" w:lineRule="auto"/>
        <w:rPr>
          <w:sz w:val="20"/>
          <w:szCs w:val="20"/>
          <w:color w:val="auto"/>
        </w:rPr>
      </w:pPr>
      <w:r>
        <w:rPr>
          <w:rFonts w:ascii="Arial" w:cs="Arial" w:eastAsia="Arial" w:hAnsi="Arial"/>
          <w:sz w:val="14"/>
          <w:szCs w:val="14"/>
          <w:color w:val="auto"/>
        </w:rPr>
        <w:t>– 1980 to 2005: Various roles at Harrah’s Entertainment, Inc. with increasing responsibility, including Vice President, General Counsel and Secretary; President and Chief Executive Officer of its gaming division; culminating in service as CEO and Chair</w:t>
      </w:r>
    </w:p>
    <w:p>
      <w:pPr>
        <w:spacing w:after="0" w:line="65" w:lineRule="exact"/>
        <w:rPr>
          <w:sz w:val="20"/>
          <w:szCs w:val="20"/>
          <w:color w:val="auto"/>
        </w:rPr>
      </w:pPr>
    </w:p>
    <w:p>
      <w:pPr>
        <w:ind w:left="180" w:right="340" w:hanging="180"/>
        <w:spacing w:after="0" w:line="258" w:lineRule="auto"/>
        <w:rPr>
          <w:sz w:val="20"/>
          <w:szCs w:val="20"/>
          <w:color w:val="auto"/>
        </w:rPr>
      </w:pPr>
      <w:r>
        <w:rPr>
          <w:rFonts w:ascii="Arial" w:cs="Arial" w:eastAsia="Arial" w:hAnsi="Arial"/>
          <w:sz w:val="14"/>
          <w:szCs w:val="14"/>
          <w:color w:val="auto"/>
        </w:rPr>
        <w:t>– Previously served on the boards of Nordstrom, Inc., International Game Technology PLC, NV Energy, Tabcorp Holdings Ltd. (Australia), and Rite Aid Corporation</w:t>
      </w:r>
    </w:p>
    <w:p>
      <w:pPr>
        <w:spacing w:after="0" w:line="58" w:lineRule="exact"/>
        <w:rPr>
          <w:sz w:val="20"/>
          <w:szCs w:val="20"/>
          <w:color w:val="auto"/>
        </w:rPr>
      </w:pPr>
    </w:p>
    <w:p>
      <w:pPr>
        <w:ind w:left="180" w:right="20" w:hanging="180"/>
        <w:spacing w:after="0" w:line="258" w:lineRule="auto"/>
        <w:rPr>
          <w:sz w:val="20"/>
          <w:szCs w:val="20"/>
          <w:color w:val="auto"/>
        </w:rPr>
      </w:pPr>
      <w:r>
        <w:rPr>
          <w:rFonts w:ascii="Arial" w:cs="Arial" w:eastAsia="Arial" w:hAnsi="Arial"/>
          <w:sz w:val="14"/>
          <w:szCs w:val="14"/>
          <w:color w:val="auto"/>
        </w:rPr>
        <w:t>– Various roles in non-profits, including as Chair of the Guinn Center for Policy Priorities and Emeritus Member of the Stanford University Board of Trustees (2005 to 2010).</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Mr. Satre graduated with a B.A. from Stanford University and a J.D. from the University of California, Davis.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Regulatory/Legal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77"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 9 //</w:t>
      </w:r>
    </w:p>
    <w:p>
      <w:pPr>
        <w:sectPr>
          <w:pgSz w:w="11900" w:h="16838" w:orient="portrait"/>
          <w:cols w:equalWidth="0" w:num="2">
            <w:col w:w="3400" w:space="200"/>
            <w:col w:w="7500"/>
          </w:cols>
          <w:pgMar w:left="32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Darnell O. Strom </w:t>
      </w:r>
      <w:r>
        <w:rPr>
          <w:rFonts w:ascii="Arial" w:cs="Arial" w:eastAsia="Arial" w:hAnsi="Arial"/>
          <w:sz w:val="14"/>
          <w:szCs w:val="14"/>
          <w:i w:val="1"/>
          <w:iCs w:val="1"/>
          <w:color w:val="333D3F"/>
        </w:rPr>
        <w:t>Partner &amp; Head of Culture and Leadership, UTA</w:t>
      </w:r>
    </w:p>
    <w:p>
      <w:pPr>
        <w:spacing w:after="0" w:line="223" w:lineRule="exact"/>
        <w:rPr>
          <w:sz w:val="20"/>
          <w:szCs w:val="20"/>
          <w:color w:val="auto"/>
        </w:rPr>
      </w:pPr>
    </w:p>
    <w:p>
      <w:pPr>
        <w:ind w:left="120" w:right="160"/>
        <w:spacing w:after="0" w:line="258" w:lineRule="auto"/>
        <w:rPr>
          <w:sz w:val="20"/>
          <w:szCs w:val="20"/>
          <w:color w:val="auto"/>
        </w:rPr>
      </w:pPr>
      <w:r>
        <w:rPr>
          <w:rFonts w:ascii="Arial" w:cs="Arial" w:eastAsia="Arial" w:hAnsi="Arial"/>
          <w:sz w:val="14"/>
          <w:szCs w:val="14"/>
          <w:color w:val="auto"/>
        </w:rPr>
        <w:t>Mr. Strom is a Partner &amp; Head of the Culture and Leadership Division at premiere entertainment agency, UTA. Mr. Strom represents transformative talent, brands, and organizations across entertainment, media, sports, fashion, the arts, entrepreneurship, politics, and thought leadership.</w:t>
      </w:r>
    </w:p>
    <w:p>
      <w:pPr>
        <w:sectPr>
          <w:pgSz w:w="11900" w:h="16838" w:orient="portrait"/>
          <w:cols w:equalWidth="0" w:num="1">
            <w:col w:w="10820"/>
          </w:cols>
          <w:pgMar w:left="320" w:top="459"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October 2020</w:t>
            </w: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2024 Annual Meeting</w:t>
            </w:r>
          </w:p>
        </w:tc>
      </w:tr>
      <w:tr>
        <w:trPr>
          <w:trHeight w:val="137"/>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740" w:type="dxa"/>
            <w:vAlign w:val="bottom"/>
            <w:shd w:val="clear" w:color="auto" w:fill="F9F9EA"/>
          </w:tcPr>
          <w:p>
            <w:pPr>
              <w:ind w:left="20"/>
              <w:spacing w:after="0"/>
              <w:rPr>
                <w:sz w:val="20"/>
                <w:szCs w:val="20"/>
                <w:color w:val="auto"/>
              </w:rPr>
            </w:pPr>
            <w:r>
              <w:rPr>
                <w:rFonts w:ascii="Arial" w:cs="Arial" w:eastAsia="Arial" w:hAnsi="Arial"/>
                <w:sz w:val="13"/>
                <w:szCs w:val="13"/>
                <w:color w:val="333D3F"/>
              </w:rPr>
              <w:t>40</w:t>
            </w:r>
          </w:p>
        </w:tc>
        <w:tc>
          <w:tcPr>
            <w:tcW w:w="80" w:type="dxa"/>
            <w:vAlign w:val="bottom"/>
            <w:shd w:val="clear" w:color="auto" w:fill="F9F9EA"/>
          </w:tcPr>
          <w:p>
            <w:pPr>
              <w:spacing w:after="0"/>
              <w:rPr>
                <w:sz w:val="19"/>
                <w:szCs w:val="19"/>
                <w:color w:val="auto"/>
              </w:rPr>
            </w:pPr>
          </w:p>
        </w:tc>
      </w:tr>
      <w:tr>
        <w:trPr>
          <w:trHeight w:val="138"/>
        </w:trPr>
        <w:tc>
          <w:tcPr>
            <w:tcW w:w="1460" w:type="dxa"/>
            <w:vAlign w:val="bottom"/>
            <w:tcBorders>
              <w:bottom w:val="single" w:sz="8" w:color="auto"/>
            </w:tcBorders>
            <w:shd w:val="clear" w:color="auto" w:fill="F9F9EA"/>
          </w:tcPr>
          <w:p>
            <w:pPr>
              <w:spacing w:after="0"/>
              <w:rPr>
                <w:sz w:val="11"/>
                <w:szCs w:val="11"/>
                <w:color w:val="auto"/>
              </w:rPr>
            </w:pPr>
          </w:p>
        </w:tc>
        <w:tc>
          <w:tcPr>
            <w:tcW w:w="174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04"/>
        </w:trPr>
        <w:tc>
          <w:tcPr>
            <w:tcW w:w="146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Audit</w:t>
            </w:r>
          </w:p>
        </w:tc>
      </w:tr>
      <w:tr>
        <w:trPr>
          <w:trHeight w:val="135"/>
        </w:trPr>
        <w:tc>
          <w:tcPr>
            <w:tcW w:w="1460" w:type="dxa"/>
            <w:vAlign w:val="bottom"/>
            <w:shd w:val="clear" w:color="auto" w:fill="F9F9EA"/>
          </w:tcPr>
          <w:p>
            <w:pPr>
              <w:spacing w:after="0"/>
              <w:rPr>
                <w:sz w:val="11"/>
                <w:szCs w:val="11"/>
                <w:color w:val="auto"/>
              </w:rPr>
            </w:pPr>
          </w:p>
        </w:tc>
        <w:tc>
          <w:tcPr>
            <w:tcW w:w="1820" w:type="dxa"/>
            <w:vAlign w:val="bottom"/>
            <w:gridSpan w:val="2"/>
            <w:shd w:val="clear" w:color="auto" w:fill="F9F9EA"/>
          </w:tcPr>
          <w:p>
            <w:pPr>
              <w:ind w:left="20"/>
              <w:spacing w:after="0" w:line="135" w:lineRule="exact"/>
              <w:rPr>
                <w:sz w:val="20"/>
                <w:szCs w:val="20"/>
                <w:color w:val="auto"/>
              </w:rPr>
            </w:pPr>
            <w:r>
              <w:rPr>
                <w:rFonts w:ascii="Arial" w:cs="Arial" w:eastAsia="Arial" w:hAnsi="Arial"/>
                <w:sz w:val="13"/>
                <w:szCs w:val="13"/>
                <w:color w:val="333D3F"/>
              </w:rPr>
              <w:t>Nominating and Corporate</w:t>
            </w:r>
          </w:p>
        </w:tc>
      </w:tr>
      <w:tr>
        <w:trPr>
          <w:trHeight w:val="152"/>
        </w:trPr>
        <w:tc>
          <w:tcPr>
            <w:tcW w:w="1460" w:type="dxa"/>
            <w:vAlign w:val="bottom"/>
            <w:shd w:val="clear" w:color="auto" w:fill="F9F9EA"/>
          </w:tcPr>
          <w:p>
            <w:pPr>
              <w:spacing w:after="0"/>
              <w:rPr>
                <w:sz w:val="13"/>
                <w:szCs w:val="13"/>
                <w:color w:val="auto"/>
              </w:rPr>
            </w:pPr>
          </w:p>
        </w:tc>
        <w:tc>
          <w:tcPr>
            <w:tcW w:w="182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Governance</w:t>
            </w:r>
          </w:p>
        </w:tc>
      </w:tr>
      <w:tr>
        <w:trPr>
          <w:trHeight w:val="299"/>
        </w:trPr>
        <w:tc>
          <w:tcPr>
            <w:tcW w:w="1460" w:type="dxa"/>
            <w:vAlign w:val="bottom"/>
            <w:shd w:val="clear" w:color="auto" w:fill="F9F9EA"/>
          </w:tcPr>
          <w:p>
            <w:pPr>
              <w:spacing w:after="0"/>
              <w:rPr>
                <w:sz w:val="24"/>
                <w:szCs w:val="24"/>
                <w:color w:val="auto"/>
              </w:rPr>
            </w:pPr>
          </w:p>
        </w:tc>
        <w:tc>
          <w:tcPr>
            <w:tcW w:w="1740" w:type="dxa"/>
            <w:vAlign w:val="bottom"/>
            <w:shd w:val="clear" w:color="auto" w:fill="F9F9EA"/>
          </w:tcPr>
          <w:p>
            <w:pPr>
              <w:spacing w:after="0"/>
              <w:rPr>
                <w:sz w:val="24"/>
                <w:szCs w:val="24"/>
                <w:color w:val="auto"/>
              </w:rPr>
            </w:pPr>
          </w:p>
        </w:tc>
        <w:tc>
          <w:tcPr>
            <w:tcW w:w="80" w:type="dxa"/>
            <w:vAlign w:val="bottom"/>
            <w:shd w:val="clear" w:color="auto" w:fill="F9F9EA"/>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-2648585</wp:posOffset>
            </wp:positionV>
            <wp:extent cx="2005965" cy="1423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2012 to 2019: Agent, Creative Artists Agency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2010 to 2012: Executive, Creative Artists Agency Foundation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2006 to 2010: Deputy Director of Development, William J. Clinton Foundation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2005 to 2006: Deputy Director of Scheduling &amp; Advance, Office of President William J. Clinton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Mr. Strom graduated with a B.S. (with honors) from Florida A&amp;M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Mr. Strom’s decades of experience in entertainment, media, and sports, along with the relationships he has established, will be a significant benefit to the Board. Mr. Strom brings to our Board significant industry expertise in media, sports, entertainment, music, fashion, the arts, branding and thought leadership.</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Technology/Digital experience</w:t>
      </w:r>
    </w:p>
    <w:p>
      <w:pPr>
        <w:spacing w:after="0" w:line="1090" w:lineRule="exact"/>
        <w:rPr>
          <w:sz w:val="20"/>
          <w:szCs w:val="20"/>
          <w:color w:val="auto"/>
        </w:rPr>
      </w:pPr>
    </w:p>
    <w:p>
      <w:pPr>
        <w:sectPr>
          <w:pgSz w:w="11900" w:h="16838" w:orient="portrait"/>
          <w:cols w:equalWidth="0" w:num="2">
            <w:col w:w="3400" w:space="160"/>
            <w:col w:w="7260"/>
          </w:cols>
          <w:pgMar w:left="320" w:top="459" w:right="759" w:bottom="1440" w:gutter="0" w:footer="0" w:header="0"/>
          <w:type w:val="continuous"/>
        </w:sect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10 //</w:t>
      </w:r>
    </w:p>
    <w:p>
      <w:pPr>
        <w:sectPr>
          <w:pgSz w:w="11900" w:h="16838" w:orient="portrait"/>
          <w:cols w:equalWidth="0" w:num="1">
            <w:col w:w="10820"/>
          </w:cols>
          <w:pgMar w:left="320" w:top="459" w:right="7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Winifred M. Webb </w:t>
      </w:r>
      <w:r>
        <w:rPr>
          <w:rFonts w:ascii="Arial" w:cs="Arial" w:eastAsia="Arial" w:hAnsi="Arial"/>
          <w:sz w:val="14"/>
          <w:szCs w:val="14"/>
          <w:i w:val="1"/>
          <w:iCs w:val="1"/>
          <w:color w:val="333D3F"/>
        </w:rPr>
        <w:t>Founder, Kestrel Corporate Advisors</w:t>
      </w:r>
    </w:p>
    <w:p>
      <w:pPr>
        <w:spacing w:after="0" w:line="223"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color w:val="auto"/>
        </w:rPr>
        <w:t>Ms. Webb founded Kestrel Corporate Advisors, an advisory services firm, and has served as its Chief Executive Officer since 2013. Ms. Webb currently serves on the Board of Trustees of American Homes 4 Rent (since January 2019), the Boards of AppFolio, Inc. (since December 2019) and ABM Industries (since 2014).</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Director Since</w:t>
            </w:r>
          </w:p>
        </w:tc>
        <w:tc>
          <w:tcPr>
            <w:tcW w:w="200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April 2018</w:t>
            </w:r>
          </w:p>
        </w:tc>
      </w:tr>
      <w:tr>
        <w:trPr>
          <w:trHeight w:val="138"/>
        </w:trPr>
        <w:tc>
          <w:tcPr>
            <w:tcW w:w="1280" w:type="dxa"/>
            <w:vAlign w:val="bottom"/>
            <w:tcBorders>
              <w:bottom w:val="single" w:sz="8" w:color="auto"/>
            </w:tcBorders>
            <w:shd w:val="clear" w:color="auto" w:fill="F9F9EA"/>
          </w:tcPr>
          <w:p>
            <w:pPr>
              <w:spacing w:after="0"/>
              <w:rPr>
                <w:sz w:val="11"/>
                <w:szCs w:val="11"/>
                <w:color w:val="auto"/>
              </w:rPr>
            </w:pPr>
          </w:p>
        </w:tc>
        <w:tc>
          <w:tcPr>
            <w:tcW w:w="19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Term Expires</w:t>
            </w:r>
          </w:p>
        </w:tc>
        <w:tc>
          <w:tcPr>
            <w:tcW w:w="200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2025 Annual Meeting</w:t>
            </w:r>
          </w:p>
        </w:tc>
      </w:tr>
      <w:tr>
        <w:trPr>
          <w:trHeight w:val="137"/>
        </w:trPr>
        <w:tc>
          <w:tcPr>
            <w:tcW w:w="1280" w:type="dxa"/>
            <w:vAlign w:val="bottom"/>
            <w:tcBorders>
              <w:bottom w:val="single" w:sz="8" w:color="auto"/>
            </w:tcBorders>
            <w:shd w:val="clear" w:color="auto" w:fill="F9F9EA"/>
          </w:tcPr>
          <w:p>
            <w:pPr>
              <w:spacing w:after="0"/>
              <w:rPr>
                <w:sz w:val="11"/>
                <w:szCs w:val="11"/>
                <w:color w:val="auto"/>
              </w:rPr>
            </w:pPr>
          </w:p>
        </w:tc>
        <w:tc>
          <w:tcPr>
            <w:tcW w:w="19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Age</w:t>
            </w:r>
          </w:p>
        </w:tc>
        <w:tc>
          <w:tcPr>
            <w:tcW w:w="1920" w:type="dxa"/>
            <w:vAlign w:val="bottom"/>
            <w:shd w:val="clear" w:color="auto" w:fill="F9F9EA"/>
          </w:tcPr>
          <w:p>
            <w:pPr>
              <w:ind w:left="20"/>
              <w:spacing w:after="0"/>
              <w:rPr>
                <w:sz w:val="20"/>
                <w:szCs w:val="20"/>
                <w:color w:val="auto"/>
              </w:rPr>
            </w:pPr>
            <w:r>
              <w:rPr>
                <w:rFonts w:ascii="Arial" w:cs="Arial" w:eastAsia="Arial" w:hAnsi="Arial"/>
                <w:sz w:val="13"/>
                <w:szCs w:val="13"/>
                <w:color w:val="333D3F"/>
              </w:rPr>
              <w:t>64</w:t>
            </w:r>
          </w:p>
        </w:tc>
        <w:tc>
          <w:tcPr>
            <w:tcW w:w="80" w:type="dxa"/>
            <w:vAlign w:val="bottom"/>
            <w:shd w:val="clear" w:color="auto" w:fill="F9F9EA"/>
          </w:tcPr>
          <w:p>
            <w:pPr>
              <w:spacing w:after="0"/>
              <w:rPr>
                <w:sz w:val="19"/>
                <w:szCs w:val="19"/>
                <w:color w:val="auto"/>
              </w:rPr>
            </w:pPr>
          </w:p>
        </w:tc>
      </w:tr>
      <w:tr>
        <w:trPr>
          <w:trHeight w:val="138"/>
        </w:trPr>
        <w:tc>
          <w:tcPr>
            <w:tcW w:w="1280" w:type="dxa"/>
            <w:vAlign w:val="bottom"/>
            <w:tcBorders>
              <w:bottom w:val="single" w:sz="8" w:color="auto"/>
            </w:tcBorders>
            <w:shd w:val="clear" w:color="auto" w:fill="F9F9EA"/>
          </w:tcPr>
          <w:p>
            <w:pPr>
              <w:spacing w:after="0"/>
              <w:rPr>
                <w:sz w:val="11"/>
                <w:szCs w:val="11"/>
                <w:color w:val="auto"/>
              </w:rPr>
            </w:pPr>
          </w:p>
        </w:tc>
        <w:tc>
          <w:tcPr>
            <w:tcW w:w="1920" w:type="dxa"/>
            <w:vAlign w:val="bottom"/>
            <w:tcBorders>
              <w:bottom w:val="single" w:sz="8" w:color="auto"/>
            </w:tcBorders>
            <w:shd w:val="clear" w:color="auto" w:fill="F9F9EA"/>
          </w:tcPr>
          <w:p>
            <w:pPr>
              <w:spacing w:after="0"/>
              <w:rPr>
                <w:sz w:val="11"/>
                <w:szCs w:val="11"/>
                <w:color w:val="auto"/>
              </w:rPr>
            </w:pPr>
          </w:p>
        </w:tc>
        <w:tc>
          <w:tcPr>
            <w:tcW w:w="80" w:type="dxa"/>
            <w:vAlign w:val="bottom"/>
            <w:tcBorders>
              <w:bottom w:val="single" w:sz="8" w:color="F9F9EA"/>
            </w:tcBorders>
            <w:shd w:val="clear" w:color="auto" w:fill="F9F9EA"/>
          </w:tcPr>
          <w:p>
            <w:pPr>
              <w:spacing w:after="0"/>
              <w:rPr>
                <w:sz w:val="11"/>
                <w:szCs w:val="11"/>
                <w:color w:val="auto"/>
              </w:rPr>
            </w:pPr>
          </w:p>
        </w:tc>
      </w:tr>
      <w:tr>
        <w:trPr>
          <w:trHeight w:val="221"/>
        </w:trPr>
        <w:tc>
          <w:tcPr>
            <w:tcW w:w="1280" w:type="dxa"/>
            <w:vAlign w:val="bottom"/>
            <w:shd w:val="clear" w:color="auto" w:fill="F9F9EA"/>
          </w:tcPr>
          <w:p>
            <w:pPr>
              <w:ind w:left="40"/>
              <w:spacing w:after="0"/>
              <w:rPr>
                <w:sz w:val="20"/>
                <w:szCs w:val="20"/>
                <w:color w:val="auto"/>
              </w:rPr>
            </w:pPr>
            <w:r>
              <w:rPr>
                <w:rFonts w:ascii="Arial" w:cs="Arial" w:eastAsia="Arial" w:hAnsi="Arial"/>
                <w:sz w:val="13"/>
                <w:szCs w:val="13"/>
                <w:color w:val="333D3F"/>
              </w:rPr>
              <w:t>Board Committees:</w:t>
            </w:r>
          </w:p>
        </w:tc>
        <w:tc>
          <w:tcPr>
            <w:tcW w:w="2000" w:type="dxa"/>
            <w:vAlign w:val="bottom"/>
            <w:gridSpan w:val="2"/>
            <w:shd w:val="clear" w:color="auto" w:fill="F9F9EA"/>
          </w:tcPr>
          <w:p>
            <w:pPr>
              <w:ind w:left="20"/>
              <w:spacing w:after="0"/>
              <w:rPr>
                <w:sz w:val="20"/>
                <w:szCs w:val="20"/>
                <w:color w:val="auto"/>
              </w:rPr>
            </w:pPr>
            <w:r>
              <w:rPr>
                <w:rFonts w:ascii="Arial" w:cs="Arial" w:eastAsia="Arial" w:hAnsi="Arial"/>
                <w:sz w:val="13"/>
                <w:szCs w:val="13"/>
                <w:color w:val="333D3F"/>
              </w:rPr>
              <w:t>Audit, Chair (Financial Expert)</w:t>
            </w:r>
          </w:p>
        </w:tc>
      </w:tr>
      <w:tr>
        <w:trPr>
          <w:trHeight w:val="259"/>
        </w:trPr>
        <w:tc>
          <w:tcPr>
            <w:tcW w:w="1280" w:type="dxa"/>
            <w:vAlign w:val="bottom"/>
            <w:shd w:val="clear" w:color="auto" w:fill="F9F9EA"/>
          </w:tcPr>
          <w:p>
            <w:pPr>
              <w:spacing w:after="0"/>
              <w:rPr>
                <w:sz w:val="22"/>
                <w:szCs w:val="22"/>
                <w:color w:val="auto"/>
              </w:rPr>
            </w:pPr>
          </w:p>
        </w:tc>
        <w:tc>
          <w:tcPr>
            <w:tcW w:w="1920" w:type="dxa"/>
            <w:vAlign w:val="bottom"/>
            <w:shd w:val="clear" w:color="auto" w:fill="F9F9EA"/>
          </w:tcPr>
          <w:p>
            <w:pPr>
              <w:spacing w:after="0"/>
              <w:rPr>
                <w:sz w:val="22"/>
                <w:szCs w:val="22"/>
                <w:color w:val="auto"/>
              </w:rPr>
            </w:pPr>
          </w:p>
        </w:tc>
        <w:tc>
          <w:tcPr>
            <w:tcW w:w="80" w:type="dxa"/>
            <w:vAlign w:val="bottom"/>
            <w:shd w:val="clear" w:color="auto" w:fill="F9F9EA"/>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-2451100</wp:posOffset>
            </wp:positionV>
            <wp:extent cx="2005965" cy="1423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0596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PREVIOUS EXPERIENCE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2010 to 2013: Managing Director, Tennenbaum Capital Partners, now part of BlackRock</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2008 to 2010: Member of the Corporate Executive team and senior advisor, Ticketmaster</w:t>
      </w:r>
    </w:p>
    <w:p>
      <w:pPr>
        <w:spacing w:after="0" w:line="82" w:lineRule="exact"/>
        <w:rPr>
          <w:sz w:val="20"/>
          <w:szCs w:val="20"/>
          <w:color w:val="auto"/>
        </w:rPr>
      </w:pPr>
    </w:p>
    <w:p>
      <w:pPr>
        <w:ind w:left="180" w:right="160" w:hanging="180"/>
        <w:spacing w:after="0" w:line="249" w:lineRule="auto"/>
        <w:rPr>
          <w:sz w:val="20"/>
          <w:szCs w:val="20"/>
          <w:color w:val="auto"/>
        </w:rPr>
      </w:pPr>
      <w:r>
        <w:rPr>
          <w:rFonts w:ascii="Arial" w:cs="Arial" w:eastAsia="Arial" w:hAnsi="Arial"/>
          <w:sz w:val="14"/>
          <w:szCs w:val="14"/>
          <w:color w:val="auto"/>
        </w:rPr>
        <w:t>– 1988 to 2008: Various senior positions, including as Senior Vice President of Investor Relations and Shareholder Services, and governance outreach, The Walt Disney Company; Executive Director, The Walt Disney Company Foundation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  Previously held various investment banking positions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Prior service on the boards of TiVo, Jack in the Box, 9 Spokes, and nonprofit PetSmart Charities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EDUCATION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Ms. Webb graduated with a B.A. (with honors) from Smith College and received her M.B.A. from Harvard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DB59E"/>
        </w:rPr>
        <w:t>EXPERTISE</w:t>
      </w:r>
    </w:p>
    <w:p>
      <w:pPr>
        <w:spacing w:after="0" w:line="12"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Ms. Webb brings to our Board significant industry expertise in travel and tourism, hospitality, food and beverage, media and entertainment, retailing,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Technology/Digital experience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&amp; Governance experience</w:t>
      </w:r>
    </w:p>
    <w:p>
      <w:pPr>
        <w:spacing w:after="0" w:line="200" w:lineRule="exact"/>
        <w:rPr>
          <w:sz w:val="20"/>
          <w:szCs w:val="20"/>
          <w:color w:val="auto"/>
        </w:rPr>
      </w:pPr>
    </w:p>
    <w:p>
      <w:pPr>
        <w:sectPr>
          <w:pgSz w:w="11900" w:h="16838" w:orient="portrait"/>
          <w:cols w:equalWidth="0" w:num="2">
            <w:col w:w="3400" w:space="160"/>
            <w:col w:w="7500"/>
          </w:cols>
          <w:pgMar w:left="320" w:top="459" w:right="519" w:bottom="1440" w:gutter="0" w:footer="0" w:header="0"/>
          <w:type w:val="continuous"/>
        </w:sectPr>
      </w:pP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11 //</w:t>
      </w:r>
    </w:p>
    <w:p>
      <w:pPr>
        <w:sectPr>
          <w:pgSz w:w="11900" w:h="16838" w:orient="portrait"/>
          <w:cols w:equalWidth="0" w:num="1">
            <w:col w:w="11060"/>
          </w:cols>
          <w:pgMar w:left="320" w:top="459" w:right="5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Why our board governance is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wp:posOffset>
            </wp:positionV>
            <wp:extent cx="6995160" cy="2151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151380"/>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740" w:type="dxa"/>
            <w:vAlign w:val="bottom"/>
            <w:vMerge w:val="restart"/>
            <w:shd w:val="clear" w:color="auto" w:fill="ADB59E"/>
          </w:tcPr>
          <w:p>
            <w:pPr>
              <w:ind w:left="1080"/>
              <w:spacing w:after="0"/>
              <w:rPr>
                <w:sz w:val="20"/>
                <w:szCs w:val="20"/>
                <w:color w:val="auto"/>
              </w:rPr>
            </w:pPr>
            <w:r>
              <w:rPr>
                <w:rFonts w:ascii="Arial" w:cs="Arial" w:eastAsia="Arial" w:hAnsi="Arial"/>
                <w:sz w:val="13"/>
                <w:szCs w:val="13"/>
                <w:b w:val="1"/>
                <w:bCs w:val="1"/>
                <w:color w:val="FFFFFF"/>
              </w:rPr>
              <w:t>ROBUST INDEPENDENCE</w:t>
            </w:r>
          </w:p>
        </w:tc>
        <w:tc>
          <w:tcPr>
            <w:tcW w:w="3880" w:type="dxa"/>
            <w:vAlign w:val="bottom"/>
            <w:shd w:val="clear" w:color="auto" w:fill="ADB59E"/>
          </w:tcPr>
          <w:p>
            <w:pPr>
              <w:jc w:val="center"/>
              <w:ind w:right="97"/>
              <w:spacing w:after="0"/>
              <w:rPr>
                <w:sz w:val="20"/>
                <w:szCs w:val="20"/>
                <w:color w:val="auto"/>
              </w:rPr>
            </w:pPr>
            <w:r>
              <w:rPr>
                <w:rFonts w:ascii="Arial" w:cs="Arial" w:eastAsia="Arial" w:hAnsi="Arial"/>
                <w:sz w:val="13"/>
                <w:szCs w:val="13"/>
                <w:b w:val="1"/>
                <w:bCs w:val="1"/>
                <w:color w:val="FFFFFF"/>
                <w:w w:val="96"/>
              </w:rPr>
              <w:t>ACCOUNTABILITY AND ALIGNMENT</w:t>
            </w:r>
          </w:p>
        </w:tc>
        <w:tc>
          <w:tcPr>
            <w:tcW w:w="3400" w:type="dxa"/>
            <w:vAlign w:val="bottom"/>
            <w:vMerge w:val="restart"/>
            <w:shd w:val="clear" w:color="auto" w:fill="ADB59E"/>
          </w:tcPr>
          <w:p>
            <w:pPr>
              <w:ind w:left="900"/>
              <w:spacing w:after="0"/>
              <w:rPr>
                <w:sz w:val="20"/>
                <w:szCs w:val="20"/>
                <w:color w:val="auto"/>
              </w:rPr>
            </w:pPr>
            <w:r>
              <w:rPr>
                <w:rFonts w:ascii="Arial" w:cs="Arial" w:eastAsia="Arial" w:hAnsi="Arial"/>
                <w:sz w:val="13"/>
                <w:szCs w:val="13"/>
                <w:b w:val="1"/>
                <w:bCs w:val="1"/>
                <w:color w:val="FFFFFF"/>
              </w:rPr>
              <w:t>EFFECTIVE OVERSIGHT</w:t>
            </w:r>
          </w:p>
        </w:tc>
        <w:tc>
          <w:tcPr>
            <w:tcW w:w="0" w:type="dxa"/>
            <w:vAlign w:val="bottom"/>
          </w:tcPr>
          <w:p>
            <w:pPr>
              <w:spacing w:after="0"/>
              <w:rPr>
                <w:sz w:val="1"/>
                <w:szCs w:val="1"/>
                <w:color w:val="auto"/>
              </w:rPr>
            </w:pPr>
          </w:p>
        </w:tc>
      </w:tr>
      <w:tr>
        <w:trPr>
          <w:trHeight w:val="100"/>
        </w:trPr>
        <w:tc>
          <w:tcPr>
            <w:tcW w:w="3740" w:type="dxa"/>
            <w:vAlign w:val="bottom"/>
            <w:vMerge w:val="continue"/>
            <w:shd w:val="clear" w:color="auto" w:fill="ADB59E"/>
          </w:tcPr>
          <w:p>
            <w:pPr>
              <w:spacing w:after="0"/>
              <w:rPr>
                <w:sz w:val="8"/>
                <w:szCs w:val="8"/>
                <w:color w:val="auto"/>
              </w:rPr>
            </w:pPr>
          </w:p>
        </w:tc>
        <w:tc>
          <w:tcPr>
            <w:tcW w:w="3880" w:type="dxa"/>
            <w:vAlign w:val="bottom"/>
            <w:vMerge w:val="restart"/>
            <w:shd w:val="clear" w:color="auto" w:fill="ADB59E"/>
          </w:tcPr>
          <w:p>
            <w:pPr>
              <w:jc w:val="center"/>
              <w:ind w:right="77"/>
              <w:spacing w:after="0"/>
              <w:rPr>
                <w:sz w:val="20"/>
                <w:szCs w:val="20"/>
                <w:color w:val="auto"/>
              </w:rPr>
            </w:pPr>
            <w:r>
              <w:rPr>
                <w:rFonts w:ascii="Arial" w:cs="Arial" w:eastAsia="Arial" w:hAnsi="Arial"/>
                <w:sz w:val="13"/>
                <w:szCs w:val="13"/>
                <w:b w:val="1"/>
                <w:bCs w:val="1"/>
                <w:color w:val="FFFFFF"/>
                <w:w w:val="97"/>
              </w:rPr>
              <w:t>WITH SHAREHOLDERS</w:t>
            </w:r>
          </w:p>
        </w:tc>
        <w:tc>
          <w:tcPr>
            <w:tcW w:w="3400" w:type="dxa"/>
            <w:vAlign w:val="bottom"/>
            <w:vMerge w:val="continue"/>
            <w:shd w:val="clear" w:color="auto" w:fill="ADB59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40" w:type="dxa"/>
            <w:vAlign w:val="bottom"/>
            <w:shd w:val="clear" w:color="auto" w:fill="ADB59E"/>
          </w:tcPr>
          <w:p>
            <w:pPr>
              <w:spacing w:after="0"/>
              <w:rPr>
                <w:sz w:val="5"/>
                <w:szCs w:val="5"/>
                <w:color w:val="auto"/>
              </w:rPr>
            </w:pPr>
          </w:p>
        </w:tc>
        <w:tc>
          <w:tcPr>
            <w:tcW w:w="3880" w:type="dxa"/>
            <w:vAlign w:val="bottom"/>
            <w:vMerge w:val="continue"/>
            <w:shd w:val="clear" w:color="auto" w:fill="ADB59E"/>
          </w:tcPr>
          <w:p>
            <w:pPr>
              <w:spacing w:after="0"/>
              <w:rPr>
                <w:sz w:val="5"/>
                <w:szCs w:val="5"/>
                <w:color w:val="auto"/>
              </w:rPr>
            </w:pPr>
          </w:p>
        </w:tc>
        <w:tc>
          <w:tcPr>
            <w:tcW w:w="3400" w:type="dxa"/>
            <w:vAlign w:val="bottom"/>
            <w:shd w:val="clear" w:color="auto" w:fill="ADB59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3740" w:type="dxa"/>
            <w:vAlign w:val="bottom"/>
            <w:shd w:val="clear" w:color="auto" w:fill="ADB59E"/>
          </w:tcPr>
          <w:p>
            <w:pPr>
              <w:spacing w:after="0"/>
              <w:rPr>
                <w:sz w:val="3"/>
                <w:szCs w:val="3"/>
                <w:color w:val="auto"/>
              </w:rPr>
            </w:pPr>
          </w:p>
        </w:tc>
        <w:tc>
          <w:tcPr>
            <w:tcW w:w="3880" w:type="dxa"/>
            <w:vAlign w:val="bottom"/>
            <w:shd w:val="clear" w:color="auto" w:fill="ADB59E"/>
          </w:tcPr>
          <w:p>
            <w:pPr>
              <w:spacing w:after="0"/>
              <w:rPr>
                <w:sz w:val="3"/>
                <w:szCs w:val="3"/>
                <w:color w:val="auto"/>
              </w:rPr>
            </w:pPr>
          </w:p>
        </w:tc>
        <w:tc>
          <w:tcPr>
            <w:tcW w:w="3400" w:type="dxa"/>
            <w:vAlign w:val="bottom"/>
            <w:shd w:val="clear" w:color="auto" w:fill="ADB59E"/>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740" w:type="dxa"/>
            <w:vAlign w:val="bottom"/>
            <w:shd w:val="clear" w:color="auto" w:fill="F6F7F5"/>
          </w:tcPr>
          <w:p>
            <w:pPr>
              <w:ind w:left="80"/>
              <w:spacing w:after="0"/>
              <w:rPr>
                <w:sz w:val="20"/>
                <w:szCs w:val="20"/>
                <w:color w:val="auto"/>
              </w:rPr>
            </w:pPr>
            <w:r>
              <w:rPr>
                <w:rFonts w:ascii="Arial" w:cs="Arial" w:eastAsia="Arial" w:hAnsi="Arial"/>
                <w:sz w:val="15"/>
                <w:szCs w:val="15"/>
                <w:color w:val="auto"/>
              </w:rPr>
              <w:t>Separate Independent Chair and CEO roles</w:t>
            </w:r>
          </w:p>
        </w:tc>
        <w:tc>
          <w:tcPr>
            <w:tcW w:w="3600" w:type="dxa"/>
            <w:vAlign w:val="bottom"/>
            <w:shd w:val="clear" w:color="auto" w:fill="F6F7F5"/>
          </w:tcPr>
          <w:p>
            <w:pPr>
              <w:ind w:left="100"/>
              <w:spacing w:after="0"/>
              <w:rPr>
                <w:sz w:val="20"/>
                <w:szCs w:val="20"/>
                <w:color w:val="auto"/>
              </w:rPr>
            </w:pPr>
            <w:r>
              <w:rPr>
                <w:rFonts w:ascii="Arial" w:cs="Arial" w:eastAsia="Arial" w:hAnsi="Arial"/>
                <w:sz w:val="15"/>
                <w:szCs w:val="15"/>
                <w:color w:val="auto"/>
              </w:rPr>
              <w:t>Strong stock ownership guidelines</w:t>
            </w:r>
          </w:p>
        </w:tc>
        <w:tc>
          <w:tcPr>
            <w:tcW w:w="3680" w:type="dxa"/>
            <w:vAlign w:val="bottom"/>
            <w:shd w:val="clear" w:color="auto" w:fill="F6F7F5"/>
          </w:tcPr>
          <w:p>
            <w:pPr>
              <w:ind w:left="140"/>
              <w:spacing w:after="0"/>
              <w:rPr>
                <w:sz w:val="20"/>
                <w:szCs w:val="20"/>
                <w:color w:val="auto"/>
              </w:rPr>
            </w:pPr>
            <w:r>
              <w:rPr>
                <w:rFonts w:ascii="Arial" w:cs="Arial" w:eastAsia="Arial" w:hAnsi="Arial"/>
                <w:sz w:val="15"/>
                <w:szCs w:val="15"/>
                <w:color w:val="auto"/>
              </w:rPr>
              <w:t>Compliance Committee composed of four</w:t>
            </w:r>
          </w:p>
        </w:tc>
        <w:tc>
          <w:tcPr>
            <w:tcW w:w="0" w:type="dxa"/>
            <w:vAlign w:val="bottom"/>
          </w:tcPr>
          <w:p>
            <w:pPr>
              <w:spacing w:after="0"/>
              <w:rPr>
                <w:sz w:val="1"/>
                <w:szCs w:val="1"/>
                <w:color w:val="auto"/>
              </w:rPr>
            </w:pPr>
          </w:p>
        </w:tc>
      </w:tr>
      <w:tr>
        <w:trPr>
          <w:trHeight w:val="7"/>
        </w:trPr>
        <w:tc>
          <w:tcPr>
            <w:tcW w:w="3740" w:type="dxa"/>
            <w:vAlign w:val="bottom"/>
            <w:shd w:val="clear" w:color="auto" w:fill="F6F7F5"/>
          </w:tcPr>
          <w:p>
            <w:pPr>
              <w:ind w:left="80"/>
              <w:spacing w:after="0" w:line="8" w:lineRule="exact"/>
              <w:rPr>
                <w:sz w:val="20"/>
                <w:szCs w:val="20"/>
                <w:color w:val="auto"/>
              </w:rPr>
            </w:pPr>
            <w:r>
              <w:rPr>
                <w:rFonts w:ascii="Arial" w:cs="Arial" w:eastAsia="Arial" w:hAnsi="Arial"/>
                <w:sz w:val="1"/>
                <w:szCs w:val="1"/>
                <w:color w:val="auto"/>
              </w:rPr>
              <w:t>enshrined in Bylaws</w:t>
            </w:r>
          </w:p>
        </w:tc>
        <w:tc>
          <w:tcPr>
            <w:tcW w:w="3600" w:type="dxa"/>
            <w:vAlign w:val="bottom"/>
            <w:shd w:val="clear" w:color="auto" w:fill="F6F7F5"/>
          </w:tcPr>
          <w:p>
            <w:pPr>
              <w:ind w:left="100"/>
              <w:spacing w:after="0" w:line="8" w:lineRule="exact"/>
              <w:rPr>
                <w:sz w:val="20"/>
                <w:szCs w:val="20"/>
                <w:color w:val="auto"/>
              </w:rPr>
            </w:pPr>
            <w:r>
              <w:rPr>
                <w:rFonts w:ascii="Arial" w:cs="Arial" w:eastAsia="Arial" w:hAnsi="Arial"/>
                <w:sz w:val="1"/>
                <w:szCs w:val="1"/>
                <w:color w:val="auto"/>
              </w:rPr>
              <w:t>-3x annual retainer for directors</w:t>
            </w:r>
          </w:p>
        </w:tc>
        <w:tc>
          <w:tcPr>
            <w:tcW w:w="3680" w:type="dxa"/>
            <w:vAlign w:val="bottom"/>
            <w:shd w:val="clear" w:color="auto" w:fill="F6F7F5"/>
          </w:tcPr>
          <w:p>
            <w:pPr>
              <w:ind w:left="140"/>
              <w:spacing w:after="0" w:line="8" w:lineRule="exact"/>
              <w:rPr>
                <w:sz w:val="20"/>
                <w:szCs w:val="20"/>
                <w:color w:val="auto"/>
              </w:rPr>
            </w:pPr>
            <w:r>
              <w:rPr>
                <w:rFonts w:ascii="Arial" w:cs="Arial" w:eastAsia="Arial" w:hAnsi="Arial"/>
                <w:sz w:val="1"/>
                <w:szCs w:val="1"/>
                <w:color w:val="auto"/>
              </w:rPr>
              <w:t>individuals who are independent of the Company</w:t>
            </w: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F6F7F5"/>
          </w:tcPr>
          <w:p>
            <w:pPr>
              <w:ind w:left="1440"/>
              <w:spacing w:after="0"/>
              <w:rPr>
                <w:sz w:val="20"/>
                <w:szCs w:val="20"/>
                <w:color w:val="auto"/>
              </w:rPr>
            </w:pPr>
            <w:r>
              <w:rPr>
                <w:rFonts w:ascii="Arial" w:cs="Arial" w:eastAsia="Arial" w:hAnsi="Arial"/>
                <w:sz w:val="13"/>
                <w:szCs w:val="13"/>
                <w:color w:val="auto"/>
              </w:rPr>
              <w:t>(1)</w:t>
            </w:r>
          </w:p>
        </w:tc>
        <w:tc>
          <w:tcPr>
            <w:tcW w:w="3600" w:type="dxa"/>
            <w:vAlign w:val="bottom"/>
            <w:vMerge w:val="restart"/>
            <w:shd w:val="clear" w:color="auto" w:fill="F6F7F5"/>
          </w:tcPr>
          <w:p>
            <w:pPr>
              <w:ind w:left="100"/>
              <w:spacing w:after="0"/>
              <w:rPr>
                <w:sz w:val="20"/>
                <w:szCs w:val="20"/>
                <w:color w:val="auto"/>
              </w:rPr>
            </w:pPr>
            <w:r>
              <w:rPr>
                <w:rFonts w:ascii="Arial" w:cs="Arial" w:eastAsia="Arial" w:hAnsi="Arial"/>
                <w:sz w:val="15"/>
                <w:szCs w:val="15"/>
                <w:color w:val="auto"/>
              </w:rPr>
              <w:t>-6x base salary for CEO</w:t>
            </w:r>
          </w:p>
        </w:tc>
        <w:tc>
          <w:tcPr>
            <w:tcW w:w="3680" w:type="dxa"/>
            <w:vAlign w:val="bottom"/>
            <w:vMerge w:val="restart"/>
            <w:shd w:val="clear" w:color="auto" w:fill="F6F7F5"/>
          </w:tcPr>
          <w:p>
            <w:pPr>
              <w:ind w:left="140"/>
              <w:spacing w:after="0"/>
              <w:rPr>
                <w:sz w:val="20"/>
                <w:szCs w:val="20"/>
                <w:color w:val="auto"/>
              </w:rPr>
            </w:pPr>
            <w:r>
              <w:rPr>
                <w:rFonts w:ascii="Arial" w:cs="Arial" w:eastAsia="Arial" w:hAnsi="Arial"/>
                <w:sz w:val="15"/>
                <w:szCs w:val="15"/>
                <w:color w:val="auto"/>
              </w:rPr>
              <w:t>and the Board</w:t>
            </w:r>
          </w:p>
        </w:tc>
        <w:tc>
          <w:tcPr>
            <w:tcW w:w="0" w:type="dxa"/>
            <w:vAlign w:val="bottom"/>
          </w:tcPr>
          <w:p>
            <w:pPr>
              <w:spacing w:after="0"/>
              <w:rPr>
                <w:sz w:val="1"/>
                <w:szCs w:val="1"/>
                <w:color w:val="auto"/>
              </w:rPr>
            </w:pPr>
          </w:p>
        </w:tc>
      </w:tr>
      <w:tr>
        <w:trPr>
          <w:trHeight w:val="161"/>
        </w:trPr>
        <w:tc>
          <w:tcPr>
            <w:tcW w:w="3740" w:type="dxa"/>
            <w:vAlign w:val="bottom"/>
            <w:shd w:val="clear" w:color="auto" w:fill="F6F7F5"/>
          </w:tcPr>
          <w:p>
            <w:pPr>
              <w:spacing w:after="0"/>
              <w:rPr>
                <w:sz w:val="14"/>
                <w:szCs w:val="14"/>
                <w:color w:val="auto"/>
              </w:rPr>
            </w:pPr>
          </w:p>
        </w:tc>
        <w:tc>
          <w:tcPr>
            <w:tcW w:w="3600" w:type="dxa"/>
            <w:vAlign w:val="bottom"/>
            <w:vMerge w:val="continue"/>
            <w:shd w:val="clear" w:color="auto" w:fill="F6F7F5"/>
          </w:tcPr>
          <w:p>
            <w:pPr>
              <w:spacing w:after="0"/>
              <w:rPr>
                <w:sz w:val="14"/>
                <w:szCs w:val="14"/>
                <w:color w:val="auto"/>
              </w:rPr>
            </w:pPr>
          </w:p>
        </w:tc>
        <w:tc>
          <w:tcPr>
            <w:tcW w:w="3680" w:type="dxa"/>
            <w:vAlign w:val="bottom"/>
            <w:vMerge w:val="continue"/>
            <w:shd w:val="clear" w:color="auto" w:fill="F6F7F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740" w:type="dxa"/>
            <w:vAlign w:val="bottom"/>
            <w:shd w:val="clear" w:color="auto" w:fill="F6F7F5"/>
          </w:tcPr>
          <w:p>
            <w:pPr>
              <w:ind w:left="3020"/>
              <w:spacing w:after="0" w:line="139" w:lineRule="exact"/>
              <w:rPr>
                <w:sz w:val="20"/>
                <w:szCs w:val="20"/>
                <w:color w:val="auto"/>
              </w:rPr>
            </w:pPr>
            <w:r>
              <w:rPr>
                <w:rFonts w:ascii="Arial" w:cs="Arial" w:eastAsia="Arial" w:hAnsi="Arial"/>
                <w:sz w:val="13"/>
                <w:szCs w:val="13"/>
                <w:color w:val="auto"/>
              </w:rPr>
              <w:t>(2)</w:t>
            </w:r>
          </w:p>
        </w:tc>
        <w:tc>
          <w:tcPr>
            <w:tcW w:w="3600" w:type="dxa"/>
            <w:vAlign w:val="bottom"/>
            <w:shd w:val="clear" w:color="auto" w:fill="F6F7F5"/>
          </w:tcPr>
          <w:p>
            <w:pPr>
              <w:ind w:left="100"/>
              <w:spacing w:after="0" w:line="138" w:lineRule="exact"/>
              <w:rPr>
                <w:sz w:val="20"/>
                <w:szCs w:val="20"/>
                <w:color w:val="auto"/>
              </w:rPr>
            </w:pPr>
            <w:r>
              <w:rPr>
                <w:rFonts w:ascii="Arial" w:cs="Arial" w:eastAsia="Arial" w:hAnsi="Arial"/>
                <w:sz w:val="15"/>
                <w:szCs w:val="15"/>
                <w:color w:val="auto"/>
              </w:rPr>
              <w:t>-3x base salary for our Chief Financial Officer and</w:t>
            </w:r>
          </w:p>
        </w:tc>
        <w:tc>
          <w:tcPr>
            <w:tcW w:w="3680" w:type="dxa"/>
            <w:vAlign w:val="bottom"/>
            <w:shd w:val="clear" w:color="auto" w:fill="F6F7F5"/>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740" w:type="dxa"/>
            <w:vAlign w:val="bottom"/>
            <w:shd w:val="clear" w:color="auto" w:fill="F6F7F5"/>
          </w:tcPr>
          <w:p>
            <w:pPr>
              <w:ind w:left="80"/>
              <w:spacing w:after="0" w:line="65" w:lineRule="exact"/>
              <w:rPr>
                <w:sz w:val="20"/>
                <w:szCs w:val="20"/>
                <w:color w:val="auto"/>
              </w:rPr>
            </w:pPr>
            <w:r>
              <w:rPr>
                <w:rFonts w:ascii="Arial" w:cs="Arial" w:eastAsia="Arial" w:hAnsi="Arial"/>
                <w:sz w:val="7"/>
                <w:szCs w:val="7"/>
                <w:color w:val="auto"/>
              </w:rPr>
              <w:t>All non-executive directors are independent   and</w:t>
            </w:r>
          </w:p>
        </w:tc>
        <w:tc>
          <w:tcPr>
            <w:tcW w:w="3600" w:type="dxa"/>
            <w:vAlign w:val="bottom"/>
            <w:vMerge w:val="restart"/>
            <w:shd w:val="clear" w:color="auto" w:fill="F6F7F5"/>
          </w:tcPr>
          <w:p>
            <w:pPr>
              <w:ind w:left="100"/>
              <w:spacing w:after="0"/>
              <w:rPr>
                <w:sz w:val="20"/>
                <w:szCs w:val="20"/>
                <w:color w:val="auto"/>
              </w:rPr>
            </w:pPr>
            <w:r>
              <w:rPr>
                <w:rFonts w:ascii="Arial" w:cs="Arial" w:eastAsia="Arial" w:hAnsi="Arial"/>
                <w:sz w:val="15"/>
                <w:szCs w:val="15"/>
                <w:color w:val="auto"/>
              </w:rPr>
              <w:t>Executive Vice Presidents</w:t>
            </w:r>
          </w:p>
        </w:tc>
        <w:tc>
          <w:tcPr>
            <w:tcW w:w="3680" w:type="dxa"/>
            <w:vAlign w:val="bottom"/>
            <w:shd w:val="clear" w:color="auto" w:fill="F6F7F5"/>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F6F7F5"/>
          </w:tcPr>
          <w:p>
            <w:pPr>
              <w:ind w:left="80"/>
              <w:spacing w:after="0" w:line="162" w:lineRule="exact"/>
              <w:rPr>
                <w:sz w:val="20"/>
                <w:szCs w:val="20"/>
                <w:color w:val="auto"/>
              </w:rPr>
            </w:pPr>
            <w:r>
              <w:rPr>
                <w:rFonts w:ascii="Arial" w:cs="Arial" w:eastAsia="Arial" w:hAnsi="Arial"/>
                <w:sz w:val="15"/>
                <w:szCs w:val="15"/>
                <w:color w:val="auto"/>
              </w:rPr>
              <w:t>empowered to propose agenda items</w:t>
            </w:r>
          </w:p>
        </w:tc>
        <w:tc>
          <w:tcPr>
            <w:tcW w:w="3600" w:type="dxa"/>
            <w:vAlign w:val="bottom"/>
            <w:vMerge w:val="continue"/>
            <w:shd w:val="clear" w:color="auto" w:fill="F6F7F5"/>
          </w:tcPr>
          <w:p>
            <w:pPr>
              <w:spacing w:after="0"/>
              <w:rPr>
                <w:sz w:val="14"/>
                <w:szCs w:val="14"/>
                <w:color w:val="auto"/>
              </w:rPr>
            </w:pPr>
          </w:p>
        </w:tc>
        <w:tc>
          <w:tcPr>
            <w:tcW w:w="3680" w:type="dxa"/>
            <w:vAlign w:val="bottom"/>
            <w:shd w:val="clear" w:color="auto" w:fill="F6F7F5"/>
          </w:tcPr>
          <w:p>
            <w:pPr>
              <w:ind w:left="140"/>
              <w:spacing w:after="0" w:line="162" w:lineRule="exact"/>
              <w:rPr>
                <w:sz w:val="20"/>
                <w:szCs w:val="20"/>
                <w:color w:val="auto"/>
              </w:rPr>
            </w:pPr>
            <w:r>
              <w:rPr>
                <w:rFonts w:ascii="Arial" w:cs="Arial" w:eastAsia="Arial" w:hAnsi="Arial"/>
                <w:sz w:val="15"/>
                <w:szCs w:val="15"/>
                <w:color w:val="auto"/>
              </w:rPr>
              <w:t>Regular director education and compliance training</w:t>
            </w:r>
          </w:p>
        </w:tc>
        <w:tc>
          <w:tcPr>
            <w:tcW w:w="0" w:type="dxa"/>
            <w:vAlign w:val="bottom"/>
          </w:tcPr>
          <w:p>
            <w:pPr>
              <w:spacing w:after="0"/>
              <w:rPr>
                <w:sz w:val="1"/>
                <w:szCs w:val="1"/>
                <w:color w:val="auto"/>
              </w:rPr>
            </w:pPr>
          </w:p>
        </w:tc>
      </w:tr>
      <w:tr>
        <w:trPr>
          <w:trHeight w:val="162"/>
        </w:trPr>
        <w:tc>
          <w:tcPr>
            <w:tcW w:w="3740" w:type="dxa"/>
            <w:vAlign w:val="bottom"/>
            <w:vMerge w:val="restart"/>
            <w:shd w:val="clear" w:color="auto" w:fill="F6F7F5"/>
          </w:tcPr>
          <w:p>
            <w:pPr>
              <w:ind w:left="80"/>
              <w:spacing w:after="0" w:line="169" w:lineRule="exact"/>
              <w:rPr>
                <w:sz w:val="20"/>
                <w:szCs w:val="20"/>
                <w:color w:val="auto"/>
              </w:rPr>
            </w:pPr>
            <w:r>
              <w:rPr>
                <w:rFonts w:ascii="Arial" w:cs="Arial" w:eastAsia="Arial" w:hAnsi="Arial"/>
                <w:sz w:val="15"/>
                <w:szCs w:val="15"/>
                <w:color w:val="auto"/>
              </w:rPr>
              <w:t>Independent directors meeting in executive sessions</w:t>
            </w:r>
          </w:p>
        </w:tc>
        <w:tc>
          <w:tcPr>
            <w:tcW w:w="3600" w:type="dxa"/>
            <w:vAlign w:val="bottom"/>
            <w:vMerge w:val="restart"/>
            <w:shd w:val="clear" w:color="auto" w:fill="F6F7F5"/>
          </w:tcPr>
          <w:p>
            <w:pPr>
              <w:ind w:left="100"/>
              <w:spacing w:after="0" w:line="169" w:lineRule="exact"/>
              <w:rPr>
                <w:sz w:val="20"/>
                <w:szCs w:val="20"/>
                <w:color w:val="auto"/>
              </w:rPr>
            </w:pPr>
            <w:r>
              <w:rPr>
                <w:rFonts w:ascii="Arial" w:cs="Arial" w:eastAsia="Arial" w:hAnsi="Arial"/>
                <w:sz w:val="15"/>
                <w:szCs w:val="15"/>
                <w:color w:val="auto"/>
              </w:rPr>
              <w:t>Anti-hedging and pledging policies</w:t>
            </w:r>
          </w:p>
        </w:tc>
        <w:tc>
          <w:tcPr>
            <w:tcW w:w="3680" w:type="dxa"/>
            <w:vAlign w:val="bottom"/>
            <w:shd w:val="clear" w:color="auto" w:fill="F6F7F5"/>
          </w:tcPr>
          <w:p>
            <w:pPr>
              <w:ind w:left="140"/>
              <w:spacing w:after="0" w:line="162" w:lineRule="exact"/>
              <w:rPr>
                <w:sz w:val="20"/>
                <w:szCs w:val="20"/>
                <w:color w:val="auto"/>
              </w:rPr>
            </w:pPr>
            <w:r>
              <w:rPr>
                <w:rFonts w:ascii="Arial" w:cs="Arial" w:eastAsia="Arial" w:hAnsi="Arial"/>
                <w:sz w:val="15"/>
                <w:szCs w:val="15"/>
                <w:color w:val="auto"/>
              </w:rPr>
              <w:t>including mandatory preventing sexual harassment</w:t>
            </w:r>
          </w:p>
        </w:tc>
        <w:tc>
          <w:tcPr>
            <w:tcW w:w="0" w:type="dxa"/>
            <w:vAlign w:val="bottom"/>
          </w:tcPr>
          <w:p>
            <w:pPr>
              <w:spacing w:after="0"/>
              <w:rPr>
                <w:sz w:val="1"/>
                <w:szCs w:val="1"/>
                <w:color w:val="auto"/>
              </w:rPr>
            </w:pPr>
          </w:p>
        </w:tc>
      </w:tr>
      <w:tr>
        <w:trPr>
          <w:trHeight w:val="7"/>
        </w:trPr>
        <w:tc>
          <w:tcPr>
            <w:tcW w:w="3740" w:type="dxa"/>
            <w:vAlign w:val="bottom"/>
            <w:vMerge w:val="continue"/>
            <w:shd w:val="clear" w:color="auto" w:fill="F6F7F5"/>
          </w:tcPr>
          <w:p>
            <w:pPr>
              <w:spacing w:after="0" w:line="20" w:lineRule="exact"/>
              <w:rPr>
                <w:sz w:val="1"/>
                <w:szCs w:val="1"/>
                <w:color w:val="auto"/>
              </w:rPr>
            </w:pPr>
          </w:p>
        </w:tc>
        <w:tc>
          <w:tcPr>
            <w:tcW w:w="3600" w:type="dxa"/>
            <w:vAlign w:val="bottom"/>
            <w:vMerge w:val="continue"/>
            <w:shd w:val="clear" w:color="auto" w:fill="F6F7F5"/>
          </w:tcPr>
          <w:p>
            <w:pPr>
              <w:spacing w:after="0" w:line="20" w:lineRule="exact"/>
              <w:rPr>
                <w:sz w:val="1"/>
                <w:szCs w:val="1"/>
                <w:color w:val="auto"/>
              </w:rPr>
            </w:pPr>
          </w:p>
        </w:tc>
        <w:tc>
          <w:tcPr>
            <w:tcW w:w="3680" w:type="dxa"/>
            <w:vAlign w:val="bottom"/>
            <w:shd w:val="clear" w:color="auto" w:fill="F6F7F5"/>
          </w:tcPr>
          <w:p>
            <w:pPr>
              <w:ind w:left="140"/>
              <w:spacing w:after="0" w:line="8" w:lineRule="exact"/>
              <w:rPr>
                <w:sz w:val="20"/>
                <w:szCs w:val="20"/>
                <w:color w:val="auto"/>
              </w:rPr>
            </w:pPr>
            <w:r>
              <w:rPr>
                <w:rFonts w:ascii="Arial" w:cs="Arial" w:eastAsia="Arial" w:hAnsi="Arial"/>
                <w:sz w:val="1"/>
                <w:szCs w:val="1"/>
                <w:color w:val="auto"/>
              </w:rPr>
              <w:t>and workplace compliance training conducted by</w:t>
            </w: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F6F7F5"/>
          </w:tcPr>
          <w:p>
            <w:pPr>
              <w:spacing w:after="0"/>
              <w:rPr>
                <w:sz w:val="13"/>
                <w:szCs w:val="13"/>
                <w:color w:val="auto"/>
              </w:rPr>
            </w:pPr>
          </w:p>
        </w:tc>
        <w:tc>
          <w:tcPr>
            <w:tcW w:w="3600" w:type="dxa"/>
            <w:vAlign w:val="bottom"/>
            <w:shd w:val="clear" w:color="auto" w:fill="F6F7F5"/>
          </w:tcPr>
          <w:p>
            <w:pPr>
              <w:ind w:left="2440"/>
              <w:spacing w:after="0"/>
              <w:rPr>
                <w:sz w:val="20"/>
                <w:szCs w:val="20"/>
                <w:color w:val="auto"/>
              </w:rPr>
            </w:pPr>
            <w:r>
              <w:rPr>
                <w:rFonts w:ascii="Arial" w:cs="Arial" w:eastAsia="Arial" w:hAnsi="Arial"/>
                <w:sz w:val="13"/>
                <w:szCs w:val="13"/>
                <w:color w:val="auto"/>
              </w:rPr>
              <w:t>(4)</w:t>
            </w:r>
          </w:p>
        </w:tc>
        <w:tc>
          <w:tcPr>
            <w:tcW w:w="3680" w:type="dxa"/>
            <w:vAlign w:val="bottom"/>
            <w:vMerge w:val="restart"/>
            <w:shd w:val="clear" w:color="auto" w:fill="F6F7F5"/>
          </w:tcPr>
          <w:p>
            <w:pPr>
              <w:ind w:left="140"/>
              <w:spacing w:after="0"/>
              <w:rPr>
                <w:sz w:val="20"/>
                <w:szCs w:val="20"/>
                <w:color w:val="auto"/>
              </w:rPr>
            </w:pPr>
            <w:r>
              <w:rPr>
                <w:rFonts w:ascii="Arial" w:cs="Arial" w:eastAsia="Arial" w:hAnsi="Arial"/>
                <w:sz w:val="15"/>
                <w:szCs w:val="15"/>
                <w:color w:val="auto"/>
              </w:rPr>
              <w:t>Company’s outside counsel</w:t>
            </w:r>
          </w:p>
        </w:tc>
        <w:tc>
          <w:tcPr>
            <w:tcW w:w="0" w:type="dxa"/>
            <w:vAlign w:val="bottom"/>
          </w:tcPr>
          <w:p>
            <w:pPr>
              <w:spacing w:after="0"/>
              <w:rPr>
                <w:sz w:val="1"/>
                <w:szCs w:val="1"/>
                <w:color w:val="auto"/>
              </w:rPr>
            </w:pPr>
          </w:p>
        </w:tc>
      </w:tr>
      <w:tr>
        <w:trPr>
          <w:trHeight w:val="224"/>
        </w:trPr>
        <w:tc>
          <w:tcPr>
            <w:tcW w:w="3740" w:type="dxa"/>
            <w:vAlign w:val="bottom"/>
            <w:shd w:val="clear" w:color="auto" w:fill="F6F7F5"/>
          </w:tcPr>
          <w:p>
            <w:pPr>
              <w:ind w:left="80"/>
              <w:spacing w:after="0"/>
              <w:rPr>
                <w:sz w:val="20"/>
                <w:szCs w:val="20"/>
                <w:color w:val="auto"/>
              </w:rPr>
            </w:pPr>
            <w:r>
              <w:rPr>
                <w:rFonts w:ascii="Arial" w:cs="Arial" w:eastAsia="Arial" w:hAnsi="Arial"/>
                <w:sz w:val="15"/>
                <w:szCs w:val="15"/>
                <w:color w:val="auto"/>
              </w:rPr>
              <w:t>at each regular Board meeting</w:t>
            </w:r>
          </w:p>
        </w:tc>
        <w:tc>
          <w:tcPr>
            <w:tcW w:w="3600" w:type="dxa"/>
            <w:vAlign w:val="bottom"/>
            <w:vMerge w:val="restart"/>
            <w:shd w:val="clear" w:color="auto" w:fill="F6F7F5"/>
          </w:tcPr>
          <w:p>
            <w:pPr>
              <w:ind w:left="100"/>
              <w:spacing w:after="0"/>
              <w:rPr>
                <w:sz w:val="20"/>
                <w:szCs w:val="20"/>
                <w:color w:val="auto"/>
              </w:rPr>
            </w:pPr>
            <w:r>
              <w:rPr>
                <w:rFonts w:ascii="Arial" w:cs="Arial" w:eastAsia="Arial" w:hAnsi="Arial"/>
                <w:sz w:val="15"/>
                <w:szCs w:val="15"/>
                <w:color w:val="auto"/>
              </w:rPr>
              <w:t>Mandatory director retirement threshold at age 75</w:t>
            </w:r>
          </w:p>
        </w:tc>
        <w:tc>
          <w:tcPr>
            <w:tcW w:w="3680" w:type="dxa"/>
            <w:vAlign w:val="bottom"/>
            <w:vMerge w:val="continue"/>
            <w:shd w:val="clear" w:color="auto" w:fill="F6F7F5"/>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F6F7F5"/>
          </w:tcPr>
          <w:p>
            <w:pPr>
              <w:spacing w:after="0"/>
              <w:rPr>
                <w:sz w:val="14"/>
                <w:szCs w:val="14"/>
                <w:color w:val="auto"/>
              </w:rPr>
            </w:pPr>
          </w:p>
        </w:tc>
        <w:tc>
          <w:tcPr>
            <w:tcW w:w="3600" w:type="dxa"/>
            <w:vAlign w:val="bottom"/>
            <w:vMerge w:val="continue"/>
            <w:shd w:val="clear" w:color="auto" w:fill="F6F7F5"/>
          </w:tcPr>
          <w:p>
            <w:pPr>
              <w:spacing w:after="0"/>
              <w:rPr>
                <w:sz w:val="14"/>
                <w:szCs w:val="14"/>
                <w:color w:val="auto"/>
              </w:rPr>
            </w:pPr>
          </w:p>
        </w:tc>
        <w:tc>
          <w:tcPr>
            <w:tcW w:w="3680" w:type="dxa"/>
            <w:vAlign w:val="bottom"/>
            <w:vMerge w:val="restart"/>
            <w:shd w:val="clear" w:color="auto" w:fill="F6F7F5"/>
          </w:tcPr>
          <w:p>
            <w:pPr>
              <w:ind w:left="140"/>
              <w:spacing w:after="0"/>
              <w:rPr>
                <w:sz w:val="20"/>
                <w:szCs w:val="20"/>
                <w:color w:val="auto"/>
              </w:rPr>
            </w:pPr>
            <w:r>
              <w:rPr>
                <w:rFonts w:ascii="Arial" w:cs="Arial" w:eastAsia="Arial" w:hAnsi="Arial"/>
                <w:sz w:val="15"/>
                <w:szCs w:val="15"/>
                <w:color w:val="auto"/>
              </w:rPr>
              <w:t>Executive sessions of the Audit Committee with:</w:t>
            </w:r>
          </w:p>
        </w:tc>
        <w:tc>
          <w:tcPr>
            <w:tcW w:w="0" w:type="dxa"/>
            <w:vAlign w:val="bottom"/>
          </w:tcPr>
          <w:p>
            <w:pPr>
              <w:spacing w:after="0"/>
              <w:rPr>
                <w:sz w:val="1"/>
                <w:szCs w:val="1"/>
                <w:color w:val="auto"/>
              </w:rPr>
            </w:pPr>
          </w:p>
        </w:tc>
      </w:tr>
      <w:tr>
        <w:trPr>
          <w:trHeight w:val="156"/>
        </w:trPr>
        <w:tc>
          <w:tcPr>
            <w:tcW w:w="3740" w:type="dxa"/>
            <w:vAlign w:val="bottom"/>
            <w:shd w:val="clear" w:color="auto" w:fill="F6F7F5"/>
          </w:tcPr>
          <w:p>
            <w:pPr>
              <w:ind w:left="80"/>
              <w:spacing w:after="0" w:line="156" w:lineRule="exact"/>
              <w:rPr>
                <w:sz w:val="20"/>
                <w:szCs w:val="20"/>
                <w:color w:val="auto"/>
              </w:rPr>
            </w:pPr>
            <w:r>
              <w:rPr>
                <w:rFonts w:ascii="Arial" w:cs="Arial" w:eastAsia="Arial" w:hAnsi="Arial"/>
                <w:sz w:val="15"/>
                <w:szCs w:val="15"/>
                <w:color w:val="auto"/>
              </w:rPr>
              <w:t>Fully Independent Audit, Compensation, and</w:t>
            </w:r>
          </w:p>
        </w:tc>
        <w:tc>
          <w:tcPr>
            <w:tcW w:w="3600" w:type="dxa"/>
            <w:vAlign w:val="bottom"/>
            <w:vMerge w:val="restart"/>
            <w:shd w:val="clear" w:color="auto" w:fill="F6F7F5"/>
          </w:tcPr>
          <w:p>
            <w:pPr>
              <w:ind w:left="1000"/>
              <w:spacing w:after="0"/>
              <w:rPr>
                <w:sz w:val="20"/>
                <w:szCs w:val="20"/>
                <w:color w:val="auto"/>
              </w:rPr>
            </w:pPr>
            <w:r>
              <w:rPr>
                <w:rFonts w:ascii="Arial" w:cs="Arial" w:eastAsia="Arial" w:hAnsi="Arial"/>
                <w:sz w:val="13"/>
                <w:szCs w:val="13"/>
                <w:color w:val="auto"/>
              </w:rPr>
              <w:t>(5)</w:t>
            </w:r>
          </w:p>
        </w:tc>
        <w:tc>
          <w:tcPr>
            <w:tcW w:w="3680" w:type="dxa"/>
            <w:vAlign w:val="bottom"/>
            <w:vMerge w:val="continue"/>
            <w:shd w:val="clear" w:color="auto" w:fill="F6F7F5"/>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740" w:type="dxa"/>
            <w:vAlign w:val="bottom"/>
            <w:vMerge w:val="restart"/>
            <w:shd w:val="clear" w:color="auto" w:fill="F6F7F5"/>
          </w:tcPr>
          <w:p>
            <w:pPr>
              <w:ind w:left="80"/>
              <w:spacing w:after="0"/>
              <w:rPr>
                <w:sz w:val="20"/>
                <w:szCs w:val="20"/>
                <w:color w:val="auto"/>
              </w:rPr>
            </w:pPr>
            <w:r>
              <w:rPr>
                <w:rFonts w:ascii="Arial" w:cs="Arial" w:eastAsia="Arial" w:hAnsi="Arial"/>
                <w:sz w:val="15"/>
                <w:szCs w:val="15"/>
                <w:color w:val="auto"/>
              </w:rPr>
              <w:t>Nominating and Corporate Governance Committees</w:t>
            </w:r>
          </w:p>
        </w:tc>
        <w:tc>
          <w:tcPr>
            <w:tcW w:w="3600" w:type="dxa"/>
            <w:vAlign w:val="bottom"/>
            <w:vMerge w:val="continue"/>
            <w:shd w:val="clear" w:color="auto" w:fill="F6F7F5"/>
          </w:tcPr>
          <w:p>
            <w:pPr>
              <w:spacing w:after="0"/>
              <w:rPr>
                <w:sz w:val="10"/>
                <w:szCs w:val="10"/>
                <w:color w:val="auto"/>
              </w:rPr>
            </w:pPr>
          </w:p>
        </w:tc>
        <w:tc>
          <w:tcPr>
            <w:tcW w:w="3680" w:type="dxa"/>
            <w:vAlign w:val="bottom"/>
            <w:shd w:val="clear" w:color="auto" w:fill="F6F7F5"/>
          </w:tcPr>
          <w:p>
            <w:pPr>
              <w:ind w:left="140"/>
              <w:spacing w:after="0" w:line="122" w:lineRule="exact"/>
              <w:rPr>
                <w:sz w:val="20"/>
                <w:szCs w:val="20"/>
                <w:color w:val="auto"/>
              </w:rPr>
            </w:pPr>
            <w:r>
              <w:rPr>
                <w:rFonts w:ascii="Arial" w:cs="Arial" w:eastAsia="Arial" w:hAnsi="Arial"/>
                <w:sz w:val="14"/>
                <w:szCs w:val="14"/>
                <w:color w:val="auto"/>
              </w:rPr>
              <w:t>-Independent Auditors</w:t>
            </w:r>
          </w:p>
        </w:tc>
        <w:tc>
          <w:tcPr>
            <w:tcW w:w="0" w:type="dxa"/>
            <w:vAlign w:val="bottom"/>
          </w:tcPr>
          <w:p>
            <w:pPr>
              <w:spacing w:after="0"/>
              <w:rPr>
                <w:sz w:val="1"/>
                <w:szCs w:val="1"/>
                <w:color w:val="auto"/>
              </w:rPr>
            </w:pPr>
          </w:p>
        </w:tc>
      </w:tr>
      <w:tr>
        <w:trPr>
          <w:trHeight w:val="162"/>
        </w:trPr>
        <w:tc>
          <w:tcPr>
            <w:tcW w:w="3740" w:type="dxa"/>
            <w:vAlign w:val="bottom"/>
            <w:vMerge w:val="continue"/>
            <w:shd w:val="clear" w:color="auto" w:fill="F6F7F5"/>
          </w:tcPr>
          <w:p>
            <w:pPr>
              <w:spacing w:after="0"/>
              <w:rPr>
                <w:sz w:val="14"/>
                <w:szCs w:val="14"/>
                <w:color w:val="auto"/>
              </w:rPr>
            </w:pPr>
          </w:p>
        </w:tc>
        <w:tc>
          <w:tcPr>
            <w:tcW w:w="3600" w:type="dxa"/>
            <w:vAlign w:val="bottom"/>
            <w:shd w:val="clear" w:color="auto" w:fill="F6F7F5"/>
          </w:tcPr>
          <w:p>
            <w:pPr>
              <w:ind w:left="100"/>
              <w:spacing w:after="0" w:line="162" w:lineRule="exact"/>
              <w:rPr>
                <w:sz w:val="20"/>
                <w:szCs w:val="20"/>
                <w:color w:val="auto"/>
              </w:rPr>
            </w:pPr>
            <w:r>
              <w:rPr>
                <w:rFonts w:ascii="Arial" w:cs="Arial" w:eastAsia="Arial" w:hAnsi="Arial"/>
                <w:sz w:val="15"/>
                <w:szCs w:val="15"/>
                <w:color w:val="auto"/>
              </w:rPr>
              <w:t>10b5-1 Plans</w:t>
            </w:r>
          </w:p>
        </w:tc>
        <w:tc>
          <w:tcPr>
            <w:tcW w:w="3680" w:type="dxa"/>
            <w:vAlign w:val="bottom"/>
            <w:vMerge w:val="restart"/>
            <w:shd w:val="clear" w:color="auto" w:fill="F6F7F5"/>
          </w:tcPr>
          <w:p>
            <w:pPr>
              <w:ind w:left="140"/>
              <w:spacing w:after="0"/>
              <w:rPr>
                <w:sz w:val="20"/>
                <w:szCs w:val="20"/>
                <w:color w:val="auto"/>
              </w:rPr>
            </w:pPr>
            <w:r>
              <w:rPr>
                <w:rFonts w:ascii="Arial" w:cs="Arial" w:eastAsia="Arial" w:hAnsi="Arial"/>
                <w:sz w:val="15"/>
                <w:szCs w:val="15"/>
                <w:color w:val="auto"/>
              </w:rPr>
              <w:t>-General Counsel</w:t>
            </w:r>
          </w:p>
        </w:tc>
        <w:tc>
          <w:tcPr>
            <w:tcW w:w="0" w:type="dxa"/>
            <w:vAlign w:val="bottom"/>
          </w:tcPr>
          <w:p>
            <w:pPr>
              <w:spacing w:after="0"/>
              <w:rPr>
                <w:sz w:val="1"/>
                <w:szCs w:val="1"/>
                <w:color w:val="auto"/>
              </w:rPr>
            </w:pPr>
          </w:p>
        </w:tc>
      </w:tr>
      <w:tr>
        <w:trPr>
          <w:trHeight w:val="24"/>
        </w:trPr>
        <w:tc>
          <w:tcPr>
            <w:tcW w:w="3740" w:type="dxa"/>
            <w:vAlign w:val="bottom"/>
            <w:shd w:val="clear" w:color="auto" w:fill="F6F7F5"/>
          </w:tcPr>
          <w:p>
            <w:pPr>
              <w:spacing w:after="0"/>
              <w:rPr>
                <w:sz w:val="2"/>
                <w:szCs w:val="2"/>
                <w:color w:val="auto"/>
              </w:rPr>
            </w:pPr>
          </w:p>
        </w:tc>
        <w:tc>
          <w:tcPr>
            <w:tcW w:w="3600" w:type="dxa"/>
            <w:vAlign w:val="bottom"/>
            <w:shd w:val="clear" w:color="auto" w:fill="F6F7F5"/>
          </w:tcPr>
          <w:p>
            <w:pPr>
              <w:spacing w:after="0"/>
              <w:rPr>
                <w:sz w:val="2"/>
                <w:szCs w:val="2"/>
                <w:color w:val="auto"/>
              </w:rPr>
            </w:pPr>
          </w:p>
        </w:tc>
        <w:tc>
          <w:tcPr>
            <w:tcW w:w="3680" w:type="dxa"/>
            <w:vAlign w:val="bottom"/>
            <w:vMerge w:val="continue"/>
            <w:shd w:val="clear" w:color="auto" w:fill="F6F7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740" w:type="dxa"/>
            <w:vAlign w:val="bottom"/>
            <w:shd w:val="clear" w:color="auto" w:fill="F6F7F5"/>
          </w:tcPr>
          <w:p>
            <w:pPr>
              <w:ind w:left="2460"/>
              <w:spacing w:after="0" w:line="139" w:lineRule="exact"/>
              <w:rPr>
                <w:sz w:val="20"/>
                <w:szCs w:val="20"/>
                <w:color w:val="auto"/>
              </w:rPr>
            </w:pPr>
            <w:r>
              <w:rPr>
                <w:rFonts w:ascii="Arial" w:cs="Arial" w:eastAsia="Arial" w:hAnsi="Arial"/>
                <w:sz w:val="13"/>
                <w:szCs w:val="13"/>
                <w:color w:val="auto"/>
              </w:rPr>
              <w:t>(3)</w:t>
            </w:r>
          </w:p>
        </w:tc>
        <w:tc>
          <w:tcPr>
            <w:tcW w:w="3600" w:type="dxa"/>
            <w:vAlign w:val="bottom"/>
            <w:vMerge w:val="restart"/>
            <w:shd w:val="clear" w:color="auto" w:fill="F6F7F5"/>
          </w:tcPr>
          <w:p>
            <w:pPr>
              <w:ind w:left="100"/>
              <w:spacing w:after="0"/>
              <w:rPr>
                <w:sz w:val="20"/>
                <w:szCs w:val="20"/>
                <w:color w:val="auto"/>
              </w:rPr>
            </w:pPr>
            <w:r>
              <w:rPr>
                <w:rFonts w:ascii="Arial" w:cs="Arial" w:eastAsia="Arial" w:hAnsi="Arial"/>
                <w:sz w:val="15"/>
                <w:szCs w:val="15"/>
                <w:color w:val="auto"/>
              </w:rPr>
              <w:t>Commitment to Diversity</w:t>
            </w:r>
          </w:p>
        </w:tc>
        <w:tc>
          <w:tcPr>
            <w:tcW w:w="3680" w:type="dxa"/>
            <w:vAlign w:val="bottom"/>
            <w:shd w:val="clear" w:color="auto" w:fill="F6F7F5"/>
          </w:tcPr>
          <w:p>
            <w:pPr>
              <w:ind w:left="140"/>
              <w:spacing w:after="0" w:line="138" w:lineRule="exact"/>
              <w:rPr>
                <w:sz w:val="20"/>
                <w:szCs w:val="20"/>
                <w:color w:val="auto"/>
              </w:rPr>
            </w:pPr>
            <w:r>
              <w:rPr>
                <w:rFonts w:ascii="Arial" w:cs="Arial" w:eastAsia="Arial" w:hAnsi="Arial"/>
                <w:sz w:val="15"/>
                <w:szCs w:val="15"/>
                <w:color w:val="auto"/>
              </w:rPr>
              <w:t>-Chief Audit Executive</w:t>
            </w:r>
          </w:p>
        </w:tc>
        <w:tc>
          <w:tcPr>
            <w:tcW w:w="0" w:type="dxa"/>
            <w:vAlign w:val="bottom"/>
          </w:tcPr>
          <w:p>
            <w:pPr>
              <w:spacing w:after="0"/>
              <w:rPr>
                <w:sz w:val="1"/>
                <w:szCs w:val="1"/>
                <w:color w:val="auto"/>
              </w:rPr>
            </w:pPr>
          </w:p>
        </w:tc>
      </w:tr>
      <w:tr>
        <w:trPr>
          <w:trHeight w:val="105"/>
        </w:trPr>
        <w:tc>
          <w:tcPr>
            <w:tcW w:w="3740" w:type="dxa"/>
            <w:vAlign w:val="bottom"/>
            <w:shd w:val="clear" w:color="auto" w:fill="F6F7F5"/>
          </w:tcPr>
          <w:p>
            <w:pPr>
              <w:ind w:left="80"/>
              <w:spacing w:after="0" w:line="105" w:lineRule="exact"/>
              <w:rPr>
                <w:sz w:val="20"/>
                <w:szCs w:val="20"/>
                <w:color w:val="auto"/>
              </w:rPr>
            </w:pPr>
            <w:r>
              <w:rPr>
                <w:rFonts w:ascii="Arial" w:cs="Arial" w:eastAsia="Arial" w:hAnsi="Arial"/>
                <w:sz w:val="12"/>
                <w:szCs w:val="12"/>
                <w:color w:val="auto"/>
              </w:rPr>
              <w:t>Third party review of compensation</w:t>
            </w:r>
          </w:p>
        </w:tc>
        <w:tc>
          <w:tcPr>
            <w:tcW w:w="3600" w:type="dxa"/>
            <w:vAlign w:val="bottom"/>
            <w:vMerge w:val="continue"/>
            <w:shd w:val="clear" w:color="auto" w:fill="F6F7F5"/>
          </w:tcPr>
          <w:p>
            <w:pPr>
              <w:spacing w:after="0"/>
              <w:rPr>
                <w:sz w:val="9"/>
                <w:szCs w:val="9"/>
                <w:color w:val="auto"/>
              </w:rPr>
            </w:pPr>
          </w:p>
        </w:tc>
        <w:tc>
          <w:tcPr>
            <w:tcW w:w="3680" w:type="dxa"/>
            <w:vAlign w:val="bottom"/>
            <w:vMerge w:val="restart"/>
            <w:shd w:val="clear" w:color="auto" w:fill="F6F7F5"/>
          </w:tcPr>
          <w:p>
            <w:pPr>
              <w:ind w:left="14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1"/>
        </w:trPr>
        <w:tc>
          <w:tcPr>
            <w:tcW w:w="3740" w:type="dxa"/>
            <w:vAlign w:val="bottom"/>
            <w:shd w:val="clear" w:color="auto" w:fill="F6F7F5"/>
          </w:tcPr>
          <w:p>
            <w:pPr>
              <w:spacing w:after="0"/>
              <w:rPr>
                <w:sz w:val="7"/>
                <w:szCs w:val="7"/>
                <w:color w:val="auto"/>
              </w:rPr>
            </w:pPr>
          </w:p>
        </w:tc>
        <w:tc>
          <w:tcPr>
            <w:tcW w:w="3600" w:type="dxa"/>
            <w:vAlign w:val="bottom"/>
            <w:vMerge w:val="restart"/>
            <w:shd w:val="clear" w:color="auto" w:fill="F6F7F5"/>
          </w:tcPr>
          <w:p>
            <w:pPr>
              <w:ind w:left="100"/>
              <w:spacing w:after="0" w:line="162" w:lineRule="exact"/>
              <w:rPr>
                <w:sz w:val="20"/>
                <w:szCs w:val="20"/>
                <w:color w:val="auto"/>
              </w:rPr>
            </w:pPr>
            <w:r>
              <w:rPr>
                <w:rFonts w:ascii="Arial" w:cs="Arial" w:eastAsia="Arial" w:hAnsi="Arial"/>
                <w:sz w:val="15"/>
                <w:szCs w:val="15"/>
                <w:color w:val="auto"/>
              </w:rPr>
              <w:t>-In 2019, adopted policy requiring diverse pool for</w:t>
            </w:r>
          </w:p>
        </w:tc>
        <w:tc>
          <w:tcPr>
            <w:tcW w:w="3680" w:type="dxa"/>
            <w:vAlign w:val="bottom"/>
            <w:vMerge w:val="continue"/>
            <w:shd w:val="clear" w:color="auto" w:fill="F6F7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40" w:type="dxa"/>
            <w:vAlign w:val="bottom"/>
            <w:shd w:val="clear" w:color="auto" w:fill="F6F7F5"/>
          </w:tcPr>
          <w:p>
            <w:pPr>
              <w:spacing w:after="0"/>
              <w:rPr>
                <w:sz w:val="7"/>
                <w:szCs w:val="7"/>
                <w:color w:val="auto"/>
              </w:rPr>
            </w:pPr>
          </w:p>
        </w:tc>
        <w:tc>
          <w:tcPr>
            <w:tcW w:w="3600" w:type="dxa"/>
            <w:vAlign w:val="bottom"/>
            <w:vMerge w:val="continue"/>
            <w:shd w:val="clear" w:color="auto" w:fill="F6F7F5"/>
          </w:tcPr>
          <w:p>
            <w:pPr>
              <w:spacing w:after="0"/>
              <w:rPr>
                <w:sz w:val="7"/>
                <w:szCs w:val="7"/>
                <w:color w:val="auto"/>
              </w:rPr>
            </w:pPr>
          </w:p>
        </w:tc>
        <w:tc>
          <w:tcPr>
            <w:tcW w:w="3680" w:type="dxa"/>
            <w:vAlign w:val="bottom"/>
            <w:vMerge w:val="restart"/>
            <w:shd w:val="clear" w:color="auto" w:fill="F6F7F5"/>
          </w:tcPr>
          <w:p>
            <w:pPr>
              <w:ind w:left="140"/>
              <w:spacing w:after="0"/>
              <w:rPr>
                <w:sz w:val="20"/>
                <w:szCs w:val="20"/>
                <w:color w:val="auto"/>
              </w:rPr>
            </w:pPr>
            <w:r>
              <w:rPr>
                <w:rFonts w:ascii="Arial" w:cs="Arial" w:eastAsia="Arial" w:hAnsi="Arial"/>
                <w:sz w:val="15"/>
                <w:szCs w:val="15"/>
                <w:color w:val="auto"/>
              </w:rPr>
              <w:t>-Chief Global Compliance Officer</w:t>
            </w:r>
          </w:p>
        </w:tc>
        <w:tc>
          <w:tcPr>
            <w:tcW w:w="0" w:type="dxa"/>
            <w:vAlign w:val="bottom"/>
          </w:tcPr>
          <w:p>
            <w:pPr>
              <w:spacing w:after="0"/>
              <w:rPr>
                <w:sz w:val="1"/>
                <w:szCs w:val="1"/>
                <w:color w:val="auto"/>
              </w:rPr>
            </w:pPr>
          </w:p>
        </w:tc>
      </w:tr>
      <w:tr>
        <w:trPr>
          <w:trHeight w:val="103"/>
        </w:trPr>
        <w:tc>
          <w:tcPr>
            <w:tcW w:w="3740" w:type="dxa"/>
            <w:vAlign w:val="bottom"/>
            <w:shd w:val="clear" w:color="auto" w:fill="F6F7F5"/>
          </w:tcPr>
          <w:p>
            <w:pPr>
              <w:spacing w:after="0"/>
              <w:rPr>
                <w:sz w:val="8"/>
                <w:szCs w:val="8"/>
                <w:color w:val="auto"/>
              </w:rPr>
            </w:pPr>
          </w:p>
        </w:tc>
        <w:tc>
          <w:tcPr>
            <w:tcW w:w="3600" w:type="dxa"/>
            <w:vAlign w:val="bottom"/>
            <w:vMerge w:val="restart"/>
            <w:shd w:val="clear" w:color="auto" w:fill="F6F7F5"/>
          </w:tcPr>
          <w:p>
            <w:pPr>
              <w:ind w:left="100"/>
              <w:spacing w:after="0" w:line="162" w:lineRule="exact"/>
              <w:rPr>
                <w:sz w:val="20"/>
                <w:szCs w:val="20"/>
                <w:color w:val="auto"/>
              </w:rPr>
            </w:pPr>
            <w:r>
              <w:rPr>
                <w:rFonts w:ascii="Arial" w:cs="Arial" w:eastAsia="Arial" w:hAnsi="Arial"/>
                <w:sz w:val="15"/>
                <w:szCs w:val="15"/>
                <w:color w:val="auto"/>
              </w:rPr>
              <w:t>new directors</w:t>
            </w:r>
          </w:p>
        </w:tc>
        <w:tc>
          <w:tcPr>
            <w:tcW w:w="3680" w:type="dxa"/>
            <w:vAlign w:val="bottom"/>
            <w:vMerge w:val="continue"/>
            <w:shd w:val="clear" w:color="auto" w:fill="F6F7F5"/>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740" w:type="dxa"/>
            <w:vAlign w:val="bottom"/>
            <w:shd w:val="clear" w:color="auto" w:fill="F6F7F5"/>
          </w:tcPr>
          <w:p>
            <w:pPr>
              <w:spacing w:after="0"/>
              <w:rPr>
                <w:sz w:val="5"/>
                <w:szCs w:val="5"/>
                <w:color w:val="auto"/>
              </w:rPr>
            </w:pPr>
          </w:p>
        </w:tc>
        <w:tc>
          <w:tcPr>
            <w:tcW w:w="3600" w:type="dxa"/>
            <w:vAlign w:val="bottom"/>
            <w:vMerge w:val="continue"/>
            <w:shd w:val="clear" w:color="auto" w:fill="F6F7F5"/>
          </w:tcPr>
          <w:p>
            <w:pPr>
              <w:spacing w:after="0"/>
              <w:rPr>
                <w:sz w:val="5"/>
                <w:szCs w:val="5"/>
                <w:color w:val="auto"/>
              </w:rPr>
            </w:pPr>
          </w:p>
        </w:tc>
        <w:tc>
          <w:tcPr>
            <w:tcW w:w="3680" w:type="dxa"/>
            <w:vAlign w:val="bottom"/>
            <w:shd w:val="clear" w:color="auto" w:fill="F6F7F5"/>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F6F7F5"/>
          </w:tcPr>
          <w:p>
            <w:pPr>
              <w:spacing w:after="0"/>
              <w:rPr>
                <w:sz w:val="14"/>
                <w:szCs w:val="14"/>
                <w:color w:val="auto"/>
              </w:rPr>
            </w:pPr>
          </w:p>
        </w:tc>
        <w:tc>
          <w:tcPr>
            <w:tcW w:w="3600" w:type="dxa"/>
            <w:vAlign w:val="bottom"/>
            <w:shd w:val="clear" w:color="auto" w:fill="F6F7F5"/>
          </w:tcPr>
          <w:p>
            <w:pPr>
              <w:ind w:left="100"/>
              <w:spacing w:after="0" w:line="162" w:lineRule="exact"/>
              <w:rPr>
                <w:sz w:val="20"/>
                <w:szCs w:val="20"/>
                <w:color w:val="auto"/>
              </w:rPr>
            </w:pPr>
            <w:r>
              <w:rPr>
                <w:rFonts w:ascii="Arial" w:cs="Arial" w:eastAsia="Arial" w:hAnsi="Arial"/>
                <w:sz w:val="15"/>
                <w:szCs w:val="15"/>
                <w:color w:val="auto"/>
              </w:rPr>
              <w:t>-Support for NASDAQ rule to require director</w:t>
            </w:r>
          </w:p>
        </w:tc>
        <w:tc>
          <w:tcPr>
            <w:tcW w:w="3680" w:type="dxa"/>
            <w:vAlign w:val="bottom"/>
            <w:shd w:val="clear" w:color="auto" w:fill="F6F7F5"/>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40" w:type="dxa"/>
            <w:vAlign w:val="bottom"/>
            <w:shd w:val="clear" w:color="auto" w:fill="F6F7F5"/>
          </w:tcPr>
          <w:p>
            <w:pPr>
              <w:spacing w:after="0"/>
              <w:rPr>
                <w:sz w:val="16"/>
                <w:szCs w:val="16"/>
                <w:color w:val="auto"/>
              </w:rPr>
            </w:pPr>
          </w:p>
        </w:tc>
        <w:tc>
          <w:tcPr>
            <w:tcW w:w="3600" w:type="dxa"/>
            <w:vAlign w:val="bottom"/>
            <w:shd w:val="clear" w:color="auto" w:fill="F6F7F5"/>
          </w:tcPr>
          <w:p>
            <w:pPr>
              <w:ind w:left="100"/>
              <w:spacing w:after="0"/>
              <w:rPr>
                <w:sz w:val="20"/>
                <w:szCs w:val="20"/>
                <w:color w:val="auto"/>
              </w:rPr>
            </w:pPr>
            <w:r>
              <w:rPr>
                <w:rFonts w:ascii="Arial" w:cs="Arial" w:eastAsia="Arial" w:hAnsi="Arial"/>
                <w:sz w:val="15"/>
                <w:szCs w:val="15"/>
                <w:color w:val="auto"/>
              </w:rPr>
              <w:t>diversity and disclosure</w:t>
            </w:r>
          </w:p>
        </w:tc>
        <w:tc>
          <w:tcPr>
            <w:tcW w:w="3680" w:type="dxa"/>
            <w:vAlign w:val="bottom"/>
            <w:shd w:val="clear" w:color="auto" w:fill="F6F7F5"/>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740" w:type="dxa"/>
            <w:vAlign w:val="bottom"/>
            <w:shd w:val="clear" w:color="auto" w:fill="F6F7F5"/>
          </w:tcPr>
          <w:p>
            <w:pPr>
              <w:spacing w:after="0"/>
              <w:rPr>
                <w:sz w:val="5"/>
                <w:szCs w:val="5"/>
                <w:color w:val="auto"/>
              </w:rPr>
            </w:pPr>
          </w:p>
        </w:tc>
        <w:tc>
          <w:tcPr>
            <w:tcW w:w="3600" w:type="dxa"/>
            <w:vAlign w:val="bottom"/>
            <w:shd w:val="clear" w:color="auto" w:fill="F6F7F5"/>
          </w:tcPr>
          <w:p>
            <w:pPr>
              <w:spacing w:after="0"/>
              <w:rPr>
                <w:sz w:val="5"/>
                <w:szCs w:val="5"/>
                <w:color w:val="auto"/>
              </w:rPr>
            </w:pPr>
          </w:p>
        </w:tc>
        <w:tc>
          <w:tcPr>
            <w:tcW w:w="3680" w:type="dxa"/>
            <w:vAlign w:val="bottom"/>
            <w:shd w:val="clear" w:color="auto" w:fill="F6F7F5"/>
          </w:tcPr>
          <w:p>
            <w:pPr>
              <w:spacing w:after="0"/>
              <w:rPr>
                <w:sz w:val="5"/>
                <w:szCs w:val="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200" w:hanging="4"/>
        <w:spacing w:after="0" w:line="230" w:lineRule="auto"/>
        <w:tabs>
          <w:tab w:leader="none" w:pos="309"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responsibilities of the Board chair are disclosed in our Corporate Governance Guidelines available on our website. This Proxy Statement contains hyperlinks to information on our website. The information on our website is not incorporated by reference into this Proxy Statement.</w:t>
      </w:r>
    </w:p>
    <w:p>
      <w:pPr>
        <w:spacing w:after="0" w:line="91" w:lineRule="exact"/>
        <w:rPr>
          <w:rFonts w:ascii="Arial" w:cs="Arial" w:eastAsia="Arial" w:hAnsi="Arial"/>
          <w:sz w:val="13"/>
          <w:szCs w:val="13"/>
          <w:color w:val="auto"/>
        </w:rPr>
      </w:pPr>
    </w:p>
    <w:p>
      <w:pPr>
        <w:ind w:left="120" w:right="180" w:hanging="4"/>
        <w:spacing w:after="0" w:line="230" w:lineRule="auto"/>
        <w:tabs>
          <w:tab w:leader="none" w:pos="309"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of our non-executive Board members qualify as “independent” under NASDAQ listing rules. All members of the Audit and Compensation Committees satisfy the independence requirements under the Securities Exchange Act of 1934, as amended (the “Exchange Act”).</w:t>
      </w:r>
    </w:p>
    <w:p>
      <w:pPr>
        <w:spacing w:after="0" w:line="91" w:lineRule="exact"/>
        <w:rPr>
          <w:rFonts w:ascii="Arial" w:cs="Arial" w:eastAsia="Arial" w:hAnsi="Arial"/>
          <w:sz w:val="13"/>
          <w:szCs w:val="13"/>
          <w:color w:val="auto"/>
        </w:rPr>
      </w:pPr>
    </w:p>
    <w:p>
      <w:pPr>
        <w:ind w:left="120" w:right="240" w:hanging="4"/>
        <w:spacing w:after="0" w:line="259" w:lineRule="auto"/>
        <w:tabs>
          <w:tab w:leader="none" w:pos="309"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CEO’s compensation is established and reviewed by the Compensation Committee, all of whose members are independent. The Compensation Committee engages an independent third party to evaluate the level of the compensation provided to our NEOs. This evaluation was last completed in 2021 by Radford as described in the “Compensation Discussion and Analysis”.</w:t>
      </w:r>
    </w:p>
    <w:p>
      <w:pPr>
        <w:spacing w:after="0" w:line="80" w:lineRule="exact"/>
        <w:rPr>
          <w:rFonts w:ascii="Arial" w:cs="Arial" w:eastAsia="Arial" w:hAnsi="Arial"/>
          <w:sz w:val="12"/>
          <w:szCs w:val="12"/>
          <w:color w:val="auto"/>
        </w:rPr>
      </w:pPr>
    </w:p>
    <w:p>
      <w:pPr>
        <w:ind w:left="120" w:right="120" w:hanging="4"/>
        <w:spacing w:after="0" w:line="225" w:lineRule="auto"/>
        <w:tabs>
          <w:tab w:leader="none" w:pos="309" w:val="left"/>
        </w:tabs>
        <w:numPr>
          <w:ilvl w:val="0"/>
          <w:numId w:val="16"/>
        </w:numPr>
        <w:rPr>
          <w:rFonts w:ascii="Arial" w:cs="Arial" w:eastAsia="Arial" w:hAnsi="Arial"/>
          <w:sz w:val="13"/>
          <w:szCs w:val="13"/>
          <w:color w:val="auto"/>
        </w:rPr>
      </w:pPr>
      <w:r>
        <w:rPr>
          <w:rFonts w:ascii="Arial" w:cs="Arial" w:eastAsia="Arial" w:hAnsi="Arial"/>
          <w:sz w:val="13"/>
          <w:szCs w:val="13"/>
          <w:color w:val="auto"/>
        </w:rPr>
        <w:t>Pursuant to the Company’s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w:t>
      </w:r>
    </w:p>
    <w:p>
      <w:pPr>
        <w:spacing w:after="0" w:line="92" w:lineRule="exact"/>
        <w:rPr>
          <w:rFonts w:ascii="Arial" w:cs="Arial" w:eastAsia="Arial" w:hAnsi="Arial"/>
          <w:sz w:val="13"/>
          <w:szCs w:val="13"/>
          <w:color w:val="auto"/>
        </w:rPr>
      </w:pPr>
    </w:p>
    <w:p>
      <w:pPr>
        <w:ind w:left="120" w:right="40" w:hanging="4"/>
        <w:spacing w:after="0" w:line="230" w:lineRule="auto"/>
        <w:tabs>
          <w:tab w:leader="none" w:pos="309"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Trading Policy requires any executive who, at the time of the transaction owns more than $15 million of Company stock, and all directors to enter into a 10b5-1 plan for transactions related to our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27"/>
          <w:szCs w:val="27"/>
          <w:color w:val="auto"/>
        </w:rPr>
        <w:t>Board committees</w:t>
      </w:r>
    </w:p>
    <w:p>
      <w:pPr>
        <w:spacing w:after="0" w:line="21" w:lineRule="exact"/>
        <w:rPr>
          <w:sz w:val="20"/>
          <w:szCs w:val="20"/>
          <w:color w:val="auto"/>
        </w:rPr>
      </w:pPr>
    </w:p>
    <w:p>
      <w:pPr>
        <w:ind w:left="120" w:right="280"/>
        <w:spacing w:after="0" w:line="261" w:lineRule="auto"/>
        <w:rPr>
          <w:sz w:val="20"/>
          <w:szCs w:val="20"/>
          <w:color w:val="auto"/>
        </w:rPr>
      </w:pPr>
      <w:r>
        <w:rPr>
          <w:rFonts w:ascii="Arial" w:cs="Arial" w:eastAsia="Arial" w:hAnsi="Arial"/>
          <w:sz w:val="17"/>
          <w:szCs w:val="17"/>
          <w:color w:val="auto"/>
        </w:rPr>
        <w:t>The Board of Directors has three standing committees, each comprised solely of independent directors: the Audit Committee, the Compensation Committee, and the Nominating and Corporate Governance Committee. The written charters for these committees are available on our website at http://www.wynnresorts.com under the heading “Corporate Governance”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135890</wp:posOffset>
            </wp:positionV>
            <wp:extent cx="8255" cy="1697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6973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135890</wp:posOffset>
            </wp:positionV>
            <wp:extent cx="8255" cy="1697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6973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135890</wp:posOffset>
            </wp:positionV>
            <wp:extent cx="8890" cy="1697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6973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135890</wp:posOffset>
            </wp:positionV>
            <wp:extent cx="8890" cy="1697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69735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440" w:type="dxa"/>
            <w:vAlign w:val="bottom"/>
            <w:shd w:val="clear" w:color="auto" w:fill="ADB59E"/>
          </w:tcPr>
          <w:p>
            <w:pPr>
              <w:spacing w:after="0"/>
              <w:rPr>
                <w:sz w:val="11"/>
                <w:szCs w:val="11"/>
                <w:color w:val="auto"/>
              </w:rPr>
            </w:pPr>
          </w:p>
        </w:tc>
        <w:tc>
          <w:tcPr>
            <w:tcW w:w="1880" w:type="dxa"/>
            <w:vAlign w:val="bottom"/>
            <w:vMerge w:val="restart"/>
            <w:shd w:val="clear" w:color="auto" w:fill="ADB59E"/>
          </w:tcPr>
          <w:p>
            <w:pPr>
              <w:ind w:left="620"/>
              <w:spacing w:after="0"/>
              <w:rPr>
                <w:sz w:val="20"/>
                <w:szCs w:val="20"/>
                <w:color w:val="auto"/>
              </w:rPr>
            </w:pPr>
            <w:r>
              <w:rPr>
                <w:rFonts w:ascii="Arial" w:cs="Arial" w:eastAsia="Arial" w:hAnsi="Arial"/>
                <w:sz w:val="11"/>
                <w:szCs w:val="11"/>
                <w:b w:val="1"/>
                <w:bCs w:val="1"/>
                <w:color w:val="FFFFFF"/>
              </w:rPr>
              <w:t>INDEPENDENT</w:t>
            </w:r>
          </w:p>
        </w:tc>
        <w:tc>
          <w:tcPr>
            <w:tcW w:w="1620" w:type="dxa"/>
            <w:vAlign w:val="bottom"/>
            <w:vMerge w:val="restart"/>
            <w:shd w:val="clear" w:color="auto" w:fill="ADB59E"/>
          </w:tcPr>
          <w:p>
            <w:pPr>
              <w:ind w:left="620"/>
              <w:spacing w:after="0"/>
              <w:rPr>
                <w:sz w:val="20"/>
                <w:szCs w:val="20"/>
                <w:color w:val="auto"/>
              </w:rPr>
            </w:pPr>
            <w:r>
              <w:rPr>
                <w:rFonts w:ascii="Arial" w:cs="Arial" w:eastAsia="Arial" w:hAnsi="Arial"/>
                <w:sz w:val="11"/>
                <w:szCs w:val="11"/>
                <w:b w:val="1"/>
                <w:bCs w:val="1"/>
                <w:color w:val="FFFFFF"/>
              </w:rPr>
              <w:t>AUDIT</w:t>
            </w:r>
          </w:p>
        </w:tc>
        <w:tc>
          <w:tcPr>
            <w:tcW w:w="1820" w:type="dxa"/>
            <w:vAlign w:val="bottom"/>
            <w:vMerge w:val="restart"/>
            <w:shd w:val="clear" w:color="auto" w:fill="ADB59E"/>
          </w:tcPr>
          <w:p>
            <w:pPr>
              <w:jc w:val="center"/>
              <w:spacing w:after="0"/>
              <w:rPr>
                <w:sz w:val="20"/>
                <w:szCs w:val="20"/>
                <w:color w:val="auto"/>
              </w:rPr>
            </w:pPr>
            <w:r>
              <w:rPr>
                <w:rFonts w:ascii="Arial" w:cs="Arial" w:eastAsia="Arial" w:hAnsi="Arial"/>
                <w:sz w:val="11"/>
                <w:szCs w:val="11"/>
                <w:b w:val="1"/>
                <w:bCs w:val="1"/>
                <w:color w:val="FFFFFF"/>
                <w:w w:val="97"/>
              </w:rPr>
              <w:t>COMPENSATION</w:t>
            </w:r>
          </w:p>
        </w:tc>
        <w:tc>
          <w:tcPr>
            <w:tcW w:w="2260" w:type="dxa"/>
            <w:vAlign w:val="bottom"/>
            <w:shd w:val="clear" w:color="auto" w:fill="ADB59E"/>
          </w:tcPr>
          <w:p>
            <w:pPr>
              <w:jc w:val="center"/>
              <w:ind w:left="73"/>
              <w:spacing w:after="0"/>
              <w:rPr>
                <w:sz w:val="20"/>
                <w:szCs w:val="20"/>
                <w:color w:val="auto"/>
              </w:rPr>
            </w:pPr>
            <w:r>
              <w:rPr>
                <w:rFonts w:ascii="Arial" w:cs="Arial" w:eastAsia="Arial" w:hAnsi="Arial"/>
                <w:sz w:val="11"/>
                <w:szCs w:val="11"/>
                <w:b w:val="1"/>
                <w:bCs w:val="1"/>
                <w:color w:val="FFFFFF"/>
                <w:w w:val="95"/>
              </w:rPr>
              <w:t>NOMINATING</w:t>
            </w:r>
          </w:p>
        </w:tc>
        <w:tc>
          <w:tcPr>
            <w:tcW w:w="0" w:type="dxa"/>
            <w:vAlign w:val="bottom"/>
          </w:tcPr>
          <w:p>
            <w:pPr>
              <w:spacing w:after="0"/>
              <w:rPr>
                <w:sz w:val="1"/>
                <w:szCs w:val="1"/>
                <w:color w:val="auto"/>
              </w:rPr>
            </w:pPr>
          </w:p>
        </w:tc>
      </w:tr>
      <w:tr>
        <w:trPr>
          <w:trHeight w:val="81"/>
        </w:trPr>
        <w:tc>
          <w:tcPr>
            <w:tcW w:w="3440" w:type="dxa"/>
            <w:vAlign w:val="bottom"/>
            <w:vMerge w:val="restart"/>
            <w:shd w:val="clear" w:color="auto" w:fill="ADB59E"/>
          </w:tcPr>
          <w:p>
            <w:pPr>
              <w:ind w:left="60"/>
              <w:spacing w:after="0"/>
              <w:rPr>
                <w:sz w:val="20"/>
                <w:szCs w:val="20"/>
                <w:color w:val="auto"/>
              </w:rPr>
            </w:pPr>
            <w:r>
              <w:rPr>
                <w:rFonts w:ascii="Arial" w:cs="Arial" w:eastAsia="Arial" w:hAnsi="Arial"/>
                <w:sz w:val="11"/>
                <w:szCs w:val="11"/>
                <w:b w:val="1"/>
                <w:bCs w:val="1"/>
                <w:color w:val="FFFFFF"/>
              </w:rPr>
              <w:t>DIRECTOR</w:t>
            </w:r>
          </w:p>
        </w:tc>
        <w:tc>
          <w:tcPr>
            <w:tcW w:w="1880" w:type="dxa"/>
            <w:vAlign w:val="bottom"/>
            <w:vMerge w:val="continue"/>
            <w:shd w:val="clear" w:color="auto" w:fill="ADB59E"/>
          </w:tcPr>
          <w:p>
            <w:pPr>
              <w:spacing w:after="0"/>
              <w:rPr>
                <w:sz w:val="7"/>
                <w:szCs w:val="7"/>
                <w:color w:val="auto"/>
              </w:rPr>
            </w:pPr>
          </w:p>
        </w:tc>
        <w:tc>
          <w:tcPr>
            <w:tcW w:w="1620" w:type="dxa"/>
            <w:vAlign w:val="bottom"/>
            <w:vMerge w:val="continue"/>
            <w:shd w:val="clear" w:color="auto" w:fill="ADB59E"/>
          </w:tcPr>
          <w:p>
            <w:pPr>
              <w:spacing w:after="0"/>
              <w:rPr>
                <w:sz w:val="7"/>
                <w:szCs w:val="7"/>
                <w:color w:val="auto"/>
              </w:rPr>
            </w:pPr>
          </w:p>
        </w:tc>
        <w:tc>
          <w:tcPr>
            <w:tcW w:w="1820" w:type="dxa"/>
            <w:vAlign w:val="bottom"/>
            <w:vMerge w:val="continue"/>
            <w:shd w:val="clear" w:color="auto" w:fill="ADB59E"/>
          </w:tcPr>
          <w:p>
            <w:pPr>
              <w:spacing w:after="0"/>
              <w:rPr>
                <w:sz w:val="7"/>
                <w:szCs w:val="7"/>
                <w:color w:val="auto"/>
              </w:rPr>
            </w:pPr>
          </w:p>
        </w:tc>
        <w:tc>
          <w:tcPr>
            <w:tcW w:w="2260" w:type="dxa"/>
            <w:vAlign w:val="bottom"/>
            <w:vMerge w:val="restart"/>
            <w:shd w:val="clear" w:color="auto" w:fill="ADB59E"/>
          </w:tcPr>
          <w:p>
            <w:pPr>
              <w:jc w:val="center"/>
              <w:ind w:left="53"/>
              <w:spacing w:after="0" w:line="122" w:lineRule="exact"/>
              <w:rPr>
                <w:sz w:val="20"/>
                <w:szCs w:val="20"/>
                <w:color w:val="auto"/>
              </w:rPr>
            </w:pPr>
            <w:r>
              <w:rPr>
                <w:rFonts w:ascii="Arial" w:cs="Arial" w:eastAsia="Arial" w:hAnsi="Arial"/>
                <w:sz w:val="11"/>
                <w:szCs w:val="11"/>
                <w:b w:val="1"/>
                <w:bCs w:val="1"/>
                <w:color w:val="FFFFFF"/>
                <w:w w:val="96"/>
              </w:rPr>
              <w:t>AND CORPORATE</w:t>
            </w:r>
          </w:p>
        </w:tc>
        <w:tc>
          <w:tcPr>
            <w:tcW w:w="0" w:type="dxa"/>
            <w:vAlign w:val="bottom"/>
          </w:tcPr>
          <w:p>
            <w:pPr>
              <w:spacing w:after="0"/>
              <w:rPr>
                <w:sz w:val="1"/>
                <w:szCs w:val="1"/>
                <w:color w:val="auto"/>
              </w:rPr>
            </w:pPr>
          </w:p>
        </w:tc>
      </w:tr>
      <w:tr>
        <w:trPr>
          <w:trHeight w:val="40"/>
        </w:trPr>
        <w:tc>
          <w:tcPr>
            <w:tcW w:w="3440" w:type="dxa"/>
            <w:vAlign w:val="bottom"/>
            <w:vMerge w:val="continue"/>
            <w:shd w:val="clear" w:color="auto" w:fill="ADB59E"/>
          </w:tcPr>
          <w:p>
            <w:pPr>
              <w:spacing w:after="0"/>
              <w:rPr>
                <w:sz w:val="3"/>
                <w:szCs w:val="3"/>
                <w:color w:val="auto"/>
              </w:rPr>
            </w:pPr>
          </w:p>
        </w:tc>
        <w:tc>
          <w:tcPr>
            <w:tcW w:w="1880" w:type="dxa"/>
            <w:vAlign w:val="bottom"/>
            <w:vMerge w:val="restart"/>
            <w:shd w:val="clear" w:color="auto" w:fill="ADB59E"/>
          </w:tcPr>
          <w:p>
            <w:pPr>
              <w:jc w:val="center"/>
              <w:spacing w:after="0"/>
              <w:rPr>
                <w:sz w:val="20"/>
                <w:szCs w:val="20"/>
                <w:color w:val="auto"/>
              </w:rPr>
            </w:pPr>
            <w:r>
              <w:rPr>
                <w:rFonts w:ascii="Arial" w:cs="Arial" w:eastAsia="Arial" w:hAnsi="Arial"/>
                <w:sz w:val="11"/>
                <w:szCs w:val="11"/>
                <w:b w:val="1"/>
                <w:bCs w:val="1"/>
                <w:color w:val="FFFFFF"/>
                <w:w w:val="97"/>
              </w:rPr>
              <w:t>DIRECTOR</w:t>
            </w:r>
          </w:p>
        </w:tc>
        <w:tc>
          <w:tcPr>
            <w:tcW w:w="1620" w:type="dxa"/>
            <w:vAlign w:val="bottom"/>
            <w:vMerge w:val="restart"/>
            <w:shd w:val="clear" w:color="auto" w:fill="ADB59E"/>
          </w:tcPr>
          <w:p>
            <w:pPr>
              <w:ind w:left="500"/>
              <w:spacing w:after="0"/>
              <w:rPr>
                <w:sz w:val="20"/>
                <w:szCs w:val="20"/>
                <w:color w:val="auto"/>
              </w:rPr>
            </w:pPr>
            <w:r>
              <w:rPr>
                <w:rFonts w:ascii="Arial" w:cs="Arial" w:eastAsia="Arial" w:hAnsi="Arial"/>
                <w:sz w:val="11"/>
                <w:szCs w:val="11"/>
                <w:b w:val="1"/>
                <w:bCs w:val="1"/>
                <w:color w:val="FFFFFF"/>
              </w:rPr>
              <w:t>COMMITTEE</w:t>
            </w:r>
          </w:p>
        </w:tc>
        <w:tc>
          <w:tcPr>
            <w:tcW w:w="1820" w:type="dxa"/>
            <w:vAlign w:val="bottom"/>
            <w:vMerge w:val="restart"/>
            <w:shd w:val="clear" w:color="auto" w:fill="ADB59E"/>
          </w:tcPr>
          <w:p>
            <w:pPr>
              <w:jc w:val="center"/>
              <w:spacing w:after="0"/>
              <w:rPr>
                <w:sz w:val="20"/>
                <w:szCs w:val="20"/>
                <w:color w:val="auto"/>
              </w:rPr>
            </w:pPr>
            <w:r>
              <w:rPr>
                <w:rFonts w:ascii="Arial" w:cs="Arial" w:eastAsia="Arial" w:hAnsi="Arial"/>
                <w:sz w:val="11"/>
                <w:szCs w:val="11"/>
                <w:b w:val="1"/>
                <w:bCs w:val="1"/>
                <w:color w:val="FFFFFF"/>
                <w:w w:val="96"/>
              </w:rPr>
              <w:t>COMMITTEE</w:t>
            </w:r>
          </w:p>
        </w:tc>
        <w:tc>
          <w:tcPr>
            <w:tcW w:w="2260" w:type="dxa"/>
            <w:vAlign w:val="bottom"/>
            <w:vMerge w:val="continue"/>
            <w:shd w:val="clear" w:color="auto" w:fill="ADB59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440" w:type="dxa"/>
            <w:vAlign w:val="bottom"/>
            <w:vMerge w:val="continue"/>
            <w:shd w:val="clear" w:color="auto" w:fill="ADB59E"/>
          </w:tcPr>
          <w:p>
            <w:pPr>
              <w:spacing w:after="0"/>
              <w:rPr>
                <w:sz w:val="5"/>
                <w:szCs w:val="5"/>
                <w:color w:val="auto"/>
              </w:rPr>
            </w:pPr>
          </w:p>
        </w:tc>
        <w:tc>
          <w:tcPr>
            <w:tcW w:w="1880" w:type="dxa"/>
            <w:vAlign w:val="bottom"/>
            <w:vMerge w:val="continue"/>
            <w:shd w:val="clear" w:color="auto" w:fill="ADB59E"/>
          </w:tcPr>
          <w:p>
            <w:pPr>
              <w:spacing w:after="0"/>
              <w:rPr>
                <w:sz w:val="5"/>
                <w:szCs w:val="5"/>
                <w:color w:val="auto"/>
              </w:rPr>
            </w:pPr>
          </w:p>
        </w:tc>
        <w:tc>
          <w:tcPr>
            <w:tcW w:w="1620" w:type="dxa"/>
            <w:vAlign w:val="bottom"/>
            <w:vMerge w:val="continue"/>
            <w:shd w:val="clear" w:color="auto" w:fill="ADB59E"/>
          </w:tcPr>
          <w:p>
            <w:pPr>
              <w:spacing w:after="0"/>
              <w:rPr>
                <w:sz w:val="5"/>
                <w:szCs w:val="5"/>
                <w:color w:val="auto"/>
              </w:rPr>
            </w:pPr>
          </w:p>
        </w:tc>
        <w:tc>
          <w:tcPr>
            <w:tcW w:w="1820" w:type="dxa"/>
            <w:vAlign w:val="bottom"/>
            <w:vMerge w:val="continue"/>
            <w:shd w:val="clear" w:color="auto" w:fill="ADB59E"/>
          </w:tcPr>
          <w:p>
            <w:pPr>
              <w:spacing w:after="0"/>
              <w:rPr>
                <w:sz w:val="5"/>
                <w:szCs w:val="5"/>
                <w:color w:val="auto"/>
              </w:rPr>
            </w:pPr>
          </w:p>
        </w:tc>
        <w:tc>
          <w:tcPr>
            <w:tcW w:w="2260" w:type="dxa"/>
            <w:vAlign w:val="bottom"/>
            <w:vMerge w:val="restart"/>
            <w:shd w:val="clear" w:color="auto" w:fill="ADB59E"/>
          </w:tcPr>
          <w:p>
            <w:pPr>
              <w:jc w:val="center"/>
              <w:ind w:left="53"/>
              <w:spacing w:after="0"/>
              <w:rPr>
                <w:sz w:val="20"/>
                <w:szCs w:val="20"/>
                <w:color w:val="auto"/>
              </w:rPr>
            </w:pPr>
            <w:r>
              <w:rPr>
                <w:rFonts w:ascii="Arial" w:cs="Arial" w:eastAsia="Arial" w:hAnsi="Arial"/>
                <w:sz w:val="11"/>
                <w:szCs w:val="11"/>
                <w:b w:val="1"/>
                <w:bCs w:val="1"/>
                <w:color w:val="FFFFFF"/>
                <w:w w:val="98"/>
              </w:rPr>
              <w:t>GOVERNANCE COMMITTEE</w:t>
            </w:r>
          </w:p>
        </w:tc>
        <w:tc>
          <w:tcPr>
            <w:tcW w:w="0" w:type="dxa"/>
            <w:vAlign w:val="bottom"/>
          </w:tcPr>
          <w:p>
            <w:pPr>
              <w:spacing w:after="0"/>
              <w:rPr>
                <w:sz w:val="1"/>
                <w:szCs w:val="1"/>
                <w:color w:val="auto"/>
              </w:rPr>
            </w:pPr>
          </w:p>
        </w:tc>
      </w:tr>
      <w:tr>
        <w:trPr>
          <w:trHeight w:val="40"/>
        </w:trPr>
        <w:tc>
          <w:tcPr>
            <w:tcW w:w="3440" w:type="dxa"/>
            <w:vAlign w:val="bottom"/>
            <w:shd w:val="clear" w:color="auto" w:fill="ADB59E"/>
          </w:tcPr>
          <w:p>
            <w:pPr>
              <w:spacing w:after="0"/>
              <w:rPr>
                <w:sz w:val="3"/>
                <w:szCs w:val="3"/>
                <w:color w:val="auto"/>
              </w:rPr>
            </w:pPr>
          </w:p>
        </w:tc>
        <w:tc>
          <w:tcPr>
            <w:tcW w:w="1880" w:type="dxa"/>
            <w:vAlign w:val="bottom"/>
            <w:vMerge w:val="continue"/>
            <w:shd w:val="clear" w:color="auto" w:fill="ADB59E"/>
          </w:tcPr>
          <w:p>
            <w:pPr>
              <w:spacing w:after="0"/>
              <w:rPr>
                <w:sz w:val="3"/>
                <w:szCs w:val="3"/>
                <w:color w:val="auto"/>
              </w:rPr>
            </w:pPr>
          </w:p>
        </w:tc>
        <w:tc>
          <w:tcPr>
            <w:tcW w:w="1620" w:type="dxa"/>
            <w:vAlign w:val="bottom"/>
            <w:vMerge w:val="continue"/>
            <w:shd w:val="clear" w:color="auto" w:fill="ADB59E"/>
          </w:tcPr>
          <w:p>
            <w:pPr>
              <w:spacing w:after="0"/>
              <w:rPr>
                <w:sz w:val="3"/>
                <w:szCs w:val="3"/>
                <w:color w:val="auto"/>
              </w:rPr>
            </w:pPr>
          </w:p>
        </w:tc>
        <w:tc>
          <w:tcPr>
            <w:tcW w:w="1820" w:type="dxa"/>
            <w:vAlign w:val="bottom"/>
            <w:vMerge w:val="continue"/>
            <w:shd w:val="clear" w:color="auto" w:fill="ADB59E"/>
          </w:tcPr>
          <w:p>
            <w:pPr>
              <w:spacing w:after="0"/>
              <w:rPr>
                <w:sz w:val="3"/>
                <w:szCs w:val="3"/>
                <w:color w:val="auto"/>
              </w:rPr>
            </w:pPr>
          </w:p>
        </w:tc>
        <w:tc>
          <w:tcPr>
            <w:tcW w:w="2260" w:type="dxa"/>
            <w:vAlign w:val="bottom"/>
            <w:vMerge w:val="continue"/>
            <w:shd w:val="clear" w:color="auto" w:fill="ADB59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3440" w:type="dxa"/>
            <w:vAlign w:val="bottom"/>
            <w:shd w:val="clear" w:color="auto" w:fill="ADB59E"/>
          </w:tcPr>
          <w:p>
            <w:pPr>
              <w:spacing w:after="0"/>
              <w:rPr>
                <w:sz w:val="3"/>
                <w:szCs w:val="3"/>
                <w:color w:val="auto"/>
              </w:rPr>
            </w:pPr>
          </w:p>
        </w:tc>
        <w:tc>
          <w:tcPr>
            <w:tcW w:w="1880" w:type="dxa"/>
            <w:vAlign w:val="bottom"/>
            <w:shd w:val="clear" w:color="auto" w:fill="ADB59E"/>
          </w:tcPr>
          <w:p>
            <w:pPr>
              <w:spacing w:after="0"/>
              <w:rPr>
                <w:sz w:val="3"/>
                <w:szCs w:val="3"/>
                <w:color w:val="auto"/>
              </w:rPr>
            </w:pPr>
          </w:p>
        </w:tc>
        <w:tc>
          <w:tcPr>
            <w:tcW w:w="1620" w:type="dxa"/>
            <w:vAlign w:val="bottom"/>
            <w:shd w:val="clear" w:color="auto" w:fill="ADB59E"/>
          </w:tcPr>
          <w:p>
            <w:pPr>
              <w:spacing w:after="0"/>
              <w:rPr>
                <w:sz w:val="3"/>
                <w:szCs w:val="3"/>
                <w:color w:val="auto"/>
              </w:rPr>
            </w:pPr>
          </w:p>
        </w:tc>
        <w:tc>
          <w:tcPr>
            <w:tcW w:w="1820" w:type="dxa"/>
            <w:vAlign w:val="bottom"/>
            <w:shd w:val="clear" w:color="auto" w:fill="ADB59E"/>
          </w:tcPr>
          <w:p>
            <w:pPr>
              <w:spacing w:after="0"/>
              <w:rPr>
                <w:sz w:val="3"/>
                <w:szCs w:val="3"/>
                <w:color w:val="auto"/>
              </w:rPr>
            </w:pPr>
          </w:p>
        </w:tc>
        <w:tc>
          <w:tcPr>
            <w:tcW w:w="2260" w:type="dxa"/>
            <w:vAlign w:val="bottom"/>
            <w:vMerge w:val="continue"/>
            <w:shd w:val="clear" w:color="auto" w:fill="ADB59E"/>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3440" w:type="dxa"/>
            <w:vAlign w:val="bottom"/>
            <w:shd w:val="clear" w:color="auto" w:fill="ADB59E"/>
          </w:tcPr>
          <w:p>
            <w:pPr>
              <w:spacing w:after="0"/>
              <w:rPr>
                <w:sz w:val="10"/>
                <w:szCs w:val="10"/>
                <w:color w:val="auto"/>
              </w:rPr>
            </w:pPr>
          </w:p>
        </w:tc>
        <w:tc>
          <w:tcPr>
            <w:tcW w:w="1880" w:type="dxa"/>
            <w:vAlign w:val="bottom"/>
            <w:shd w:val="clear" w:color="auto" w:fill="ADB59E"/>
          </w:tcPr>
          <w:p>
            <w:pPr>
              <w:spacing w:after="0"/>
              <w:rPr>
                <w:sz w:val="10"/>
                <w:szCs w:val="10"/>
                <w:color w:val="auto"/>
              </w:rPr>
            </w:pPr>
          </w:p>
        </w:tc>
        <w:tc>
          <w:tcPr>
            <w:tcW w:w="1620" w:type="dxa"/>
            <w:vAlign w:val="bottom"/>
            <w:shd w:val="clear" w:color="auto" w:fill="ADB59E"/>
          </w:tcPr>
          <w:p>
            <w:pPr>
              <w:spacing w:after="0"/>
              <w:rPr>
                <w:sz w:val="10"/>
                <w:szCs w:val="10"/>
                <w:color w:val="auto"/>
              </w:rPr>
            </w:pPr>
          </w:p>
        </w:tc>
        <w:tc>
          <w:tcPr>
            <w:tcW w:w="1820" w:type="dxa"/>
            <w:vAlign w:val="bottom"/>
            <w:shd w:val="clear" w:color="auto" w:fill="ADB59E"/>
          </w:tcPr>
          <w:p>
            <w:pPr>
              <w:spacing w:after="0"/>
              <w:rPr>
                <w:sz w:val="10"/>
                <w:szCs w:val="10"/>
                <w:color w:val="auto"/>
              </w:rPr>
            </w:pPr>
          </w:p>
        </w:tc>
        <w:tc>
          <w:tcPr>
            <w:tcW w:w="2260" w:type="dxa"/>
            <w:vAlign w:val="bottom"/>
            <w:shd w:val="clear" w:color="auto" w:fill="ADB59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EEF0EB"/>
          </w:tcPr>
          <w:p>
            <w:pPr>
              <w:ind w:left="60"/>
              <w:spacing w:after="0"/>
              <w:rPr>
                <w:sz w:val="20"/>
                <w:szCs w:val="20"/>
                <w:color w:val="auto"/>
              </w:rPr>
            </w:pPr>
            <w:r>
              <w:rPr>
                <w:rFonts w:ascii="Arial" w:cs="Arial" w:eastAsia="Arial" w:hAnsi="Arial"/>
                <w:sz w:val="14"/>
                <w:szCs w:val="14"/>
                <w:color w:val="auto"/>
              </w:rPr>
              <w:t>Betsy S. Atkins</w:t>
            </w:r>
          </w:p>
        </w:tc>
        <w:tc>
          <w:tcPr>
            <w:tcW w:w="188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w:t>
            </w:r>
          </w:p>
        </w:tc>
        <w:tc>
          <w:tcPr>
            <w:tcW w:w="1620" w:type="dxa"/>
            <w:vAlign w:val="bottom"/>
            <w:shd w:val="clear" w:color="auto" w:fill="EEF0EB"/>
          </w:tcPr>
          <w:p>
            <w:pPr>
              <w:spacing w:after="0"/>
              <w:rPr>
                <w:sz w:val="18"/>
                <w:szCs w:val="18"/>
                <w:color w:val="auto"/>
              </w:rPr>
            </w:pPr>
          </w:p>
        </w:tc>
        <w:tc>
          <w:tcPr>
            <w:tcW w:w="1820" w:type="dxa"/>
            <w:vAlign w:val="bottom"/>
            <w:shd w:val="clear" w:color="auto" w:fill="EEF0EB"/>
          </w:tcPr>
          <w:p>
            <w:pPr>
              <w:ind w:left="760"/>
              <w:spacing w:after="0"/>
              <w:rPr>
                <w:sz w:val="20"/>
                <w:szCs w:val="20"/>
                <w:color w:val="auto"/>
              </w:rPr>
            </w:pPr>
            <w:r>
              <w:rPr>
                <w:rFonts w:ascii="Arial" w:cs="Arial" w:eastAsia="Arial" w:hAnsi="Arial"/>
                <w:sz w:val="14"/>
                <w:szCs w:val="14"/>
                <w:color w:val="auto"/>
              </w:rPr>
              <w:t>C</w:t>
            </w:r>
          </w:p>
        </w:tc>
        <w:tc>
          <w:tcPr>
            <w:tcW w:w="2260" w:type="dxa"/>
            <w:vAlign w:val="bottom"/>
            <w:shd w:val="clear" w:color="auto" w:fill="EEF0EB"/>
          </w:tcPr>
          <w:p>
            <w:pPr>
              <w:jc w:val="center"/>
              <w:spacing w:after="0"/>
              <w:rPr>
                <w:sz w:val="20"/>
                <w:szCs w:val="20"/>
                <w:color w:val="auto"/>
              </w:rPr>
            </w:pPr>
            <w:r>
              <w:rPr>
                <w:rFonts w:ascii="Arial" w:cs="Arial" w:eastAsia="Arial" w:hAnsi="Arial"/>
                <w:sz w:val="14"/>
                <w:szCs w:val="14"/>
                <w:color w:val="auto"/>
                <w:w w:val="80"/>
              </w:rPr>
              <w:t>•</w:t>
            </w:r>
          </w:p>
        </w:tc>
        <w:tc>
          <w:tcPr>
            <w:tcW w:w="0" w:type="dxa"/>
            <w:vAlign w:val="bottom"/>
          </w:tcPr>
          <w:p>
            <w:pPr>
              <w:spacing w:after="0"/>
              <w:rPr>
                <w:sz w:val="1"/>
                <w:szCs w:val="1"/>
                <w:color w:val="auto"/>
              </w:rPr>
            </w:pPr>
          </w:p>
        </w:tc>
      </w:tr>
      <w:tr>
        <w:trPr>
          <w:trHeight w:val="210"/>
        </w:trPr>
        <w:tc>
          <w:tcPr>
            <w:tcW w:w="3440" w:type="dxa"/>
            <w:vAlign w:val="bottom"/>
          </w:tcPr>
          <w:p>
            <w:pPr>
              <w:ind w:left="60"/>
              <w:spacing w:after="0"/>
              <w:rPr>
                <w:sz w:val="20"/>
                <w:szCs w:val="20"/>
                <w:color w:val="auto"/>
              </w:rPr>
            </w:pPr>
            <w:r>
              <w:rPr>
                <w:rFonts w:ascii="Arial" w:cs="Arial" w:eastAsia="Arial" w:hAnsi="Arial"/>
                <w:sz w:val="14"/>
                <w:szCs w:val="14"/>
                <w:color w:val="auto"/>
              </w:rPr>
              <w:t>Richard J. Byrne</w:t>
            </w:r>
          </w:p>
        </w:tc>
        <w:tc>
          <w:tcPr>
            <w:tcW w:w="1880" w:type="dxa"/>
            <w:vAlign w:val="bottom"/>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right="93"/>
              <w:spacing w:after="0"/>
              <w:rPr>
                <w:sz w:val="20"/>
                <w:szCs w:val="20"/>
                <w:color w:val="auto"/>
              </w:rPr>
            </w:pPr>
            <w:r>
              <w:rPr>
                <w:rFonts w:ascii="Arial" w:cs="Arial" w:eastAsia="Arial" w:hAnsi="Arial"/>
                <w:sz w:val="14"/>
                <w:szCs w:val="14"/>
                <w:color w:val="auto"/>
              </w:rPr>
              <w:t>F</w:t>
            </w:r>
          </w:p>
        </w:tc>
        <w:tc>
          <w:tcPr>
            <w:tcW w:w="1820" w:type="dxa"/>
            <w:vAlign w:val="bottom"/>
          </w:tcPr>
          <w:p>
            <w:pPr>
              <w:jc w:val="center"/>
              <w:ind w:right="113"/>
              <w:spacing w:after="0"/>
              <w:rPr>
                <w:sz w:val="20"/>
                <w:szCs w:val="20"/>
                <w:color w:val="auto"/>
              </w:rPr>
            </w:pPr>
            <w:r>
              <w:rPr>
                <w:rFonts w:ascii="Arial" w:cs="Arial" w:eastAsia="Arial" w:hAnsi="Arial"/>
                <w:sz w:val="14"/>
                <w:szCs w:val="14"/>
                <w:color w:val="auto"/>
                <w:w w:val="80"/>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EEF0EB"/>
          </w:tcPr>
          <w:p>
            <w:pPr>
              <w:ind w:left="60"/>
              <w:spacing w:after="0"/>
              <w:rPr>
                <w:sz w:val="20"/>
                <w:szCs w:val="20"/>
                <w:color w:val="auto"/>
              </w:rPr>
            </w:pPr>
            <w:r>
              <w:rPr>
                <w:rFonts w:ascii="Arial" w:cs="Arial" w:eastAsia="Arial" w:hAnsi="Arial"/>
                <w:sz w:val="14"/>
                <w:szCs w:val="14"/>
                <w:color w:val="auto"/>
              </w:rPr>
              <w:t>Jay L. Johnson</w:t>
            </w:r>
          </w:p>
        </w:tc>
        <w:tc>
          <w:tcPr>
            <w:tcW w:w="188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w:t>
            </w:r>
          </w:p>
        </w:tc>
        <w:tc>
          <w:tcPr>
            <w:tcW w:w="1620" w:type="dxa"/>
            <w:vAlign w:val="bottom"/>
            <w:shd w:val="clear" w:color="auto" w:fill="EEF0EB"/>
          </w:tcPr>
          <w:p>
            <w:pPr>
              <w:jc w:val="center"/>
              <w:ind w:right="93"/>
              <w:spacing w:after="0"/>
              <w:rPr>
                <w:sz w:val="20"/>
                <w:szCs w:val="20"/>
                <w:color w:val="auto"/>
              </w:rPr>
            </w:pPr>
            <w:r>
              <w:rPr>
                <w:rFonts w:ascii="Arial" w:cs="Arial" w:eastAsia="Arial" w:hAnsi="Arial"/>
                <w:sz w:val="14"/>
                <w:szCs w:val="14"/>
                <w:color w:val="auto"/>
              </w:rPr>
              <w:t>F</w:t>
            </w:r>
          </w:p>
        </w:tc>
        <w:tc>
          <w:tcPr>
            <w:tcW w:w="1820" w:type="dxa"/>
            <w:vAlign w:val="bottom"/>
            <w:shd w:val="clear" w:color="auto" w:fill="EEF0EB"/>
          </w:tcPr>
          <w:p>
            <w:pPr>
              <w:spacing w:after="0"/>
              <w:rPr>
                <w:sz w:val="19"/>
                <w:szCs w:val="19"/>
                <w:color w:val="auto"/>
              </w:rPr>
            </w:pPr>
          </w:p>
        </w:tc>
        <w:tc>
          <w:tcPr>
            <w:tcW w:w="2260" w:type="dxa"/>
            <w:vAlign w:val="bottom"/>
            <w:shd w:val="clear" w:color="auto" w:fill="EEF0EB"/>
          </w:tcPr>
          <w:p>
            <w:pPr>
              <w:jc w:val="center"/>
              <w:spacing w:after="0"/>
              <w:rPr>
                <w:sz w:val="20"/>
                <w:szCs w:val="20"/>
                <w:color w:val="auto"/>
              </w:rPr>
            </w:pPr>
            <w:r>
              <w:rPr>
                <w:rFonts w:ascii="Arial" w:cs="Arial" w:eastAsia="Arial" w:hAnsi="Arial"/>
                <w:sz w:val="14"/>
                <w:szCs w:val="14"/>
                <w:color w:val="auto"/>
                <w:w w:val="80"/>
              </w:rPr>
              <w:t>•</w:t>
            </w:r>
          </w:p>
        </w:tc>
        <w:tc>
          <w:tcPr>
            <w:tcW w:w="0" w:type="dxa"/>
            <w:vAlign w:val="bottom"/>
          </w:tcPr>
          <w:p>
            <w:pPr>
              <w:spacing w:after="0"/>
              <w:rPr>
                <w:sz w:val="1"/>
                <w:szCs w:val="1"/>
                <w:color w:val="auto"/>
              </w:rPr>
            </w:pPr>
          </w:p>
        </w:tc>
      </w:tr>
      <w:tr>
        <w:trPr>
          <w:trHeight w:val="210"/>
        </w:trPr>
        <w:tc>
          <w:tcPr>
            <w:tcW w:w="3440" w:type="dxa"/>
            <w:vAlign w:val="bottom"/>
          </w:tcPr>
          <w:p>
            <w:pPr>
              <w:ind w:left="60"/>
              <w:spacing w:after="0"/>
              <w:rPr>
                <w:sz w:val="20"/>
                <w:szCs w:val="20"/>
                <w:color w:val="auto"/>
              </w:rPr>
            </w:pPr>
            <w:r>
              <w:rPr>
                <w:rFonts w:ascii="Arial" w:cs="Arial" w:eastAsia="Arial" w:hAnsi="Arial"/>
                <w:sz w:val="14"/>
                <w:szCs w:val="14"/>
                <w:color w:val="auto"/>
              </w:rPr>
              <w:t>Patricia Mulroy</w:t>
            </w:r>
          </w:p>
        </w:tc>
        <w:tc>
          <w:tcPr>
            <w:tcW w:w="1880" w:type="dxa"/>
            <w:vAlign w:val="bottom"/>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right="93"/>
              <w:spacing w:after="0"/>
              <w:rPr>
                <w:sz w:val="20"/>
                <w:szCs w:val="20"/>
                <w:color w:val="auto"/>
              </w:rPr>
            </w:pPr>
            <w:r>
              <w:rPr>
                <w:rFonts w:ascii="Arial" w:cs="Arial" w:eastAsia="Arial" w:hAnsi="Arial"/>
                <w:sz w:val="14"/>
                <w:szCs w:val="14"/>
                <w:color w:val="auto"/>
              </w:rPr>
              <w:t>•</w:t>
            </w:r>
          </w:p>
        </w:tc>
        <w:tc>
          <w:tcPr>
            <w:tcW w:w="1820" w:type="dxa"/>
            <w:vAlign w:val="bottom"/>
          </w:tcPr>
          <w:p>
            <w:pPr>
              <w:spacing w:after="0"/>
              <w:rPr>
                <w:sz w:val="18"/>
                <w:szCs w:val="18"/>
                <w:color w:val="auto"/>
              </w:rPr>
            </w:pPr>
          </w:p>
        </w:tc>
        <w:tc>
          <w:tcPr>
            <w:tcW w:w="2260" w:type="dxa"/>
            <w:vAlign w:val="bottom"/>
          </w:tcPr>
          <w:p>
            <w:pPr>
              <w:ind w:left="104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22"/>
        </w:trPr>
        <w:tc>
          <w:tcPr>
            <w:tcW w:w="3440" w:type="dxa"/>
            <w:vAlign w:val="bottom"/>
            <w:shd w:val="clear" w:color="auto" w:fill="EEF0EB"/>
          </w:tcPr>
          <w:p>
            <w:pPr>
              <w:ind w:left="60"/>
              <w:spacing w:after="0"/>
              <w:rPr>
                <w:sz w:val="20"/>
                <w:szCs w:val="20"/>
                <w:color w:val="auto"/>
              </w:rPr>
            </w:pPr>
            <w:r>
              <w:rPr>
                <w:rFonts w:ascii="Arial" w:cs="Arial" w:eastAsia="Arial" w:hAnsi="Arial"/>
                <w:sz w:val="14"/>
                <w:szCs w:val="14"/>
                <w:color w:val="auto"/>
              </w:rPr>
              <w:t>Margaret J. Myers</w:t>
            </w:r>
          </w:p>
        </w:tc>
        <w:tc>
          <w:tcPr>
            <w:tcW w:w="188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w:t>
            </w:r>
          </w:p>
        </w:tc>
        <w:tc>
          <w:tcPr>
            <w:tcW w:w="1620" w:type="dxa"/>
            <w:vAlign w:val="bottom"/>
            <w:shd w:val="clear" w:color="auto" w:fill="EEF0EB"/>
          </w:tcPr>
          <w:p>
            <w:pPr>
              <w:spacing w:after="0"/>
              <w:rPr>
                <w:sz w:val="19"/>
                <w:szCs w:val="19"/>
                <w:color w:val="auto"/>
              </w:rPr>
            </w:pPr>
          </w:p>
        </w:tc>
        <w:tc>
          <w:tcPr>
            <w:tcW w:w="1820" w:type="dxa"/>
            <w:vAlign w:val="bottom"/>
            <w:shd w:val="clear" w:color="auto" w:fill="EEF0EB"/>
          </w:tcPr>
          <w:p>
            <w:pPr>
              <w:jc w:val="center"/>
              <w:ind w:right="113"/>
              <w:spacing w:after="0"/>
              <w:rPr>
                <w:sz w:val="20"/>
                <w:szCs w:val="20"/>
                <w:color w:val="auto"/>
              </w:rPr>
            </w:pPr>
            <w:r>
              <w:rPr>
                <w:rFonts w:ascii="Arial" w:cs="Arial" w:eastAsia="Arial" w:hAnsi="Arial"/>
                <w:sz w:val="14"/>
                <w:szCs w:val="14"/>
                <w:color w:val="auto"/>
                <w:w w:val="80"/>
              </w:rPr>
              <w:t>•</w:t>
            </w:r>
          </w:p>
        </w:tc>
        <w:tc>
          <w:tcPr>
            <w:tcW w:w="2260" w:type="dxa"/>
            <w:vAlign w:val="bottom"/>
            <w:shd w:val="clear" w:color="auto" w:fill="EEF0EB"/>
          </w:tcPr>
          <w:p>
            <w:pPr>
              <w:jc w:val="center"/>
              <w:spacing w:after="0"/>
              <w:rPr>
                <w:sz w:val="20"/>
                <w:szCs w:val="20"/>
                <w:color w:val="auto"/>
              </w:rPr>
            </w:pPr>
            <w:r>
              <w:rPr>
                <w:rFonts w:ascii="Arial" w:cs="Arial" w:eastAsia="Arial" w:hAnsi="Arial"/>
                <w:sz w:val="14"/>
                <w:szCs w:val="14"/>
                <w:color w:val="auto"/>
                <w:w w:val="80"/>
              </w:rPr>
              <w:t>•</w:t>
            </w:r>
          </w:p>
        </w:tc>
        <w:tc>
          <w:tcPr>
            <w:tcW w:w="0" w:type="dxa"/>
            <w:vAlign w:val="bottom"/>
          </w:tcPr>
          <w:p>
            <w:pPr>
              <w:spacing w:after="0"/>
              <w:rPr>
                <w:sz w:val="1"/>
                <w:szCs w:val="1"/>
                <w:color w:val="auto"/>
              </w:rPr>
            </w:pPr>
          </w:p>
        </w:tc>
      </w:tr>
      <w:tr>
        <w:trPr>
          <w:trHeight w:val="210"/>
        </w:trPr>
        <w:tc>
          <w:tcPr>
            <w:tcW w:w="3440" w:type="dxa"/>
            <w:vAlign w:val="bottom"/>
          </w:tcPr>
          <w:p>
            <w:pPr>
              <w:ind w:left="60"/>
              <w:spacing w:after="0"/>
              <w:rPr>
                <w:sz w:val="20"/>
                <w:szCs w:val="20"/>
                <w:color w:val="auto"/>
              </w:rPr>
            </w:pPr>
            <w:r>
              <w:rPr>
                <w:rFonts w:ascii="Arial" w:cs="Arial" w:eastAsia="Arial" w:hAnsi="Arial"/>
                <w:sz w:val="14"/>
                <w:szCs w:val="14"/>
                <w:color w:val="auto"/>
              </w:rPr>
              <w:t>Clark T. Randt, Jr.</w:t>
            </w:r>
          </w:p>
        </w:tc>
        <w:tc>
          <w:tcPr>
            <w:tcW w:w="1880" w:type="dxa"/>
            <w:vAlign w:val="bottom"/>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18"/>
                <w:szCs w:val="18"/>
                <w:color w:val="auto"/>
              </w:rPr>
            </w:pPr>
          </w:p>
        </w:tc>
        <w:tc>
          <w:tcPr>
            <w:tcW w:w="1820" w:type="dxa"/>
            <w:vAlign w:val="bottom"/>
          </w:tcPr>
          <w:p>
            <w:pPr>
              <w:jc w:val="center"/>
              <w:ind w:right="113"/>
              <w:spacing w:after="0"/>
              <w:rPr>
                <w:sz w:val="20"/>
                <w:szCs w:val="20"/>
                <w:color w:val="auto"/>
              </w:rPr>
            </w:pPr>
            <w:r>
              <w:rPr>
                <w:rFonts w:ascii="Arial" w:cs="Arial" w:eastAsia="Arial" w:hAnsi="Arial"/>
                <w:sz w:val="14"/>
                <w:szCs w:val="14"/>
                <w:color w:val="auto"/>
                <w:w w:val="80"/>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EEF0EB"/>
          </w:tcPr>
          <w:p>
            <w:pPr>
              <w:ind w:left="60"/>
              <w:spacing w:after="0"/>
              <w:rPr>
                <w:sz w:val="20"/>
                <w:szCs w:val="20"/>
                <w:color w:val="auto"/>
              </w:rPr>
            </w:pPr>
            <w:r>
              <w:rPr>
                <w:rFonts w:ascii="Arial" w:cs="Arial" w:eastAsia="Arial" w:hAnsi="Arial"/>
                <w:sz w:val="14"/>
                <w:szCs w:val="14"/>
                <w:color w:val="auto"/>
              </w:rPr>
              <w:t>Philip G. Satre</w:t>
            </w:r>
          </w:p>
        </w:tc>
        <w:tc>
          <w:tcPr>
            <w:tcW w:w="188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w:t>
            </w:r>
          </w:p>
        </w:tc>
        <w:tc>
          <w:tcPr>
            <w:tcW w:w="1620" w:type="dxa"/>
            <w:vAlign w:val="bottom"/>
            <w:shd w:val="clear" w:color="auto" w:fill="EEF0EB"/>
          </w:tcPr>
          <w:p>
            <w:pPr>
              <w:spacing w:after="0"/>
              <w:rPr>
                <w:sz w:val="19"/>
                <w:szCs w:val="19"/>
                <w:color w:val="auto"/>
              </w:rPr>
            </w:pPr>
          </w:p>
        </w:tc>
        <w:tc>
          <w:tcPr>
            <w:tcW w:w="1820" w:type="dxa"/>
            <w:vAlign w:val="bottom"/>
            <w:shd w:val="clear" w:color="auto" w:fill="EEF0EB"/>
          </w:tcPr>
          <w:p>
            <w:pPr>
              <w:spacing w:after="0"/>
              <w:rPr>
                <w:sz w:val="19"/>
                <w:szCs w:val="19"/>
                <w:color w:val="auto"/>
              </w:rPr>
            </w:pPr>
          </w:p>
        </w:tc>
        <w:tc>
          <w:tcPr>
            <w:tcW w:w="2260" w:type="dxa"/>
            <w:vAlign w:val="bottom"/>
            <w:shd w:val="clear" w:color="auto" w:fill="EEF0EB"/>
          </w:tcPr>
          <w:p>
            <w:pPr>
              <w:jc w:val="center"/>
              <w:spacing w:after="0"/>
              <w:rPr>
                <w:sz w:val="20"/>
                <w:szCs w:val="20"/>
                <w:color w:val="auto"/>
              </w:rPr>
            </w:pPr>
            <w:r>
              <w:rPr>
                <w:rFonts w:ascii="Arial" w:cs="Arial" w:eastAsia="Arial" w:hAnsi="Arial"/>
                <w:sz w:val="14"/>
                <w:szCs w:val="14"/>
                <w:color w:val="auto"/>
                <w:w w:val="80"/>
              </w:rPr>
              <w:t>•</w:t>
            </w:r>
          </w:p>
        </w:tc>
        <w:tc>
          <w:tcPr>
            <w:tcW w:w="0" w:type="dxa"/>
            <w:vAlign w:val="bottom"/>
          </w:tcPr>
          <w:p>
            <w:pPr>
              <w:spacing w:after="0"/>
              <w:rPr>
                <w:sz w:val="1"/>
                <w:szCs w:val="1"/>
                <w:color w:val="auto"/>
              </w:rPr>
            </w:pPr>
          </w:p>
        </w:tc>
      </w:tr>
      <w:tr>
        <w:trPr>
          <w:trHeight w:val="210"/>
        </w:trPr>
        <w:tc>
          <w:tcPr>
            <w:tcW w:w="3440" w:type="dxa"/>
            <w:vAlign w:val="bottom"/>
          </w:tcPr>
          <w:p>
            <w:pPr>
              <w:ind w:left="60"/>
              <w:spacing w:after="0"/>
              <w:rPr>
                <w:sz w:val="20"/>
                <w:szCs w:val="20"/>
                <w:color w:val="auto"/>
              </w:rPr>
            </w:pPr>
            <w:r>
              <w:rPr>
                <w:rFonts w:ascii="Arial" w:cs="Arial" w:eastAsia="Arial" w:hAnsi="Arial"/>
                <w:sz w:val="14"/>
                <w:szCs w:val="14"/>
                <w:color w:val="auto"/>
              </w:rPr>
              <w:t>Darnell O. Strom</w:t>
            </w:r>
          </w:p>
        </w:tc>
        <w:tc>
          <w:tcPr>
            <w:tcW w:w="1880" w:type="dxa"/>
            <w:vAlign w:val="bottom"/>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right="93"/>
              <w:spacing w:after="0"/>
              <w:rPr>
                <w:sz w:val="20"/>
                <w:szCs w:val="20"/>
                <w:color w:val="auto"/>
              </w:rPr>
            </w:pPr>
            <w:r>
              <w:rPr>
                <w:rFonts w:ascii="Arial" w:cs="Arial" w:eastAsia="Arial" w:hAnsi="Arial"/>
                <w:sz w:val="14"/>
                <w:szCs w:val="14"/>
                <w:color w:val="auto"/>
              </w:rPr>
              <w:t>•</w:t>
            </w:r>
          </w:p>
        </w:tc>
        <w:tc>
          <w:tcPr>
            <w:tcW w:w="18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0"/>
              </w:rPr>
              <w:t>•</w:t>
            </w:r>
          </w:p>
        </w:tc>
        <w:tc>
          <w:tcPr>
            <w:tcW w:w="0" w:type="dxa"/>
            <w:vAlign w:val="bottom"/>
          </w:tcPr>
          <w:p>
            <w:pPr>
              <w:spacing w:after="0"/>
              <w:rPr>
                <w:sz w:val="1"/>
                <w:szCs w:val="1"/>
                <w:color w:val="auto"/>
              </w:rPr>
            </w:pPr>
          </w:p>
        </w:tc>
      </w:tr>
      <w:tr>
        <w:trPr>
          <w:trHeight w:val="222"/>
        </w:trPr>
        <w:tc>
          <w:tcPr>
            <w:tcW w:w="3440" w:type="dxa"/>
            <w:vAlign w:val="bottom"/>
            <w:shd w:val="clear" w:color="auto" w:fill="EEF0EB"/>
          </w:tcPr>
          <w:p>
            <w:pPr>
              <w:ind w:left="60"/>
              <w:spacing w:after="0"/>
              <w:rPr>
                <w:sz w:val="20"/>
                <w:szCs w:val="20"/>
                <w:color w:val="auto"/>
              </w:rPr>
            </w:pPr>
            <w:r>
              <w:rPr>
                <w:rFonts w:ascii="Arial" w:cs="Arial" w:eastAsia="Arial" w:hAnsi="Arial"/>
                <w:sz w:val="14"/>
                <w:szCs w:val="14"/>
                <w:color w:val="auto"/>
              </w:rPr>
              <w:t>Winifred M. Webb</w:t>
            </w:r>
          </w:p>
        </w:tc>
        <w:tc>
          <w:tcPr>
            <w:tcW w:w="188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w:t>
            </w:r>
          </w:p>
        </w:tc>
        <w:tc>
          <w:tcPr>
            <w:tcW w:w="1620" w:type="dxa"/>
            <w:vAlign w:val="bottom"/>
            <w:shd w:val="clear" w:color="auto" w:fill="EEF0EB"/>
          </w:tcPr>
          <w:p>
            <w:pPr>
              <w:jc w:val="center"/>
              <w:ind w:right="93"/>
              <w:spacing w:after="0"/>
              <w:rPr>
                <w:sz w:val="20"/>
                <w:szCs w:val="20"/>
                <w:color w:val="auto"/>
              </w:rPr>
            </w:pPr>
            <w:r>
              <w:rPr>
                <w:rFonts w:ascii="Arial" w:cs="Arial" w:eastAsia="Arial" w:hAnsi="Arial"/>
                <w:sz w:val="14"/>
                <w:szCs w:val="14"/>
                <w:color w:val="auto"/>
                <w:w w:val="97"/>
              </w:rPr>
              <w:t>C,F</w:t>
            </w:r>
          </w:p>
        </w:tc>
        <w:tc>
          <w:tcPr>
            <w:tcW w:w="1820" w:type="dxa"/>
            <w:vAlign w:val="bottom"/>
            <w:shd w:val="clear" w:color="auto" w:fill="EEF0EB"/>
          </w:tcPr>
          <w:p>
            <w:pPr>
              <w:spacing w:after="0"/>
              <w:rPr>
                <w:sz w:val="19"/>
                <w:szCs w:val="19"/>
                <w:color w:val="auto"/>
              </w:rPr>
            </w:pPr>
          </w:p>
        </w:tc>
        <w:tc>
          <w:tcPr>
            <w:tcW w:w="2260" w:type="dxa"/>
            <w:vAlign w:val="bottom"/>
            <w:shd w:val="clear" w:color="auto" w:fill="EEF0EB"/>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40" w:type="dxa"/>
            <w:vAlign w:val="bottom"/>
          </w:tcPr>
          <w:p>
            <w:pPr>
              <w:ind w:left="60"/>
              <w:spacing w:after="0"/>
              <w:rPr>
                <w:sz w:val="20"/>
                <w:szCs w:val="20"/>
                <w:color w:val="auto"/>
              </w:rPr>
            </w:pPr>
            <w:r>
              <w:rPr>
                <w:rFonts w:ascii="Arial" w:cs="Arial" w:eastAsia="Arial" w:hAnsi="Arial"/>
                <w:sz w:val="14"/>
                <w:szCs w:val="14"/>
                <w:color w:val="auto"/>
              </w:rPr>
              <w:t>Committee Meetings in 2021</w:t>
            </w:r>
          </w:p>
        </w:tc>
        <w:tc>
          <w:tcPr>
            <w:tcW w:w="1880" w:type="dxa"/>
            <w:vAlign w:val="bottom"/>
          </w:tcPr>
          <w:p>
            <w:pPr>
              <w:spacing w:after="0"/>
              <w:rPr>
                <w:sz w:val="17"/>
                <w:szCs w:val="17"/>
                <w:color w:val="auto"/>
              </w:rPr>
            </w:pPr>
          </w:p>
        </w:tc>
        <w:tc>
          <w:tcPr>
            <w:tcW w:w="1620" w:type="dxa"/>
            <w:vAlign w:val="bottom"/>
          </w:tcPr>
          <w:p>
            <w:pPr>
              <w:jc w:val="center"/>
              <w:ind w:right="73"/>
              <w:spacing w:after="0"/>
              <w:rPr>
                <w:sz w:val="20"/>
                <w:szCs w:val="20"/>
                <w:color w:val="auto"/>
              </w:rPr>
            </w:pPr>
            <w:r>
              <w:rPr>
                <w:rFonts w:ascii="Arial" w:cs="Arial" w:eastAsia="Arial" w:hAnsi="Arial"/>
                <w:sz w:val="14"/>
                <w:szCs w:val="14"/>
                <w:b w:val="1"/>
                <w:bCs w:val="1"/>
                <w:color w:val="auto"/>
              </w:rPr>
              <w:t>6</w:t>
            </w:r>
          </w:p>
        </w:tc>
        <w:tc>
          <w:tcPr>
            <w:tcW w:w="1820" w:type="dxa"/>
            <w:vAlign w:val="bottom"/>
          </w:tcPr>
          <w:p>
            <w:pPr>
              <w:jc w:val="center"/>
              <w:ind w:right="113"/>
              <w:spacing w:after="0"/>
              <w:rPr>
                <w:sz w:val="20"/>
                <w:szCs w:val="20"/>
                <w:color w:val="auto"/>
              </w:rPr>
            </w:pPr>
            <w:r>
              <w:rPr>
                <w:rFonts w:ascii="Arial" w:cs="Arial" w:eastAsia="Arial" w:hAnsi="Arial"/>
                <w:sz w:val="14"/>
                <w:szCs w:val="14"/>
                <w:b w:val="1"/>
                <w:bCs w:val="1"/>
                <w:color w:val="auto"/>
              </w:rPr>
              <w:t>6</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20" w:right="280"/>
        <w:spacing w:after="0" w:line="249" w:lineRule="auto"/>
        <w:rPr>
          <w:sz w:val="20"/>
          <w:szCs w:val="20"/>
          <w:color w:val="auto"/>
        </w:rPr>
      </w:pPr>
      <w:r>
        <w:rPr>
          <w:rFonts w:ascii="Arial" w:cs="Arial" w:eastAsia="Arial" w:hAnsi="Arial"/>
          <w:sz w:val="12"/>
          <w:szCs w:val="12"/>
          <w:color w:val="auto"/>
        </w:rPr>
        <w:t>C Chair; F Financial Expert within the meaning of SEC regulations; *Following Director Johnson’s retirement from the Board effective at the 2022 annual meeting, the board has selected Patricia Mulroy as the Chair of the Nominating and Corporate Governance Committee, with such appointment effective at the Board meeting immediately following the 2022 annual meeting.</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12 //</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AUDIT COMMITTEE</w:t>
      </w:r>
    </w:p>
    <w:p>
      <w:pPr>
        <w:spacing w:after="0" w:line="1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At each regular meeting, the Audit Committee meets in executive session with the Company’s independent auditors, General Counsel, Chief Audit Executive, Chief Financial Officer, and Chief Global Compliance Officer to discuss accounting principles, financial and accounting controls, the scope of the annual audit, internal controls, regulatory compliance, and other matters. As part of its program of regular oversight, the Audit Committee is responsible for overseeing cybersecurity risk and information security. The Audit Committee receives regular reports from the Company’s Chief Information Security Officer on the Company’s cybersecurity risk profile and enterprise cybersecurity program, which are communicated to the full Board.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KEY RESPONSIBILITIES</w:t>
      </w:r>
    </w:p>
    <w:p>
      <w:pPr>
        <w:spacing w:after="0" w:line="229"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Appointing, retaining, overseeing, and approving the compensation of the independent auditors</w:t>
      </w:r>
    </w:p>
    <w:p>
      <w:pPr>
        <w:spacing w:after="0" w:line="211" w:lineRule="exact"/>
        <w:rPr>
          <w:rFonts w:ascii="Arial" w:cs="Arial" w:eastAsia="Arial" w:hAnsi="Arial"/>
          <w:sz w:val="18"/>
          <w:szCs w:val="18"/>
          <w:color w:val="auto"/>
        </w:rPr>
      </w:pPr>
    </w:p>
    <w:p>
      <w:pPr>
        <w:ind w:left="340" w:right="60" w:hanging="224"/>
        <w:spacing w:after="0" w:line="24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Company’s earnings releases and quarterly and annual reports to be filed with the SEC</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adequacy, effectiveness, scope, and results of the Company’s internal auditing procedures and practices</w:t>
      </w:r>
    </w:p>
    <w:p>
      <w:pPr>
        <w:spacing w:after="0" w:line="211"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Company’s legal and regulatory compliance programs and its policies and procedures for monitoring compliance</w:t>
      </w:r>
    </w:p>
    <w:p>
      <w:pPr>
        <w:spacing w:after="0" w:line="211"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cybersecurity risk and information security</w:t>
      </w:r>
    </w:p>
    <w:p>
      <w:pPr>
        <w:spacing w:after="0" w:line="211" w:lineRule="exact"/>
        <w:rPr>
          <w:rFonts w:ascii="Arial" w:cs="Arial" w:eastAsia="Arial" w:hAnsi="Arial"/>
          <w:sz w:val="18"/>
          <w:szCs w:val="18"/>
          <w:color w:val="auto"/>
        </w:rPr>
      </w:pPr>
    </w:p>
    <w:p>
      <w:pPr>
        <w:ind w:left="340" w:right="40" w:hanging="224"/>
        <w:spacing w:after="0" w:line="24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exposures and the steps management has taken to monitor and control such exposures</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the Company’s decision to enter into certain swaps and other derivative transactions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COMPENSATION COMMITTEE</w:t>
      </w:r>
    </w:p>
    <w:p>
      <w:pPr>
        <w:spacing w:after="0" w:line="1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205"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Compensation Committee considers the recommendations of the CEO in establishing compensation for all NEOs, other than the CEO.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w:t>
      </w:r>
    </w:p>
    <w:p>
      <w:pPr>
        <w:spacing w:after="0" w:line="2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Compensation Committee has the authority to retain compensation consulting firms exclusively to assist it in the evaluation of executive officer and employee compensation and benefit programs. In 2021, the Compensation Committee retained Radford, a unit of Aon plc’s Human Capital Solutions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2021, Radford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 Each of the members of the Compensation Committee brings a wealth of experience from their public and private board experience and their respective executive roles, which enables the Committee to effectively oversee the design and practice of linking executive compensation to company performance.</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13 //</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KEY RESPONSIBILITIES</w:t>
      </w:r>
    </w:p>
    <w:p>
      <w:pPr>
        <w:spacing w:after="0" w:line="229" w:lineRule="exact"/>
        <w:rPr>
          <w:sz w:val="20"/>
          <w:szCs w:val="20"/>
          <w:color w:val="auto"/>
        </w:rPr>
      </w:pPr>
    </w:p>
    <w:p>
      <w:pPr>
        <w:ind w:left="340" w:right="46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 and, as appropriate, recommending that the Board adopt new plans or amend existing plans</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Assessing the Company’s most recent advisory vote on executive compensation</w:t>
      </w:r>
    </w:p>
    <w:p>
      <w:pPr>
        <w:spacing w:after="0" w:line="211" w:lineRule="exact"/>
        <w:rPr>
          <w:rFonts w:ascii="Arial" w:cs="Arial" w:eastAsia="Arial" w:hAnsi="Arial"/>
          <w:sz w:val="18"/>
          <w:szCs w:val="18"/>
          <w:color w:val="auto"/>
        </w:rPr>
      </w:pPr>
    </w:p>
    <w:p>
      <w:pPr>
        <w:ind w:left="340" w:right="76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Appointing advisors retained by the Committee and assessing any potential conflicts of interest, overseeing and approving the compensation of any advisors the Committee retains</w:t>
      </w:r>
    </w:p>
    <w:p>
      <w:pPr>
        <w:spacing w:after="0" w:line="196" w:lineRule="exact"/>
        <w:rPr>
          <w:rFonts w:ascii="Arial" w:cs="Arial" w:eastAsia="Arial" w:hAnsi="Arial"/>
          <w:sz w:val="18"/>
          <w:szCs w:val="18"/>
          <w:color w:val="auto"/>
        </w:rPr>
      </w:pPr>
    </w:p>
    <w:p>
      <w:pPr>
        <w:ind w:left="34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evaluating the performance of the CEO, overseeing the evaluation of performance of the other officers of the Company and its operating subsidiaries, and setting compensation for the CEO, other NEOs, and other members of senior management</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211" w:lineRule="exact"/>
        <w:rPr>
          <w:rFonts w:ascii="Arial" w:cs="Arial" w:eastAsia="Arial" w:hAnsi="Arial"/>
          <w:sz w:val="18"/>
          <w:szCs w:val="18"/>
          <w:color w:val="auto"/>
        </w:rPr>
      </w:pPr>
    </w:p>
    <w:p>
      <w:pPr>
        <w:ind w:left="340" w:right="4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compensation arrangements for officers and other key employees in accordance with policies adopted by the Committee from time to time</w:t>
      </w:r>
    </w:p>
    <w:p>
      <w:pPr>
        <w:spacing w:after="0" w:line="196" w:lineRule="exact"/>
        <w:rPr>
          <w:rFonts w:ascii="Arial" w:cs="Arial" w:eastAsia="Arial" w:hAnsi="Arial"/>
          <w:sz w:val="18"/>
          <w:szCs w:val="18"/>
          <w:color w:val="auto"/>
        </w:rPr>
      </w:pPr>
    </w:p>
    <w:p>
      <w:pPr>
        <w:ind w:left="340" w:right="106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96" w:lineRule="exact"/>
        <w:rPr>
          <w:rFonts w:ascii="Arial" w:cs="Arial" w:eastAsia="Arial" w:hAnsi="Arial"/>
          <w:sz w:val="18"/>
          <w:szCs w:val="18"/>
          <w:color w:val="auto"/>
        </w:rPr>
      </w:pPr>
    </w:p>
    <w:p>
      <w:pPr>
        <w:ind w:left="340" w:right="38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and related disclosures in the Company’s Proxy Statement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COMPENSATION COMMITTEE INTERLOCKS AND INSIDER PARTICIPATION</w:t>
      </w:r>
    </w:p>
    <w:p>
      <w:pPr>
        <w:spacing w:after="0" w:line="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members of the Compensation Committee are appointed by the Board each year. The members of the Compensation Committee that served in 2021 were Ms. Atkins, Mr. Byrne, Ms. Myers and Amb. Randt.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7"/>
          <w:szCs w:val="27"/>
          <w:color w:val="auto"/>
        </w:rPr>
        <w:t>Nominating and corporate governance committee</w:t>
      </w:r>
    </w:p>
    <w:p>
      <w:pPr>
        <w:spacing w:after="0" w:line="2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Nominating and Corporate Governance Committee seeks to have the Board represent a diversity of backgrounds and experience and assesses potential nominees in light of the Board’s current size and composition.</w:t>
      </w:r>
    </w:p>
    <w:p>
      <w:pPr>
        <w:spacing w:after="0" w:line="17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robust engagement in the strategic planning process, and have a reputation for honest and ethical conduct in both his or her professional and personal activities. The Nominating and Corporate Governance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 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2"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14 //</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2019, the Nominating and Corporate Governance Committee amended the Company’s Corporate Governance Guidelines to establish a policy requiring the inclusion of candidates with diverse backgrounds when evaluating new candidates for the Board. This change was implemented to ensure that any initial slate of candidates includes those with a diversity of ethnicity, race and gender. Additionally, the Nominating and Corporate Governance Committee established a goal of 50% diversity among Board members, which we have exceeded since 2020.</w:t>
      </w:r>
    </w:p>
    <w:p>
      <w:pPr>
        <w:spacing w:after="0" w:line="175"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In 2019, the Nominating and Corporate Governance Committee revised the annual Board self-evaluation process. Beginning with the 2019 self-evaluation, the Board conducts a three-part evaluation process coordinated by the General Counsel. Each Board member participated in an evaluation of the full Board, each of the Committees on which he or she serves, and individual Board member performance. A summary report of the results was prepared by the General Counsel and presented to the full Board and to each Committee. The Board uses the results in preparing action items as necessary.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KEY RESPONSIBILITIES</w:t>
      </w:r>
    </w:p>
    <w:p>
      <w:pPr>
        <w:spacing w:after="0" w:line="229" w:lineRule="exact"/>
        <w:rPr>
          <w:sz w:val="20"/>
          <w:szCs w:val="20"/>
          <w:color w:val="auto"/>
        </w:rPr>
      </w:pPr>
    </w:p>
    <w:p>
      <w:pPr>
        <w:ind w:left="340" w:right="720" w:hanging="224"/>
        <w:spacing w:after="0" w:line="24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evaluating and recommending qualified director candidates, including candidates recommended by shareholders or management</w:t>
      </w:r>
    </w:p>
    <w:p>
      <w:pPr>
        <w:spacing w:after="0" w:line="196"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Assessing the qualifications, attributes, skills, experience, diversity and independence of Board members, taking into account appropriate considerations such as the Company’s current and planned business, current and potential composition considerations, any planned director successions, and the qualifications required of directors under the gaming laws of jurisdictions where the Company operates</w:t>
      </w:r>
    </w:p>
    <w:p>
      <w:pPr>
        <w:spacing w:after="0" w:line="204" w:lineRule="exact"/>
        <w:rPr>
          <w:rFonts w:ascii="Arial" w:cs="Arial" w:eastAsia="Arial" w:hAnsi="Arial"/>
          <w:sz w:val="18"/>
          <w:szCs w:val="18"/>
          <w:color w:val="auto"/>
        </w:rPr>
      </w:pPr>
    </w:p>
    <w:p>
      <w:pPr>
        <w:ind w:left="340" w:right="620" w:hanging="224"/>
        <w:spacing w:after="0" w:line="24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composition of the Board and its committees and recommending, as appropriate, measures to be taken for Board refreshment and Board succession planning</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Board’s leadership structure</w:t>
      </w:r>
    </w:p>
    <w:p>
      <w:pPr>
        <w:spacing w:after="0" w:line="211" w:lineRule="exact"/>
        <w:rPr>
          <w:rFonts w:ascii="Arial" w:cs="Arial" w:eastAsia="Arial" w:hAnsi="Arial"/>
          <w:sz w:val="18"/>
          <w:szCs w:val="18"/>
          <w:color w:val="auto"/>
        </w:rPr>
      </w:pPr>
    </w:p>
    <w:p>
      <w:pPr>
        <w:ind w:left="340" w:right="160" w:hanging="224"/>
        <w:spacing w:after="0" w:line="24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corporate governance matters generally and developing and recommending to the Board Company-appropriate corporate governance guidelines</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and, as it determines appropriate, designating directors to participate in the Company’s engagement with shareholders</w:t>
      </w:r>
    </w:p>
    <w:p>
      <w:pPr>
        <w:spacing w:after="0" w:line="211"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annual evaluation of the Board and its standing committees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CONSIDERATION OF CANDIDATES RECOMMENDED BY SHAREHOLDERS</w:t>
      </w:r>
    </w:p>
    <w:p>
      <w:pPr>
        <w:spacing w:after="0" w:line="1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Our Nominating and Corporate Governance Committee is pleased to consider director candidates recommended by shareholders.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must submit the recommendation in writing and include the following information:</w:t>
      </w:r>
    </w:p>
    <w:p>
      <w:pPr>
        <w:spacing w:after="0" w:line="202" w:lineRule="exact"/>
        <w:rPr>
          <w:sz w:val="20"/>
          <w:szCs w:val="20"/>
          <w:color w:val="auto"/>
        </w:rPr>
      </w:pPr>
    </w:p>
    <w:p>
      <w:pPr>
        <w:ind w:left="340" w:right="240" w:hanging="224"/>
        <w:spacing w:after="0" w:line="24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of the shareholder and evidence of the shareholder’s ownership of Company stock, including the number of shares owned and the length of time of ownership; and</w:t>
      </w:r>
    </w:p>
    <w:p>
      <w:pPr>
        <w:spacing w:after="0" w:line="196" w:lineRule="exact"/>
        <w:rPr>
          <w:rFonts w:ascii="Arial" w:cs="Arial" w:eastAsia="Arial" w:hAnsi="Arial"/>
          <w:sz w:val="18"/>
          <w:szCs w:val="18"/>
          <w:color w:val="auto"/>
        </w:rPr>
      </w:pPr>
    </w:p>
    <w:p>
      <w:pPr>
        <w:ind w:left="340" w:right="50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candidate’s consent to being considered for nomination as a director if selected by the Nominating and Corporate Governance Committee.</w:t>
      </w:r>
    </w:p>
    <w:p>
      <w:pPr>
        <w:spacing w:after="0" w:line="162"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The shareholder recommendation and information described above must be sent to Wynn Resorts, Limited, c/o Secretary at 3131 Las Vegas Boulevard South, Las Vegas, Nevada 89109.</w:t>
      </w:r>
    </w:p>
    <w:p>
      <w:pPr>
        <w:spacing w:after="0" w:line="156"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If the Nominating and Corporate Governance Committee determines to pursue consideration of a person who has been identified as a potential candidate, the Nominating and Corporate Governance Committee may take any or all of the following steps: collect and review publicly available information regarding the candidate, contact and request information from the</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15 //</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540"/>
        <w:spacing w:after="0" w:line="238" w:lineRule="auto"/>
        <w:rPr>
          <w:sz w:val="20"/>
          <w:szCs w:val="20"/>
          <w:color w:val="auto"/>
        </w:rPr>
      </w:pPr>
      <w:r>
        <w:rPr>
          <w:rFonts w:ascii="Arial" w:cs="Arial" w:eastAsia="Arial" w:hAnsi="Arial"/>
          <w:sz w:val="18"/>
          <w:szCs w:val="18"/>
          <w:color w:val="auto"/>
        </w:rPr>
        <w:t>candidate, vet the candidate’s credentials, conduct one or more interviews with the candidate and contact one or more references provided by the candidate or other persons that may have greater first-hand knowledge of the candidate’s accomplishments. The Nominating and Corporate Governance Committee’s evaluation process takes into account the candidate’s accomplishments and qualifications, including in comparison to any other candidates that the Nominating and Corporate Governance Committee might be considering, and does not vary based on whether or not a candidate is recommended by a shareholder.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7"/>
          <w:szCs w:val="27"/>
          <w:color w:val="auto"/>
        </w:rPr>
        <w:t>Board role in risk oversight</w:t>
      </w:r>
    </w:p>
    <w:p>
      <w:pPr>
        <w:spacing w:after="0" w:line="21"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The Board’s goals are to build value for the Company’s shareholders and to promote the vitality and sustainability of the Company for its customers, employees, jurisdictions in which it does business, our planet, and the other individuals and organizations that depend on the Company.</w:t>
      </w:r>
    </w:p>
    <w:p>
      <w:pPr>
        <w:spacing w:after="0" w:line="176" w:lineRule="exact"/>
        <w:rPr>
          <w:sz w:val="20"/>
          <w:szCs w:val="20"/>
          <w:color w:val="auto"/>
        </w:rPr>
      </w:pPr>
    </w:p>
    <w:p>
      <w:pPr>
        <w:jc w:val="both"/>
        <w:ind w:left="120" w:right="420"/>
        <w:spacing w:after="0"/>
        <w:rPr>
          <w:sz w:val="20"/>
          <w:szCs w:val="20"/>
          <w:color w:val="auto"/>
        </w:rPr>
      </w:pPr>
      <w:r>
        <w:rPr>
          <w:rFonts w:ascii="Arial" w:cs="Arial" w:eastAsia="Arial" w:hAnsi="Arial"/>
          <w:sz w:val="18"/>
          <w:szCs w:val="18"/>
          <w:color w:val="auto"/>
        </w:rPr>
        <w:t>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has an active role in overseeing the Company’s areas of risk.</w:t>
      </w:r>
    </w:p>
    <w:p>
      <w:pPr>
        <w:spacing w:after="0" w:line="212" w:lineRule="exact"/>
        <w:rPr>
          <w:sz w:val="20"/>
          <w:szCs w:val="20"/>
          <w:color w:val="auto"/>
        </w:rPr>
      </w:pPr>
    </w:p>
    <w:p>
      <w:pPr>
        <w:ind w:left="340" w:right="260" w:hanging="224"/>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and its Committees, in consultation with management and the Company’s independent auditors, regularly review the Company’s risk profile and have identified specific areas of risk including: regulatory compliance; legal and human resource matters; legislative and political conditions; capital availability and liquidity; gaming credit extension and collection; cybersecurity, including protection of customer and employee data; construction; catastrophic events; and succession planning.</w:t>
      </w:r>
    </w:p>
    <w:p>
      <w:pPr>
        <w:spacing w:after="0" w:line="204" w:lineRule="exact"/>
        <w:rPr>
          <w:rFonts w:ascii="Arial" w:cs="Arial" w:eastAsia="Arial" w:hAnsi="Arial"/>
          <w:sz w:val="18"/>
          <w:szCs w:val="18"/>
          <w:color w:val="auto"/>
        </w:rPr>
      </w:pPr>
    </w:p>
    <w:p>
      <w:pPr>
        <w:ind w:left="340" w:hanging="224"/>
        <w:spacing w:after="0" w:line="24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assesses risks to the Company’s long-term strategic objectives, including threats related to our people, our communities and our planet (including climate change). The Company addresses these risks through our ESG initiatives.</w:t>
      </w:r>
    </w:p>
    <w:p>
      <w:pPr>
        <w:spacing w:after="0" w:line="196" w:lineRule="exact"/>
        <w:rPr>
          <w:rFonts w:ascii="Arial" w:cs="Arial" w:eastAsia="Arial" w:hAnsi="Arial"/>
          <w:sz w:val="18"/>
          <w:szCs w:val="18"/>
          <w:color w:val="auto"/>
        </w:rPr>
      </w:pPr>
    </w:p>
    <w:p>
      <w:pPr>
        <w:ind w:left="340" w:right="12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w:t>
      </w:r>
    </w:p>
    <w:p>
      <w:pPr>
        <w:spacing w:after="0" w:line="202"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2018, the Board also implemented a process to allow for direct communication of risks and issues from employees to the Board of Directors.</w:t>
      </w:r>
    </w:p>
    <w:p>
      <w:pPr>
        <w:spacing w:after="0" w:line="204" w:lineRule="exact"/>
        <w:rPr>
          <w:rFonts w:ascii="Arial" w:cs="Arial" w:eastAsia="Arial" w:hAnsi="Arial"/>
          <w:sz w:val="18"/>
          <w:szCs w:val="18"/>
          <w:color w:val="auto"/>
        </w:rPr>
      </w:pPr>
    </w:p>
    <w:p>
      <w:pPr>
        <w:ind w:left="340" w:right="520" w:hanging="224"/>
        <w:spacing w:after="0" w:line="24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throughout the year, the Board, its Committees and the Company’s Compliance Committee dedicate a portion of their meetings to review and discuss specific risk topics in greater detail.</w:t>
      </w:r>
    </w:p>
    <w:p>
      <w:pPr>
        <w:spacing w:after="0" w:line="196" w:lineRule="exact"/>
        <w:rPr>
          <w:rFonts w:ascii="Arial" w:cs="Arial" w:eastAsia="Arial" w:hAnsi="Arial"/>
          <w:sz w:val="18"/>
          <w:szCs w:val="18"/>
          <w:color w:val="auto"/>
        </w:rPr>
      </w:pPr>
    </w:p>
    <w:p>
      <w:pPr>
        <w:ind w:left="340" w:right="360" w:hanging="224"/>
        <w:spacing w:after="0" w:line="24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Audit Committee is primarily responsible for the oversight of credit, related party, information security, construction and general financial risks.</w:t>
      </w:r>
    </w:p>
    <w:p>
      <w:pPr>
        <w:spacing w:after="0" w:line="196" w:lineRule="exact"/>
        <w:rPr>
          <w:rFonts w:ascii="Arial" w:cs="Arial" w:eastAsia="Arial" w:hAnsi="Arial"/>
          <w:sz w:val="18"/>
          <w:szCs w:val="18"/>
          <w:color w:val="auto"/>
        </w:rPr>
      </w:pPr>
    </w:p>
    <w:p>
      <w:pPr>
        <w:ind w:left="340" w:right="640" w:hanging="224"/>
        <w:spacing w:after="0" w:line="24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Compliance Committee primarily oversees risks relating to regulatory, security, workplace conduct, and political compliance.</w:t>
      </w:r>
    </w:p>
    <w:p>
      <w:pPr>
        <w:spacing w:after="0" w:line="196" w:lineRule="exact"/>
        <w:rPr>
          <w:rFonts w:ascii="Arial" w:cs="Arial" w:eastAsia="Arial" w:hAnsi="Arial"/>
          <w:sz w:val="18"/>
          <w:szCs w:val="18"/>
          <w:color w:val="auto"/>
        </w:rPr>
      </w:pPr>
    </w:p>
    <w:p>
      <w:pPr>
        <w:ind w:left="340" w:right="18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2021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16 //</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COMPLIANCE COMMITTEE</w:t>
      </w:r>
    </w:p>
    <w:p>
      <w:pPr>
        <w:spacing w:after="0" w:line="1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 xml:space="preserve">The Company maintains a Compliance Program that features a completely-independent Compliance Committee comprised of individuals with extensive familiarity with law enforcement, regulated businesses, ethics, and/or gaming compliance who are not otherwise affiliated with the Company, to oversee and promote the Company’s compliance and to ensure that the Company meets the Company’s strict policy to conduct business at the highest levels of honesty and integrity: Thomas Peterman, former Senior Vice President and Chief Compliance Officer for MGM Resorts International (Chair); Michelle Chatigny, former Vice President, Global Regulatory and Product Compliance for International Game Technology; Edward Davis, former Commissioner of the Boston Police Department; and Alison A. Quirk, former Executive Vice President and Chief Human Resources and Citizenship Officer at State Street Corporation. Chair Satre and Ms. Mulroy serve as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members of the Committee and representatives of the Board. Ms. Webb also attends the meetings of the Compliance Committee. The Compliance Program is subject to review and approval of the Nevada Gaming Control Board and the Massachusetts Gaming Commission.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7"/>
          <w:szCs w:val="27"/>
          <w:color w:val="auto"/>
        </w:rPr>
        <w:t>Board meetings/annual meeting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met 5 times during 2021. All of our Board attended at least 80% of the meetings of the Board and 100% of the Committees on which they served. In accordance with our Corporate Governance Guidelines, each of our directors is expected to participate in the Annual Meeting. All of our directors attended the 2021 Annual Meeting.</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Board communication and engagement</w:t>
      </w:r>
    </w:p>
    <w:p>
      <w:pPr>
        <w:spacing w:after="0" w:line="21"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Our Board believes in listening to and communicating with shareholders. We believe our work should be informed by input from those who share a financial stake in our success.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provide a number of ways for shareholders to communicate with the Board and management:</w:t>
      </w:r>
    </w:p>
    <w:p>
      <w:pPr>
        <w:spacing w:after="0" w:line="212" w:lineRule="exact"/>
        <w:rPr>
          <w:sz w:val="20"/>
          <w:szCs w:val="20"/>
          <w:color w:val="auto"/>
        </w:rPr>
      </w:pPr>
    </w:p>
    <w:p>
      <w:pPr>
        <w:ind w:left="340" w:right="1000" w:hanging="224"/>
        <w:spacing w:after="0" w:line="24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Shareholders may speak with us when we reach out to engage both via governance communications and investor relations communications.</w:t>
      </w:r>
    </w:p>
    <w:p>
      <w:pPr>
        <w:spacing w:after="0" w:line="196" w:lineRule="exact"/>
        <w:rPr>
          <w:rFonts w:ascii="Arial" w:cs="Arial" w:eastAsia="Arial" w:hAnsi="Arial"/>
          <w:sz w:val="18"/>
          <w:szCs w:val="18"/>
          <w:color w:val="auto"/>
        </w:rPr>
      </w:pPr>
    </w:p>
    <w:p>
      <w:pPr>
        <w:ind w:left="340" w:right="140" w:hanging="224"/>
        <w:spacing w:after="0" w:line="23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Shareholders who wish to communicate in writing with the Board or any director, or with any Committee of the Board, including the chair of any Committee, may do so by writing to the following address: Wynn Resorts, Limited, c/o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 which may be done by e-mail.</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Shareholder engagement</w:t>
      </w:r>
    </w:p>
    <w:p>
      <w:pPr>
        <w:spacing w:after="0" w:line="21"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We regularly engage with shareholders and other stakeholders to receive their insights on significant issues, including company performance and strategy, corporate governance, executive compensation, and environmental, social, and governance topics. Management provides the Board with extensive analysis of shareholder feedback and shareholder voting results. As a result of this review, over the last several years, the Board has made significant changes to compensation practices, governance matters and ESG reporting.</w:t>
      </w:r>
    </w:p>
    <w:p>
      <w:pPr>
        <w:spacing w:after="0" w:line="16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Board and Company management remain committed to frequent and robust shareholder engagement. We have made important updates to our pay plans and corporate governance documents and policies based on our changing needs and the input we have received from engagements with our shareholders. For a detailed discussion of the feedback received, please see the Board responsiveness section included in the Compensation Discussion &amp; Analysis below.</w:t>
      </w:r>
    </w:p>
    <w:p>
      <w:pPr>
        <w:spacing w:after="0" w:line="164" w:lineRule="exact"/>
        <w:rPr>
          <w:sz w:val="20"/>
          <w:szCs w:val="20"/>
          <w:color w:val="auto"/>
        </w:rPr>
      </w:pPr>
    </w:p>
    <w:p>
      <w:pPr>
        <w:jc w:val="both"/>
        <w:ind w:left="120" w:right="80"/>
        <w:spacing w:after="0" w:line="274" w:lineRule="auto"/>
        <w:rPr>
          <w:sz w:val="20"/>
          <w:szCs w:val="20"/>
          <w:color w:val="auto"/>
        </w:rPr>
      </w:pPr>
      <w:r>
        <w:rPr>
          <w:rFonts w:ascii="Arial" w:cs="Arial" w:eastAsia="Arial" w:hAnsi="Arial"/>
          <w:sz w:val="17"/>
          <w:szCs w:val="17"/>
          <w:color w:val="auto"/>
        </w:rPr>
        <w:t>The Board is proud of its track record of broad engagement with investors and the actions it has taken – governance, compensation, and ESG – over the years that it believes provide greater transparency and a heightened accountability to our shareholders and stakeholders.</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17 //</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Board compensation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2021 Board service year, Directors who are not employees of the Company received fees for service on the Board and</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Service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 Committee Service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Committee Service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Nominating and Corporate Governance Committee Service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Member monthly fee of $5,000</w:t>
      </w:r>
    </w:p>
    <w:p>
      <w:pPr>
        <w:spacing w:after="0" w:line="68" w:lineRule="exact"/>
        <w:rPr>
          <w:rFonts w:ascii="Arial" w:cs="Arial" w:eastAsia="Arial" w:hAnsi="Arial"/>
          <w:sz w:val="14"/>
          <w:szCs w:val="14"/>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Member monthly fee of $1,250</w:t>
      </w:r>
    </w:p>
    <w:p>
      <w:pPr>
        <w:spacing w:after="0" w:line="1" w:lineRule="exact"/>
        <w:rPr>
          <w:rFonts w:ascii="Arial" w:cs="Arial" w:eastAsia="Arial" w:hAnsi="Arial"/>
          <w:sz w:val="14"/>
          <w:szCs w:val="14"/>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Chair monthly fee of $2,500</w:t>
      </w:r>
    </w:p>
    <w:p>
      <w:pPr>
        <w:spacing w:after="0" w:line="82" w:lineRule="exact"/>
        <w:rPr>
          <w:rFonts w:ascii="Arial" w:cs="Arial" w:eastAsia="Arial" w:hAnsi="Arial"/>
          <w:sz w:val="14"/>
          <w:szCs w:val="14"/>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Member monthly fee of $1,000</w:t>
      </w:r>
    </w:p>
    <w:p>
      <w:pPr>
        <w:spacing w:after="0" w:line="1" w:lineRule="exact"/>
        <w:rPr>
          <w:rFonts w:ascii="Arial" w:cs="Arial" w:eastAsia="Arial" w:hAnsi="Arial"/>
          <w:sz w:val="14"/>
          <w:szCs w:val="14"/>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Chair monthly fee of $2,000</w:t>
      </w:r>
    </w:p>
    <w:p>
      <w:pPr>
        <w:spacing w:after="0" w:line="82" w:lineRule="exact"/>
        <w:rPr>
          <w:rFonts w:ascii="Arial" w:cs="Arial" w:eastAsia="Arial" w:hAnsi="Arial"/>
          <w:sz w:val="14"/>
          <w:szCs w:val="14"/>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Member monthly fee of $1,000</w:t>
      </w:r>
    </w:p>
    <w:p>
      <w:pPr>
        <w:spacing w:after="0" w:line="1" w:lineRule="exact"/>
        <w:rPr>
          <w:rFonts w:ascii="Arial" w:cs="Arial" w:eastAsia="Arial" w:hAnsi="Arial"/>
          <w:sz w:val="14"/>
          <w:szCs w:val="14"/>
          <w:color w:val="auto"/>
        </w:rPr>
      </w:pPr>
    </w:p>
    <w:p>
      <w:pPr>
        <w:ind w:left="128" w:hanging="128"/>
        <w:spacing w:after="0"/>
        <w:tabs>
          <w:tab w:leader="none" w:pos="128"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Chair monthly fee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-490220</wp:posOffset>
            </wp:positionV>
            <wp:extent cx="6995160"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72" w:space="720"/>
            <w:col w:w="4948"/>
          </w:cols>
          <w:pgMar w:left="320" w:top="459" w:right="539" w:bottom="1440" w:gutter="0" w:footer="0" w:header="0"/>
          <w:type w:val="continuous"/>
        </w:sectPr>
      </w:pPr>
    </w:p>
    <w:p>
      <w:pPr>
        <w:spacing w:after="0" w:line="5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Each non-employee director also received a $1,500 meeting fee for each Board or Committee meeting he or she attended. In addition, non-employee directors were granted annual equity awards in the form of stock options or restricted stock determined annually at a meeting of the Board. For 2021, each non-employee director received a grant of restricted stock equal in value to $250,000 (determined as of the 2021 grant date) that vests 100% on the first anniversary of the date of grant, subject to continued service through each vesting date.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members of the Compliance Committee receive an annual retainer of $75,000. The Chair of the Audit Committee receives an attendance fee of $1,500 for telephonic meetings and $2,500 for in-person meetings of the Compliance Committee. The Chair of the Board receives an annual retainer of $ 100,000. All directors are provided complimentary room, food and beverage privileges at our properties and are reimbursed for any other out-of-pocket expenses related to their attendance at Board or Committee meetings or other corporate events. Directors from time to time may receive other benefits as discussed in the table below under “All Other Compensation.” The Company does not provide non-equity incentive plan awards or deferred compensation or retirement plans for non-employee directors.</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the 2022 Board service year that commences with our Annual Meeting in May 2022, the Compensation Committee has eliminated meeting fees for Directors who are not employees of the Company for service on the Board and each of the Committees. Fees for service on the Compliance Committee remain unchanged. Fees for service on the Board and Committees in 2022 for Directors who are not employees of the Company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231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23114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type w:val="continuous"/>
        </w:sect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Service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 Committee Service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Committee Service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Nominating and Corporate Governance Committee Service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2022 PROXY STATEMENT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Member annual fee of $100,000</w:t>
      </w:r>
    </w:p>
    <w:p>
      <w:pPr>
        <w:spacing w:after="0" w:line="1"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Chair annual fee of $100,000</w:t>
      </w:r>
    </w:p>
    <w:p>
      <w:pPr>
        <w:spacing w:after="0" w:line="82"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Member monthly fee of $1,250</w:t>
      </w:r>
    </w:p>
    <w:p>
      <w:pPr>
        <w:spacing w:after="0" w:line="1"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Chair monthly fee of $2,500</w:t>
      </w:r>
    </w:p>
    <w:p>
      <w:pPr>
        <w:spacing w:after="0" w:line="82"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Member monthly fee of $1,000</w:t>
      </w:r>
    </w:p>
    <w:p>
      <w:pPr>
        <w:spacing w:after="0" w:line="1"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Chair monthly fee of $2,000</w:t>
      </w:r>
    </w:p>
    <w:p>
      <w:pPr>
        <w:spacing w:after="0" w:line="82"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Member monthly fee of $1,000</w:t>
      </w:r>
    </w:p>
    <w:p>
      <w:pPr>
        <w:spacing w:after="0" w:line="1" w:lineRule="exact"/>
        <w:rPr>
          <w:rFonts w:ascii="Arial" w:cs="Arial" w:eastAsia="Arial" w:hAnsi="Arial"/>
          <w:sz w:val="14"/>
          <w:szCs w:val="14"/>
          <w:color w:val="auto"/>
        </w:rPr>
      </w:pPr>
    </w:p>
    <w:p>
      <w:pPr>
        <w:ind w:left="600" w:hanging="128"/>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Chair monthly fee of $2,000</w:t>
      </w:r>
    </w:p>
    <w:p>
      <w:pPr>
        <w:spacing w:after="0" w:line="190" w:lineRule="exact"/>
        <w:rPr>
          <w:rFonts w:ascii="Arial" w:cs="Arial" w:eastAsia="Arial" w:hAnsi="Arial"/>
          <w:sz w:val="14"/>
          <w:szCs w:val="14"/>
          <w:color w:val="auto"/>
        </w:rPr>
      </w:pPr>
    </w:p>
    <w:p>
      <w:pPr>
        <w:ind w:left="160" w:hanging="160"/>
        <w:spacing w:after="0"/>
        <w:tabs>
          <w:tab w:leader="none" w:pos="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-713105</wp:posOffset>
            </wp:positionV>
            <wp:extent cx="699516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ectPr>
          <w:pgSz w:w="11900" w:h="16838" w:orient="portrait"/>
          <w:cols w:equalWidth="0" w:num="2">
            <w:col w:w="4900" w:space="720"/>
            <w:col w:w="5420"/>
          </w:cols>
          <w:pgMar w:left="320" w:top="459" w:right="5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DB59E"/>
        </w:rPr>
        <w:t>NON-EMPLOYEE DIRECTOR COMPENSATION TABLE</w:t>
      </w:r>
    </w:p>
    <w:p>
      <w:pPr>
        <w:spacing w:after="0" w:line="1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2021. Mr. Maddox received no compensation for his service as a director and, therefore, is not included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20231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02311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1920" w:type="dxa"/>
            <w:vAlign w:val="bottom"/>
            <w:shd w:val="clear" w:color="auto" w:fill="ADB59E"/>
          </w:tcPr>
          <w:p>
            <w:pPr>
              <w:spacing w:after="0"/>
              <w:rPr>
                <w:sz w:val="15"/>
                <w:szCs w:val="15"/>
                <w:color w:val="auto"/>
              </w:rPr>
            </w:pPr>
          </w:p>
        </w:tc>
        <w:tc>
          <w:tcPr>
            <w:tcW w:w="2160" w:type="dxa"/>
            <w:vAlign w:val="bottom"/>
            <w:vMerge w:val="restart"/>
            <w:shd w:val="clear" w:color="auto" w:fill="ADB59E"/>
          </w:tcPr>
          <w:p>
            <w:pPr>
              <w:jc w:val="center"/>
              <w:spacing w:after="0"/>
              <w:rPr>
                <w:sz w:val="20"/>
                <w:szCs w:val="20"/>
                <w:color w:val="auto"/>
              </w:rPr>
            </w:pPr>
            <w:r>
              <w:rPr>
                <w:rFonts w:ascii="Arial" w:cs="Arial" w:eastAsia="Arial" w:hAnsi="Arial"/>
                <w:sz w:val="13"/>
                <w:szCs w:val="13"/>
                <w:b w:val="1"/>
                <w:bCs w:val="1"/>
                <w:color w:val="FFFFFF"/>
              </w:rPr>
              <w:t>FEES EARNED OR</w:t>
            </w:r>
          </w:p>
        </w:tc>
        <w:tc>
          <w:tcPr>
            <w:tcW w:w="2000" w:type="dxa"/>
            <w:vAlign w:val="bottom"/>
            <w:vMerge w:val="restart"/>
            <w:shd w:val="clear" w:color="auto" w:fill="ADB59E"/>
          </w:tcPr>
          <w:p>
            <w:pPr>
              <w:jc w:val="center"/>
              <w:spacing w:after="0"/>
              <w:rPr>
                <w:sz w:val="20"/>
                <w:szCs w:val="20"/>
                <w:color w:val="auto"/>
              </w:rPr>
            </w:pPr>
            <w:r>
              <w:rPr>
                <w:rFonts w:ascii="Arial" w:cs="Arial" w:eastAsia="Arial" w:hAnsi="Arial"/>
                <w:sz w:val="13"/>
                <w:szCs w:val="13"/>
                <w:b w:val="1"/>
                <w:bCs w:val="1"/>
                <w:color w:val="FFFFFF"/>
                <w:w w:val="96"/>
              </w:rPr>
              <w:t>STOCK</w:t>
            </w:r>
          </w:p>
        </w:tc>
        <w:tc>
          <w:tcPr>
            <w:tcW w:w="1500" w:type="dxa"/>
            <w:vAlign w:val="bottom"/>
            <w:shd w:val="clear" w:color="auto" w:fill="ADB59E"/>
          </w:tcPr>
          <w:p>
            <w:pPr>
              <w:jc w:val="center"/>
              <w:spacing w:after="0"/>
              <w:rPr>
                <w:sz w:val="20"/>
                <w:szCs w:val="20"/>
                <w:color w:val="auto"/>
              </w:rPr>
            </w:pPr>
            <w:r>
              <w:rPr>
                <w:rFonts w:ascii="Arial" w:cs="Arial" w:eastAsia="Arial" w:hAnsi="Arial"/>
                <w:sz w:val="13"/>
                <w:szCs w:val="13"/>
                <w:b w:val="1"/>
                <w:bCs w:val="1"/>
                <w:color w:val="FFFFFF"/>
                <w:w w:val="96"/>
              </w:rPr>
              <w:t>OPTION</w:t>
            </w:r>
          </w:p>
        </w:tc>
        <w:tc>
          <w:tcPr>
            <w:tcW w:w="1960" w:type="dxa"/>
            <w:vAlign w:val="bottom"/>
            <w:shd w:val="clear" w:color="auto" w:fill="ADB59E"/>
          </w:tcPr>
          <w:p>
            <w:pPr>
              <w:jc w:val="center"/>
              <w:spacing w:after="0"/>
              <w:rPr>
                <w:sz w:val="20"/>
                <w:szCs w:val="20"/>
                <w:color w:val="auto"/>
              </w:rPr>
            </w:pPr>
            <w:r>
              <w:rPr>
                <w:rFonts w:ascii="Arial" w:cs="Arial" w:eastAsia="Arial" w:hAnsi="Arial"/>
                <w:sz w:val="13"/>
                <w:szCs w:val="13"/>
                <w:b w:val="1"/>
                <w:bCs w:val="1"/>
                <w:color w:val="FFFFFF"/>
                <w:w w:val="96"/>
              </w:rPr>
              <w:t>ALL OTHER</w:t>
            </w:r>
          </w:p>
        </w:tc>
        <w:tc>
          <w:tcPr>
            <w:tcW w:w="1480" w:type="dxa"/>
            <w:vAlign w:val="bottom"/>
            <w:shd w:val="clear" w:color="auto" w:fill="ADB59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920" w:type="dxa"/>
            <w:vAlign w:val="bottom"/>
            <w:vMerge w:val="restart"/>
            <w:shd w:val="clear" w:color="auto" w:fill="ADB59E"/>
          </w:tcPr>
          <w:p>
            <w:pPr>
              <w:ind w:left="60"/>
              <w:spacing w:after="0" w:line="135" w:lineRule="exact"/>
              <w:rPr>
                <w:sz w:val="20"/>
                <w:szCs w:val="20"/>
                <w:color w:val="auto"/>
              </w:rPr>
            </w:pPr>
            <w:r>
              <w:rPr>
                <w:rFonts w:ascii="Arial" w:cs="Arial" w:eastAsia="Arial" w:hAnsi="Arial"/>
                <w:sz w:val="13"/>
                <w:szCs w:val="13"/>
                <w:b w:val="1"/>
                <w:bCs w:val="1"/>
                <w:color w:val="FFFFFF"/>
              </w:rPr>
              <w:t>NAME</w:t>
            </w:r>
          </w:p>
        </w:tc>
        <w:tc>
          <w:tcPr>
            <w:tcW w:w="2160" w:type="dxa"/>
            <w:vAlign w:val="bottom"/>
            <w:vMerge w:val="continue"/>
            <w:shd w:val="clear" w:color="auto" w:fill="ADB59E"/>
          </w:tcPr>
          <w:p>
            <w:pPr>
              <w:spacing w:after="0"/>
              <w:rPr>
                <w:sz w:val="5"/>
                <w:szCs w:val="5"/>
                <w:color w:val="auto"/>
              </w:rPr>
            </w:pPr>
          </w:p>
        </w:tc>
        <w:tc>
          <w:tcPr>
            <w:tcW w:w="2000" w:type="dxa"/>
            <w:vAlign w:val="bottom"/>
            <w:vMerge w:val="continue"/>
            <w:shd w:val="clear" w:color="auto" w:fill="ADB59E"/>
          </w:tcPr>
          <w:p>
            <w:pPr>
              <w:spacing w:after="0"/>
              <w:rPr>
                <w:sz w:val="5"/>
                <w:szCs w:val="5"/>
                <w:color w:val="auto"/>
              </w:rPr>
            </w:pPr>
          </w:p>
        </w:tc>
        <w:tc>
          <w:tcPr>
            <w:tcW w:w="1500" w:type="dxa"/>
            <w:vAlign w:val="bottom"/>
            <w:vMerge w:val="restart"/>
            <w:shd w:val="clear" w:color="auto" w:fill="ADB59E"/>
          </w:tcPr>
          <w:p>
            <w:pPr>
              <w:jc w:val="center"/>
              <w:spacing w:after="0" w:line="135" w:lineRule="exact"/>
              <w:rPr>
                <w:sz w:val="20"/>
                <w:szCs w:val="20"/>
                <w:color w:val="auto"/>
              </w:rPr>
            </w:pPr>
            <w:r>
              <w:rPr>
                <w:rFonts w:ascii="Arial" w:cs="Arial" w:eastAsia="Arial" w:hAnsi="Arial"/>
                <w:sz w:val="13"/>
                <w:szCs w:val="13"/>
                <w:b w:val="1"/>
                <w:bCs w:val="1"/>
                <w:color w:val="FFFFFF"/>
                <w:w w:val="95"/>
              </w:rPr>
              <w:t>AWARDS</w:t>
            </w:r>
          </w:p>
        </w:tc>
        <w:tc>
          <w:tcPr>
            <w:tcW w:w="1960" w:type="dxa"/>
            <w:vAlign w:val="bottom"/>
            <w:vMerge w:val="restart"/>
            <w:shd w:val="clear" w:color="auto" w:fill="ADB59E"/>
          </w:tcPr>
          <w:p>
            <w:pPr>
              <w:jc w:val="center"/>
              <w:spacing w:after="0" w:line="135" w:lineRule="exact"/>
              <w:rPr>
                <w:sz w:val="20"/>
                <w:szCs w:val="20"/>
                <w:color w:val="auto"/>
              </w:rPr>
            </w:pPr>
            <w:r>
              <w:rPr>
                <w:rFonts w:ascii="Arial" w:cs="Arial" w:eastAsia="Arial" w:hAnsi="Arial"/>
                <w:sz w:val="13"/>
                <w:szCs w:val="13"/>
                <w:b w:val="1"/>
                <w:bCs w:val="1"/>
                <w:color w:val="FFFFFF"/>
                <w:w w:val="96"/>
              </w:rPr>
              <w:t>COMPENSATION</w:t>
            </w:r>
          </w:p>
        </w:tc>
        <w:tc>
          <w:tcPr>
            <w:tcW w:w="1480" w:type="dxa"/>
            <w:vAlign w:val="bottom"/>
            <w:vMerge w:val="restart"/>
            <w:shd w:val="clear" w:color="auto" w:fill="ADB59E"/>
          </w:tcPr>
          <w:p>
            <w:pPr>
              <w:jc w:val="center"/>
              <w:spacing w:after="0" w:line="135" w:lineRule="exact"/>
              <w:rPr>
                <w:sz w:val="20"/>
                <w:szCs w:val="20"/>
                <w:color w:val="auto"/>
              </w:rPr>
            </w:pPr>
            <w:r>
              <w:rPr>
                <w:rFonts w:ascii="Arial" w:cs="Arial" w:eastAsia="Arial" w:hAnsi="Arial"/>
                <w:sz w:val="13"/>
                <w:szCs w:val="13"/>
                <w:b w:val="1"/>
                <w:bCs w:val="1"/>
                <w:color w:val="FFFFFF"/>
                <w:w w:val="94"/>
              </w:rPr>
              <w:t>TOTAL($)</w:t>
            </w:r>
          </w:p>
        </w:tc>
        <w:tc>
          <w:tcPr>
            <w:tcW w:w="0" w:type="dxa"/>
            <w:vAlign w:val="bottom"/>
          </w:tcPr>
          <w:p>
            <w:pPr>
              <w:spacing w:after="0"/>
              <w:rPr>
                <w:sz w:val="1"/>
                <w:szCs w:val="1"/>
                <w:color w:val="auto"/>
              </w:rPr>
            </w:pPr>
          </w:p>
        </w:tc>
      </w:tr>
      <w:tr>
        <w:trPr>
          <w:trHeight w:val="68"/>
        </w:trPr>
        <w:tc>
          <w:tcPr>
            <w:tcW w:w="1920" w:type="dxa"/>
            <w:vAlign w:val="bottom"/>
            <w:vMerge w:val="continue"/>
            <w:shd w:val="clear" w:color="auto" w:fill="ADB59E"/>
          </w:tcPr>
          <w:p>
            <w:pPr>
              <w:spacing w:after="0"/>
              <w:rPr>
                <w:sz w:val="5"/>
                <w:szCs w:val="5"/>
                <w:color w:val="auto"/>
              </w:rPr>
            </w:pPr>
          </w:p>
        </w:tc>
        <w:tc>
          <w:tcPr>
            <w:tcW w:w="2160" w:type="dxa"/>
            <w:vAlign w:val="bottom"/>
            <w:vMerge w:val="restart"/>
            <w:shd w:val="clear" w:color="auto" w:fill="ADB59E"/>
          </w:tcPr>
          <w:p>
            <w:pPr>
              <w:jc w:val="center"/>
              <w:spacing w:after="0"/>
              <w:rPr>
                <w:sz w:val="20"/>
                <w:szCs w:val="20"/>
                <w:color w:val="auto"/>
              </w:rPr>
            </w:pPr>
            <w:r>
              <w:rPr>
                <w:rFonts w:ascii="Arial" w:cs="Arial" w:eastAsia="Arial" w:hAnsi="Arial"/>
                <w:sz w:val="13"/>
                <w:szCs w:val="13"/>
                <w:b w:val="1"/>
                <w:bCs w:val="1"/>
                <w:color w:val="FFFFFF"/>
                <w:w w:val="97"/>
              </w:rPr>
              <w:t>PAID IN CASH($) (1)</w:t>
            </w:r>
          </w:p>
        </w:tc>
        <w:tc>
          <w:tcPr>
            <w:tcW w:w="2000" w:type="dxa"/>
            <w:vAlign w:val="bottom"/>
            <w:vMerge w:val="restart"/>
            <w:shd w:val="clear" w:color="auto" w:fill="ADB59E"/>
          </w:tcPr>
          <w:p>
            <w:pPr>
              <w:jc w:val="center"/>
              <w:spacing w:after="0"/>
              <w:rPr>
                <w:sz w:val="20"/>
                <w:szCs w:val="20"/>
                <w:color w:val="auto"/>
              </w:rPr>
            </w:pPr>
            <w:r>
              <w:rPr>
                <w:rFonts w:ascii="Arial" w:cs="Arial" w:eastAsia="Arial" w:hAnsi="Arial"/>
                <w:sz w:val="13"/>
                <w:szCs w:val="13"/>
                <w:b w:val="1"/>
                <w:bCs w:val="1"/>
                <w:color w:val="FFFFFF"/>
                <w:w w:val="96"/>
              </w:rPr>
              <w:t>AWARDS($) (1)(2)</w:t>
            </w:r>
          </w:p>
        </w:tc>
        <w:tc>
          <w:tcPr>
            <w:tcW w:w="1500" w:type="dxa"/>
            <w:vAlign w:val="bottom"/>
            <w:vMerge w:val="continue"/>
            <w:shd w:val="clear" w:color="auto" w:fill="ADB59E"/>
          </w:tcPr>
          <w:p>
            <w:pPr>
              <w:spacing w:after="0"/>
              <w:rPr>
                <w:sz w:val="5"/>
                <w:szCs w:val="5"/>
                <w:color w:val="auto"/>
              </w:rPr>
            </w:pPr>
          </w:p>
        </w:tc>
        <w:tc>
          <w:tcPr>
            <w:tcW w:w="1960" w:type="dxa"/>
            <w:vAlign w:val="bottom"/>
            <w:vMerge w:val="continue"/>
            <w:shd w:val="clear" w:color="auto" w:fill="ADB59E"/>
          </w:tcPr>
          <w:p>
            <w:pPr>
              <w:spacing w:after="0"/>
              <w:rPr>
                <w:sz w:val="5"/>
                <w:szCs w:val="5"/>
                <w:color w:val="auto"/>
              </w:rPr>
            </w:pPr>
          </w:p>
        </w:tc>
        <w:tc>
          <w:tcPr>
            <w:tcW w:w="1480" w:type="dxa"/>
            <w:vAlign w:val="bottom"/>
            <w:vMerge w:val="continue"/>
            <w:shd w:val="clear" w:color="auto" w:fill="ADB59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920" w:type="dxa"/>
            <w:vAlign w:val="bottom"/>
            <w:shd w:val="clear" w:color="auto" w:fill="ADB59E"/>
          </w:tcPr>
          <w:p>
            <w:pPr>
              <w:spacing w:after="0"/>
              <w:rPr>
                <w:sz w:val="8"/>
                <w:szCs w:val="8"/>
                <w:color w:val="auto"/>
              </w:rPr>
            </w:pPr>
          </w:p>
        </w:tc>
        <w:tc>
          <w:tcPr>
            <w:tcW w:w="2160" w:type="dxa"/>
            <w:vAlign w:val="bottom"/>
            <w:vMerge w:val="continue"/>
            <w:shd w:val="clear" w:color="auto" w:fill="ADB59E"/>
          </w:tcPr>
          <w:p>
            <w:pPr>
              <w:spacing w:after="0"/>
              <w:rPr>
                <w:sz w:val="8"/>
                <w:szCs w:val="8"/>
                <w:color w:val="auto"/>
              </w:rPr>
            </w:pPr>
          </w:p>
        </w:tc>
        <w:tc>
          <w:tcPr>
            <w:tcW w:w="2000" w:type="dxa"/>
            <w:vAlign w:val="bottom"/>
            <w:vMerge w:val="continue"/>
            <w:shd w:val="clear" w:color="auto" w:fill="ADB59E"/>
          </w:tcPr>
          <w:p>
            <w:pPr>
              <w:spacing w:after="0"/>
              <w:rPr>
                <w:sz w:val="8"/>
                <w:szCs w:val="8"/>
                <w:color w:val="auto"/>
              </w:rPr>
            </w:pPr>
          </w:p>
        </w:tc>
        <w:tc>
          <w:tcPr>
            <w:tcW w:w="1500" w:type="dxa"/>
            <w:vAlign w:val="bottom"/>
            <w:vMerge w:val="restart"/>
            <w:shd w:val="clear" w:color="auto" w:fill="ADB59E"/>
          </w:tcPr>
          <w:p>
            <w:pPr>
              <w:jc w:val="center"/>
              <w:spacing w:after="0"/>
              <w:rPr>
                <w:sz w:val="20"/>
                <w:szCs w:val="20"/>
                <w:color w:val="auto"/>
              </w:rPr>
            </w:pPr>
            <w:r>
              <w:rPr>
                <w:rFonts w:ascii="Arial" w:cs="Arial" w:eastAsia="Arial" w:hAnsi="Arial"/>
                <w:sz w:val="13"/>
                <w:szCs w:val="13"/>
                <w:b w:val="1"/>
                <w:bCs w:val="1"/>
                <w:color w:val="FFFFFF"/>
              </w:rPr>
              <w:t>($) (3)</w:t>
            </w:r>
          </w:p>
        </w:tc>
        <w:tc>
          <w:tcPr>
            <w:tcW w:w="1960" w:type="dxa"/>
            <w:vAlign w:val="bottom"/>
            <w:vMerge w:val="restart"/>
            <w:shd w:val="clear" w:color="auto" w:fill="ADB59E"/>
          </w:tcPr>
          <w:p>
            <w:pPr>
              <w:jc w:val="center"/>
              <w:spacing w:after="0"/>
              <w:rPr>
                <w:sz w:val="20"/>
                <w:szCs w:val="20"/>
                <w:color w:val="auto"/>
              </w:rPr>
            </w:pPr>
            <w:r>
              <w:rPr>
                <w:rFonts w:ascii="Arial" w:cs="Arial" w:eastAsia="Arial" w:hAnsi="Arial"/>
                <w:sz w:val="13"/>
                <w:szCs w:val="13"/>
                <w:b w:val="1"/>
                <w:bCs w:val="1"/>
                <w:color w:val="FFFFFF"/>
              </w:rPr>
              <w:t>($)</w:t>
            </w:r>
          </w:p>
        </w:tc>
        <w:tc>
          <w:tcPr>
            <w:tcW w:w="1480" w:type="dxa"/>
            <w:vAlign w:val="bottom"/>
            <w:shd w:val="clear" w:color="auto" w:fill="ADB59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bottom w:val="single" w:sz="8" w:color="ADB59E"/>
            </w:tcBorders>
            <w:shd w:val="clear" w:color="auto" w:fill="ADB59E"/>
          </w:tcPr>
          <w:p>
            <w:pPr>
              <w:spacing w:after="0"/>
              <w:rPr>
                <w:sz w:val="6"/>
                <w:szCs w:val="6"/>
                <w:color w:val="auto"/>
              </w:rPr>
            </w:pPr>
          </w:p>
        </w:tc>
        <w:tc>
          <w:tcPr>
            <w:tcW w:w="2160" w:type="dxa"/>
            <w:vAlign w:val="bottom"/>
            <w:tcBorders>
              <w:bottom w:val="single" w:sz="8" w:color="ADB59E"/>
            </w:tcBorders>
            <w:shd w:val="clear" w:color="auto" w:fill="ADB59E"/>
          </w:tcPr>
          <w:p>
            <w:pPr>
              <w:spacing w:after="0"/>
              <w:rPr>
                <w:sz w:val="6"/>
                <w:szCs w:val="6"/>
                <w:color w:val="auto"/>
              </w:rPr>
            </w:pPr>
          </w:p>
        </w:tc>
        <w:tc>
          <w:tcPr>
            <w:tcW w:w="2000" w:type="dxa"/>
            <w:vAlign w:val="bottom"/>
            <w:tcBorders>
              <w:bottom w:val="single" w:sz="8" w:color="ADB59E"/>
            </w:tcBorders>
            <w:shd w:val="clear" w:color="auto" w:fill="ADB59E"/>
          </w:tcPr>
          <w:p>
            <w:pPr>
              <w:spacing w:after="0"/>
              <w:rPr>
                <w:sz w:val="6"/>
                <w:szCs w:val="6"/>
                <w:color w:val="auto"/>
              </w:rPr>
            </w:pPr>
          </w:p>
        </w:tc>
        <w:tc>
          <w:tcPr>
            <w:tcW w:w="1500" w:type="dxa"/>
            <w:vAlign w:val="bottom"/>
            <w:tcBorders>
              <w:bottom w:val="single" w:sz="8" w:color="ADB59E"/>
            </w:tcBorders>
            <w:vMerge w:val="continue"/>
            <w:shd w:val="clear" w:color="auto" w:fill="ADB59E"/>
          </w:tcPr>
          <w:p>
            <w:pPr>
              <w:spacing w:after="0"/>
              <w:rPr>
                <w:sz w:val="6"/>
                <w:szCs w:val="6"/>
                <w:color w:val="auto"/>
              </w:rPr>
            </w:pPr>
          </w:p>
        </w:tc>
        <w:tc>
          <w:tcPr>
            <w:tcW w:w="1960" w:type="dxa"/>
            <w:vAlign w:val="bottom"/>
            <w:tcBorders>
              <w:bottom w:val="single" w:sz="8" w:color="ADB59E"/>
            </w:tcBorders>
            <w:vMerge w:val="continue"/>
            <w:shd w:val="clear" w:color="auto" w:fill="ADB59E"/>
          </w:tcPr>
          <w:p>
            <w:pPr>
              <w:spacing w:after="0"/>
              <w:rPr>
                <w:sz w:val="6"/>
                <w:szCs w:val="6"/>
                <w:color w:val="auto"/>
              </w:rPr>
            </w:pPr>
          </w:p>
        </w:tc>
        <w:tc>
          <w:tcPr>
            <w:tcW w:w="1480" w:type="dxa"/>
            <w:vAlign w:val="bottom"/>
            <w:tcBorders>
              <w:bottom w:val="single" w:sz="8" w:color="ADB59E"/>
            </w:tcBorders>
            <w:shd w:val="clear" w:color="auto" w:fill="ADB59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920" w:type="dxa"/>
            <w:vAlign w:val="bottom"/>
            <w:tcBorders>
              <w:bottom w:val="single" w:sz="8" w:color="EEF0EB"/>
            </w:tcBorders>
            <w:shd w:val="clear" w:color="auto" w:fill="EEF0EB"/>
          </w:tcPr>
          <w:p>
            <w:pPr>
              <w:ind w:left="60"/>
              <w:spacing w:after="0"/>
              <w:rPr>
                <w:sz w:val="20"/>
                <w:szCs w:val="20"/>
                <w:color w:val="auto"/>
              </w:rPr>
            </w:pPr>
            <w:r>
              <w:rPr>
                <w:rFonts w:ascii="Arial" w:cs="Arial" w:eastAsia="Arial" w:hAnsi="Arial"/>
                <w:sz w:val="14"/>
                <w:szCs w:val="14"/>
                <w:color w:val="auto"/>
              </w:rPr>
              <w:t>Betsy S. Atkins</w:t>
            </w:r>
          </w:p>
        </w:tc>
        <w:tc>
          <w:tcPr>
            <w:tcW w:w="21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$118,500</w:t>
            </w:r>
          </w:p>
        </w:tc>
        <w:tc>
          <w:tcPr>
            <w:tcW w:w="20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$368,444</w:t>
            </w:r>
          </w:p>
        </w:tc>
        <w:tc>
          <w:tcPr>
            <w:tcW w:w="0" w:type="dxa"/>
            <w:vAlign w:val="bottom"/>
          </w:tcPr>
          <w:p>
            <w:pPr>
              <w:spacing w:after="0"/>
              <w:rPr>
                <w:sz w:val="1"/>
                <w:szCs w:val="1"/>
                <w:color w:val="auto"/>
              </w:rPr>
            </w:pPr>
          </w:p>
        </w:tc>
      </w:tr>
      <w:tr>
        <w:trPr>
          <w:trHeight w:val="244"/>
        </w:trPr>
        <w:tc>
          <w:tcPr>
            <w:tcW w:w="1920" w:type="dxa"/>
            <w:vAlign w:val="bottom"/>
          </w:tcPr>
          <w:p>
            <w:pPr>
              <w:ind w:left="60"/>
              <w:spacing w:after="0"/>
              <w:rPr>
                <w:sz w:val="20"/>
                <w:szCs w:val="20"/>
                <w:color w:val="auto"/>
              </w:rPr>
            </w:pPr>
            <w:r>
              <w:rPr>
                <w:rFonts w:ascii="Arial" w:cs="Arial" w:eastAsia="Arial" w:hAnsi="Arial"/>
                <w:sz w:val="14"/>
                <w:szCs w:val="14"/>
                <w:color w:val="auto"/>
              </w:rPr>
              <w:t>Richard J. Byrne</w:t>
            </w:r>
          </w:p>
        </w:tc>
        <w:tc>
          <w:tcPr>
            <w:tcW w:w="2160" w:type="dxa"/>
            <w:vAlign w:val="bottom"/>
          </w:tcPr>
          <w:p>
            <w:pPr>
              <w:jc w:val="center"/>
              <w:spacing w:after="0"/>
              <w:rPr>
                <w:sz w:val="20"/>
                <w:szCs w:val="20"/>
                <w:color w:val="auto"/>
              </w:rPr>
            </w:pPr>
            <w:r>
              <w:rPr>
                <w:rFonts w:ascii="Arial" w:cs="Arial" w:eastAsia="Arial" w:hAnsi="Arial"/>
                <w:sz w:val="14"/>
                <w:szCs w:val="14"/>
                <w:color w:val="auto"/>
              </w:rPr>
              <w:t>$111,000</w:t>
            </w:r>
          </w:p>
        </w:tc>
        <w:tc>
          <w:tcPr>
            <w:tcW w:w="2000" w:type="dxa"/>
            <w:vAlign w:val="bottom"/>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Pr>
          <w:p>
            <w:pPr>
              <w:jc w:val="center"/>
              <w:spacing w:after="0"/>
              <w:rPr>
                <w:sz w:val="20"/>
                <w:szCs w:val="20"/>
                <w:color w:val="auto"/>
              </w:rPr>
            </w:pPr>
            <w:r>
              <w:rPr>
                <w:rFonts w:ascii="Arial" w:cs="Arial" w:eastAsia="Arial" w:hAnsi="Arial"/>
                <w:sz w:val="14"/>
                <w:szCs w:val="14"/>
                <w:color w:val="auto"/>
              </w:rPr>
              <w:t>$360,944</w:t>
            </w: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20" w:type="dxa"/>
            <w:vAlign w:val="bottom"/>
            <w:tcBorders>
              <w:bottom w:val="single" w:sz="8" w:color="EEF0EB"/>
            </w:tcBorders>
            <w:shd w:val="clear" w:color="auto" w:fill="EEF0EB"/>
          </w:tcPr>
          <w:p>
            <w:pPr>
              <w:ind w:left="60"/>
              <w:spacing w:after="0"/>
              <w:rPr>
                <w:sz w:val="20"/>
                <w:szCs w:val="20"/>
                <w:color w:val="auto"/>
              </w:rPr>
            </w:pPr>
            <w:r>
              <w:rPr>
                <w:rFonts w:ascii="Arial" w:cs="Arial" w:eastAsia="Arial" w:hAnsi="Arial"/>
                <w:sz w:val="14"/>
                <w:szCs w:val="14"/>
                <w:color w:val="auto"/>
              </w:rPr>
              <w:t>Jay L. Johnson</w:t>
            </w:r>
          </w:p>
        </w:tc>
        <w:tc>
          <w:tcPr>
            <w:tcW w:w="21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$121,500</w:t>
            </w:r>
          </w:p>
        </w:tc>
        <w:tc>
          <w:tcPr>
            <w:tcW w:w="20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$371,444</w:t>
            </w:r>
          </w:p>
        </w:tc>
        <w:tc>
          <w:tcPr>
            <w:tcW w:w="0" w:type="dxa"/>
            <w:vAlign w:val="bottom"/>
          </w:tcPr>
          <w:p>
            <w:pPr>
              <w:spacing w:after="0"/>
              <w:rPr>
                <w:sz w:val="1"/>
                <w:szCs w:val="1"/>
                <w:color w:val="auto"/>
              </w:rPr>
            </w:pPr>
          </w:p>
        </w:tc>
      </w:tr>
      <w:tr>
        <w:trPr>
          <w:trHeight w:val="244"/>
        </w:trPr>
        <w:tc>
          <w:tcPr>
            <w:tcW w:w="1920" w:type="dxa"/>
            <w:vAlign w:val="bottom"/>
          </w:tcPr>
          <w:p>
            <w:pPr>
              <w:ind w:left="60"/>
              <w:spacing w:after="0"/>
              <w:rPr>
                <w:sz w:val="20"/>
                <w:szCs w:val="20"/>
                <w:color w:val="auto"/>
              </w:rPr>
            </w:pPr>
            <w:r>
              <w:rPr>
                <w:rFonts w:ascii="Arial" w:cs="Arial" w:eastAsia="Arial" w:hAnsi="Arial"/>
                <w:sz w:val="14"/>
                <w:szCs w:val="14"/>
                <w:color w:val="auto"/>
              </w:rPr>
              <w:t>Patricia Mulroy</w:t>
            </w:r>
          </w:p>
        </w:tc>
        <w:tc>
          <w:tcPr>
            <w:tcW w:w="2160" w:type="dxa"/>
            <w:vAlign w:val="bottom"/>
          </w:tcPr>
          <w:p>
            <w:pPr>
              <w:jc w:val="center"/>
              <w:spacing w:after="0"/>
              <w:rPr>
                <w:sz w:val="20"/>
                <w:szCs w:val="20"/>
                <w:color w:val="auto"/>
              </w:rPr>
            </w:pPr>
            <w:r>
              <w:rPr>
                <w:rFonts w:ascii="Arial" w:cs="Arial" w:eastAsia="Arial" w:hAnsi="Arial"/>
                <w:sz w:val="14"/>
                <w:szCs w:val="14"/>
                <w:color w:val="auto"/>
              </w:rPr>
              <w:t>$184,500</w:t>
            </w:r>
          </w:p>
        </w:tc>
        <w:tc>
          <w:tcPr>
            <w:tcW w:w="2000" w:type="dxa"/>
            <w:vAlign w:val="bottom"/>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Pr>
          <w:p>
            <w:pPr>
              <w:jc w:val="center"/>
              <w:spacing w:after="0"/>
              <w:rPr>
                <w:sz w:val="20"/>
                <w:szCs w:val="20"/>
                <w:color w:val="auto"/>
              </w:rPr>
            </w:pPr>
            <w:r>
              <w:rPr>
                <w:rFonts w:ascii="Arial" w:cs="Arial" w:eastAsia="Arial" w:hAnsi="Arial"/>
                <w:sz w:val="14"/>
                <w:szCs w:val="14"/>
                <w:color w:val="auto"/>
              </w:rPr>
              <w:t>$434,444</w:t>
            </w: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20" w:type="dxa"/>
            <w:vAlign w:val="bottom"/>
            <w:tcBorders>
              <w:bottom w:val="single" w:sz="8" w:color="EEF0EB"/>
            </w:tcBorders>
            <w:shd w:val="clear" w:color="auto" w:fill="EEF0EB"/>
          </w:tcPr>
          <w:p>
            <w:pPr>
              <w:ind w:left="60"/>
              <w:spacing w:after="0"/>
              <w:rPr>
                <w:sz w:val="20"/>
                <w:szCs w:val="20"/>
                <w:color w:val="auto"/>
              </w:rPr>
            </w:pPr>
            <w:r>
              <w:rPr>
                <w:rFonts w:ascii="Arial" w:cs="Arial" w:eastAsia="Arial" w:hAnsi="Arial"/>
                <w:sz w:val="14"/>
                <w:szCs w:val="14"/>
                <w:color w:val="auto"/>
              </w:rPr>
              <w:t>Margaret J. Myers</w:t>
            </w:r>
          </w:p>
        </w:tc>
        <w:tc>
          <w:tcPr>
            <w:tcW w:w="21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$106,500</w:t>
            </w:r>
          </w:p>
        </w:tc>
        <w:tc>
          <w:tcPr>
            <w:tcW w:w="20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$356,444</w:t>
            </w:r>
          </w:p>
        </w:tc>
        <w:tc>
          <w:tcPr>
            <w:tcW w:w="0" w:type="dxa"/>
            <w:vAlign w:val="bottom"/>
          </w:tcPr>
          <w:p>
            <w:pPr>
              <w:spacing w:after="0"/>
              <w:rPr>
                <w:sz w:val="1"/>
                <w:szCs w:val="1"/>
                <w:color w:val="auto"/>
              </w:rPr>
            </w:pPr>
          </w:p>
        </w:tc>
      </w:tr>
      <w:tr>
        <w:trPr>
          <w:trHeight w:val="244"/>
        </w:trPr>
        <w:tc>
          <w:tcPr>
            <w:tcW w:w="1920" w:type="dxa"/>
            <w:vAlign w:val="bottom"/>
          </w:tcPr>
          <w:p>
            <w:pPr>
              <w:ind w:left="60"/>
              <w:spacing w:after="0"/>
              <w:rPr>
                <w:sz w:val="20"/>
                <w:szCs w:val="20"/>
                <w:color w:val="auto"/>
              </w:rPr>
            </w:pPr>
            <w:r>
              <w:rPr>
                <w:rFonts w:ascii="Arial" w:cs="Arial" w:eastAsia="Arial" w:hAnsi="Arial"/>
                <w:sz w:val="14"/>
                <w:szCs w:val="14"/>
                <w:color w:val="auto"/>
              </w:rPr>
              <w:t>Clark T. Randt, Jr.</w:t>
            </w:r>
          </w:p>
        </w:tc>
        <w:tc>
          <w:tcPr>
            <w:tcW w:w="2160" w:type="dxa"/>
            <w:vAlign w:val="bottom"/>
          </w:tcPr>
          <w:p>
            <w:pPr>
              <w:jc w:val="center"/>
              <w:spacing w:after="0"/>
              <w:rPr>
                <w:sz w:val="20"/>
                <w:szCs w:val="20"/>
                <w:color w:val="auto"/>
              </w:rPr>
            </w:pPr>
            <w:r>
              <w:rPr>
                <w:rFonts w:ascii="Arial" w:cs="Arial" w:eastAsia="Arial" w:hAnsi="Arial"/>
                <w:sz w:val="14"/>
                <w:szCs w:val="14"/>
                <w:color w:val="auto"/>
              </w:rPr>
              <w:t>$ 88,500</w:t>
            </w:r>
          </w:p>
        </w:tc>
        <w:tc>
          <w:tcPr>
            <w:tcW w:w="2000" w:type="dxa"/>
            <w:vAlign w:val="bottom"/>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Pr>
          <w:p>
            <w:pPr>
              <w:jc w:val="center"/>
              <w:spacing w:after="0"/>
              <w:rPr>
                <w:sz w:val="20"/>
                <w:szCs w:val="20"/>
                <w:color w:val="auto"/>
              </w:rPr>
            </w:pPr>
            <w:r>
              <w:rPr>
                <w:rFonts w:ascii="Arial" w:cs="Arial" w:eastAsia="Arial" w:hAnsi="Arial"/>
                <w:sz w:val="14"/>
                <w:szCs w:val="14"/>
                <w:color w:val="auto"/>
              </w:rPr>
              <w:t>$338,444</w:t>
            </w: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20" w:type="dxa"/>
            <w:vAlign w:val="bottom"/>
            <w:tcBorders>
              <w:bottom w:val="single" w:sz="8" w:color="EEF0EB"/>
            </w:tcBorders>
            <w:shd w:val="clear" w:color="auto" w:fill="EEF0EB"/>
          </w:tcPr>
          <w:p>
            <w:pPr>
              <w:ind w:left="60"/>
              <w:spacing w:after="0"/>
              <w:rPr>
                <w:sz w:val="20"/>
                <w:szCs w:val="20"/>
                <w:color w:val="auto"/>
              </w:rPr>
            </w:pPr>
            <w:r>
              <w:rPr>
                <w:rFonts w:ascii="Arial" w:cs="Arial" w:eastAsia="Arial" w:hAnsi="Arial"/>
                <w:sz w:val="14"/>
                <w:szCs w:val="14"/>
                <w:color w:val="auto"/>
              </w:rPr>
              <w:t>Philip G. Satre</w:t>
            </w:r>
          </w:p>
        </w:tc>
        <w:tc>
          <w:tcPr>
            <w:tcW w:w="21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$260,500</w:t>
            </w:r>
          </w:p>
        </w:tc>
        <w:tc>
          <w:tcPr>
            <w:tcW w:w="20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Borders>
              <w:bottom w:val="single" w:sz="8" w:color="EEF0EB"/>
            </w:tcBorders>
            <w:shd w:val="clear" w:color="auto" w:fill="EEF0EB"/>
          </w:tcPr>
          <w:p>
            <w:pPr>
              <w:jc w:val="center"/>
              <w:spacing w:after="0"/>
              <w:rPr>
                <w:sz w:val="20"/>
                <w:szCs w:val="20"/>
                <w:color w:val="auto"/>
              </w:rPr>
            </w:pPr>
            <w:r>
              <w:rPr>
                <w:rFonts w:ascii="Arial" w:cs="Arial" w:eastAsia="Arial" w:hAnsi="Arial"/>
                <w:sz w:val="14"/>
                <w:szCs w:val="14"/>
                <w:color w:val="auto"/>
              </w:rPr>
              <w:t>$510,444</w:t>
            </w:r>
          </w:p>
        </w:tc>
        <w:tc>
          <w:tcPr>
            <w:tcW w:w="0" w:type="dxa"/>
            <w:vAlign w:val="bottom"/>
          </w:tcPr>
          <w:p>
            <w:pPr>
              <w:spacing w:after="0"/>
              <w:rPr>
                <w:sz w:val="1"/>
                <w:szCs w:val="1"/>
                <w:color w:val="auto"/>
              </w:rPr>
            </w:pPr>
          </w:p>
        </w:tc>
      </w:tr>
      <w:tr>
        <w:trPr>
          <w:trHeight w:val="244"/>
        </w:trPr>
        <w:tc>
          <w:tcPr>
            <w:tcW w:w="1920" w:type="dxa"/>
            <w:vAlign w:val="bottom"/>
          </w:tcPr>
          <w:p>
            <w:pPr>
              <w:ind w:left="60"/>
              <w:spacing w:after="0"/>
              <w:rPr>
                <w:sz w:val="20"/>
                <w:szCs w:val="20"/>
                <w:color w:val="auto"/>
              </w:rPr>
            </w:pPr>
            <w:r>
              <w:rPr>
                <w:rFonts w:ascii="Arial" w:cs="Arial" w:eastAsia="Arial" w:hAnsi="Arial"/>
                <w:sz w:val="14"/>
                <w:szCs w:val="14"/>
                <w:color w:val="auto"/>
              </w:rPr>
              <w:t>Darnell Strom</w:t>
            </w:r>
          </w:p>
        </w:tc>
        <w:tc>
          <w:tcPr>
            <w:tcW w:w="2160" w:type="dxa"/>
            <w:vAlign w:val="bottom"/>
          </w:tcPr>
          <w:p>
            <w:pPr>
              <w:jc w:val="center"/>
              <w:spacing w:after="0"/>
              <w:rPr>
                <w:sz w:val="20"/>
                <w:szCs w:val="20"/>
                <w:color w:val="auto"/>
              </w:rPr>
            </w:pPr>
            <w:r>
              <w:rPr>
                <w:rFonts w:ascii="Arial" w:cs="Arial" w:eastAsia="Arial" w:hAnsi="Arial"/>
                <w:sz w:val="14"/>
                <w:szCs w:val="14"/>
                <w:color w:val="auto"/>
              </w:rPr>
              <w:t>$109,500</w:t>
            </w:r>
          </w:p>
        </w:tc>
        <w:tc>
          <w:tcPr>
            <w:tcW w:w="2000" w:type="dxa"/>
            <w:vAlign w:val="bottom"/>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tcPr>
          <w:p>
            <w:pPr>
              <w:jc w:val="center"/>
              <w:spacing w:after="0"/>
              <w:rPr>
                <w:sz w:val="20"/>
                <w:szCs w:val="20"/>
                <w:color w:val="auto"/>
              </w:rPr>
            </w:pPr>
            <w:r>
              <w:rPr>
                <w:rFonts w:ascii="Arial" w:cs="Arial" w:eastAsia="Arial" w:hAnsi="Arial"/>
                <w:sz w:val="14"/>
                <w:szCs w:val="14"/>
                <w:color w:val="auto"/>
              </w:rPr>
              <w:t>$359,444</w:t>
            </w: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920" w:type="dxa"/>
            <w:vAlign w:val="bottom"/>
            <w:shd w:val="clear" w:color="auto" w:fill="EEF0EB"/>
          </w:tcPr>
          <w:p>
            <w:pPr>
              <w:ind w:left="60"/>
              <w:spacing w:after="0"/>
              <w:rPr>
                <w:sz w:val="20"/>
                <w:szCs w:val="20"/>
                <w:color w:val="auto"/>
              </w:rPr>
            </w:pPr>
            <w:r>
              <w:rPr>
                <w:rFonts w:ascii="Arial" w:cs="Arial" w:eastAsia="Arial" w:hAnsi="Arial"/>
                <w:sz w:val="14"/>
                <w:szCs w:val="14"/>
                <w:color w:val="auto"/>
              </w:rPr>
              <w:t>Winifred M. Webb</w:t>
            </w:r>
          </w:p>
        </w:tc>
        <w:tc>
          <w:tcPr>
            <w:tcW w:w="216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$114,000</w:t>
            </w:r>
          </w:p>
        </w:tc>
        <w:tc>
          <w:tcPr>
            <w:tcW w:w="200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$249,944</w:t>
            </w:r>
          </w:p>
        </w:tc>
        <w:tc>
          <w:tcPr>
            <w:tcW w:w="1500" w:type="dxa"/>
            <w:vAlign w:val="bottom"/>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960" w:type="dxa"/>
            <w:vAlign w:val="bottom"/>
            <w:shd w:val="clear" w:color="auto" w:fill="EEF0EB"/>
          </w:tcPr>
          <w:p>
            <w:pPr>
              <w:jc w:val="center"/>
              <w:spacing w:after="0"/>
              <w:rPr>
                <w:sz w:val="20"/>
                <w:szCs w:val="20"/>
                <w:color w:val="auto"/>
              </w:rPr>
            </w:pPr>
            <w:r>
              <w:rPr>
                <w:rFonts w:ascii="Arial" w:cs="Arial" w:eastAsia="Arial" w:hAnsi="Arial"/>
                <w:sz w:val="14"/>
                <w:szCs w:val="14"/>
                <w:color w:val="auto"/>
                <w:w w:val="97"/>
              </w:rPr>
              <w:t>$ -</w:t>
            </w:r>
          </w:p>
        </w:tc>
        <w:tc>
          <w:tcPr>
            <w:tcW w:w="1480" w:type="dxa"/>
            <w:vAlign w:val="bottom"/>
            <w:shd w:val="clear" w:color="auto" w:fill="EEF0EB"/>
          </w:tcPr>
          <w:p>
            <w:pPr>
              <w:jc w:val="center"/>
              <w:spacing w:after="0"/>
              <w:rPr>
                <w:sz w:val="20"/>
                <w:szCs w:val="20"/>
                <w:color w:val="auto"/>
              </w:rPr>
            </w:pPr>
            <w:r>
              <w:rPr>
                <w:rFonts w:ascii="Arial" w:cs="Arial" w:eastAsia="Arial" w:hAnsi="Arial"/>
                <w:sz w:val="14"/>
                <w:szCs w:val="14"/>
                <w:color w:val="auto"/>
              </w:rPr>
              <w:t>$363,944</w:t>
            </w:r>
          </w:p>
        </w:tc>
        <w:tc>
          <w:tcPr>
            <w:tcW w:w="0" w:type="dxa"/>
            <w:vAlign w:val="bottom"/>
          </w:tcPr>
          <w:p>
            <w:pPr>
              <w:spacing w:after="0"/>
              <w:rPr>
                <w:sz w:val="1"/>
                <w:szCs w:val="1"/>
                <w:color w:val="auto"/>
              </w:rPr>
            </w:pPr>
          </w:p>
        </w:tc>
      </w:tr>
      <w:tr>
        <w:trPr>
          <w:trHeight w:val="53"/>
        </w:trPr>
        <w:tc>
          <w:tcPr>
            <w:tcW w:w="1920" w:type="dxa"/>
            <w:vAlign w:val="bottom"/>
            <w:shd w:val="clear" w:color="auto" w:fill="EEF0EB"/>
          </w:tcPr>
          <w:p>
            <w:pPr>
              <w:spacing w:after="0"/>
              <w:rPr>
                <w:sz w:val="4"/>
                <w:szCs w:val="4"/>
                <w:color w:val="auto"/>
              </w:rPr>
            </w:pPr>
          </w:p>
        </w:tc>
        <w:tc>
          <w:tcPr>
            <w:tcW w:w="2160" w:type="dxa"/>
            <w:vAlign w:val="bottom"/>
            <w:shd w:val="clear" w:color="auto" w:fill="EEF0EB"/>
          </w:tcPr>
          <w:p>
            <w:pPr>
              <w:spacing w:after="0"/>
              <w:rPr>
                <w:sz w:val="4"/>
                <w:szCs w:val="4"/>
                <w:color w:val="auto"/>
              </w:rPr>
            </w:pPr>
          </w:p>
        </w:tc>
        <w:tc>
          <w:tcPr>
            <w:tcW w:w="2000" w:type="dxa"/>
            <w:vAlign w:val="bottom"/>
            <w:shd w:val="clear" w:color="auto" w:fill="EEF0EB"/>
          </w:tcPr>
          <w:p>
            <w:pPr>
              <w:spacing w:after="0"/>
              <w:rPr>
                <w:sz w:val="4"/>
                <w:szCs w:val="4"/>
                <w:color w:val="auto"/>
              </w:rPr>
            </w:pPr>
          </w:p>
        </w:tc>
        <w:tc>
          <w:tcPr>
            <w:tcW w:w="1500" w:type="dxa"/>
            <w:vAlign w:val="bottom"/>
            <w:shd w:val="clear" w:color="auto" w:fill="EEF0EB"/>
          </w:tcPr>
          <w:p>
            <w:pPr>
              <w:spacing w:after="0"/>
              <w:rPr>
                <w:sz w:val="4"/>
                <w:szCs w:val="4"/>
                <w:color w:val="auto"/>
              </w:rPr>
            </w:pPr>
          </w:p>
        </w:tc>
        <w:tc>
          <w:tcPr>
            <w:tcW w:w="1960" w:type="dxa"/>
            <w:vAlign w:val="bottom"/>
            <w:shd w:val="clear" w:color="auto" w:fill="EEF0EB"/>
          </w:tcPr>
          <w:p>
            <w:pPr>
              <w:spacing w:after="0"/>
              <w:rPr>
                <w:sz w:val="4"/>
                <w:szCs w:val="4"/>
                <w:color w:val="auto"/>
              </w:rPr>
            </w:pPr>
          </w:p>
        </w:tc>
        <w:tc>
          <w:tcPr>
            <w:tcW w:w="1480" w:type="dxa"/>
            <w:vAlign w:val="bottom"/>
            <w:shd w:val="clear" w:color="auto" w:fill="EEF0EB"/>
          </w:tcPr>
          <w:p>
            <w:pPr>
              <w:spacing w:after="0"/>
              <w:rPr>
                <w:sz w:val="4"/>
                <w:szCs w:val="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00" w:hanging="184"/>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amounts set forth in this column reflects each non-employee director’s total annual fees, inclusive of their respective total annual retainer fees.</w:t>
      </w:r>
    </w:p>
    <w:p>
      <w:pPr>
        <w:spacing w:after="0" w:line="93" w:lineRule="exact"/>
        <w:rPr>
          <w:rFonts w:ascii="Arial" w:cs="Arial" w:eastAsia="Arial" w:hAnsi="Arial"/>
          <w:sz w:val="13"/>
          <w:szCs w:val="13"/>
          <w:color w:val="auto"/>
        </w:rPr>
      </w:pPr>
    </w:p>
    <w:p>
      <w:pPr>
        <w:ind w:left="120" w:right="280" w:hanging="4"/>
        <w:spacing w:after="0" w:line="225" w:lineRule="auto"/>
        <w:tabs>
          <w:tab w:leader="none" w:pos="309"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amounts set forth in this column reflect the aggregate grant date fair value of 2,010 restricted stock awards granted to each director on May 11, 2021. The aggregate number of unvested stock awards held by each director at December 31, 2021, is as follows: Ms. Atkins, Admiral Johnson, Ms. Mulroy, Ms. Myers, Ambassador Randt, and Ms. Webb, 3,222 each; Mr. Satre and Mr. Byrne, 2,894, each; and Mr. Strom, 2,010.</w:t>
      </w:r>
    </w:p>
    <w:p>
      <w:pPr>
        <w:spacing w:after="0" w:line="78" w:lineRule="exact"/>
        <w:rPr>
          <w:rFonts w:ascii="Arial" w:cs="Arial" w:eastAsia="Arial" w:hAnsi="Arial"/>
          <w:sz w:val="13"/>
          <w:szCs w:val="13"/>
          <w:color w:val="auto"/>
        </w:rPr>
      </w:pPr>
    </w:p>
    <w:p>
      <w:pPr>
        <w:ind w:left="300" w:hanging="184"/>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aggregate number of outstanding option awards held by each director at December 31, 2021, is as follows: Admiral Johnson 10,000 vested; Ambassador Randt 7,000 vested; and</w:t>
      </w:r>
    </w:p>
    <w:p>
      <w:pPr>
        <w:ind w:left="120"/>
        <w:spacing w:after="0"/>
        <w:rPr>
          <w:sz w:val="20"/>
          <w:szCs w:val="20"/>
          <w:color w:val="auto"/>
        </w:rPr>
      </w:pPr>
      <w:r>
        <w:rPr>
          <w:rFonts w:ascii="Arial" w:cs="Arial" w:eastAsia="Arial" w:hAnsi="Arial"/>
          <w:sz w:val="13"/>
          <w:szCs w:val="13"/>
          <w:color w:val="auto"/>
        </w:rPr>
        <w:t>Ms. Mulroy 6,700 vested.</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19 //</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86550" cy="8846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220345</wp:posOffset>
            </wp:positionV>
            <wp:extent cx="6694805" cy="88468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94805"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789420" cy="8846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Introduction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section we will tell you about:</w:t>
      </w:r>
    </w:p>
    <w:p>
      <w:pPr>
        <w:ind w:left="120"/>
        <w:spacing w:after="0"/>
        <w:rPr>
          <w:sz w:val="20"/>
          <w:szCs w:val="20"/>
          <w:color w:val="auto"/>
        </w:rPr>
      </w:pPr>
      <w:r>
        <w:rPr>
          <w:rFonts w:ascii="Arial" w:cs="Arial" w:eastAsia="Arial" w:hAnsi="Arial"/>
          <w:sz w:val="16"/>
          <w:szCs w:val="16"/>
          <w:color w:val="auto"/>
        </w:rPr>
        <w:t>–Our People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Communities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Planet</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5E5E59"/>
        </w:rPr>
        <w:t>BEING SOCIALLY RESPONSIBLE IS NOT SIMPLY A CATCH-PHRASE AT WYNN RESORTS.</w:t>
      </w:r>
    </w:p>
    <w:p>
      <w:pPr>
        <w:ind w:left="120"/>
        <w:spacing w:after="0"/>
        <w:rPr>
          <w:sz w:val="20"/>
          <w:szCs w:val="20"/>
          <w:color w:val="auto"/>
        </w:rPr>
      </w:pPr>
      <w:r>
        <w:rPr>
          <w:rFonts w:ascii="Arial" w:cs="Arial" w:eastAsia="Arial" w:hAnsi="Arial"/>
          <w:sz w:val="18"/>
          <w:szCs w:val="18"/>
          <w:color w:val="5E5E59"/>
        </w:rPr>
        <w:t>IT IS AN ESSENTIAL MINDSET THAT IS BUILT INTO ALL OUR OPERATIONS AND BUSINESS PLANS.</w:t>
      </w:r>
    </w:p>
    <w:p>
      <w:pPr>
        <w:spacing w:after="0" w:line="212"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Under the direction and oversight of the Board, our executive team has set forth a strong set of values that supports our employees and their families, our communities and our planet. Our Board and executive team understand that being socially responsible is not only the right thing to do, it is a business imperative. Long-term value is only possible if all the Company’s stakeholders thrive, including our shareholders, employees, suppliers, the communities in which we operate and the environment.</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provide extensive disclosure of recent accomplishments, our progress toward and metrics for these and other such objectives, and our roadmap for the future throughout our annual ESG Report. Utilizing the Sustainability Accounting Standards Board (SASB) and Global Reporting Initiative (GRI) frameworks and aligning with the United Nation’s Sustainable Development Goals (UNSDGs), our ESG Report details our management of greenhouse gas emissions, renewable energy, waste diversion, responsible water consumption, and other social and governance topics. The annual Wynn Resorts ESG Reports are available online at http://wynnresponsibility.com/.</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foundation of our ESG approach is our best-in-the-business corporate governance, discussed throughout this Proxy Statement.</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180" w:type="dxa"/>
            <w:vAlign w:val="bottom"/>
            <w:tcBorders>
              <w:bottom w:val="single" w:sz="8" w:color="auto"/>
            </w:tcBorders>
            <w:shd w:val="clear" w:color="auto" w:fill="000000"/>
          </w:tcPr>
          <w:p>
            <w:pPr>
              <w:spacing w:after="0"/>
              <w:rPr>
                <w:sz w:val="21"/>
                <w:szCs w:val="21"/>
                <w:color w:val="auto"/>
              </w:rPr>
            </w:pPr>
          </w:p>
        </w:tc>
        <w:tc>
          <w:tcPr>
            <w:tcW w:w="3600" w:type="dxa"/>
            <w:vAlign w:val="bottom"/>
            <w:tcBorders>
              <w:bottom w:val="single" w:sz="8" w:color="auto"/>
            </w:tcBorders>
            <w:shd w:val="clear" w:color="auto" w:fill="000000"/>
          </w:tcPr>
          <w:p>
            <w:pPr>
              <w:spacing w:after="0"/>
              <w:rPr>
                <w:sz w:val="21"/>
                <w:szCs w:val="21"/>
                <w:color w:val="auto"/>
              </w:rPr>
            </w:pPr>
          </w:p>
        </w:tc>
        <w:tc>
          <w:tcPr>
            <w:tcW w:w="3180" w:type="dxa"/>
            <w:vAlign w:val="bottom"/>
            <w:tcBorders>
              <w:bottom w:val="single" w:sz="8" w:color="auto"/>
            </w:tcBorders>
            <w:shd w:val="clear" w:color="auto" w:fill="000000"/>
          </w:tcPr>
          <w:p>
            <w:pPr>
              <w:ind w:left="1520"/>
              <w:spacing w:after="0"/>
              <w:rPr>
                <w:sz w:val="20"/>
                <w:szCs w:val="20"/>
                <w:color w:val="auto"/>
              </w:rPr>
            </w:pPr>
            <w:r>
              <w:rPr>
                <w:rFonts w:ascii="Arial" w:cs="Arial" w:eastAsia="Arial" w:hAnsi="Arial"/>
                <w:sz w:val="14"/>
                <w:szCs w:val="14"/>
                <w:b w:val="1"/>
                <w:bCs w:val="1"/>
                <w:color w:val="FFFFFF"/>
              </w:rPr>
              <w:t>OUR VALUES</w:t>
            </w:r>
          </w:p>
        </w:tc>
        <w:tc>
          <w:tcPr>
            <w:tcW w:w="406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3780" w:type="dxa"/>
            <w:vAlign w:val="bottom"/>
            <w:gridSpan w:val="2"/>
            <w:shd w:val="clear" w:color="auto" w:fill="E2EDED"/>
          </w:tcPr>
          <w:p>
            <w:pPr>
              <w:ind w:left="80"/>
              <w:spacing w:after="0"/>
              <w:rPr>
                <w:sz w:val="20"/>
                <w:szCs w:val="20"/>
                <w:color w:val="auto"/>
              </w:rPr>
            </w:pPr>
            <w:r>
              <w:rPr>
                <w:rFonts w:ascii="Arial" w:cs="Arial" w:eastAsia="Arial" w:hAnsi="Arial"/>
                <w:sz w:val="16"/>
                <w:szCs w:val="16"/>
                <w:color w:val="auto"/>
              </w:rPr>
              <w:t>OUR PEOPLE</w:t>
            </w:r>
          </w:p>
        </w:tc>
        <w:tc>
          <w:tcPr>
            <w:tcW w:w="3180" w:type="dxa"/>
            <w:vAlign w:val="bottom"/>
            <w:vMerge w:val="restart"/>
            <w:shd w:val="clear" w:color="auto" w:fill="E2EDED"/>
          </w:tcPr>
          <w:p>
            <w:pPr>
              <w:ind w:left="220"/>
              <w:spacing w:after="0"/>
              <w:rPr>
                <w:sz w:val="20"/>
                <w:szCs w:val="20"/>
                <w:color w:val="auto"/>
              </w:rPr>
            </w:pPr>
            <w:r>
              <w:rPr>
                <w:rFonts w:ascii="Arial" w:cs="Arial" w:eastAsia="Arial" w:hAnsi="Arial"/>
                <w:sz w:val="16"/>
                <w:szCs w:val="16"/>
                <w:color w:val="auto"/>
              </w:rPr>
              <w:t>OUR COMMUNITIES</w:t>
            </w:r>
          </w:p>
        </w:tc>
        <w:tc>
          <w:tcPr>
            <w:tcW w:w="4060" w:type="dxa"/>
            <w:vAlign w:val="bottom"/>
            <w:vMerge w:val="restart"/>
            <w:shd w:val="clear" w:color="auto" w:fill="E2EDED"/>
          </w:tcPr>
          <w:p>
            <w:pPr>
              <w:ind w:left="720"/>
              <w:spacing w:after="0"/>
              <w:rPr>
                <w:sz w:val="20"/>
                <w:szCs w:val="20"/>
                <w:color w:val="auto"/>
              </w:rPr>
            </w:pPr>
            <w:r>
              <w:rPr>
                <w:rFonts w:ascii="Arial" w:cs="Arial" w:eastAsia="Arial" w:hAnsi="Arial"/>
                <w:sz w:val="16"/>
                <w:szCs w:val="16"/>
                <w:color w:val="auto"/>
              </w:rPr>
              <w:t>OUR PLANET</w:t>
            </w:r>
          </w:p>
        </w:tc>
        <w:tc>
          <w:tcPr>
            <w:tcW w:w="0" w:type="dxa"/>
            <w:vAlign w:val="bottom"/>
          </w:tcPr>
          <w:p>
            <w:pPr>
              <w:spacing w:after="0"/>
              <w:rPr>
                <w:sz w:val="1"/>
                <w:szCs w:val="1"/>
                <w:color w:val="auto"/>
              </w:rPr>
            </w:pPr>
          </w:p>
        </w:tc>
      </w:tr>
      <w:tr>
        <w:trPr>
          <w:trHeight w:val="95"/>
        </w:trPr>
        <w:tc>
          <w:tcPr>
            <w:tcW w:w="3780" w:type="dxa"/>
            <w:vAlign w:val="bottom"/>
            <w:gridSpan w:val="2"/>
            <w:vMerge w:val="restart"/>
            <w:shd w:val="clear" w:color="auto" w:fill="E2EDED"/>
          </w:tcPr>
          <w:p>
            <w:pPr>
              <w:ind w:left="80"/>
              <w:spacing w:after="0"/>
              <w:rPr>
                <w:sz w:val="20"/>
                <w:szCs w:val="20"/>
                <w:color w:val="auto"/>
              </w:rPr>
            </w:pPr>
            <w:r>
              <w:rPr>
                <w:rFonts w:ascii="Arial" w:cs="Arial" w:eastAsia="Arial" w:hAnsi="Arial"/>
                <w:sz w:val="16"/>
                <w:szCs w:val="16"/>
                <w:color w:val="auto"/>
              </w:rPr>
              <w:t>• Human Capital Management</w:t>
            </w:r>
          </w:p>
        </w:tc>
        <w:tc>
          <w:tcPr>
            <w:tcW w:w="3180" w:type="dxa"/>
            <w:vAlign w:val="bottom"/>
            <w:vMerge w:val="continue"/>
            <w:shd w:val="clear" w:color="auto" w:fill="E2EDED"/>
          </w:tcPr>
          <w:p>
            <w:pPr>
              <w:spacing w:after="0"/>
              <w:rPr>
                <w:sz w:val="8"/>
                <w:szCs w:val="8"/>
                <w:color w:val="auto"/>
              </w:rPr>
            </w:pPr>
          </w:p>
        </w:tc>
        <w:tc>
          <w:tcPr>
            <w:tcW w:w="4060" w:type="dxa"/>
            <w:vAlign w:val="bottom"/>
            <w:vMerge w:val="continue"/>
            <w:shd w:val="clear" w:color="auto" w:fill="E2EDED"/>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80" w:type="dxa"/>
            <w:vAlign w:val="bottom"/>
            <w:gridSpan w:val="2"/>
            <w:vMerge w:val="continue"/>
            <w:shd w:val="clear" w:color="auto" w:fill="E2EDED"/>
          </w:tcPr>
          <w:p>
            <w:pPr>
              <w:spacing w:after="0"/>
              <w:rPr>
                <w:sz w:val="8"/>
                <w:szCs w:val="8"/>
                <w:color w:val="auto"/>
              </w:rPr>
            </w:pPr>
          </w:p>
        </w:tc>
        <w:tc>
          <w:tcPr>
            <w:tcW w:w="3180" w:type="dxa"/>
            <w:vAlign w:val="bottom"/>
            <w:vMerge w:val="restart"/>
            <w:shd w:val="clear" w:color="auto" w:fill="E2EDED"/>
          </w:tcPr>
          <w:p>
            <w:pPr>
              <w:ind w:left="220"/>
              <w:spacing w:after="0"/>
              <w:rPr>
                <w:sz w:val="20"/>
                <w:szCs w:val="20"/>
                <w:color w:val="auto"/>
              </w:rPr>
            </w:pPr>
            <w:r>
              <w:rPr>
                <w:rFonts w:ascii="Arial" w:cs="Arial" w:eastAsia="Arial" w:hAnsi="Arial"/>
                <w:sz w:val="16"/>
                <w:szCs w:val="16"/>
                <w:color w:val="auto"/>
              </w:rPr>
              <w:t>• Giving and Volunteerism</w:t>
            </w:r>
          </w:p>
        </w:tc>
        <w:tc>
          <w:tcPr>
            <w:tcW w:w="4060" w:type="dxa"/>
            <w:vAlign w:val="bottom"/>
            <w:vMerge w:val="restart"/>
            <w:shd w:val="clear" w:color="auto" w:fill="E2EDED"/>
          </w:tcPr>
          <w:p>
            <w:pPr>
              <w:ind w:left="720"/>
              <w:spacing w:after="0"/>
              <w:rPr>
                <w:sz w:val="20"/>
                <w:szCs w:val="20"/>
                <w:color w:val="auto"/>
              </w:rPr>
            </w:pPr>
            <w:r>
              <w:rPr>
                <w:rFonts w:ascii="Arial" w:cs="Arial" w:eastAsia="Arial" w:hAnsi="Arial"/>
                <w:sz w:val="16"/>
                <w:szCs w:val="16"/>
                <w:color w:val="auto"/>
              </w:rPr>
              <w:t>• Net-Zero by 2050</w:t>
            </w:r>
          </w:p>
        </w:tc>
        <w:tc>
          <w:tcPr>
            <w:tcW w:w="0" w:type="dxa"/>
            <w:vAlign w:val="bottom"/>
          </w:tcPr>
          <w:p>
            <w:pPr>
              <w:spacing w:after="0"/>
              <w:rPr>
                <w:sz w:val="1"/>
                <w:szCs w:val="1"/>
                <w:color w:val="auto"/>
              </w:rPr>
            </w:pPr>
          </w:p>
        </w:tc>
      </w:tr>
      <w:tr>
        <w:trPr>
          <w:trHeight w:val="94"/>
        </w:trPr>
        <w:tc>
          <w:tcPr>
            <w:tcW w:w="180" w:type="dxa"/>
            <w:vAlign w:val="bottom"/>
            <w:vMerge w:val="restart"/>
            <w:shd w:val="clear" w:color="auto" w:fill="E2EDED"/>
          </w:tcPr>
          <w:p>
            <w:pPr>
              <w:ind w:left="80"/>
              <w:spacing w:after="0"/>
              <w:rPr>
                <w:sz w:val="20"/>
                <w:szCs w:val="20"/>
                <w:color w:val="auto"/>
              </w:rPr>
            </w:pPr>
            <w:r>
              <w:rPr>
                <w:rFonts w:ascii="Arial" w:cs="Arial" w:eastAsia="Arial" w:hAnsi="Arial"/>
                <w:sz w:val="16"/>
                <w:szCs w:val="16"/>
                <w:color w:val="auto"/>
              </w:rPr>
              <w:t>•</w:t>
            </w:r>
          </w:p>
        </w:tc>
        <w:tc>
          <w:tcPr>
            <w:tcW w:w="3600" w:type="dxa"/>
            <w:vAlign w:val="bottom"/>
            <w:vMerge w:val="restart"/>
            <w:shd w:val="clear" w:color="auto" w:fill="E2EDED"/>
          </w:tcPr>
          <w:p>
            <w:pPr>
              <w:ind w:left="40"/>
              <w:spacing w:after="0"/>
              <w:rPr>
                <w:sz w:val="20"/>
                <w:szCs w:val="20"/>
                <w:color w:val="auto"/>
              </w:rPr>
            </w:pPr>
            <w:r>
              <w:rPr>
                <w:rFonts w:ascii="Arial" w:cs="Arial" w:eastAsia="Arial" w:hAnsi="Arial"/>
                <w:sz w:val="16"/>
                <w:szCs w:val="16"/>
                <w:color w:val="auto"/>
              </w:rPr>
              <w:t>Employee Benefits</w:t>
            </w:r>
          </w:p>
        </w:tc>
        <w:tc>
          <w:tcPr>
            <w:tcW w:w="3180" w:type="dxa"/>
            <w:vAlign w:val="bottom"/>
            <w:vMerge w:val="continue"/>
            <w:shd w:val="clear" w:color="auto" w:fill="E2EDED"/>
          </w:tcPr>
          <w:p>
            <w:pPr>
              <w:spacing w:after="0"/>
              <w:rPr>
                <w:sz w:val="8"/>
                <w:szCs w:val="8"/>
                <w:color w:val="auto"/>
              </w:rPr>
            </w:pPr>
          </w:p>
        </w:tc>
        <w:tc>
          <w:tcPr>
            <w:tcW w:w="4060" w:type="dxa"/>
            <w:vAlign w:val="bottom"/>
            <w:vMerge w:val="continue"/>
            <w:shd w:val="clear" w:color="auto" w:fill="E2EDED"/>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 w:type="dxa"/>
            <w:vAlign w:val="bottom"/>
            <w:vMerge w:val="continue"/>
            <w:shd w:val="clear" w:color="auto" w:fill="E2EDED"/>
          </w:tcPr>
          <w:p>
            <w:pPr>
              <w:spacing w:after="0"/>
              <w:rPr>
                <w:sz w:val="8"/>
                <w:szCs w:val="8"/>
                <w:color w:val="auto"/>
              </w:rPr>
            </w:pPr>
          </w:p>
        </w:tc>
        <w:tc>
          <w:tcPr>
            <w:tcW w:w="3600" w:type="dxa"/>
            <w:vAlign w:val="bottom"/>
            <w:vMerge w:val="continue"/>
            <w:shd w:val="clear" w:color="auto" w:fill="E2EDED"/>
          </w:tcPr>
          <w:p>
            <w:pPr>
              <w:spacing w:after="0"/>
              <w:rPr>
                <w:sz w:val="8"/>
                <w:szCs w:val="8"/>
                <w:color w:val="auto"/>
              </w:rPr>
            </w:pPr>
          </w:p>
        </w:tc>
        <w:tc>
          <w:tcPr>
            <w:tcW w:w="3180" w:type="dxa"/>
            <w:vAlign w:val="bottom"/>
            <w:vMerge w:val="restart"/>
            <w:shd w:val="clear" w:color="auto" w:fill="E2EDED"/>
          </w:tcPr>
          <w:p>
            <w:pPr>
              <w:ind w:left="220"/>
              <w:spacing w:after="0"/>
              <w:rPr>
                <w:sz w:val="20"/>
                <w:szCs w:val="20"/>
                <w:color w:val="auto"/>
              </w:rPr>
            </w:pPr>
            <w:r>
              <w:rPr>
                <w:rFonts w:ascii="Arial" w:cs="Arial" w:eastAsia="Arial" w:hAnsi="Arial"/>
                <w:sz w:val="16"/>
                <w:szCs w:val="16"/>
                <w:color w:val="auto"/>
              </w:rPr>
              <w:t>• Responsible Gaming</w:t>
            </w:r>
          </w:p>
        </w:tc>
        <w:tc>
          <w:tcPr>
            <w:tcW w:w="4060" w:type="dxa"/>
            <w:vAlign w:val="bottom"/>
            <w:vMerge w:val="restart"/>
            <w:shd w:val="clear" w:color="auto" w:fill="E2EDED"/>
          </w:tcPr>
          <w:p>
            <w:pPr>
              <w:ind w:left="720"/>
              <w:spacing w:after="0"/>
              <w:rPr>
                <w:sz w:val="20"/>
                <w:szCs w:val="20"/>
                <w:color w:val="auto"/>
              </w:rPr>
            </w:pPr>
            <w:r>
              <w:rPr>
                <w:rFonts w:ascii="Arial" w:cs="Arial" w:eastAsia="Arial" w:hAnsi="Arial"/>
                <w:sz w:val="16"/>
                <w:szCs w:val="16"/>
                <w:color w:val="auto"/>
              </w:rPr>
              <w:t>• Carbon peak 2030</w:t>
            </w:r>
          </w:p>
        </w:tc>
        <w:tc>
          <w:tcPr>
            <w:tcW w:w="0" w:type="dxa"/>
            <w:vAlign w:val="bottom"/>
          </w:tcPr>
          <w:p>
            <w:pPr>
              <w:spacing w:after="0"/>
              <w:rPr>
                <w:sz w:val="1"/>
                <w:szCs w:val="1"/>
                <w:color w:val="auto"/>
              </w:rPr>
            </w:pPr>
          </w:p>
        </w:tc>
      </w:tr>
      <w:tr>
        <w:trPr>
          <w:trHeight w:val="95"/>
        </w:trPr>
        <w:tc>
          <w:tcPr>
            <w:tcW w:w="180" w:type="dxa"/>
            <w:vAlign w:val="bottom"/>
            <w:vMerge w:val="restart"/>
            <w:shd w:val="clear" w:color="auto" w:fill="E2EDED"/>
          </w:tcPr>
          <w:p>
            <w:pPr>
              <w:ind w:left="80"/>
              <w:spacing w:after="0"/>
              <w:rPr>
                <w:sz w:val="20"/>
                <w:szCs w:val="20"/>
                <w:color w:val="auto"/>
              </w:rPr>
            </w:pPr>
            <w:r>
              <w:rPr>
                <w:rFonts w:ascii="Arial" w:cs="Arial" w:eastAsia="Arial" w:hAnsi="Arial"/>
                <w:sz w:val="16"/>
                <w:szCs w:val="16"/>
                <w:color w:val="auto"/>
              </w:rPr>
              <w:t>•</w:t>
            </w:r>
          </w:p>
        </w:tc>
        <w:tc>
          <w:tcPr>
            <w:tcW w:w="3600" w:type="dxa"/>
            <w:vAlign w:val="bottom"/>
            <w:vMerge w:val="restart"/>
            <w:shd w:val="clear" w:color="auto" w:fill="E2EDED"/>
          </w:tcPr>
          <w:p>
            <w:pPr>
              <w:ind w:left="40"/>
              <w:spacing w:after="0"/>
              <w:rPr>
                <w:sz w:val="20"/>
                <w:szCs w:val="20"/>
                <w:color w:val="auto"/>
              </w:rPr>
            </w:pPr>
            <w:r>
              <w:rPr>
                <w:rFonts w:ascii="Arial" w:cs="Arial" w:eastAsia="Arial" w:hAnsi="Arial"/>
                <w:sz w:val="16"/>
                <w:szCs w:val="16"/>
                <w:color w:val="auto"/>
              </w:rPr>
              <w:t>Diversity and Inclusion</w:t>
            </w:r>
          </w:p>
        </w:tc>
        <w:tc>
          <w:tcPr>
            <w:tcW w:w="3180" w:type="dxa"/>
            <w:vAlign w:val="bottom"/>
            <w:vMerge w:val="continue"/>
            <w:shd w:val="clear" w:color="auto" w:fill="E2EDED"/>
          </w:tcPr>
          <w:p>
            <w:pPr>
              <w:spacing w:after="0"/>
              <w:rPr>
                <w:sz w:val="8"/>
                <w:szCs w:val="8"/>
                <w:color w:val="auto"/>
              </w:rPr>
            </w:pPr>
          </w:p>
        </w:tc>
        <w:tc>
          <w:tcPr>
            <w:tcW w:w="4060" w:type="dxa"/>
            <w:vAlign w:val="bottom"/>
            <w:vMerge w:val="continue"/>
            <w:shd w:val="clear" w:color="auto" w:fill="E2EDED"/>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 w:type="dxa"/>
            <w:vAlign w:val="bottom"/>
            <w:vMerge w:val="continue"/>
            <w:shd w:val="clear" w:color="auto" w:fill="E2EDED"/>
          </w:tcPr>
          <w:p>
            <w:pPr>
              <w:spacing w:after="0"/>
              <w:rPr>
                <w:sz w:val="8"/>
                <w:szCs w:val="8"/>
                <w:color w:val="auto"/>
              </w:rPr>
            </w:pPr>
          </w:p>
        </w:tc>
        <w:tc>
          <w:tcPr>
            <w:tcW w:w="3600" w:type="dxa"/>
            <w:vAlign w:val="bottom"/>
            <w:vMerge w:val="continue"/>
            <w:shd w:val="clear" w:color="auto" w:fill="E2EDED"/>
          </w:tcPr>
          <w:p>
            <w:pPr>
              <w:spacing w:after="0"/>
              <w:rPr>
                <w:sz w:val="8"/>
                <w:szCs w:val="8"/>
                <w:color w:val="auto"/>
              </w:rPr>
            </w:pPr>
          </w:p>
        </w:tc>
        <w:tc>
          <w:tcPr>
            <w:tcW w:w="3180" w:type="dxa"/>
            <w:vAlign w:val="bottom"/>
            <w:vMerge w:val="restart"/>
            <w:shd w:val="clear" w:color="auto" w:fill="E2EDED"/>
          </w:tcPr>
          <w:p>
            <w:pPr>
              <w:ind w:left="220"/>
              <w:spacing w:after="0"/>
              <w:rPr>
                <w:sz w:val="20"/>
                <w:szCs w:val="20"/>
                <w:color w:val="auto"/>
              </w:rPr>
            </w:pPr>
            <w:r>
              <w:rPr>
                <w:rFonts w:ascii="Arial" w:cs="Arial" w:eastAsia="Arial" w:hAnsi="Arial"/>
                <w:sz w:val="16"/>
                <w:szCs w:val="16"/>
                <w:color w:val="auto"/>
              </w:rPr>
              <w:t>• Human Rights</w:t>
            </w:r>
          </w:p>
        </w:tc>
        <w:tc>
          <w:tcPr>
            <w:tcW w:w="4060" w:type="dxa"/>
            <w:vAlign w:val="bottom"/>
            <w:vMerge w:val="restart"/>
            <w:shd w:val="clear" w:color="auto" w:fill="E2EDED"/>
          </w:tcPr>
          <w:p>
            <w:pPr>
              <w:ind w:left="720"/>
              <w:spacing w:after="0"/>
              <w:rPr>
                <w:sz w:val="20"/>
                <w:szCs w:val="20"/>
                <w:color w:val="auto"/>
              </w:rPr>
            </w:pPr>
            <w:r>
              <w:rPr>
                <w:rFonts w:ascii="Arial" w:cs="Arial" w:eastAsia="Arial" w:hAnsi="Arial"/>
                <w:sz w:val="16"/>
                <w:szCs w:val="16"/>
                <w:color w:val="auto"/>
              </w:rPr>
              <w:t>• Renewable Energy Procurement 2030</w:t>
            </w:r>
          </w:p>
        </w:tc>
        <w:tc>
          <w:tcPr>
            <w:tcW w:w="0" w:type="dxa"/>
            <w:vAlign w:val="bottom"/>
          </w:tcPr>
          <w:p>
            <w:pPr>
              <w:spacing w:after="0"/>
              <w:rPr>
                <w:sz w:val="1"/>
                <w:szCs w:val="1"/>
                <w:color w:val="auto"/>
              </w:rPr>
            </w:pPr>
          </w:p>
        </w:tc>
      </w:tr>
      <w:tr>
        <w:trPr>
          <w:trHeight w:val="100"/>
        </w:trPr>
        <w:tc>
          <w:tcPr>
            <w:tcW w:w="3780" w:type="dxa"/>
            <w:vAlign w:val="bottom"/>
            <w:gridSpan w:val="2"/>
            <w:vMerge w:val="restart"/>
            <w:shd w:val="clear" w:color="auto" w:fill="E2EDED"/>
          </w:tcPr>
          <w:p>
            <w:pPr>
              <w:ind w:left="80"/>
              <w:spacing w:after="0"/>
              <w:rPr>
                <w:sz w:val="20"/>
                <w:szCs w:val="20"/>
                <w:color w:val="auto"/>
              </w:rPr>
            </w:pPr>
            <w:r>
              <w:rPr>
                <w:rFonts w:ascii="Arial" w:cs="Arial" w:eastAsia="Arial" w:hAnsi="Arial"/>
                <w:sz w:val="16"/>
                <w:szCs w:val="16"/>
                <w:color w:val="auto"/>
              </w:rPr>
              <w:t>• Training and Development</w:t>
            </w:r>
          </w:p>
        </w:tc>
        <w:tc>
          <w:tcPr>
            <w:tcW w:w="3180" w:type="dxa"/>
            <w:vAlign w:val="bottom"/>
            <w:vMerge w:val="continue"/>
            <w:shd w:val="clear" w:color="auto" w:fill="E2EDED"/>
          </w:tcPr>
          <w:p>
            <w:pPr>
              <w:spacing w:after="0"/>
              <w:rPr>
                <w:sz w:val="8"/>
                <w:szCs w:val="8"/>
                <w:color w:val="auto"/>
              </w:rPr>
            </w:pPr>
          </w:p>
        </w:tc>
        <w:tc>
          <w:tcPr>
            <w:tcW w:w="4060" w:type="dxa"/>
            <w:vAlign w:val="bottom"/>
            <w:vMerge w:val="continue"/>
            <w:shd w:val="clear" w:color="auto" w:fill="E2EDED"/>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80" w:type="dxa"/>
            <w:vAlign w:val="bottom"/>
            <w:gridSpan w:val="2"/>
            <w:vMerge w:val="continue"/>
            <w:shd w:val="clear" w:color="auto" w:fill="E2EDED"/>
          </w:tcPr>
          <w:p>
            <w:pPr>
              <w:spacing w:after="0"/>
              <w:rPr>
                <w:sz w:val="8"/>
                <w:szCs w:val="8"/>
                <w:color w:val="auto"/>
              </w:rPr>
            </w:pPr>
          </w:p>
        </w:tc>
        <w:tc>
          <w:tcPr>
            <w:tcW w:w="3180" w:type="dxa"/>
            <w:vAlign w:val="bottom"/>
            <w:shd w:val="clear" w:color="auto" w:fill="E2EDED"/>
          </w:tcPr>
          <w:p>
            <w:pPr>
              <w:spacing w:after="0"/>
              <w:rPr>
                <w:sz w:val="8"/>
                <w:szCs w:val="8"/>
                <w:color w:val="auto"/>
              </w:rPr>
            </w:pPr>
          </w:p>
        </w:tc>
        <w:tc>
          <w:tcPr>
            <w:tcW w:w="4060" w:type="dxa"/>
            <w:vAlign w:val="bottom"/>
            <w:shd w:val="clear" w:color="auto" w:fill="E2EDED"/>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0" w:type="dxa"/>
            <w:vAlign w:val="bottom"/>
            <w:shd w:val="clear" w:color="auto" w:fill="E2EDED"/>
          </w:tcPr>
          <w:p>
            <w:pPr>
              <w:spacing w:after="0"/>
              <w:rPr>
                <w:sz w:val="9"/>
                <w:szCs w:val="9"/>
                <w:color w:val="auto"/>
              </w:rPr>
            </w:pPr>
          </w:p>
        </w:tc>
        <w:tc>
          <w:tcPr>
            <w:tcW w:w="3600" w:type="dxa"/>
            <w:vAlign w:val="bottom"/>
            <w:shd w:val="clear" w:color="auto" w:fill="E2EDED"/>
          </w:tcPr>
          <w:p>
            <w:pPr>
              <w:spacing w:after="0"/>
              <w:rPr>
                <w:sz w:val="9"/>
                <w:szCs w:val="9"/>
                <w:color w:val="auto"/>
              </w:rPr>
            </w:pPr>
          </w:p>
        </w:tc>
        <w:tc>
          <w:tcPr>
            <w:tcW w:w="3180" w:type="dxa"/>
            <w:vAlign w:val="bottom"/>
            <w:shd w:val="clear" w:color="auto" w:fill="E2EDED"/>
          </w:tcPr>
          <w:p>
            <w:pPr>
              <w:spacing w:after="0"/>
              <w:rPr>
                <w:sz w:val="9"/>
                <w:szCs w:val="9"/>
                <w:color w:val="auto"/>
              </w:rPr>
            </w:pPr>
          </w:p>
        </w:tc>
        <w:tc>
          <w:tcPr>
            <w:tcW w:w="4060" w:type="dxa"/>
            <w:vAlign w:val="bottom"/>
            <w:shd w:val="clear" w:color="auto" w:fill="E2EDED"/>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-796925</wp:posOffset>
            </wp:positionV>
            <wp:extent cx="34290" cy="797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79756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-796925</wp:posOffset>
            </wp:positionV>
            <wp:extent cx="34290" cy="797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797560"/>
                    </a:xfrm>
                    <a:prstGeom prst="rect">
                      <a:avLst/>
                    </a:prstGeom>
                    <a:noFill/>
                  </pic:spPr>
                </pic:pic>
              </a:graphicData>
            </a:graphic>
          </wp:anchor>
        </w:drawing>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overarching commitment to social responsibility includes:</w:t>
      </w: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Creating a five-star workplace</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Fostering a diverse and inclusive workforce</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Investing in the training and development of our employees and others in our community</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Furthering social impact initiatives in our communities</w:t>
      </w:r>
    </w:p>
    <w:p>
      <w:pPr>
        <w:spacing w:after="0" w:line="5" w:lineRule="exact"/>
        <w:rPr>
          <w:rFonts w:ascii="Arial" w:cs="Arial" w:eastAsia="Arial" w:hAnsi="Arial"/>
          <w:sz w:val="16"/>
          <w:szCs w:val="16"/>
          <w:color w:val="auto"/>
        </w:rPr>
      </w:pPr>
    </w:p>
    <w:p>
      <w:pPr>
        <w:ind w:left="540" w:right="440" w:hanging="424"/>
        <w:spacing w:after="0" w:line="246"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Minimizing the harm and maximizing the benefit that we have on our community and environment by using and sourcing energy and materials responsibly</w:t>
      </w: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Elevating our corporate governance practices to ensure they appropriately support the long-term interests of our stakeholders</w:t>
      </w:r>
    </w:p>
    <w:p>
      <w:pPr>
        <w:spacing w:after="0" w:line="156" w:lineRule="exact"/>
        <w:rPr>
          <w:rFonts w:ascii="Arial" w:cs="Arial" w:eastAsia="Arial" w:hAnsi="Arial"/>
          <w:sz w:val="16"/>
          <w:szCs w:val="16"/>
          <w:color w:val="auto"/>
        </w:rPr>
      </w:pPr>
    </w:p>
    <w:p>
      <w:pPr>
        <w:ind w:left="5780" w:hanging="160"/>
        <w:spacing w:after="0"/>
        <w:tabs>
          <w:tab w:leader="none" w:pos="57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23 //</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Our People</w:t>
      </w:r>
    </w:p>
    <w:p>
      <w:pPr>
        <w:spacing w:after="0" w:line="22" w:lineRule="exact"/>
        <w:rPr>
          <w:sz w:val="20"/>
          <w:szCs w:val="20"/>
          <w:color w:val="auto"/>
        </w:rPr>
      </w:pPr>
    </w:p>
    <w:p>
      <w:pPr>
        <w:ind w:left="120" w:right="160"/>
        <w:spacing w:after="0" w:line="255" w:lineRule="auto"/>
        <w:rPr>
          <w:sz w:val="20"/>
          <w:szCs w:val="20"/>
          <w:color w:val="auto"/>
        </w:rPr>
      </w:pPr>
      <w:r>
        <w:rPr>
          <w:rFonts w:ascii="Arial" w:cs="Arial" w:eastAsia="Arial" w:hAnsi="Arial"/>
          <w:sz w:val="17"/>
          <w:szCs w:val="17"/>
          <w:color w:val="auto"/>
        </w:rPr>
        <w:t>We believe that we are the employer of choice in our industry because we provide exceptional benefits, are committed to diversity and inclusion, and present opportunities for advancement through growth and development opportunities. We foster the growth and development of our employees to ensure that they remain best-equipped to deliver the singular customer service at each of our resorts. Our incentive compensation and benefit plans contribute to employee engagement and motivation. For mid -level executives and above, our bonus and equity incentive programs are designed to encourage long-term employment and alignment with shareholder interests.</w:t>
      </w:r>
    </w:p>
    <w:p>
      <w:pPr>
        <w:spacing w:after="0" w:line="19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Diversity and inclusion are the cornerstone of our human capital management efforts, and fully supported by the Board and senior management. The Company discloses its EEO-1 Report on our ESG website, at www.wynnresponsibility.com. Our diversity and inclusion efforts Company-wide are overseen at an executive level by our Vice President of Diversity and Inclusion. In 2021, the Company adopted a Diversity, Inclusion and Equity Statement and Policy reflecting its commitment to these efforts. We are proud that over 70% of our line level employees are ethnically diverse and over 50% of our managers are ethnically diverse.</w:t>
      </w:r>
    </w:p>
    <w:p>
      <w:pPr>
        <w:spacing w:after="0" w:line="20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During 2020, the Company made many difficult decisions to ensure that the Company would not only survive the pandemic but thrive on the other side. In 2021 the Company determined that the reductions in 2020 were no longer necessary and the Company provided a cost of living increase of 2%, absorbed a 30% health cost increase so that employee co-pays for health benefits were not increased, and reinstated the Company match for the 2021 401K program employee contributions. It also announced that in 2022, the Company would reinstate the tuition reimbursement program for employees, again offer Citizenship classes and English as a Second Language classes and provide a paid day off for any team member becoming a U.S. citizen.</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Each month, we have also identified resources for those employees who wish to develop their leadership, offering articles, podcasts, and videos with topics such as the key skills required to perform at the highest levels and creating a workplace environment where employees matter. These resources are available on demand, through access to our online learning site. The Company also offers “Conversations with Leaders,” a series spotlighting executives’ inspirational stories of success.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Our communities</w:t>
      </w:r>
    </w:p>
    <w:p>
      <w:pPr>
        <w:spacing w:after="0" w:line="22"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Wynn’s legacy as an agent of change is supported and extended by the collective spirit of service in the hearts of our approximately 27,000 global employees. Our employees volunteered over 37,000 hours globally in 2021. Together, they have inspired our corporate culture of giving that builds resilience in our home communities. Our employees in North America led in 2021 by contributing over $620,000 to the community through the Wynn Employee Foundation. We promoted this culture as a Company by matching those contributions, and additionally donating over $2.9 million in 2021.</w:t>
      </w:r>
    </w:p>
    <w:p>
      <w:pPr>
        <w:spacing w:after="0" w:line="202"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Combining philanthropy with citywide economic and infrastructure development has become our community relations calling card. And because each community we operate in functions with its own unique framework, we design transformative customized community-development projects to solve specific social challenges. To ensure these projects work better for more people and drive long-term inclusive growth, we partner with a spectrum of local civic leaders to identify financial, supply chain, and operational gaps for Wynn Resorts to fill where it matters the most. We continue to rely on these essential relationships with community leaders to guide our extensive nonprofit work as we strengthen infrastructure that provides for the underserved, as well as mobilize immediate relief efforts during times of crisis or natural disaster.</w:t>
      </w:r>
    </w:p>
    <w:p>
      <w:pPr>
        <w:spacing w:after="0" w:line="20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As a further commitment to our communities and to our customers, we follow the American Gaming Association’s Gaming Code of Conduct and support the efforts of the International Center for Responsible Gaming. We firmly believe that it is our responsibility to offer information to our guests about responsible gaming and resources for assistance, and to prevent underage gaming.</w:t>
      </w:r>
    </w:p>
    <w:p>
      <w:pPr>
        <w:spacing w:after="0" w:line="20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Our commitment to international human rights is expressed in our Human Rights Statement and Policy which expresses our support for diversity, freedom of association and collective bargaining, compliance with labor laws, preventing harassment and discrimination, elimination of forced labor and human trafficking and child labor, commitment to workplace health and safety, and the Company’s sustainability efforts. This year, the Company rolled out the Watch for Red Flags Stop Human Trafficking Program including a training video introduced by our CEO.</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24 //</w:t>
      </w:r>
    </w:p>
    <w:p>
      <w:pPr>
        <w:sectPr>
          <w:pgSz w:w="11900" w:h="16838" w:orient="portrait"/>
          <w:cols w:equalWidth="0" w:num="1">
            <w:col w:w="11040"/>
          </w:cols>
          <w:pgMar w:left="32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Our planet</w:t>
      </w:r>
    </w:p>
    <w:p>
      <w:pPr>
        <w:spacing w:after="0" w:line="2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Being progressive is one of our four core company values. Our commitment to environmental sustainability gives us ample opportunity to demonstrate our leadership and vision in preserving our planet. This means providing award-winning service in our resorts worldwide, in a manner that respects communities, people, and our environment. Our sustainability program focuses on four global goals that will lead Wynn in a responsible and progressive future.</w:t>
      </w:r>
    </w:p>
    <w:p>
      <w:pPr>
        <w:spacing w:after="0" w:line="205"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We believe it is our duty to help alleviate the negative impacts on our world, and have made public commitments to several significant initiatives designed to confront the global threat of climate change,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13455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34556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color w:val="5E5E59"/>
        </w:rPr>
        <w:t>Net-Zero by 2050</w:t>
      </w:r>
    </w:p>
    <w:p>
      <w:pPr>
        <w:spacing w:after="0" w:line="241" w:lineRule="exact"/>
        <w:rPr>
          <w:sz w:val="20"/>
          <w:szCs w:val="20"/>
          <w:color w:val="auto"/>
        </w:rPr>
      </w:pPr>
    </w:p>
    <w:p>
      <w:pPr>
        <w:jc w:val="both"/>
        <w:ind w:left="600" w:right="120"/>
        <w:spacing w:after="0" w:line="253" w:lineRule="auto"/>
        <w:rPr>
          <w:sz w:val="20"/>
          <w:szCs w:val="20"/>
          <w:color w:val="auto"/>
        </w:rPr>
      </w:pPr>
      <w:r>
        <w:rPr>
          <w:rFonts w:ascii="Arial" w:cs="Arial" w:eastAsia="Arial" w:hAnsi="Arial"/>
          <w:sz w:val="16"/>
          <w:szCs w:val="16"/>
          <w:color w:val="auto"/>
        </w:rPr>
        <w:t>To reduce or offset all carbon dioxide (CO2) produced by our operations no later than 2050.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5E5E59"/>
        </w:rPr>
        <w:t>Carbon Dioxide Emissions peak by 2030</w:t>
      </w:r>
    </w:p>
    <w:p>
      <w:pPr>
        <w:spacing w:after="0" w:line="226"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To stop and reverse year-over-year growth of operational carbon dioxide (CO2) emissions by 2030.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5E5E59"/>
        </w:rPr>
        <w:t>50% renewable energy procurement by 2030</w:t>
      </w:r>
    </w:p>
    <w:p>
      <w:pPr>
        <w:spacing w:after="0" w:line="226"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To increase Wynn’s supply of renewable energy produced or procured to at least 50 percent of total consumption by 2030.</w:t>
      </w:r>
    </w:p>
    <w:p>
      <w:pPr>
        <w:spacing w:after="0" w:line="200" w:lineRule="exact"/>
        <w:rPr>
          <w:sz w:val="20"/>
          <w:szCs w:val="20"/>
          <w:color w:val="auto"/>
        </w:rPr>
      </w:pPr>
    </w:p>
    <w:p>
      <w:pPr>
        <w:sectPr>
          <w:pgSz w:w="11900" w:h="16838" w:orient="portrait"/>
          <w:cols w:equalWidth="0" w:num="3">
            <w:col w:w="3400" w:space="720"/>
            <w:col w:w="2920" w:space="720"/>
            <w:col w:w="3360"/>
          </w:cols>
          <w:pgMar w:left="320" w:top="459" w:right="4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made discernible progress towards ecosystem and water system resilience.</w:t>
      </w:r>
    </w:p>
    <w:p>
      <w:pPr>
        <w:spacing w:after="0" w:line="212"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Wynn Las Vegas and Encore Boston Harbor have replaced the most common single-use plastic guest items with environmentally responsible alternative materials, in a global effort to reduce waste and support industry advancement in compostable material technology.</w:t>
      </w:r>
    </w:p>
    <w:p>
      <w:pPr>
        <w:spacing w:after="0" w:line="175" w:lineRule="exact"/>
        <w:rPr>
          <w:sz w:val="20"/>
          <w:szCs w:val="20"/>
          <w:color w:val="auto"/>
        </w:rPr>
      </w:pPr>
    </w:p>
    <w:p>
      <w:pPr>
        <w:ind w:left="120" w:right="220"/>
        <w:spacing w:after="0" w:line="261" w:lineRule="auto"/>
        <w:rPr>
          <w:sz w:val="20"/>
          <w:szCs w:val="20"/>
          <w:color w:val="auto"/>
        </w:rPr>
      </w:pPr>
      <w:r>
        <w:rPr>
          <w:rFonts w:ascii="Arial" w:cs="Arial" w:eastAsia="Arial" w:hAnsi="Arial"/>
          <w:sz w:val="17"/>
          <w:szCs w:val="17"/>
          <w:color w:val="auto"/>
        </w:rPr>
        <w:t>Wynn Las Vegas’ investment in renewable energy has resulted in the installation of 20 MW of solar capacity at Stillwater, which serves Wynn Las Vegas and offsets up to 75% of summer peak demand. At Encore Boston Harbor, the largest LEED Platinum certified new construction project in New England, achieved clean peak standard energy with its rooftop solar generation and battery storage system.</w:t>
      </w:r>
    </w:p>
    <w:p>
      <w:pPr>
        <w:spacing w:after="0" w:line="186"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Wynn Las Vegas continues to improve the single-stream recycling system to underpin our efforts to reduce waste sent to landfill. Encore Boston Harbor achieved 100-percent landfill diversion in the past two years of operations.</w:t>
      </w:r>
    </w:p>
    <w:p>
      <w:pPr>
        <w:spacing w:after="0" w:line="197"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Wynn Las Vegas and Encore Boston Harbor minimize water use and mitigate evaporation using artificial turf, efficient in-room faucets, weather and soil sensitive drip irrigation systems. By paying attention to the amount of shade, type of plant, and subsurface water measurements, Encore Boston Harbor reduced average daily watering time to just three minutes, compared to 25 minutes or more for conventional systems. Water consumption, regional water stress, and the latest conservation practices are detailed in the annual ESG Report.</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25 //</w:t>
      </w:r>
    </w:p>
    <w:p>
      <w:pPr>
        <w:sectPr>
          <w:pgSz w:w="11900" w:h="16838" w:orient="portrait"/>
          <w:cols w:equalWidth="0" w:num="1">
            <w:col w:w="11120"/>
          </w:cols>
          <w:pgMar w:left="320" w:top="459" w:right="4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5E5E59"/>
        </w:rPr>
        <w:t>EXECUTIVE OFFICERS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Officers as of March 11, 2022 are: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312"/>
        </w:trPr>
        <w:tc>
          <w:tcPr>
            <w:tcW w:w="2640" w:type="dxa"/>
            <w:vAlign w:val="bottom"/>
            <w:tcBorders>
              <w:right w:val="single" w:sz="8" w:color="7F7F7F"/>
            </w:tcBorders>
          </w:tcPr>
          <w:p>
            <w:pPr>
              <w:ind w:left="60"/>
              <w:spacing w:after="0"/>
              <w:rPr>
                <w:sz w:val="20"/>
                <w:szCs w:val="20"/>
                <w:color w:val="auto"/>
              </w:rPr>
            </w:pPr>
            <w:r>
              <w:rPr>
                <w:rFonts w:ascii="Arial" w:cs="Arial" w:eastAsia="Arial" w:hAnsi="Arial"/>
                <w:sz w:val="14"/>
                <w:szCs w:val="14"/>
                <w:b w:val="1"/>
                <w:bCs w:val="1"/>
                <w:color w:val="5E5E59"/>
              </w:rPr>
              <w:t>NAME</w:t>
            </w:r>
          </w:p>
        </w:tc>
        <w:tc>
          <w:tcPr>
            <w:tcW w:w="1120" w:type="dxa"/>
            <w:vAlign w:val="bottom"/>
            <w:tcBorders>
              <w:right w:val="single" w:sz="8" w:color="7F7F7F"/>
            </w:tcBorders>
          </w:tcPr>
          <w:p>
            <w:pPr>
              <w:jc w:val="center"/>
              <w:ind w:left="128"/>
              <w:spacing w:after="0"/>
              <w:rPr>
                <w:sz w:val="20"/>
                <w:szCs w:val="20"/>
                <w:color w:val="auto"/>
              </w:rPr>
            </w:pPr>
            <w:r>
              <w:rPr>
                <w:rFonts w:ascii="Arial" w:cs="Arial" w:eastAsia="Arial" w:hAnsi="Arial"/>
                <w:sz w:val="14"/>
                <w:szCs w:val="14"/>
                <w:b w:val="1"/>
                <w:bCs w:val="1"/>
                <w:color w:val="5E5E59"/>
              </w:rPr>
              <w:t>AGE</w:t>
            </w:r>
          </w:p>
        </w:tc>
        <w:tc>
          <w:tcPr>
            <w:tcW w:w="7260" w:type="dxa"/>
            <w:vAlign w:val="bottom"/>
          </w:tcPr>
          <w:p>
            <w:pPr>
              <w:ind w:left="200"/>
              <w:spacing w:after="0"/>
              <w:rPr>
                <w:sz w:val="20"/>
                <w:szCs w:val="20"/>
                <w:color w:val="auto"/>
              </w:rPr>
            </w:pPr>
            <w:r>
              <w:rPr>
                <w:rFonts w:ascii="Arial" w:cs="Arial" w:eastAsia="Arial" w:hAnsi="Arial"/>
                <w:sz w:val="14"/>
                <w:szCs w:val="14"/>
                <w:b w:val="1"/>
                <w:bCs w:val="1"/>
                <w:color w:val="5E5E59"/>
              </w:rPr>
              <w:t>POSITION</w:t>
            </w:r>
          </w:p>
        </w:tc>
      </w:tr>
      <w:tr>
        <w:trPr>
          <w:trHeight w:val="120"/>
        </w:trPr>
        <w:tc>
          <w:tcPr>
            <w:tcW w:w="2640" w:type="dxa"/>
            <w:vAlign w:val="bottom"/>
            <w:tcBorders>
              <w:right w:val="single" w:sz="8" w:color="7F7F7F"/>
            </w:tcBorders>
          </w:tcPr>
          <w:p>
            <w:pPr>
              <w:spacing w:after="0"/>
              <w:rPr>
                <w:sz w:val="10"/>
                <w:szCs w:val="10"/>
                <w:color w:val="auto"/>
              </w:rPr>
            </w:pPr>
          </w:p>
        </w:tc>
        <w:tc>
          <w:tcPr>
            <w:tcW w:w="1120" w:type="dxa"/>
            <w:vAlign w:val="bottom"/>
            <w:tcBorders>
              <w:right w:val="single" w:sz="8" w:color="7F7F7F"/>
            </w:tcBorders>
          </w:tcPr>
          <w:p>
            <w:pPr>
              <w:spacing w:after="0"/>
              <w:rPr>
                <w:sz w:val="10"/>
                <w:szCs w:val="10"/>
                <w:color w:val="auto"/>
              </w:rPr>
            </w:pPr>
          </w:p>
        </w:tc>
        <w:tc>
          <w:tcPr>
            <w:tcW w:w="7260" w:type="dxa"/>
            <w:vAlign w:val="bottom"/>
          </w:tcPr>
          <w:p>
            <w:pPr>
              <w:spacing w:after="0"/>
              <w:rPr>
                <w:sz w:val="10"/>
                <w:szCs w:val="10"/>
                <w:color w:val="auto"/>
              </w:rPr>
            </w:pPr>
          </w:p>
        </w:tc>
      </w:tr>
      <w:tr>
        <w:trPr>
          <w:trHeight w:val="312"/>
        </w:trPr>
        <w:tc>
          <w:tcPr>
            <w:tcW w:w="2640" w:type="dxa"/>
            <w:vAlign w:val="bottom"/>
            <w:tcBorders>
              <w:right w:val="single" w:sz="8" w:color="7F7F7F"/>
            </w:tcBorders>
            <w:shd w:val="clear" w:color="auto" w:fill="DEDEDD"/>
          </w:tcPr>
          <w:p>
            <w:pPr>
              <w:ind w:left="60"/>
              <w:spacing w:after="0"/>
              <w:rPr>
                <w:sz w:val="20"/>
                <w:szCs w:val="20"/>
                <w:color w:val="auto"/>
              </w:rPr>
            </w:pPr>
            <w:r>
              <w:rPr>
                <w:rFonts w:ascii="Arial" w:cs="Arial" w:eastAsia="Arial" w:hAnsi="Arial"/>
                <w:sz w:val="14"/>
                <w:szCs w:val="14"/>
                <w:color w:val="auto"/>
              </w:rPr>
              <w:t>Craig S. Billings</w:t>
            </w:r>
          </w:p>
        </w:tc>
        <w:tc>
          <w:tcPr>
            <w:tcW w:w="1120" w:type="dxa"/>
            <w:vAlign w:val="bottom"/>
            <w:tcBorders>
              <w:right w:val="single" w:sz="8" w:color="7F7F7F"/>
            </w:tcBorders>
            <w:shd w:val="clear" w:color="auto" w:fill="DEDEDD"/>
          </w:tcPr>
          <w:p>
            <w:pPr>
              <w:jc w:val="center"/>
              <w:ind w:left="128"/>
              <w:spacing w:after="0"/>
              <w:rPr>
                <w:sz w:val="20"/>
                <w:szCs w:val="20"/>
                <w:color w:val="auto"/>
              </w:rPr>
            </w:pPr>
            <w:r>
              <w:rPr>
                <w:rFonts w:ascii="Arial" w:cs="Arial" w:eastAsia="Arial" w:hAnsi="Arial"/>
                <w:sz w:val="14"/>
                <w:szCs w:val="14"/>
                <w:color w:val="auto"/>
              </w:rPr>
              <w:t>49</w:t>
            </w:r>
          </w:p>
        </w:tc>
        <w:tc>
          <w:tcPr>
            <w:tcW w:w="7260" w:type="dxa"/>
            <w:vAlign w:val="bottom"/>
            <w:shd w:val="clear" w:color="auto" w:fill="DEDEDD"/>
          </w:tcPr>
          <w:p>
            <w:pPr>
              <w:ind w:left="200"/>
              <w:spacing w:after="0"/>
              <w:rPr>
                <w:sz w:val="20"/>
                <w:szCs w:val="20"/>
                <w:color w:val="auto"/>
              </w:rPr>
            </w:pPr>
            <w:r>
              <w:rPr>
                <w:rFonts w:ascii="Arial" w:cs="Arial" w:eastAsia="Arial" w:hAnsi="Arial"/>
                <w:sz w:val="14"/>
                <w:szCs w:val="14"/>
                <w:color w:val="auto"/>
              </w:rPr>
              <w:t>Director and Chief Executive Officer</w:t>
            </w:r>
          </w:p>
        </w:tc>
      </w:tr>
      <w:tr>
        <w:trPr>
          <w:trHeight w:val="120"/>
        </w:trPr>
        <w:tc>
          <w:tcPr>
            <w:tcW w:w="2640" w:type="dxa"/>
            <w:vAlign w:val="bottom"/>
            <w:tcBorders>
              <w:right w:val="single" w:sz="8" w:color="7F7F7F"/>
            </w:tcBorders>
            <w:shd w:val="clear" w:color="auto" w:fill="DEDEDD"/>
          </w:tcPr>
          <w:p>
            <w:pPr>
              <w:spacing w:after="0"/>
              <w:rPr>
                <w:sz w:val="10"/>
                <w:szCs w:val="10"/>
                <w:color w:val="auto"/>
              </w:rPr>
            </w:pPr>
          </w:p>
        </w:tc>
        <w:tc>
          <w:tcPr>
            <w:tcW w:w="1120" w:type="dxa"/>
            <w:vAlign w:val="bottom"/>
            <w:tcBorders>
              <w:right w:val="single" w:sz="8" w:color="7F7F7F"/>
            </w:tcBorders>
            <w:shd w:val="clear" w:color="auto" w:fill="DEDEDD"/>
          </w:tcPr>
          <w:p>
            <w:pPr>
              <w:spacing w:after="0"/>
              <w:rPr>
                <w:sz w:val="10"/>
                <w:szCs w:val="10"/>
                <w:color w:val="auto"/>
              </w:rPr>
            </w:pPr>
          </w:p>
        </w:tc>
        <w:tc>
          <w:tcPr>
            <w:tcW w:w="7260" w:type="dxa"/>
            <w:vAlign w:val="bottom"/>
            <w:shd w:val="clear" w:color="auto" w:fill="DEDEDD"/>
          </w:tcPr>
          <w:p>
            <w:pPr>
              <w:spacing w:after="0"/>
              <w:rPr>
                <w:sz w:val="10"/>
                <w:szCs w:val="10"/>
                <w:color w:val="auto"/>
              </w:rPr>
            </w:pPr>
          </w:p>
        </w:tc>
      </w:tr>
      <w:tr>
        <w:trPr>
          <w:trHeight w:val="312"/>
        </w:trPr>
        <w:tc>
          <w:tcPr>
            <w:tcW w:w="26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Ellen F. Whittemore</w:t>
            </w:r>
          </w:p>
        </w:tc>
        <w:tc>
          <w:tcPr>
            <w:tcW w:w="1120" w:type="dxa"/>
            <w:vAlign w:val="bottom"/>
            <w:tcBorders>
              <w:right w:val="single" w:sz="8" w:color="7F7F7F"/>
            </w:tcBorders>
          </w:tcPr>
          <w:p>
            <w:pPr>
              <w:jc w:val="center"/>
              <w:ind w:left="128"/>
              <w:spacing w:after="0"/>
              <w:rPr>
                <w:sz w:val="20"/>
                <w:szCs w:val="20"/>
                <w:color w:val="auto"/>
              </w:rPr>
            </w:pPr>
            <w:r>
              <w:rPr>
                <w:rFonts w:ascii="Arial" w:cs="Arial" w:eastAsia="Arial" w:hAnsi="Arial"/>
                <w:sz w:val="14"/>
                <w:szCs w:val="14"/>
                <w:color w:val="auto"/>
              </w:rPr>
              <w:t>65</w:t>
            </w:r>
          </w:p>
        </w:tc>
        <w:tc>
          <w:tcPr>
            <w:tcW w:w="7260" w:type="dxa"/>
            <w:vAlign w:val="bottom"/>
          </w:tcPr>
          <w:p>
            <w:pPr>
              <w:ind w:left="20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120"/>
        </w:trPr>
        <w:tc>
          <w:tcPr>
            <w:tcW w:w="2640" w:type="dxa"/>
            <w:vAlign w:val="bottom"/>
            <w:tcBorders>
              <w:right w:val="single" w:sz="8" w:color="7F7F7F"/>
            </w:tcBorders>
          </w:tcPr>
          <w:p>
            <w:pPr>
              <w:spacing w:after="0"/>
              <w:rPr>
                <w:sz w:val="10"/>
                <w:szCs w:val="10"/>
                <w:color w:val="auto"/>
              </w:rPr>
            </w:pPr>
          </w:p>
        </w:tc>
        <w:tc>
          <w:tcPr>
            <w:tcW w:w="1120" w:type="dxa"/>
            <w:vAlign w:val="bottom"/>
            <w:tcBorders>
              <w:right w:val="single" w:sz="8" w:color="7F7F7F"/>
            </w:tcBorders>
          </w:tcPr>
          <w:p>
            <w:pPr>
              <w:spacing w:after="0"/>
              <w:rPr>
                <w:sz w:val="10"/>
                <w:szCs w:val="10"/>
                <w:color w:val="auto"/>
              </w:rPr>
            </w:pPr>
          </w:p>
        </w:tc>
        <w:tc>
          <w:tcPr>
            <w:tcW w:w="7260" w:type="dxa"/>
            <w:vAlign w:val="bottom"/>
          </w:tcPr>
          <w:p>
            <w:pPr>
              <w:spacing w:after="0"/>
              <w:rPr>
                <w:sz w:val="10"/>
                <w:szCs w:val="1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Executive transition</w:t>
      </w:r>
    </w:p>
    <w:p>
      <w:pPr>
        <w:spacing w:after="0" w:line="2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On November 9, 2021, Matt Maddox announced that he would be leaving as CEO of Wynn Resorts effective January 31, 2022. Based on Mr. Maddox’s performance as CEO and deep knowledge of our Company, following a unanimous request by the Board of Directors, Mr. Maddox agreed to remain on the Wynn Macau Limited and Wynn Interactive Limited Boards through the end of calendar year 2022.</w:t>
      </w:r>
    </w:p>
    <w:p>
      <w:pPr>
        <w:spacing w:after="0" w:line="17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Craig Billings, former CEO of Wynn Interactive and who had served as President and CFO of Wynn Resorts, was unanimously selected by the Board to become CEO of Wynn Resorts and a member of the Board effective February 1, 2022, based on his successful five-year tenure with the company in the various roles he has held. Mr. Billings has a history of leadership and innovation in the gaming industry, both domestically and internationally. He has held executive and board positions at Goldman Sachs, where he covered the industry globally, Aristocrat Leisure Limited, NYX Gaming Group, and International Game Technology.</w:t>
      </w:r>
    </w:p>
    <w:p>
      <w:pPr>
        <w:spacing w:after="0" w:line="162"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On December 7, 2021, the Company announced it will appoint Julie Cameron-Doe as its Chief Financial Officer, effective in the second quarter of calendar year 2022 following completion of her notice period with her current employer.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5E5E59"/>
        </w:rPr>
        <w:t>NON-DIRECTOR EXECUTIVE OFFICER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32"/>
          <w:szCs w:val="32"/>
          <w:color w:val="auto"/>
        </w:rPr>
        <w:t xml:space="preserve">Ellen F. Whittemore </w:t>
      </w:r>
      <w:r>
        <w:rPr>
          <w:rFonts w:ascii="Arial" w:cs="Arial" w:eastAsia="Arial" w:hAnsi="Arial"/>
          <w:sz w:val="17"/>
          <w:szCs w:val="17"/>
          <w:i w:val="1"/>
          <w:iCs w:val="1"/>
          <w:color w:val="auto"/>
        </w:rPr>
        <w:t>Executive Vice President, General Counsel and Secretary</w:t>
      </w:r>
    </w:p>
    <w:p>
      <w:pPr>
        <w:spacing w:after="0" w:line="205" w:lineRule="exact"/>
        <w:rPr>
          <w:sz w:val="20"/>
          <w:szCs w:val="20"/>
          <w:color w:val="auto"/>
        </w:rPr>
      </w:pPr>
    </w:p>
    <w:p>
      <w:pPr>
        <w:jc w:val="center"/>
        <w:ind w:right="2360"/>
        <w:spacing w:after="0"/>
        <w:rPr>
          <w:sz w:val="20"/>
          <w:szCs w:val="20"/>
          <w:color w:val="auto"/>
        </w:rPr>
      </w:pPr>
      <w:r>
        <w:rPr>
          <w:rFonts w:ascii="Arial" w:cs="Arial" w:eastAsia="Arial" w:hAnsi="Arial"/>
          <w:sz w:val="14"/>
          <w:szCs w:val="14"/>
          <w:b w:val="1"/>
          <w:bCs w:val="1"/>
          <w:color w:val="auto"/>
        </w:rPr>
        <w:t xml:space="preserve">Ms. Whittemore </w:t>
      </w:r>
      <w:r>
        <w:rPr>
          <w:rFonts w:ascii="Arial" w:cs="Arial" w:eastAsia="Arial" w:hAnsi="Arial"/>
          <w:sz w:val="14"/>
          <w:szCs w:val="14"/>
          <w:color w:val="auto"/>
        </w:rPr>
        <w:t>is the Company’s Executive Vice President, General Counsel and Secretary, a position she has held since July 2018.</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5E5E59"/>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825625" cy="129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5625" cy="1294130"/>
                    </a:xfrm>
                    <a:prstGeom prst="rect">
                      <a:avLst/>
                    </a:prstGeom>
                    <a:noFill/>
                  </pic:spPr>
                </pic:pic>
              </a:graphicData>
            </a:graphic>
          </wp:anchor>
        </w:drawing>
      </w:r>
    </w:p>
    <w:p>
      <w:pPr>
        <w:ind w:left="3520" w:hanging="124"/>
        <w:spacing w:after="0"/>
        <w:tabs>
          <w:tab w:leader="none" w:pos="3520" w:val="left"/>
        </w:tabs>
        <w:numPr>
          <w:ilvl w:val="0"/>
          <w:numId w:val="28"/>
        </w:numPr>
        <w:rPr>
          <w:rFonts w:ascii="Arial" w:cs="Arial" w:eastAsia="Arial" w:hAnsi="Arial"/>
          <w:sz w:val="14"/>
          <w:szCs w:val="14"/>
          <w:color w:val="3D0A51"/>
        </w:rPr>
      </w:pPr>
      <w:r>
        <w:rPr>
          <w:rFonts w:ascii="Arial" w:cs="Arial" w:eastAsia="Arial" w:hAnsi="Arial"/>
          <w:sz w:val="14"/>
          <w:szCs w:val="14"/>
          <w:color w:val="auto"/>
        </w:rPr>
        <w:t>2016 to 2018: Shareholder of Brownstein Hyatt Farber Schreck LLP</w:t>
      </w:r>
    </w:p>
    <w:p>
      <w:pPr>
        <w:spacing w:after="0" w:line="82" w:lineRule="exact"/>
        <w:rPr>
          <w:rFonts w:ascii="Arial" w:cs="Arial" w:eastAsia="Arial" w:hAnsi="Arial"/>
          <w:sz w:val="14"/>
          <w:szCs w:val="14"/>
          <w:color w:val="3D0A51"/>
        </w:rPr>
      </w:pPr>
    </w:p>
    <w:p>
      <w:pPr>
        <w:ind w:left="3520" w:hanging="124"/>
        <w:spacing w:after="0"/>
        <w:tabs>
          <w:tab w:leader="none" w:pos="3520" w:val="left"/>
        </w:tabs>
        <w:numPr>
          <w:ilvl w:val="0"/>
          <w:numId w:val="28"/>
        </w:numPr>
        <w:rPr>
          <w:rFonts w:ascii="Arial" w:cs="Arial" w:eastAsia="Arial" w:hAnsi="Arial"/>
          <w:sz w:val="14"/>
          <w:szCs w:val="14"/>
          <w:color w:val="3D0A51"/>
        </w:rPr>
      </w:pPr>
      <w:r>
        <w:rPr>
          <w:rFonts w:ascii="Arial" w:cs="Arial" w:eastAsia="Arial" w:hAnsi="Arial"/>
          <w:sz w:val="14"/>
          <w:szCs w:val="14"/>
          <w:color w:val="auto"/>
        </w:rPr>
        <w:t>2014 to 2016: Sole manager of the Whittemore Gaming Group, LLC</w:t>
      </w:r>
    </w:p>
    <w:p>
      <w:pPr>
        <w:spacing w:after="0" w:line="82" w:lineRule="exact"/>
        <w:rPr>
          <w:rFonts w:ascii="Arial" w:cs="Arial" w:eastAsia="Arial" w:hAnsi="Arial"/>
          <w:sz w:val="14"/>
          <w:szCs w:val="14"/>
          <w:color w:val="3D0A51"/>
        </w:rPr>
      </w:pPr>
    </w:p>
    <w:p>
      <w:pPr>
        <w:ind w:left="3520" w:hanging="124"/>
        <w:spacing w:after="0"/>
        <w:tabs>
          <w:tab w:leader="none" w:pos="3520" w:val="left"/>
        </w:tabs>
        <w:numPr>
          <w:ilvl w:val="0"/>
          <w:numId w:val="28"/>
        </w:numPr>
        <w:rPr>
          <w:rFonts w:ascii="Arial" w:cs="Arial" w:eastAsia="Arial" w:hAnsi="Arial"/>
          <w:sz w:val="14"/>
          <w:szCs w:val="14"/>
          <w:color w:val="3D0A51"/>
        </w:rPr>
      </w:pPr>
      <w:r>
        <w:rPr>
          <w:rFonts w:ascii="Arial" w:cs="Arial" w:eastAsia="Arial" w:hAnsi="Arial"/>
          <w:sz w:val="14"/>
          <w:szCs w:val="14"/>
          <w:color w:val="auto"/>
        </w:rPr>
        <w:t>Previously owner and President of Las Vegas Sports Consultants, a sports information service for Nevada sports pools</w:t>
      </w:r>
    </w:p>
    <w:p>
      <w:pPr>
        <w:spacing w:after="0" w:line="82" w:lineRule="exact"/>
        <w:rPr>
          <w:rFonts w:ascii="Arial" w:cs="Arial" w:eastAsia="Arial" w:hAnsi="Arial"/>
          <w:sz w:val="14"/>
          <w:szCs w:val="14"/>
          <w:color w:val="3D0A51"/>
        </w:rPr>
      </w:pPr>
    </w:p>
    <w:p>
      <w:pPr>
        <w:ind w:left="3520" w:hanging="124"/>
        <w:spacing w:after="0"/>
        <w:tabs>
          <w:tab w:leader="none" w:pos="3520" w:val="left"/>
        </w:tabs>
        <w:numPr>
          <w:ilvl w:val="0"/>
          <w:numId w:val="28"/>
        </w:numPr>
        <w:rPr>
          <w:rFonts w:ascii="Arial" w:cs="Arial" w:eastAsia="Arial" w:hAnsi="Arial"/>
          <w:sz w:val="14"/>
          <w:szCs w:val="14"/>
          <w:color w:val="3D0A51"/>
        </w:rPr>
      </w:pPr>
      <w:r>
        <w:rPr>
          <w:rFonts w:ascii="Arial" w:cs="Arial" w:eastAsia="Arial" w:hAnsi="Arial"/>
          <w:sz w:val="14"/>
          <w:szCs w:val="14"/>
          <w:color w:val="auto"/>
        </w:rPr>
        <w:t>Previously Of Counsel in the Las Vegas office of the law firm Lionel Sawyer &amp; Collins for more than 20 years</w:t>
      </w:r>
    </w:p>
    <w:p>
      <w:pPr>
        <w:spacing w:after="0" w:line="186"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5E5E59"/>
        </w:rPr>
        <w:t>EDUCATION</w:t>
      </w:r>
    </w:p>
    <w:p>
      <w:pPr>
        <w:spacing w:after="0" w:line="19" w:lineRule="exact"/>
        <w:rPr>
          <w:sz w:val="20"/>
          <w:szCs w:val="20"/>
          <w:color w:val="auto"/>
        </w:rPr>
      </w:pPr>
    </w:p>
    <w:p>
      <w:pPr>
        <w:ind w:left="3400" w:right="160"/>
        <w:spacing w:after="0" w:line="258" w:lineRule="auto"/>
        <w:rPr>
          <w:sz w:val="20"/>
          <w:szCs w:val="20"/>
          <w:color w:val="auto"/>
        </w:rPr>
      </w:pPr>
      <w:r>
        <w:rPr>
          <w:rFonts w:ascii="Arial" w:cs="Arial" w:eastAsia="Arial" w:hAnsi="Arial"/>
          <w:sz w:val="14"/>
          <w:szCs w:val="14"/>
          <w:color w:val="auto"/>
        </w:rPr>
        <w:t>Ms. Whittemore graduated with a B.A. from the University of Nevada, Reno and received her J.D. from the University of San Diego School of Law. She is admitted to practice before the United States Supreme Court.</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500" w:type="dxa"/>
            <w:vAlign w:val="bottom"/>
            <w:shd w:val="clear" w:color="auto" w:fill="F9F9EA"/>
          </w:tcPr>
          <w:p>
            <w:pPr>
              <w:ind w:left="120"/>
              <w:spacing w:after="0"/>
              <w:rPr>
                <w:sz w:val="20"/>
                <w:szCs w:val="20"/>
                <w:color w:val="auto"/>
              </w:rPr>
            </w:pPr>
            <w:r>
              <w:rPr>
                <w:rFonts w:ascii="Arial" w:cs="Arial" w:eastAsia="Arial" w:hAnsi="Arial"/>
                <w:sz w:val="13"/>
                <w:szCs w:val="13"/>
                <w:color w:val="333D3F"/>
              </w:rPr>
              <w:t>Joined Wynn</w:t>
            </w:r>
          </w:p>
        </w:tc>
        <w:tc>
          <w:tcPr>
            <w:tcW w:w="1420" w:type="dxa"/>
            <w:vAlign w:val="bottom"/>
            <w:gridSpan w:val="2"/>
            <w:shd w:val="clear" w:color="auto" w:fill="F9F9EA"/>
          </w:tcPr>
          <w:p>
            <w:pPr>
              <w:ind w:left="180"/>
              <w:spacing w:after="0"/>
              <w:rPr>
                <w:sz w:val="20"/>
                <w:szCs w:val="20"/>
                <w:color w:val="auto"/>
              </w:rPr>
            </w:pPr>
            <w:r>
              <w:rPr>
                <w:rFonts w:ascii="Arial" w:cs="Arial" w:eastAsia="Arial" w:hAnsi="Arial"/>
                <w:sz w:val="13"/>
                <w:szCs w:val="13"/>
                <w:color w:val="333D3F"/>
              </w:rPr>
              <w:t>July 2018</w:t>
            </w:r>
          </w:p>
        </w:tc>
        <w:tc>
          <w:tcPr>
            <w:tcW w:w="3060" w:type="dxa"/>
            <w:vAlign w:val="bottom"/>
          </w:tcPr>
          <w:p>
            <w:pPr>
              <w:spacing w:after="0"/>
              <w:rPr>
                <w:sz w:val="19"/>
                <w:szCs w:val="19"/>
                <w:color w:val="auto"/>
              </w:rPr>
            </w:pPr>
          </w:p>
        </w:tc>
      </w:tr>
      <w:tr>
        <w:trPr>
          <w:trHeight w:val="164"/>
        </w:trPr>
        <w:tc>
          <w:tcPr>
            <w:tcW w:w="1500" w:type="dxa"/>
            <w:vAlign w:val="bottom"/>
            <w:tcBorders>
              <w:top w:val="single" w:sz="8" w:color="auto"/>
              <w:bottom w:val="single" w:sz="8" w:color="F9F9EA"/>
            </w:tcBorders>
            <w:shd w:val="clear" w:color="auto" w:fill="F9F9EA"/>
          </w:tcPr>
          <w:p>
            <w:pPr>
              <w:ind w:left="120"/>
              <w:spacing w:after="0" w:line="147" w:lineRule="exact"/>
              <w:rPr>
                <w:sz w:val="20"/>
                <w:szCs w:val="20"/>
                <w:color w:val="auto"/>
              </w:rPr>
            </w:pPr>
            <w:r>
              <w:rPr>
                <w:rFonts w:ascii="Arial" w:cs="Arial" w:eastAsia="Arial" w:hAnsi="Arial"/>
                <w:sz w:val="13"/>
                <w:szCs w:val="13"/>
                <w:color w:val="333D3F"/>
              </w:rPr>
              <w:t>Age</w:t>
            </w:r>
          </w:p>
        </w:tc>
        <w:tc>
          <w:tcPr>
            <w:tcW w:w="1260" w:type="dxa"/>
            <w:vAlign w:val="bottom"/>
            <w:tcBorders>
              <w:top w:val="single" w:sz="8" w:color="auto"/>
              <w:bottom w:val="single" w:sz="8" w:color="F9F9EA"/>
            </w:tcBorders>
            <w:shd w:val="clear" w:color="auto" w:fill="F9F9EA"/>
          </w:tcPr>
          <w:p>
            <w:pPr>
              <w:ind w:left="180"/>
              <w:spacing w:after="0" w:line="147" w:lineRule="exact"/>
              <w:rPr>
                <w:sz w:val="20"/>
                <w:szCs w:val="20"/>
                <w:color w:val="auto"/>
              </w:rPr>
            </w:pPr>
            <w:r>
              <w:rPr>
                <w:rFonts w:ascii="Arial" w:cs="Arial" w:eastAsia="Arial" w:hAnsi="Arial"/>
                <w:sz w:val="13"/>
                <w:szCs w:val="13"/>
                <w:color w:val="333D3F"/>
              </w:rPr>
              <w:t>65</w:t>
            </w:r>
          </w:p>
        </w:tc>
        <w:tc>
          <w:tcPr>
            <w:tcW w:w="160" w:type="dxa"/>
            <w:vAlign w:val="bottom"/>
            <w:tcBorders>
              <w:top w:val="single" w:sz="8" w:color="F9F9EA"/>
              <w:bottom w:val="single" w:sz="8" w:color="F9F9EA"/>
            </w:tcBorders>
            <w:shd w:val="clear" w:color="auto" w:fill="F9F9EA"/>
          </w:tcPr>
          <w:p>
            <w:pPr>
              <w:spacing w:after="0"/>
              <w:rPr>
                <w:sz w:val="14"/>
                <w:szCs w:val="14"/>
                <w:color w:val="auto"/>
              </w:rPr>
            </w:pPr>
          </w:p>
        </w:tc>
        <w:tc>
          <w:tcPr>
            <w:tcW w:w="3060" w:type="dxa"/>
            <w:vAlign w:val="bottom"/>
          </w:tcPr>
          <w:p>
            <w:pPr>
              <w:spacing w:after="0"/>
              <w:rPr>
                <w:sz w:val="14"/>
                <w:szCs w:val="14"/>
                <w:color w:val="auto"/>
              </w:rPr>
            </w:pPr>
          </w:p>
        </w:tc>
      </w:tr>
      <w:tr>
        <w:trPr>
          <w:trHeight w:val="325"/>
        </w:trPr>
        <w:tc>
          <w:tcPr>
            <w:tcW w:w="1500" w:type="dxa"/>
            <w:vAlign w:val="bottom"/>
          </w:tcPr>
          <w:p>
            <w:pPr>
              <w:spacing w:after="0"/>
              <w:rPr>
                <w:sz w:val="20"/>
                <w:szCs w:val="20"/>
                <w:color w:val="auto"/>
              </w:rPr>
            </w:pPr>
            <w:r>
              <w:rPr>
                <w:rFonts w:ascii="Arial" w:cs="Arial" w:eastAsia="Arial" w:hAnsi="Arial"/>
                <w:sz w:val="11"/>
                <w:szCs w:val="11"/>
                <w:b w:val="1"/>
                <w:bCs w:val="1"/>
                <w:color w:val="auto"/>
              </w:rPr>
              <w:t>2022 PROXY STATEMENT</w:t>
            </w:r>
          </w:p>
        </w:tc>
        <w:tc>
          <w:tcPr>
            <w:tcW w:w="4480" w:type="dxa"/>
            <w:vAlign w:val="bottom"/>
            <w:gridSpan w:val="3"/>
          </w:tcPr>
          <w:p>
            <w:pPr>
              <w:jc w:val="right"/>
              <w:spacing w:after="0"/>
              <w:rPr>
                <w:sz w:val="20"/>
                <w:szCs w:val="20"/>
                <w:color w:val="auto"/>
              </w:rPr>
            </w:pPr>
            <w:r>
              <w:rPr>
                <w:rFonts w:ascii="Arial" w:cs="Arial" w:eastAsia="Arial" w:hAnsi="Arial"/>
                <w:sz w:val="14"/>
                <w:szCs w:val="14"/>
                <w:color w:val="auto"/>
              </w:rPr>
              <w:t>// 26 //</w:t>
            </w: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86550" cy="88468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8655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94805" cy="88468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94805"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220345</wp:posOffset>
            </wp:positionV>
            <wp:extent cx="6789420" cy="88468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approximately 27,000 employees. Our operations in Las Vegas, Macau and Boston are designed to attract a wide range of domestic and international customers.</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Compensation Committee relies on best-in-class practices to incentivize and reward executives and all employees for actions that create long-term shareholder value. As a result, our executive compensation practices promote accountability for performance and align incentives with long-term shareholder value. In addition, the Compensation Committee has designed our executive compensation program to attract and retain the best-in-class talent across our business. In this compensation discussion and analysis, or CD&amp;A, we describe our philosophy and approach to executive compensation.</w:t>
      </w: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E9B00"/>
        </w:rPr>
        <w:t>FOR FISCAL 2021, OUR NEOs WERE:</w:t>
      </w: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880" w:type="dxa"/>
            <w:vAlign w:val="bottom"/>
            <w:tcBorders>
              <w:right w:val="single" w:sz="8" w:color="A8BCBF"/>
            </w:tcBorders>
          </w:tcPr>
          <w:p>
            <w:pPr>
              <w:ind w:left="120"/>
              <w:spacing w:after="0"/>
              <w:rPr>
                <w:sz w:val="20"/>
                <w:szCs w:val="20"/>
                <w:color w:val="auto"/>
              </w:rPr>
            </w:pPr>
            <w:r>
              <w:rPr>
                <w:rFonts w:ascii="Arial" w:cs="Arial" w:eastAsia="Arial" w:hAnsi="Arial"/>
                <w:sz w:val="14"/>
                <w:szCs w:val="14"/>
                <w:b w:val="1"/>
                <w:bCs w:val="1"/>
                <w:color w:val="CE9B00"/>
              </w:rPr>
              <w:t>NAME</w:t>
            </w:r>
          </w:p>
        </w:tc>
        <w:tc>
          <w:tcPr>
            <w:tcW w:w="9140" w:type="dxa"/>
            <w:vAlign w:val="bottom"/>
          </w:tcPr>
          <w:p>
            <w:pPr>
              <w:ind w:left="180"/>
              <w:spacing w:after="0"/>
              <w:rPr>
                <w:sz w:val="20"/>
                <w:szCs w:val="20"/>
                <w:color w:val="auto"/>
              </w:rPr>
            </w:pPr>
            <w:r>
              <w:rPr>
                <w:rFonts w:ascii="Arial" w:cs="Arial" w:eastAsia="Arial" w:hAnsi="Arial"/>
                <w:sz w:val="14"/>
                <w:szCs w:val="14"/>
                <w:b w:val="1"/>
                <w:bCs w:val="1"/>
                <w:color w:val="CE9B00"/>
              </w:rPr>
              <w:t>TITLE</w:t>
            </w:r>
          </w:p>
        </w:tc>
      </w:tr>
      <w:tr>
        <w:trPr>
          <w:trHeight w:val="114"/>
        </w:trPr>
        <w:tc>
          <w:tcPr>
            <w:tcW w:w="1880" w:type="dxa"/>
            <w:vAlign w:val="bottom"/>
            <w:tcBorders>
              <w:right w:val="single" w:sz="8" w:color="A8BCBF"/>
            </w:tcBorders>
          </w:tcPr>
          <w:p>
            <w:pPr>
              <w:spacing w:after="0"/>
              <w:rPr>
                <w:sz w:val="9"/>
                <w:szCs w:val="9"/>
                <w:color w:val="auto"/>
              </w:rPr>
            </w:pPr>
          </w:p>
        </w:tc>
        <w:tc>
          <w:tcPr>
            <w:tcW w:w="9140" w:type="dxa"/>
            <w:vAlign w:val="bottom"/>
          </w:tcPr>
          <w:p>
            <w:pPr>
              <w:spacing w:after="0"/>
              <w:rPr>
                <w:sz w:val="9"/>
                <w:szCs w:val="9"/>
                <w:color w:val="auto"/>
              </w:rPr>
            </w:pPr>
          </w:p>
        </w:tc>
      </w:tr>
      <w:tr>
        <w:trPr>
          <w:trHeight w:val="324"/>
        </w:trPr>
        <w:tc>
          <w:tcPr>
            <w:tcW w:w="1880" w:type="dxa"/>
            <w:vAlign w:val="bottom"/>
            <w:tcBorders>
              <w:right w:val="single" w:sz="8" w:color="A8BCBF"/>
            </w:tcBorders>
            <w:shd w:val="clear" w:color="auto" w:fill="F5EBCC"/>
          </w:tcPr>
          <w:p>
            <w:pPr>
              <w:ind w:left="100"/>
              <w:spacing w:after="0"/>
              <w:rPr>
                <w:sz w:val="20"/>
                <w:szCs w:val="20"/>
                <w:color w:val="auto"/>
              </w:rPr>
            </w:pPr>
            <w:r>
              <w:rPr>
                <w:rFonts w:ascii="Arial" w:cs="Arial" w:eastAsia="Arial" w:hAnsi="Arial"/>
                <w:sz w:val="18"/>
                <w:szCs w:val="18"/>
                <w:color w:val="auto"/>
              </w:rPr>
              <w:t>Matt Maddox</w:t>
            </w:r>
          </w:p>
        </w:tc>
        <w:tc>
          <w:tcPr>
            <w:tcW w:w="9140" w:type="dxa"/>
            <w:vAlign w:val="bottom"/>
            <w:shd w:val="clear" w:color="auto" w:fill="F5EBCC"/>
          </w:tcPr>
          <w:p>
            <w:pPr>
              <w:ind w:left="180"/>
              <w:spacing w:after="0"/>
              <w:rPr>
                <w:sz w:val="20"/>
                <w:szCs w:val="20"/>
                <w:color w:val="auto"/>
              </w:rPr>
            </w:pPr>
            <w:r>
              <w:rPr>
                <w:rFonts w:ascii="Arial" w:cs="Arial" w:eastAsia="Arial" w:hAnsi="Arial"/>
                <w:sz w:val="18"/>
                <w:szCs w:val="18"/>
                <w:color w:val="auto"/>
              </w:rPr>
              <w:t>Chief Executive Officer</w:t>
            </w:r>
          </w:p>
        </w:tc>
      </w:tr>
      <w:tr>
        <w:trPr>
          <w:trHeight w:val="162"/>
        </w:trPr>
        <w:tc>
          <w:tcPr>
            <w:tcW w:w="1880" w:type="dxa"/>
            <w:vAlign w:val="bottom"/>
            <w:tcBorders>
              <w:right w:val="single" w:sz="8" w:color="A8BCBF"/>
            </w:tcBorders>
            <w:shd w:val="clear" w:color="auto" w:fill="F5EBCC"/>
          </w:tcPr>
          <w:p>
            <w:pPr>
              <w:spacing w:after="0"/>
              <w:rPr>
                <w:sz w:val="14"/>
                <w:szCs w:val="14"/>
                <w:color w:val="auto"/>
              </w:rPr>
            </w:pPr>
          </w:p>
        </w:tc>
        <w:tc>
          <w:tcPr>
            <w:tcW w:w="9140" w:type="dxa"/>
            <w:vAlign w:val="bottom"/>
            <w:shd w:val="clear" w:color="auto" w:fill="F5EBCC"/>
          </w:tcPr>
          <w:p>
            <w:pPr>
              <w:spacing w:after="0"/>
              <w:rPr>
                <w:sz w:val="14"/>
                <w:szCs w:val="14"/>
                <w:color w:val="auto"/>
              </w:rPr>
            </w:pPr>
          </w:p>
        </w:tc>
      </w:tr>
      <w:tr>
        <w:trPr>
          <w:trHeight w:val="324"/>
        </w:trPr>
        <w:tc>
          <w:tcPr>
            <w:tcW w:w="1880" w:type="dxa"/>
            <w:vAlign w:val="bottom"/>
            <w:tcBorders>
              <w:right w:val="single" w:sz="8" w:color="A8BCBF"/>
            </w:tcBorders>
          </w:tcPr>
          <w:p>
            <w:pPr>
              <w:ind w:left="100"/>
              <w:spacing w:after="0"/>
              <w:rPr>
                <w:sz w:val="20"/>
                <w:szCs w:val="20"/>
                <w:color w:val="auto"/>
              </w:rPr>
            </w:pPr>
            <w:r>
              <w:rPr>
                <w:rFonts w:ascii="Arial" w:cs="Arial" w:eastAsia="Arial" w:hAnsi="Arial"/>
                <w:sz w:val="18"/>
                <w:szCs w:val="18"/>
                <w:color w:val="auto"/>
              </w:rPr>
              <w:t>Craig S. Billings</w:t>
            </w:r>
          </w:p>
        </w:tc>
        <w:tc>
          <w:tcPr>
            <w:tcW w:w="914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162"/>
        </w:trPr>
        <w:tc>
          <w:tcPr>
            <w:tcW w:w="1880" w:type="dxa"/>
            <w:vAlign w:val="bottom"/>
            <w:tcBorders>
              <w:right w:val="single" w:sz="8" w:color="A8BCBF"/>
            </w:tcBorders>
          </w:tcPr>
          <w:p>
            <w:pPr>
              <w:spacing w:after="0"/>
              <w:rPr>
                <w:sz w:val="14"/>
                <w:szCs w:val="14"/>
                <w:color w:val="auto"/>
              </w:rPr>
            </w:pPr>
          </w:p>
        </w:tc>
        <w:tc>
          <w:tcPr>
            <w:tcW w:w="9140" w:type="dxa"/>
            <w:vAlign w:val="bottom"/>
          </w:tcPr>
          <w:p>
            <w:pPr>
              <w:spacing w:after="0"/>
              <w:rPr>
                <w:sz w:val="14"/>
                <w:szCs w:val="14"/>
                <w:color w:val="auto"/>
              </w:rPr>
            </w:pPr>
          </w:p>
        </w:tc>
      </w:tr>
      <w:tr>
        <w:trPr>
          <w:trHeight w:val="324"/>
        </w:trPr>
        <w:tc>
          <w:tcPr>
            <w:tcW w:w="1880" w:type="dxa"/>
            <w:vAlign w:val="bottom"/>
            <w:tcBorders>
              <w:right w:val="single" w:sz="8" w:color="A8BCBF"/>
            </w:tcBorders>
            <w:shd w:val="clear" w:color="auto" w:fill="F5EBCC"/>
          </w:tcPr>
          <w:p>
            <w:pPr>
              <w:ind w:left="100"/>
              <w:spacing w:after="0"/>
              <w:rPr>
                <w:sz w:val="20"/>
                <w:szCs w:val="20"/>
                <w:color w:val="auto"/>
              </w:rPr>
            </w:pPr>
            <w:r>
              <w:rPr>
                <w:rFonts w:ascii="Arial" w:cs="Arial" w:eastAsia="Arial" w:hAnsi="Arial"/>
                <w:sz w:val="18"/>
                <w:szCs w:val="18"/>
                <w:color w:val="auto"/>
              </w:rPr>
              <w:t>Ellen F. Whittemore</w:t>
            </w:r>
          </w:p>
        </w:tc>
        <w:tc>
          <w:tcPr>
            <w:tcW w:w="9140" w:type="dxa"/>
            <w:vAlign w:val="bottom"/>
            <w:shd w:val="clear" w:color="auto" w:fill="F5EBCC"/>
          </w:tcPr>
          <w:p>
            <w:pPr>
              <w:ind w:left="1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162"/>
        </w:trPr>
        <w:tc>
          <w:tcPr>
            <w:tcW w:w="1880" w:type="dxa"/>
            <w:vAlign w:val="bottom"/>
            <w:tcBorders>
              <w:right w:val="single" w:sz="8" w:color="A8BCBF"/>
            </w:tcBorders>
            <w:shd w:val="clear" w:color="auto" w:fill="F5EBCC"/>
          </w:tcPr>
          <w:p>
            <w:pPr>
              <w:spacing w:after="0"/>
              <w:rPr>
                <w:sz w:val="14"/>
                <w:szCs w:val="14"/>
                <w:color w:val="auto"/>
              </w:rPr>
            </w:pPr>
          </w:p>
        </w:tc>
        <w:tc>
          <w:tcPr>
            <w:tcW w:w="9140" w:type="dxa"/>
            <w:vAlign w:val="bottom"/>
            <w:shd w:val="clear" w:color="auto" w:fill="F5EBCC"/>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31 //</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Responding to shareholder feedback</w:t>
      </w:r>
    </w:p>
    <w:p>
      <w:pPr>
        <w:spacing w:after="0" w:line="2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Our Board recognizes the importance of shareholder engagement, both in terms of frequency and quality of dialogue, and has always been committed to engaging with shareholders on all topics including company performance and strategy, corporate governance, executive compensation, and environmental, social, and governance topics. We value shareholder feedback and consider it an essential part of Board discussions and decisions.</w:t>
      </w:r>
    </w:p>
    <w:p>
      <w:pPr>
        <w:spacing w:after="0" w:line="178" w:lineRule="exact"/>
        <w:rPr>
          <w:sz w:val="20"/>
          <w:szCs w:val="20"/>
          <w:color w:val="auto"/>
        </w:rPr>
      </w:pPr>
    </w:p>
    <w:p>
      <w:pPr>
        <w:ind w:left="120" w:right="1100"/>
        <w:spacing w:after="0" w:line="246" w:lineRule="auto"/>
        <w:rPr>
          <w:sz w:val="20"/>
          <w:szCs w:val="20"/>
          <w:color w:val="auto"/>
        </w:rPr>
      </w:pPr>
      <w:r>
        <w:rPr>
          <w:rFonts w:ascii="Arial" w:cs="Arial" w:eastAsia="Arial" w:hAnsi="Arial"/>
          <w:sz w:val="18"/>
          <w:szCs w:val="18"/>
          <w:color w:val="auto"/>
        </w:rPr>
        <w:t>The Company sought shareholder feedback on key issues throughout 2021, including with respect to executive retention and compensation.</w:t>
      </w:r>
    </w:p>
    <w:p>
      <w:pPr>
        <w:spacing w:after="0" w:line="8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listened to our shareholders and reaffirmed our philosophy with respect to executive retention and compensation, as described below. We are encouraged by the overwhelming support shareholders have expressed for our past Say-on-Pay proposals and believe the Company’s shareholder engagement efforts during 2021 will only strengthen that support.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CE9B00"/>
        </w:rPr>
        <w:t>SHAREHOLDER OUTREACH AND DESIGN</w:t>
      </w:r>
    </w:p>
    <w:p>
      <w:pPr>
        <w:spacing w:after="0" w:line="14"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In 2021, the Company had calls and/or meetings with several shareholders of the Company’s Common Stock. Our Chair of the Board and Chair of the Compensation Committee participated in several meetings during the outreach. As a direct result of shareholder feedback, we now disclose our EEO-1 reports on our website at www.wynnresponsiblity.com.</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CE9B00"/>
        </w:rPr>
        <w:t>SHAREHOLDER FEEDBACK AND BOARD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163195</wp:posOffset>
            </wp:positionV>
            <wp:extent cx="8890" cy="17487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487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163195</wp:posOffset>
            </wp:positionV>
            <wp:extent cx="8890" cy="17487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487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163195</wp:posOffset>
            </wp:positionV>
            <wp:extent cx="8890" cy="17487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48790"/>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2860" w:type="dxa"/>
            <w:vAlign w:val="bottom"/>
          </w:tcPr>
          <w:p>
            <w:pPr>
              <w:ind w:left="880"/>
              <w:spacing w:after="0"/>
              <w:rPr>
                <w:sz w:val="20"/>
                <w:szCs w:val="20"/>
                <w:color w:val="auto"/>
              </w:rPr>
            </w:pPr>
            <w:r>
              <w:rPr>
                <w:rFonts w:ascii="Arial" w:cs="Arial" w:eastAsia="Arial" w:hAnsi="Arial"/>
                <w:sz w:val="13"/>
                <w:szCs w:val="13"/>
                <w:b w:val="1"/>
                <w:bCs w:val="1"/>
                <w:color w:val="auto"/>
              </w:rPr>
              <w:t>Feedback Themes</w:t>
            </w:r>
          </w:p>
        </w:tc>
        <w:tc>
          <w:tcPr>
            <w:tcW w:w="2740" w:type="dxa"/>
            <w:vAlign w:val="bottom"/>
          </w:tcPr>
          <w:p>
            <w:pPr>
              <w:ind w:left="880"/>
              <w:spacing w:after="0"/>
              <w:rPr>
                <w:sz w:val="20"/>
                <w:szCs w:val="20"/>
                <w:color w:val="auto"/>
              </w:rPr>
            </w:pPr>
            <w:r>
              <w:rPr>
                <w:rFonts w:ascii="Arial" w:cs="Arial" w:eastAsia="Arial" w:hAnsi="Arial"/>
                <w:sz w:val="13"/>
                <w:szCs w:val="13"/>
                <w:b w:val="1"/>
                <w:bCs w:val="1"/>
                <w:color w:val="auto"/>
              </w:rPr>
              <w:t>Specific Feedback</w:t>
            </w:r>
          </w:p>
        </w:tc>
        <w:tc>
          <w:tcPr>
            <w:tcW w:w="2800" w:type="dxa"/>
            <w:vAlign w:val="bottom"/>
          </w:tcPr>
          <w:p>
            <w:pPr>
              <w:ind w:left="620"/>
              <w:spacing w:after="0"/>
              <w:rPr>
                <w:sz w:val="20"/>
                <w:szCs w:val="20"/>
                <w:color w:val="auto"/>
              </w:rPr>
            </w:pPr>
            <w:r>
              <w:rPr>
                <w:rFonts w:ascii="Arial" w:cs="Arial" w:eastAsia="Arial" w:hAnsi="Arial"/>
                <w:sz w:val="13"/>
                <w:szCs w:val="13"/>
                <w:b w:val="1"/>
                <w:bCs w:val="1"/>
                <w:color w:val="auto"/>
              </w:rPr>
              <w:t>Actions Taken in Response</w:t>
            </w:r>
          </w:p>
        </w:tc>
        <w:tc>
          <w:tcPr>
            <w:tcW w:w="2620" w:type="dxa"/>
            <w:vAlign w:val="bottom"/>
          </w:tcPr>
          <w:p>
            <w:pPr>
              <w:ind w:left="860"/>
              <w:spacing w:after="0"/>
              <w:rPr>
                <w:sz w:val="20"/>
                <w:szCs w:val="20"/>
                <w:color w:val="auto"/>
              </w:rPr>
            </w:pPr>
            <w:r>
              <w:rPr>
                <w:rFonts w:ascii="Arial" w:cs="Arial" w:eastAsia="Arial" w:hAnsi="Arial"/>
                <w:sz w:val="13"/>
                <w:szCs w:val="13"/>
                <w:b w:val="1"/>
                <w:bCs w:val="1"/>
                <w:color w:val="auto"/>
              </w:rPr>
              <w:t>Impact of Action</w:t>
            </w:r>
          </w:p>
        </w:tc>
      </w:tr>
      <w:tr>
        <w:trPr>
          <w:trHeight w:val="43"/>
        </w:trPr>
        <w:tc>
          <w:tcPr>
            <w:tcW w:w="28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26"/>
        </w:trPr>
        <w:tc>
          <w:tcPr>
            <w:tcW w:w="2860" w:type="dxa"/>
            <w:vAlign w:val="bottom"/>
            <w:shd w:val="clear" w:color="auto" w:fill="F5EBCC"/>
          </w:tcPr>
          <w:p>
            <w:pPr>
              <w:ind w:left="80"/>
              <w:spacing w:after="0"/>
              <w:rPr>
                <w:sz w:val="20"/>
                <w:szCs w:val="20"/>
                <w:color w:val="auto"/>
              </w:rPr>
            </w:pPr>
            <w:r>
              <w:rPr>
                <w:rFonts w:ascii="Arial" w:cs="Arial" w:eastAsia="Arial" w:hAnsi="Arial"/>
                <w:sz w:val="15"/>
                <w:szCs w:val="15"/>
                <w:color w:val="auto"/>
              </w:rPr>
              <w:t>Overall Executive Compensation</w:t>
            </w:r>
          </w:p>
        </w:tc>
        <w:tc>
          <w:tcPr>
            <w:tcW w:w="2740" w:type="dxa"/>
            <w:vAlign w:val="bottom"/>
            <w:shd w:val="clear" w:color="auto" w:fill="F5EBCC"/>
          </w:tcPr>
          <w:p>
            <w:pPr>
              <w:ind w:left="100"/>
              <w:spacing w:after="0"/>
              <w:rPr>
                <w:sz w:val="20"/>
                <w:szCs w:val="20"/>
                <w:color w:val="auto"/>
              </w:rPr>
            </w:pPr>
            <w:r>
              <w:rPr>
                <w:rFonts w:ascii="Arial" w:cs="Arial" w:eastAsia="Arial" w:hAnsi="Arial"/>
                <w:sz w:val="15"/>
                <w:szCs w:val="15"/>
                <w:color w:val="auto"/>
              </w:rPr>
              <w:t>Strong preference for consistent</w:t>
            </w:r>
          </w:p>
        </w:tc>
        <w:tc>
          <w:tcPr>
            <w:tcW w:w="2800" w:type="dxa"/>
            <w:vAlign w:val="bottom"/>
            <w:shd w:val="clear" w:color="auto" w:fill="F5EBCC"/>
          </w:tcPr>
          <w:p>
            <w:pPr>
              <w:ind w:left="120"/>
              <w:spacing w:after="0"/>
              <w:rPr>
                <w:sz w:val="20"/>
                <w:szCs w:val="20"/>
                <w:color w:val="auto"/>
              </w:rPr>
            </w:pPr>
            <w:r>
              <w:rPr>
                <w:rFonts w:ascii="Arial" w:cs="Arial" w:eastAsia="Arial" w:hAnsi="Arial"/>
                <w:sz w:val="15"/>
                <w:szCs w:val="15"/>
                <w:color w:val="auto"/>
              </w:rPr>
              <w:t>The Board remains committed to the</w:t>
            </w:r>
          </w:p>
        </w:tc>
        <w:tc>
          <w:tcPr>
            <w:tcW w:w="2620" w:type="dxa"/>
            <w:vAlign w:val="bottom"/>
            <w:shd w:val="clear" w:color="auto" w:fill="F5EBCC"/>
          </w:tcPr>
          <w:p>
            <w:pPr>
              <w:ind w:left="80"/>
              <w:spacing w:after="0"/>
              <w:rPr>
                <w:sz w:val="20"/>
                <w:szCs w:val="20"/>
                <w:color w:val="auto"/>
              </w:rPr>
            </w:pPr>
            <w:r>
              <w:rPr>
                <w:rFonts w:ascii="Arial" w:cs="Arial" w:eastAsia="Arial" w:hAnsi="Arial"/>
                <w:sz w:val="15"/>
                <w:szCs w:val="15"/>
                <w:color w:val="auto"/>
              </w:rPr>
              <w:t>Continue to ensure that a significant</w:t>
            </w:r>
          </w:p>
        </w:tc>
      </w:tr>
      <w:tr>
        <w:trPr>
          <w:trHeight w:val="162"/>
        </w:trPr>
        <w:tc>
          <w:tcPr>
            <w:tcW w:w="2860" w:type="dxa"/>
            <w:vAlign w:val="bottom"/>
            <w:shd w:val="clear" w:color="auto" w:fill="F5EBCC"/>
          </w:tcPr>
          <w:p>
            <w:pPr>
              <w:ind w:left="80"/>
              <w:spacing w:after="0" w:line="162" w:lineRule="exact"/>
              <w:rPr>
                <w:sz w:val="20"/>
                <w:szCs w:val="20"/>
                <w:color w:val="auto"/>
              </w:rPr>
            </w:pPr>
            <w:r>
              <w:rPr>
                <w:rFonts w:ascii="Arial" w:cs="Arial" w:eastAsia="Arial" w:hAnsi="Arial"/>
                <w:sz w:val="15"/>
                <w:szCs w:val="15"/>
                <w:color w:val="auto"/>
              </w:rPr>
              <w:t>Philosophy and Practices</w:t>
            </w:r>
          </w:p>
        </w:tc>
        <w:tc>
          <w:tcPr>
            <w:tcW w:w="2740" w:type="dxa"/>
            <w:vAlign w:val="bottom"/>
            <w:shd w:val="clear" w:color="auto" w:fill="F5EBCC"/>
          </w:tcPr>
          <w:p>
            <w:pPr>
              <w:ind w:left="100"/>
              <w:spacing w:after="0" w:line="162" w:lineRule="exact"/>
              <w:rPr>
                <w:sz w:val="20"/>
                <w:szCs w:val="20"/>
                <w:color w:val="auto"/>
              </w:rPr>
            </w:pPr>
            <w:r>
              <w:rPr>
                <w:rFonts w:ascii="Arial" w:cs="Arial" w:eastAsia="Arial" w:hAnsi="Arial"/>
                <w:sz w:val="15"/>
                <w:szCs w:val="15"/>
                <w:color w:val="auto"/>
              </w:rPr>
              <w:t>annual equity awards that encourage</w:t>
            </w:r>
          </w:p>
        </w:tc>
        <w:tc>
          <w:tcPr>
            <w:tcW w:w="2800" w:type="dxa"/>
            <w:vAlign w:val="bottom"/>
            <w:shd w:val="clear" w:color="auto" w:fill="F5EBCC"/>
          </w:tcPr>
          <w:p>
            <w:pPr>
              <w:ind w:left="120"/>
              <w:spacing w:after="0" w:line="162" w:lineRule="exact"/>
              <w:rPr>
                <w:sz w:val="20"/>
                <w:szCs w:val="20"/>
                <w:color w:val="auto"/>
              </w:rPr>
            </w:pPr>
            <w:r>
              <w:rPr>
                <w:rFonts w:ascii="Arial" w:cs="Arial" w:eastAsia="Arial" w:hAnsi="Arial"/>
                <w:sz w:val="15"/>
                <w:szCs w:val="15"/>
                <w:color w:val="auto"/>
              </w:rPr>
              <w:t>pre-pandemic compensation structure</w:t>
            </w:r>
          </w:p>
        </w:tc>
        <w:tc>
          <w:tcPr>
            <w:tcW w:w="2620" w:type="dxa"/>
            <w:vAlign w:val="bottom"/>
            <w:shd w:val="clear" w:color="auto" w:fill="F5EBCC"/>
          </w:tcPr>
          <w:p>
            <w:pPr>
              <w:ind w:left="80"/>
              <w:spacing w:after="0" w:line="162" w:lineRule="exact"/>
              <w:rPr>
                <w:sz w:val="20"/>
                <w:szCs w:val="20"/>
                <w:color w:val="auto"/>
              </w:rPr>
            </w:pPr>
            <w:r>
              <w:rPr>
                <w:rFonts w:ascii="Arial" w:cs="Arial" w:eastAsia="Arial" w:hAnsi="Arial"/>
                <w:sz w:val="15"/>
                <w:szCs w:val="15"/>
                <w:color w:val="auto"/>
              </w:rPr>
              <w:t>percentage of total direct pay is</w:t>
            </w:r>
          </w:p>
        </w:tc>
      </w:tr>
      <w:tr>
        <w:trPr>
          <w:trHeight w:val="162"/>
        </w:trPr>
        <w:tc>
          <w:tcPr>
            <w:tcW w:w="2860" w:type="dxa"/>
            <w:vAlign w:val="bottom"/>
            <w:shd w:val="clear" w:color="auto" w:fill="F5EBCC"/>
          </w:tcPr>
          <w:p>
            <w:pPr>
              <w:spacing w:after="0"/>
              <w:rPr>
                <w:sz w:val="14"/>
                <w:szCs w:val="14"/>
                <w:color w:val="auto"/>
              </w:rPr>
            </w:pPr>
          </w:p>
        </w:tc>
        <w:tc>
          <w:tcPr>
            <w:tcW w:w="2740" w:type="dxa"/>
            <w:vAlign w:val="bottom"/>
            <w:shd w:val="clear" w:color="auto" w:fill="F5EBCC"/>
          </w:tcPr>
          <w:p>
            <w:pPr>
              <w:ind w:left="100"/>
              <w:spacing w:after="0" w:line="162" w:lineRule="exact"/>
              <w:rPr>
                <w:sz w:val="20"/>
                <w:szCs w:val="20"/>
                <w:color w:val="auto"/>
              </w:rPr>
            </w:pPr>
            <w:r>
              <w:rPr>
                <w:rFonts w:ascii="Arial" w:cs="Arial" w:eastAsia="Arial" w:hAnsi="Arial"/>
                <w:sz w:val="15"/>
                <w:szCs w:val="15"/>
                <w:color w:val="auto"/>
              </w:rPr>
              <w:t>long-term performance</w:t>
            </w:r>
          </w:p>
        </w:tc>
        <w:tc>
          <w:tcPr>
            <w:tcW w:w="2800" w:type="dxa"/>
            <w:vAlign w:val="bottom"/>
            <w:shd w:val="clear" w:color="auto" w:fill="F5EBCC"/>
          </w:tcPr>
          <w:p>
            <w:pPr>
              <w:ind w:left="120"/>
              <w:spacing w:after="0" w:line="162" w:lineRule="exact"/>
              <w:rPr>
                <w:sz w:val="20"/>
                <w:szCs w:val="20"/>
                <w:color w:val="auto"/>
              </w:rPr>
            </w:pPr>
            <w:r>
              <w:rPr>
                <w:rFonts w:ascii="Arial" w:cs="Arial" w:eastAsia="Arial" w:hAnsi="Arial"/>
                <w:sz w:val="15"/>
                <w:szCs w:val="15"/>
                <w:color w:val="auto"/>
              </w:rPr>
              <w:t>which was focused on significant</w:t>
            </w:r>
          </w:p>
        </w:tc>
        <w:tc>
          <w:tcPr>
            <w:tcW w:w="2620" w:type="dxa"/>
            <w:vAlign w:val="bottom"/>
            <w:shd w:val="clear" w:color="auto" w:fill="F5EBCC"/>
          </w:tcPr>
          <w:p>
            <w:pPr>
              <w:ind w:left="80"/>
              <w:spacing w:after="0" w:line="162" w:lineRule="exact"/>
              <w:rPr>
                <w:sz w:val="20"/>
                <w:szCs w:val="20"/>
                <w:color w:val="auto"/>
              </w:rPr>
            </w:pPr>
            <w:r>
              <w:rPr>
                <w:rFonts w:ascii="Arial" w:cs="Arial" w:eastAsia="Arial" w:hAnsi="Arial"/>
                <w:sz w:val="15"/>
                <w:szCs w:val="15"/>
                <w:color w:val="auto"/>
              </w:rPr>
              <w:t>at-risk and is aligned with Company</w:t>
            </w:r>
          </w:p>
        </w:tc>
      </w:tr>
      <w:tr>
        <w:trPr>
          <w:trHeight w:val="162"/>
        </w:trPr>
        <w:tc>
          <w:tcPr>
            <w:tcW w:w="2860" w:type="dxa"/>
            <w:vAlign w:val="bottom"/>
            <w:shd w:val="clear" w:color="auto" w:fill="F5EBCC"/>
          </w:tcPr>
          <w:p>
            <w:pPr>
              <w:spacing w:after="0"/>
              <w:rPr>
                <w:sz w:val="14"/>
                <w:szCs w:val="14"/>
                <w:color w:val="auto"/>
              </w:rPr>
            </w:pPr>
          </w:p>
        </w:tc>
        <w:tc>
          <w:tcPr>
            <w:tcW w:w="2740" w:type="dxa"/>
            <w:vAlign w:val="bottom"/>
            <w:shd w:val="clear" w:color="auto" w:fill="F5EBCC"/>
          </w:tcPr>
          <w:p>
            <w:pPr>
              <w:spacing w:after="0"/>
              <w:rPr>
                <w:sz w:val="14"/>
                <w:szCs w:val="14"/>
                <w:color w:val="auto"/>
              </w:rPr>
            </w:pPr>
          </w:p>
        </w:tc>
        <w:tc>
          <w:tcPr>
            <w:tcW w:w="2800" w:type="dxa"/>
            <w:vAlign w:val="bottom"/>
            <w:shd w:val="clear" w:color="auto" w:fill="F5EBCC"/>
          </w:tcPr>
          <w:p>
            <w:pPr>
              <w:ind w:left="120"/>
              <w:spacing w:after="0" w:line="162" w:lineRule="exact"/>
              <w:rPr>
                <w:sz w:val="20"/>
                <w:szCs w:val="20"/>
                <w:color w:val="auto"/>
              </w:rPr>
            </w:pPr>
            <w:r>
              <w:rPr>
                <w:rFonts w:ascii="Arial" w:cs="Arial" w:eastAsia="Arial" w:hAnsi="Arial"/>
                <w:sz w:val="15"/>
                <w:szCs w:val="15"/>
                <w:color w:val="auto"/>
              </w:rPr>
              <w:t>performance-based and at-risk cash</w:t>
            </w:r>
          </w:p>
        </w:tc>
        <w:tc>
          <w:tcPr>
            <w:tcW w:w="2620" w:type="dxa"/>
            <w:vAlign w:val="bottom"/>
            <w:shd w:val="clear" w:color="auto" w:fill="F5EBCC"/>
          </w:tcPr>
          <w:p>
            <w:pPr>
              <w:ind w:left="80"/>
              <w:spacing w:after="0" w:line="162" w:lineRule="exact"/>
              <w:rPr>
                <w:sz w:val="20"/>
                <w:szCs w:val="20"/>
                <w:color w:val="auto"/>
              </w:rPr>
            </w:pPr>
            <w:r>
              <w:rPr>
                <w:rFonts w:ascii="Arial" w:cs="Arial" w:eastAsia="Arial" w:hAnsi="Arial"/>
                <w:sz w:val="15"/>
                <w:szCs w:val="15"/>
                <w:color w:val="auto"/>
              </w:rPr>
              <w:t>performance</w:t>
            </w:r>
          </w:p>
        </w:tc>
      </w:tr>
      <w:tr>
        <w:trPr>
          <w:trHeight w:val="213"/>
        </w:trPr>
        <w:tc>
          <w:tcPr>
            <w:tcW w:w="2860" w:type="dxa"/>
            <w:vAlign w:val="bottom"/>
            <w:tcBorders>
              <w:bottom w:val="single" w:sz="8" w:color="F5EBCC"/>
            </w:tcBorders>
            <w:shd w:val="clear" w:color="auto" w:fill="F5EBCC"/>
          </w:tcPr>
          <w:p>
            <w:pPr>
              <w:spacing w:after="0"/>
              <w:rPr>
                <w:sz w:val="18"/>
                <w:szCs w:val="18"/>
                <w:color w:val="auto"/>
              </w:rPr>
            </w:pPr>
          </w:p>
        </w:tc>
        <w:tc>
          <w:tcPr>
            <w:tcW w:w="2740" w:type="dxa"/>
            <w:vAlign w:val="bottom"/>
            <w:tcBorders>
              <w:bottom w:val="single" w:sz="8" w:color="F5EBCC"/>
            </w:tcBorders>
            <w:shd w:val="clear" w:color="auto" w:fill="F5EBCC"/>
          </w:tcPr>
          <w:p>
            <w:pPr>
              <w:spacing w:after="0"/>
              <w:rPr>
                <w:sz w:val="18"/>
                <w:szCs w:val="18"/>
                <w:color w:val="auto"/>
              </w:rPr>
            </w:pPr>
          </w:p>
        </w:tc>
        <w:tc>
          <w:tcPr>
            <w:tcW w:w="2800" w:type="dxa"/>
            <w:vAlign w:val="bottom"/>
            <w:tcBorders>
              <w:bottom w:val="single" w:sz="8" w:color="F5EBCC"/>
            </w:tcBorders>
            <w:shd w:val="clear" w:color="auto" w:fill="F5EBCC"/>
          </w:tcPr>
          <w:p>
            <w:pPr>
              <w:ind w:left="120"/>
              <w:spacing w:after="0"/>
              <w:rPr>
                <w:sz w:val="20"/>
                <w:szCs w:val="20"/>
                <w:color w:val="auto"/>
              </w:rPr>
            </w:pPr>
            <w:r>
              <w:rPr>
                <w:rFonts w:ascii="Arial" w:cs="Arial" w:eastAsia="Arial" w:hAnsi="Arial"/>
                <w:sz w:val="15"/>
                <w:szCs w:val="15"/>
                <w:color w:val="auto"/>
              </w:rPr>
              <w:t>and equity incentives</w:t>
            </w:r>
          </w:p>
        </w:tc>
        <w:tc>
          <w:tcPr>
            <w:tcW w:w="2620" w:type="dxa"/>
            <w:vAlign w:val="bottom"/>
            <w:tcBorders>
              <w:bottom w:val="single" w:sz="8" w:color="F5EBCC"/>
            </w:tcBorders>
            <w:shd w:val="clear" w:color="auto" w:fill="F5EBCC"/>
          </w:tcPr>
          <w:p>
            <w:pPr>
              <w:spacing w:after="0"/>
              <w:rPr>
                <w:sz w:val="18"/>
                <w:szCs w:val="18"/>
                <w:color w:val="auto"/>
              </w:rPr>
            </w:pPr>
          </w:p>
        </w:tc>
      </w:tr>
      <w:tr>
        <w:trPr>
          <w:trHeight w:val="226"/>
        </w:trPr>
        <w:tc>
          <w:tcPr>
            <w:tcW w:w="2860" w:type="dxa"/>
            <w:vAlign w:val="bottom"/>
          </w:tcPr>
          <w:p>
            <w:pPr>
              <w:ind w:left="80"/>
              <w:spacing w:after="0"/>
              <w:rPr>
                <w:sz w:val="20"/>
                <w:szCs w:val="20"/>
                <w:color w:val="auto"/>
              </w:rPr>
            </w:pPr>
            <w:r>
              <w:rPr>
                <w:rFonts w:ascii="Arial" w:cs="Arial" w:eastAsia="Arial" w:hAnsi="Arial"/>
                <w:sz w:val="15"/>
                <w:szCs w:val="15"/>
                <w:color w:val="auto"/>
              </w:rPr>
              <w:t>Pay-for-Performance Linkage</w:t>
            </w:r>
          </w:p>
        </w:tc>
        <w:tc>
          <w:tcPr>
            <w:tcW w:w="2740" w:type="dxa"/>
            <w:vAlign w:val="bottom"/>
          </w:tcPr>
          <w:p>
            <w:pPr>
              <w:ind w:left="100"/>
              <w:spacing w:after="0"/>
              <w:rPr>
                <w:sz w:val="20"/>
                <w:szCs w:val="20"/>
                <w:color w:val="auto"/>
              </w:rPr>
            </w:pPr>
            <w:r>
              <w:rPr>
                <w:rFonts w:ascii="Arial" w:cs="Arial" w:eastAsia="Arial" w:hAnsi="Arial"/>
                <w:sz w:val="15"/>
                <w:szCs w:val="15"/>
                <w:color w:val="auto"/>
              </w:rPr>
              <w:t>Broad support for at-risk</w:t>
            </w:r>
          </w:p>
        </w:tc>
        <w:tc>
          <w:tcPr>
            <w:tcW w:w="2800" w:type="dxa"/>
            <w:vAlign w:val="bottom"/>
          </w:tcPr>
          <w:p>
            <w:pPr>
              <w:ind w:left="120"/>
              <w:spacing w:after="0"/>
              <w:rPr>
                <w:sz w:val="20"/>
                <w:szCs w:val="20"/>
                <w:color w:val="auto"/>
              </w:rPr>
            </w:pPr>
            <w:r>
              <w:rPr>
                <w:rFonts w:ascii="Arial" w:cs="Arial" w:eastAsia="Arial" w:hAnsi="Arial"/>
                <w:sz w:val="15"/>
                <w:szCs w:val="15"/>
                <w:color w:val="auto"/>
              </w:rPr>
              <w:t>For 2021, CEO restricted stock</w:t>
            </w:r>
          </w:p>
        </w:tc>
        <w:tc>
          <w:tcPr>
            <w:tcW w:w="2620" w:type="dxa"/>
            <w:vAlign w:val="bottom"/>
          </w:tcPr>
          <w:p>
            <w:pPr>
              <w:ind w:left="80"/>
              <w:spacing w:after="0"/>
              <w:rPr>
                <w:sz w:val="20"/>
                <w:szCs w:val="20"/>
                <w:color w:val="auto"/>
              </w:rPr>
            </w:pPr>
            <w:r>
              <w:rPr>
                <w:rFonts w:ascii="Arial" w:cs="Arial" w:eastAsia="Arial" w:hAnsi="Arial"/>
                <w:sz w:val="15"/>
                <w:szCs w:val="15"/>
                <w:color w:val="auto"/>
              </w:rPr>
              <w:t>Strengthen executive focus on long-</w:t>
            </w:r>
          </w:p>
        </w:tc>
      </w:tr>
      <w:tr>
        <w:trPr>
          <w:trHeight w:val="162"/>
        </w:trPr>
        <w:tc>
          <w:tcPr>
            <w:tcW w:w="2860" w:type="dxa"/>
            <w:vAlign w:val="bottom"/>
          </w:tcPr>
          <w:p>
            <w:pPr>
              <w:spacing w:after="0"/>
              <w:rPr>
                <w:sz w:val="14"/>
                <w:szCs w:val="14"/>
                <w:color w:val="auto"/>
              </w:rPr>
            </w:pPr>
          </w:p>
        </w:tc>
        <w:tc>
          <w:tcPr>
            <w:tcW w:w="2740" w:type="dxa"/>
            <w:vAlign w:val="bottom"/>
          </w:tcPr>
          <w:p>
            <w:pPr>
              <w:ind w:left="100"/>
              <w:spacing w:after="0" w:line="162" w:lineRule="exact"/>
              <w:rPr>
                <w:sz w:val="20"/>
                <w:szCs w:val="20"/>
                <w:color w:val="auto"/>
              </w:rPr>
            </w:pPr>
            <w:r>
              <w:rPr>
                <w:rFonts w:ascii="Arial" w:cs="Arial" w:eastAsia="Arial" w:hAnsi="Arial"/>
                <w:sz w:val="15"/>
                <w:szCs w:val="15"/>
                <w:color w:val="auto"/>
              </w:rPr>
              <w:t>compensation design</w:t>
            </w:r>
          </w:p>
        </w:tc>
        <w:tc>
          <w:tcPr>
            <w:tcW w:w="2800" w:type="dxa"/>
            <w:vAlign w:val="bottom"/>
          </w:tcPr>
          <w:p>
            <w:pPr>
              <w:ind w:left="120"/>
              <w:spacing w:after="0" w:line="162" w:lineRule="exact"/>
              <w:rPr>
                <w:sz w:val="20"/>
                <w:szCs w:val="20"/>
                <w:color w:val="auto"/>
              </w:rPr>
            </w:pPr>
            <w:r>
              <w:rPr>
                <w:rFonts w:ascii="Arial" w:cs="Arial" w:eastAsia="Arial" w:hAnsi="Arial"/>
                <w:sz w:val="15"/>
                <w:szCs w:val="15"/>
                <w:color w:val="auto"/>
              </w:rPr>
              <w:t>awards consisted of 50%</w:t>
            </w:r>
          </w:p>
        </w:tc>
        <w:tc>
          <w:tcPr>
            <w:tcW w:w="2620" w:type="dxa"/>
            <w:vAlign w:val="bottom"/>
          </w:tcPr>
          <w:p>
            <w:pPr>
              <w:ind w:left="80"/>
              <w:spacing w:after="0" w:line="162" w:lineRule="exact"/>
              <w:rPr>
                <w:sz w:val="20"/>
                <w:szCs w:val="20"/>
                <w:color w:val="auto"/>
              </w:rPr>
            </w:pPr>
            <w:r>
              <w:rPr>
                <w:rFonts w:ascii="Arial" w:cs="Arial" w:eastAsia="Arial" w:hAnsi="Arial"/>
                <w:sz w:val="15"/>
                <w:szCs w:val="15"/>
                <w:color w:val="auto"/>
              </w:rPr>
              <w:t>term actions, with long-term pay</w:t>
            </w:r>
          </w:p>
        </w:tc>
      </w:tr>
      <w:tr>
        <w:trPr>
          <w:trHeight w:val="162"/>
        </w:trPr>
        <w:tc>
          <w:tcPr>
            <w:tcW w:w="2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0" w:type="dxa"/>
            <w:vAlign w:val="bottom"/>
          </w:tcPr>
          <w:p>
            <w:pPr>
              <w:ind w:left="120"/>
              <w:spacing w:after="0" w:line="162" w:lineRule="exact"/>
              <w:rPr>
                <w:sz w:val="20"/>
                <w:szCs w:val="20"/>
                <w:color w:val="auto"/>
              </w:rPr>
            </w:pPr>
            <w:r>
              <w:rPr>
                <w:rFonts w:ascii="Arial" w:cs="Arial" w:eastAsia="Arial" w:hAnsi="Arial"/>
                <w:sz w:val="15"/>
                <w:szCs w:val="15"/>
                <w:color w:val="auto"/>
              </w:rPr>
              <w:t>performance-based and 50% time-</w:t>
            </w:r>
          </w:p>
        </w:tc>
        <w:tc>
          <w:tcPr>
            <w:tcW w:w="2620" w:type="dxa"/>
            <w:vAlign w:val="bottom"/>
          </w:tcPr>
          <w:p>
            <w:pPr>
              <w:ind w:left="80"/>
              <w:spacing w:after="0" w:line="162" w:lineRule="exact"/>
              <w:rPr>
                <w:sz w:val="20"/>
                <w:szCs w:val="20"/>
                <w:color w:val="auto"/>
              </w:rPr>
            </w:pPr>
            <w:r>
              <w:rPr>
                <w:rFonts w:ascii="Arial" w:cs="Arial" w:eastAsia="Arial" w:hAnsi="Arial"/>
                <w:sz w:val="15"/>
                <w:szCs w:val="15"/>
                <w:color w:val="auto"/>
              </w:rPr>
              <w:t>outcomes being in line with the</w:t>
            </w:r>
          </w:p>
        </w:tc>
      </w:tr>
      <w:tr>
        <w:trPr>
          <w:trHeight w:val="162"/>
        </w:trPr>
        <w:tc>
          <w:tcPr>
            <w:tcW w:w="2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0" w:type="dxa"/>
            <w:vAlign w:val="bottom"/>
          </w:tcPr>
          <w:p>
            <w:pPr>
              <w:ind w:left="120"/>
              <w:spacing w:after="0" w:line="162" w:lineRule="exact"/>
              <w:rPr>
                <w:sz w:val="20"/>
                <w:szCs w:val="20"/>
                <w:color w:val="auto"/>
              </w:rPr>
            </w:pPr>
            <w:r>
              <w:rPr>
                <w:rFonts w:ascii="Arial" w:cs="Arial" w:eastAsia="Arial" w:hAnsi="Arial"/>
                <w:sz w:val="15"/>
                <w:szCs w:val="15"/>
                <w:color w:val="auto"/>
              </w:rPr>
              <w:t>based equity</w:t>
            </w:r>
          </w:p>
        </w:tc>
        <w:tc>
          <w:tcPr>
            <w:tcW w:w="2620" w:type="dxa"/>
            <w:vAlign w:val="bottom"/>
          </w:tcPr>
          <w:p>
            <w:pPr>
              <w:ind w:left="80"/>
              <w:spacing w:after="0" w:line="162" w:lineRule="exact"/>
              <w:rPr>
                <w:sz w:val="20"/>
                <w:szCs w:val="20"/>
                <w:color w:val="auto"/>
              </w:rPr>
            </w:pPr>
            <w:r>
              <w:rPr>
                <w:rFonts w:ascii="Arial" w:cs="Arial" w:eastAsia="Arial" w:hAnsi="Arial"/>
                <w:sz w:val="15"/>
                <w:szCs w:val="15"/>
                <w:color w:val="auto"/>
              </w:rPr>
              <w:t>creation of sustainable shareholder</w:t>
            </w:r>
          </w:p>
        </w:tc>
      </w:tr>
      <w:tr>
        <w:trPr>
          <w:trHeight w:val="184"/>
        </w:trPr>
        <w:tc>
          <w:tcPr>
            <w:tcW w:w="28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20" w:type="dxa"/>
            <w:vAlign w:val="bottom"/>
          </w:tcPr>
          <w:p>
            <w:pPr>
              <w:ind w:left="80"/>
              <w:spacing w:after="0"/>
              <w:rPr>
                <w:sz w:val="20"/>
                <w:szCs w:val="20"/>
                <w:color w:val="auto"/>
              </w:rPr>
            </w:pPr>
            <w:r>
              <w:rPr>
                <w:rFonts w:ascii="Arial" w:cs="Arial" w:eastAsia="Arial" w:hAnsi="Arial"/>
                <w:sz w:val="15"/>
                <w:szCs w:val="15"/>
                <w:color w:val="auto"/>
              </w:rPr>
              <w:t>value</w:t>
            </w:r>
          </w:p>
        </w:tc>
      </w:tr>
      <w:tr>
        <w:trPr>
          <w:trHeight w:val="48"/>
        </w:trPr>
        <w:tc>
          <w:tcPr>
            <w:tcW w:w="28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226"/>
        </w:trPr>
        <w:tc>
          <w:tcPr>
            <w:tcW w:w="2860" w:type="dxa"/>
            <w:vAlign w:val="bottom"/>
            <w:shd w:val="clear" w:color="auto" w:fill="F5EBCC"/>
          </w:tcPr>
          <w:p>
            <w:pPr>
              <w:ind w:left="80"/>
              <w:spacing w:after="0"/>
              <w:rPr>
                <w:sz w:val="20"/>
                <w:szCs w:val="20"/>
                <w:color w:val="auto"/>
              </w:rPr>
            </w:pPr>
            <w:r>
              <w:rPr>
                <w:rFonts w:ascii="Arial" w:cs="Arial" w:eastAsia="Arial" w:hAnsi="Arial"/>
                <w:sz w:val="15"/>
                <w:szCs w:val="15"/>
                <w:color w:val="auto"/>
              </w:rPr>
              <w:t>Employee Diversity Disclosure</w:t>
            </w:r>
          </w:p>
        </w:tc>
        <w:tc>
          <w:tcPr>
            <w:tcW w:w="2740" w:type="dxa"/>
            <w:vAlign w:val="bottom"/>
            <w:shd w:val="clear" w:color="auto" w:fill="F5EBCC"/>
          </w:tcPr>
          <w:p>
            <w:pPr>
              <w:ind w:left="100"/>
              <w:spacing w:after="0"/>
              <w:rPr>
                <w:sz w:val="20"/>
                <w:szCs w:val="20"/>
                <w:color w:val="auto"/>
              </w:rPr>
            </w:pPr>
            <w:r>
              <w:rPr>
                <w:rFonts w:ascii="Arial" w:cs="Arial" w:eastAsia="Arial" w:hAnsi="Arial"/>
                <w:sz w:val="15"/>
                <w:szCs w:val="15"/>
                <w:color w:val="auto"/>
              </w:rPr>
              <w:t>Requested Wynn to publicly disclose</w:t>
            </w:r>
          </w:p>
        </w:tc>
        <w:tc>
          <w:tcPr>
            <w:tcW w:w="2800" w:type="dxa"/>
            <w:vAlign w:val="bottom"/>
            <w:shd w:val="clear" w:color="auto" w:fill="F5EBCC"/>
          </w:tcPr>
          <w:p>
            <w:pPr>
              <w:ind w:left="120"/>
              <w:spacing w:after="0"/>
              <w:rPr>
                <w:sz w:val="20"/>
                <w:szCs w:val="20"/>
                <w:color w:val="auto"/>
              </w:rPr>
            </w:pPr>
            <w:r>
              <w:rPr>
                <w:rFonts w:ascii="Arial" w:cs="Arial" w:eastAsia="Arial" w:hAnsi="Arial"/>
                <w:sz w:val="15"/>
                <w:szCs w:val="15"/>
                <w:color w:val="auto"/>
              </w:rPr>
              <w:t>Our EEO-1 Report is publicly available</w:t>
            </w:r>
          </w:p>
        </w:tc>
        <w:tc>
          <w:tcPr>
            <w:tcW w:w="2620" w:type="dxa"/>
            <w:vAlign w:val="bottom"/>
            <w:shd w:val="clear" w:color="auto" w:fill="F5EBCC"/>
          </w:tcPr>
          <w:p>
            <w:pPr>
              <w:ind w:left="80"/>
              <w:spacing w:after="0"/>
              <w:rPr>
                <w:sz w:val="20"/>
                <w:szCs w:val="20"/>
                <w:color w:val="auto"/>
              </w:rPr>
            </w:pPr>
            <w:r>
              <w:rPr>
                <w:rFonts w:ascii="Arial" w:cs="Arial" w:eastAsia="Arial" w:hAnsi="Arial"/>
                <w:sz w:val="15"/>
                <w:szCs w:val="15"/>
                <w:color w:val="auto"/>
              </w:rPr>
              <w:t>Enhance transparency of U.S.</w:t>
            </w:r>
          </w:p>
        </w:tc>
      </w:tr>
      <w:tr>
        <w:trPr>
          <w:trHeight w:val="162"/>
        </w:trPr>
        <w:tc>
          <w:tcPr>
            <w:tcW w:w="2860" w:type="dxa"/>
            <w:vAlign w:val="bottom"/>
            <w:shd w:val="clear" w:color="auto" w:fill="F5EBCC"/>
          </w:tcPr>
          <w:p>
            <w:pPr>
              <w:spacing w:after="0"/>
              <w:rPr>
                <w:sz w:val="14"/>
                <w:szCs w:val="14"/>
                <w:color w:val="auto"/>
              </w:rPr>
            </w:pPr>
          </w:p>
        </w:tc>
        <w:tc>
          <w:tcPr>
            <w:tcW w:w="2740" w:type="dxa"/>
            <w:vAlign w:val="bottom"/>
            <w:shd w:val="clear" w:color="auto" w:fill="F5EBCC"/>
          </w:tcPr>
          <w:p>
            <w:pPr>
              <w:ind w:left="100"/>
              <w:spacing w:after="0" w:line="162" w:lineRule="exact"/>
              <w:rPr>
                <w:sz w:val="20"/>
                <w:szCs w:val="20"/>
                <w:color w:val="auto"/>
              </w:rPr>
            </w:pPr>
            <w:r>
              <w:rPr>
                <w:rFonts w:ascii="Arial" w:cs="Arial" w:eastAsia="Arial" w:hAnsi="Arial"/>
                <w:sz w:val="15"/>
                <w:szCs w:val="15"/>
                <w:color w:val="auto"/>
              </w:rPr>
              <w:t>employee diversity data where</w:t>
            </w:r>
          </w:p>
        </w:tc>
        <w:tc>
          <w:tcPr>
            <w:tcW w:w="2800" w:type="dxa"/>
            <w:vAlign w:val="bottom"/>
            <w:shd w:val="clear" w:color="auto" w:fill="F5EBCC"/>
          </w:tcPr>
          <w:p>
            <w:pPr>
              <w:ind w:left="120"/>
              <w:spacing w:after="0" w:line="162" w:lineRule="exact"/>
              <w:rPr>
                <w:sz w:val="20"/>
                <w:szCs w:val="20"/>
                <w:color w:val="auto"/>
              </w:rPr>
            </w:pPr>
            <w:r>
              <w:rPr>
                <w:rFonts w:ascii="Arial" w:cs="Arial" w:eastAsia="Arial" w:hAnsi="Arial"/>
                <w:sz w:val="15"/>
                <w:szCs w:val="15"/>
                <w:color w:val="auto"/>
              </w:rPr>
              <w:t>on our website</w:t>
            </w:r>
          </w:p>
        </w:tc>
        <w:tc>
          <w:tcPr>
            <w:tcW w:w="2620" w:type="dxa"/>
            <w:vAlign w:val="bottom"/>
            <w:shd w:val="clear" w:color="auto" w:fill="F5EBCC"/>
          </w:tcPr>
          <w:p>
            <w:pPr>
              <w:ind w:left="80"/>
              <w:spacing w:after="0" w:line="162" w:lineRule="exact"/>
              <w:rPr>
                <w:sz w:val="20"/>
                <w:szCs w:val="20"/>
                <w:color w:val="auto"/>
              </w:rPr>
            </w:pPr>
            <w:r>
              <w:rPr>
                <w:rFonts w:ascii="Arial" w:cs="Arial" w:eastAsia="Arial" w:hAnsi="Arial"/>
                <w:sz w:val="15"/>
                <w:szCs w:val="15"/>
                <w:color w:val="auto"/>
              </w:rPr>
              <w:t>workforce diversity</w:t>
            </w:r>
          </w:p>
        </w:tc>
      </w:tr>
      <w:tr>
        <w:trPr>
          <w:trHeight w:val="184"/>
        </w:trPr>
        <w:tc>
          <w:tcPr>
            <w:tcW w:w="2860" w:type="dxa"/>
            <w:vAlign w:val="bottom"/>
            <w:shd w:val="clear" w:color="auto" w:fill="F5EBCC"/>
          </w:tcPr>
          <w:p>
            <w:pPr>
              <w:spacing w:after="0"/>
              <w:rPr>
                <w:sz w:val="16"/>
                <w:szCs w:val="16"/>
                <w:color w:val="auto"/>
              </w:rPr>
            </w:pPr>
          </w:p>
        </w:tc>
        <w:tc>
          <w:tcPr>
            <w:tcW w:w="2740" w:type="dxa"/>
            <w:vAlign w:val="bottom"/>
            <w:shd w:val="clear" w:color="auto" w:fill="F5EBCC"/>
          </w:tcPr>
          <w:p>
            <w:pPr>
              <w:ind w:left="100"/>
              <w:spacing w:after="0"/>
              <w:rPr>
                <w:sz w:val="20"/>
                <w:szCs w:val="20"/>
                <w:color w:val="auto"/>
              </w:rPr>
            </w:pPr>
            <w:r>
              <w:rPr>
                <w:rFonts w:ascii="Arial" w:cs="Arial" w:eastAsia="Arial" w:hAnsi="Arial"/>
                <w:sz w:val="15"/>
                <w:szCs w:val="15"/>
                <w:color w:val="auto"/>
              </w:rPr>
              <w:t>available</w:t>
            </w:r>
          </w:p>
        </w:tc>
        <w:tc>
          <w:tcPr>
            <w:tcW w:w="2800" w:type="dxa"/>
            <w:vAlign w:val="bottom"/>
            <w:shd w:val="clear" w:color="auto" w:fill="F5EBCC"/>
          </w:tcPr>
          <w:p>
            <w:pPr>
              <w:spacing w:after="0"/>
              <w:rPr>
                <w:sz w:val="16"/>
                <w:szCs w:val="16"/>
                <w:color w:val="auto"/>
              </w:rPr>
            </w:pPr>
          </w:p>
        </w:tc>
        <w:tc>
          <w:tcPr>
            <w:tcW w:w="2620" w:type="dxa"/>
            <w:vAlign w:val="bottom"/>
            <w:shd w:val="clear" w:color="auto" w:fill="F5EBCC"/>
          </w:tcPr>
          <w:p>
            <w:pPr>
              <w:spacing w:after="0"/>
              <w:rPr>
                <w:sz w:val="16"/>
                <w:szCs w:val="16"/>
                <w:color w:val="auto"/>
              </w:rPr>
            </w:pPr>
          </w:p>
        </w:tc>
      </w:tr>
      <w:tr>
        <w:trPr>
          <w:trHeight w:val="49"/>
        </w:trPr>
        <w:tc>
          <w:tcPr>
            <w:tcW w:w="2860" w:type="dxa"/>
            <w:vAlign w:val="bottom"/>
            <w:shd w:val="clear" w:color="auto" w:fill="F5EBCC"/>
          </w:tcPr>
          <w:p>
            <w:pPr>
              <w:spacing w:after="0"/>
              <w:rPr>
                <w:sz w:val="4"/>
                <w:szCs w:val="4"/>
                <w:color w:val="auto"/>
              </w:rPr>
            </w:pPr>
          </w:p>
        </w:tc>
        <w:tc>
          <w:tcPr>
            <w:tcW w:w="2740" w:type="dxa"/>
            <w:vAlign w:val="bottom"/>
            <w:shd w:val="clear" w:color="auto" w:fill="F5EBCC"/>
          </w:tcPr>
          <w:p>
            <w:pPr>
              <w:spacing w:after="0"/>
              <w:rPr>
                <w:sz w:val="4"/>
                <w:szCs w:val="4"/>
                <w:color w:val="auto"/>
              </w:rPr>
            </w:pPr>
          </w:p>
        </w:tc>
        <w:tc>
          <w:tcPr>
            <w:tcW w:w="2800" w:type="dxa"/>
            <w:vAlign w:val="bottom"/>
            <w:shd w:val="clear" w:color="auto" w:fill="F5EBCC"/>
          </w:tcPr>
          <w:p>
            <w:pPr>
              <w:spacing w:after="0"/>
              <w:rPr>
                <w:sz w:val="4"/>
                <w:szCs w:val="4"/>
                <w:color w:val="auto"/>
              </w:rPr>
            </w:pPr>
          </w:p>
        </w:tc>
        <w:tc>
          <w:tcPr>
            <w:tcW w:w="2620" w:type="dxa"/>
            <w:vAlign w:val="bottom"/>
            <w:shd w:val="clear" w:color="auto" w:fill="F5EBCC"/>
          </w:tcPr>
          <w:p>
            <w:pPr>
              <w:spacing w:after="0"/>
              <w:rPr>
                <w:sz w:val="4"/>
                <w:szCs w:val="4"/>
                <w:color w:val="auto"/>
              </w:rPr>
            </w:pPr>
          </w:p>
        </w:tc>
      </w:tr>
    </w:tbl>
    <w:p>
      <w:pPr>
        <w:spacing w:after="0" w:line="175" w:lineRule="exact"/>
        <w:rPr>
          <w:sz w:val="20"/>
          <w:szCs w:val="20"/>
          <w:color w:val="auto"/>
        </w:rPr>
      </w:pPr>
    </w:p>
    <w:p>
      <w:pPr>
        <w:ind w:left="120" w:right="240"/>
        <w:spacing w:after="0"/>
        <w:rPr>
          <w:sz w:val="20"/>
          <w:szCs w:val="20"/>
          <w:color w:val="auto"/>
        </w:rPr>
      </w:pPr>
      <w:r>
        <w:rPr>
          <w:rFonts w:ascii="Arial" w:cs="Arial" w:eastAsia="Arial" w:hAnsi="Arial"/>
          <w:sz w:val="18"/>
          <w:szCs w:val="18"/>
          <w:color w:val="CE9B00"/>
        </w:rPr>
        <w:t xml:space="preserve">OVERALL EXECUTIVE COMPENSATION PHILOSOPHY AND PRACTICES: </w:t>
      </w:r>
      <w:r>
        <w:rPr>
          <w:rFonts w:ascii="Arial" w:cs="Arial" w:eastAsia="Arial" w:hAnsi="Arial"/>
          <w:sz w:val="18"/>
          <w:szCs w:val="18"/>
          <w:color w:val="000000"/>
        </w:rPr>
        <w:t>Shareholders we engaged with, in general expressed</w:t>
      </w:r>
      <w:r>
        <w:rPr>
          <w:rFonts w:ascii="Arial" w:cs="Arial" w:eastAsia="Arial" w:hAnsi="Arial"/>
          <w:sz w:val="18"/>
          <w:szCs w:val="18"/>
          <w:color w:val="CE9B00"/>
        </w:rPr>
        <w:t xml:space="preserve"> </w:t>
      </w:r>
      <w:r>
        <w:rPr>
          <w:rFonts w:ascii="Arial" w:cs="Arial" w:eastAsia="Arial" w:hAnsi="Arial"/>
          <w:sz w:val="18"/>
          <w:szCs w:val="18"/>
          <w:color w:val="000000"/>
        </w:rPr>
        <w:t>support for our compensation philosophy and the design of our executive compensation incentives. Overall, shareholders demonstrated support for our compensation structure with a 63% vote in favor of the 2021 Say on Pay proposal.</w:t>
      </w:r>
    </w:p>
    <w:p>
      <w:pPr>
        <w:spacing w:after="0" w:line="77" w:lineRule="exact"/>
        <w:rPr>
          <w:sz w:val="20"/>
          <w:szCs w:val="20"/>
          <w:color w:val="auto"/>
        </w:rPr>
      </w:pPr>
    </w:p>
    <w:p>
      <w:pPr>
        <w:ind w:left="120" w:right="160"/>
        <w:spacing w:after="0" w:line="258" w:lineRule="auto"/>
        <w:rPr>
          <w:sz w:val="20"/>
          <w:szCs w:val="20"/>
          <w:color w:val="auto"/>
        </w:rPr>
      </w:pPr>
      <w:r>
        <w:rPr>
          <w:rFonts w:ascii="Arial" w:cs="Arial" w:eastAsia="Arial" w:hAnsi="Arial"/>
          <w:sz w:val="17"/>
          <w:szCs w:val="17"/>
          <w:i w:val="1"/>
          <w:iCs w:val="1"/>
          <w:u w:val="single" w:color="auto"/>
          <w:color w:val="CE9B00"/>
        </w:rPr>
        <w:t>Board Response</w:t>
      </w:r>
      <w:r>
        <w:rPr>
          <w:rFonts w:ascii="Arial" w:cs="Arial" w:eastAsia="Arial" w:hAnsi="Arial"/>
          <w:sz w:val="17"/>
          <w:szCs w:val="17"/>
          <w:u w:val="single" w:color="auto"/>
          <w:color w:val="000000"/>
        </w:rPr>
        <w:t>:</w:t>
      </w:r>
      <w:r>
        <w:rPr>
          <w:rFonts w:ascii="Arial" w:cs="Arial" w:eastAsia="Arial" w:hAnsi="Arial"/>
          <w:sz w:val="17"/>
          <w:szCs w:val="17"/>
          <w:i w:val="1"/>
          <w:iCs w:val="1"/>
          <w:color w:val="CE9B00"/>
        </w:rPr>
        <w:t xml:space="preserve"> </w:t>
      </w:r>
      <w:r>
        <w:rPr>
          <w:rFonts w:ascii="Arial" w:cs="Arial" w:eastAsia="Arial" w:hAnsi="Arial"/>
          <w:sz w:val="17"/>
          <w:szCs w:val="17"/>
          <w:color w:val="000000"/>
        </w:rPr>
        <w:t>The Board reiterates its commitment to our executive compensation philosophy that is focused on creating a strong</w:t>
      </w:r>
      <w:r>
        <w:rPr>
          <w:rFonts w:ascii="Arial" w:cs="Arial" w:eastAsia="Arial" w:hAnsi="Arial"/>
          <w:sz w:val="17"/>
          <w:szCs w:val="17"/>
          <w:i w:val="1"/>
          <w:iCs w:val="1"/>
          <w:color w:val="CE9B00"/>
        </w:rPr>
        <w:t xml:space="preserve"> </w:t>
      </w:r>
      <w:r>
        <w:rPr>
          <w:rFonts w:ascii="Arial" w:cs="Arial" w:eastAsia="Arial" w:hAnsi="Arial"/>
          <w:sz w:val="17"/>
          <w:szCs w:val="17"/>
          <w:color w:val="000000"/>
        </w:rPr>
        <w:t>alignment of the interests of executives with those of shareholders by designing incentives that are directly tied to actions which create sustainable long-term shareholder value. As a result, we believe that our executive compensation program is designed to attract, reward, and retain executive officers who create continual near- and long-term shareholder value by achieving the Company’s strategic goals.</w:t>
      </w:r>
    </w:p>
    <w:p>
      <w:pPr>
        <w:spacing w:after="0" w:line="2"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32 //</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CE9B00"/>
        </w:rPr>
        <w:t xml:space="preserve">PAY-FOR- PERFORMANCE LINKAGE: </w:t>
      </w:r>
      <w:r>
        <w:rPr>
          <w:rFonts w:ascii="Arial" w:cs="Arial" w:eastAsia="Arial" w:hAnsi="Arial"/>
          <w:sz w:val="18"/>
          <w:szCs w:val="18"/>
          <w:color w:val="000000"/>
        </w:rPr>
        <w:t>Shareholders across the board expressed a strong preference for performance-based incentives</w:t>
      </w:r>
      <w:r>
        <w:rPr>
          <w:rFonts w:ascii="Arial" w:cs="Arial" w:eastAsia="Arial" w:hAnsi="Arial"/>
          <w:sz w:val="18"/>
          <w:szCs w:val="18"/>
          <w:color w:val="CE9B00"/>
        </w:rPr>
        <w:t xml:space="preserve"> </w:t>
      </w:r>
      <w:r>
        <w:rPr>
          <w:rFonts w:ascii="Arial" w:cs="Arial" w:eastAsia="Arial" w:hAnsi="Arial"/>
          <w:sz w:val="18"/>
          <w:szCs w:val="18"/>
          <w:color w:val="000000"/>
        </w:rPr>
        <w:t>including performance-based equity incentives.</w:t>
      </w:r>
    </w:p>
    <w:p>
      <w:pPr>
        <w:spacing w:after="0" w:line="71"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i w:val="1"/>
          <w:iCs w:val="1"/>
          <w:u w:val="single" w:color="auto"/>
          <w:color w:val="CE9B00"/>
        </w:rPr>
        <w:t>Board Response</w:t>
      </w:r>
      <w:r>
        <w:rPr>
          <w:rFonts w:ascii="Arial" w:cs="Arial" w:eastAsia="Arial" w:hAnsi="Arial"/>
          <w:sz w:val="18"/>
          <w:szCs w:val="18"/>
          <w:u w:val="single" w:color="auto"/>
          <w:color w:val="000000"/>
        </w:rPr>
        <w:t>:</w:t>
      </w:r>
      <w:r>
        <w:rPr>
          <w:rFonts w:ascii="Arial" w:cs="Arial" w:eastAsia="Arial" w:hAnsi="Arial"/>
          <w:sz w:val="18"/>
          <w:szCs w:val="18"/>
          <w:i w:val="1"/>
          <w:iCs w:val="1"/>
          <w:color w:val="CE9B00"/>
        </w:rPr>
        <w:t xml:space="preserve"> </w:t>
      </w:r>
      <w:r>
        <w:rPr>
          <w:rFonts w:ascii="Arial" w:cs="Arial" w:eastAsia="Arial" w:hAnsi="Arial"/>
          <w:sz w:val="18"/>
          <w:szCs w:val="18"/>
          <w:color w:val="000000"/>
        </w:rPr>
        <w:t>The Board is committed to ensuring a significant percentage of incentives being performance-based including at least a</w:t>
      </w:r>
      <w:r>
        <w:rPr>
          <w:rFonts w:ascii="Arial" w:cs="Arial" w:eastAsia="Arial" w:hAnsi="Arial"/>
          <w:sz w:val="18"/>
          <w:szCs w:val="18"/>
          <w:i w:val="1"/>
          <w:iCs w:val="1"/>
          <w:color w:val="CE9B00"/>
        </w:rPr>
        <w:t xml:space="preserve"> </w:t>
      </w:r>
      <w:r>
        <w:rPr>
          <w:rFonts w:ascii="Arial" w:cs="Arial" w:eastAsia="Arial" w:hAnsi="Arial"/>
          <w:sz w:val="18"/>
          <w:szCs w:val="18"/>
          <w:color w:val="000000"/>
        </w:rPr>
        <w:t>majority of equity incentives being performance-based. For 2021, 85% of CEO total direct pay was structured as cash and equity incentives, with 65% of equity being performance-based.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7"/>
          <w:szCs w:val="27"/>
          <w:color w:val="auto"/>
        </w:rPr>
        <w:t>Overview of our executive compensation program</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E9B00"/>
        </w:rPr>
        <w:t>WHY YOU SHOULD VOTE FOR THE 2022 SAY-ON-PAY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CE9B00"/>
        </w:rPr>
        <w:t>RIGOROUS DESIGN, ACCOUNTABILITY AND ALIGNMENT</w:t>
      </w:r>
    </w:p>
    <w:p>
      <w:pPr>
        <w:ind w:left="34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and long-term incentive compensation remains aligned with long-term shareholder value creation</w:t>
      </w:r>
    </w:p>
    <w:p>
      <w:pPr>
        <w:ind w:left="34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set rigorous metrics for annual incentives despite the uncertainty around a rebound from COVID-19, and maintained strong focus on performance-based long-term incentives</w:t>
      </w:r>
    </w:p>
    <w:p>
      <w:pPr>
        <w:spacing w:after="0" w:line="1" w:lineRule="exact"/>
        <w:rPr>
          <w:rFonts w:ascii="Arial" w:cs="Arial" w:eastAsia="Arial" w:hAnsi="Arial"/>
          <w:sz w:val="18"/>
          <w:szCs w:val="18"/>
          <w:color w:val="auto"/>
        </w:rPr>
      </w:pPr>
    </w:p>
    <w:p>
      <w:pPr>
        <w:ind w:left="340" w:right="26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further enhance the alignment of executives’ interest with those of long-term shareholders, the annual incentive, based on pre-set goals, is paid out 50% in equity</w:t>
      </w:r>
    </w:p>
    <w:p>
      <w:pPr>
        <w:spacing w:after="0" w:line="1" w:lineRule="exact"/>
        <w:rPr>
          <w:rFonts w:ascii="Arial" w:cs="Arial" w:eastAsia="Arial" w:hAnsi="Arial"/>
          <w:sz w:val="18"/>
          <w:szCs w:val="18"/>
          <w:color w:val="auto"/>
        </w:rPr>
      </w:pPr>
    </w:p>
    <w:p>
      <w:pPr>
        <w:ind w:left="340" w:right="2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line with our focus on performance-based pay, 86% of NEO compensation remained at-risk with over half of incentives being focused on long-term performance</w:t>
      </w:r>
    </w:p>
    <w:p>
      <w:pPr>
        <w:spacing w:after="0" w:line="1"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executive compensation framework reflects feedback received over the past several years from shareholders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CE9B00"/>
        </w:rPr>
        <w:t>CONTINUED RESPONSIVENESS TO EFFECTS OF COVID-19</w:t>
      </w:r>
    </w:p>
    <w:p>
      <w:pPr>
        <w:ind w:left="340" w:right="320" w:hanging="224"/>
        <w:spacing w:after="0" w:line="23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preserve liquidity given the ongoing effects of COVID, all NEOs voluntarily agreed to reduce their base salaries by 20%, effective January 1, 2021 through March 31, 2021, without a corresponding stock grant</w:t>
      </w:r>
    </w:p>
    <w:p>
      <w:pPr>
        <w:spacing w:after="0" w:line="1" w:lineRule="exact"/>
        <w:rPr>
          <w:rFonts w:ascii="Arial" w:cs="Arial" w:eastAsia="Arial" w:hAnsi="Arial"/>
          <w:sz w:val="18"/>
          <w:szCs w:val="18"/>
          <w:color w:val="auto"/>
        </w:rPr>
      </w:pPr>
    </w:p>
    <w:p>
      <w:pPr>
        <w:ind w:left="340" w:right="40" w:hanging="224"/>
        <w:spacing w:after="0" w:line="24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salary reductions in 2021 were in addition to the cash salary reductions ranging from 35% to 100% that the Company implemented for NEOs in 2020 at the outset of the pandemic</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CE9B00"/>
        </w:rPr>
        <w:t>KEY LEADERSHIP TRANSITION</w:t>
      </w:r>
    </w:p>
    <w:p>
      <w:pPr>
        <w:ind w:left="340" w:right="100" w:hanging="224"/>
        <w:spacing w:after="0" w:line="23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the announcement that CEO Matt Maddox will be leaving the Company as of January 31, 2022, the Board, after full consideration of alternatives, selected then-current CFO Craig S. Billings to serve as the Company’s CEO, effective February 1, 2022</w:t>
      </w:r>
    </w:p>
    <w:p>
      <w:pPr>
        <w:spacing w:after="0" w:line="1" w:lineRule="exact"/>
        <w:rPr>
          <w:rFonts w:ascii="Arial" w:cs="Arial" w:eastAsia="Arial" w:hAnsi="Arial"/>
          <w:sz w:val="18"/>
          <w:szCs w:val="18"/>
          <w:color w:val="auto"/>
        </w:rPr>
      </w:pPr>
    </w:p>
    <w:p>
      <w:pPr>
        <w:ind w:left="340" w:right="12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 successfully negotiated new employment contracts in connection with the appointment of Craig S. Billings to CEO (effective February 1, 2022), hiring Julie Cameron-Doe as incoming CFO (effective in the second quarter of 2022), and the retention of Ellen F. Whittemore as Executive Vice President, General Counsel and Secretary (effective January 12, 2022)</w:t>
      </w:r>
    </w:p>
    <w:p>
      <w:pPr>
        <w:spacing w:after="0" w:line="17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disclosed in the sections below, the executive compensation program is predicated on sound principles that clearly link compensation with performance. A significant percentage of CEO compensation is at-risk, with over half of pay being long term. This coupled with robust stock ownership guidelines ensure that the interests of executives and long-term shareholders are aligned.</w:t>
      </w:r>
    </w:p>
    <w:p>
      <w:pPr>
        <w:spacing w:after="0" w:line="16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continue to make efforts to design and implement a world-class compensation structure that rewards executives for actions that create sustainable returns and shareholder value. Our annual incentives are focused on operational excellence and initiatives that align with our long-term strategy; paying 50% of earned annual incentives in equity sharpens the alignment of interests of executives with long-term shareholders. Our annual long-term incentives—including performance-based equity—reward executives in tandem with the creation of long-term value. The annual grants coupled with robust stock ownership guidelines ensure that executives are invested in ensuring the long-term viability of shareholder value.</w:t>
      </w:r>
    </w:p>
    <w:p>
      <w:pPr>
        <w:spacing w:after="0" w:line="16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frequently engage with our shareholders to ensure that their feedback is reflected in our corporate governance approach, particularly with respect to executive compensation. Based in part on this feedback, the Compensation Committee continued to evaluate and implement meaningful changes in our executive compensation program, which, we believe, contributed to strong support from shareholders approving our Say-on-Pay proposal at the 2021 Annual Meeting.</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33 //</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How we approach executive compensation</w:t>
      </w:r>
    </w:p>
    <w:p>
      <w:pPr>
        <w:spacing w:after="0" w:line="21"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Our executive compensation philosophy is to align the interests of executives with those of shareholders by designing incentives that are directly tied to actions which create sustainable long-term shareholder value.</w:t>
      </w:r>
    </w:p>
    <w:p>
      <w:pPr>
        <w:spacing w:after="0" w:line="170"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We, the Compensation Committee, believe that our ability to oversee the delivery of operational excellence and sustainable long-term returns to shareholders is inexorably linked to attracting and retaining a high-performing management team.</w:t>
      </w:r>
    </w:p>
    <w:p>
      <w:pPr>
        <w:spacing w:after="0" w:line="156"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Hence, the executive compensation program must be designed to attract, reward, and retain executive officers who create continual near-and long-term shareholder value by achieving the Company’s strategic goals, as established by the Compensation Committee. We</w:t>
      </w:r>
    </w:p>
    <w:p>
      <w:pPr>
        <w:spacing w:after="0" w:line="1"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also believe that stability at the executive level is key to the strength of the Company, particularly given the relatively small pool of executives with gaming experience for whom we compete.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achieve this, we rely on the following principles:</w:t>
      </w:r>
    </w:p>
    <w:p>
      <w:pPr>
        <w:spacing w:after="0" w:line="185"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CE9B00"/>
        </w:rPr>
        <w:t xml:space="preserve">PAY-FOR-SUSTAINABLE PERFORMANCE: </w:t>
      </w:r>
      <w:r>
        <w:rPr>
          <w:rFonts w:ascii="Arial" w:cs="Arial" w:eastAsia="Arial" w:hAnsi="Arial"/>
          <w:sz w:val="18"/>
          <w:szCs w:val="18"/>
          <w:color w:val="000000"/>
        </w:rPr>
        <w:t>The majority of our executives’ total compensation is tied to achieving annual and long-term</w:t>
      </w:r>
      <w:r>
        <w:rPr>
          <w:rFonts w:ascii="Arial" w:cs="Arial" w:eastAsia="Arial" w:hAnsi="Arial"/>
          <w:sz w:val="18"/>
          <w:szCs w:val="18"/>
          <w:color w:val="CE9B00"/>
        </w:rPr>
        <w:t xml:space="preserve"> </w:t>
      </w:r>
      <w:r>
        <w:rPr>
          <w:rFonts w:ascii="Arial" w:cs="Arial" w:eastAsia="Arial" w:hAnsi="Arial"/>
          <w:sz w:val="18"/>
          <w:szCs w:val="18"/>
          <w:color w:val="000000"/>
        </w:rPr>
        <w:t>goals that enhance the value of our reputation and brand, sustain the performance and attractiveness of our resorts and drive long-term shareholder value. The Compensation Committee retains discretion to reduce amounts earned and payable when doing so will further these goals. Further, 50% of annual incentive is paid in equity (rather than all cash), and equity is subject to our robust holding requirements.</w:t>
      </w:r>
    </w:p>
    <w:p>
      <w:pPr>
        <w:spacing w:after="0" w:line="16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CE9B00"/>
        </w:rPr>
        <w:t xml:space="preserve">SHAREHOLDER ALIGNMENT: </w:t>
      </w:r>
      <w:r>
        <w:rPr>
          <w:rFonts w:ascii="Arial" w:cs="Arial" w:eastAsia="Arial" w:hAnsi="Arial"/>
          <w:sz w:val="18"/>
          <w:szCs w:val="18"/>
          <w:color w:val="000000"/>
        </w:rPr>
        <w:t>Our long-term equity incentives align executives’ interests with those of shareholders and other</w:t>
      </w:r>
      <w:r>
        <w:rPr>
          <w:rFonts w:ascii="Arial" w:cs="Arial" w:eastAsia="Arial" w:hAnsi="Arial"/>
          <w:sz w:val="18"/>
          <w:szCs w:val="18"/>
          <w:color w:val="CE9B00"/>
        </w:rPr>
        <w:t xml:space="preserve"> </w:t>
      </w:r>
      <w:r>
        <w:rPr>
          <w:rFonts w:ascii="Arial" w:cs="Arial" w:eastAsia="Arial" w:hAnsi="Arial"/>
          <w:sz w:val="18"/>
          <w:szCs w:val="18"/>
          <w:color w:val="000000"/>
        </w:rPr>
        <w:t>stakeholders. Our executive compensation focuses on key metrics that are critical drivers for realizing our strategic objectives and achieving long-term results. By focusing on regular equity grants that vest over three years and on performance-based awards, we believe that the alignment of interest is strengthened, especially when coupled with robust stock holding requirements for executives (6x base salary for our CEO) and 3x base salary for our other NEOs.</w:t>
      </w:r>
    </w:p>
    <w:p>
      <w:pPr>
        <w:spacing w:after="0" w:line="16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CE9B00"/>
        </w:rPr>
        <w:t xml:space="preserve">FOCUS ON COMPENSATION TOTALS AND PARITY: </w:t>
      </w:r>
      <w:r>
        <w:rPr>
          <w:rFonts w:ascii="Arial" w:cs="Arial" w:eastAsia="Arial" w:hAnsi="Arial"/>
          <w:sz w:val="18"/>
          <w:szCs w:val="18"/>
          <w:color w:val="000000"/>
        </w:rPr>
        <w:t>We evaluate the total amounts of executives’ compensation for parity purposes and</w:t>
      </w:r>
      <w:r>
        <w:rPr>
          <w:rFonts w:ascii="Arial" w:cs="Arial" w:eastAsia="Arial" w:hAnsi="Arial"/>
          <w:sz w:val="18"/>
          <w:szCs w:val="18"/>
          <w:color w:val="CE9B00"/>
        </w:rPr>
        <w:t xml:space="preserve"> </w:t>
      </w:r>
      <w:r>
        <w:rPr>
          <w:rFonts w:ascii="Arial" w:cs="Arial" w:eastAsia="Arial" w:hAnsi="Arial"/>
          <w:sz w:val="18"/>
          <w:szCs w:val="18"/>
          <w:color w:val="000000"/>
        </w:rPr>
        <w:t>assess them relative to the pay practices of major gaming companies and other competitors for talent. The Compensation Committee reaffirmed its commitment to right-sized executive compensation by benchmarking total compensation at the median of our peer group and making adjustments for specific skills and experience.</w:t>
      </w:r>
    </w:p>
    <w:p>
      <w:pPr>
        <w:spacing w:after="0" w:line="178"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CE9B00"/>
        </w:rPr>
        <w:t xml:space="preserve">SIMPLICITY AND CLARITY: </w:t>
      </w:r>
      <w:r>
        <w:rPr>
          <w:rFonts w:ascii="Arial" w:cs="Arial" w:eastAsia="Arial" w:hAnsi="Arial"/>
          <w:sz w:val="18"/>
          <w:szCs w:val="18"/>
          <w:color w:val="000000"/>
        </w:rPr>
        <w:t>We value pay structures that are simple and clear. We believe pay simplicity promotes transparency, avoids</w:t>
      </w:r>
      <w:r>
        <w:rPr>
          <w:rFonts w:ascii="Arial" w:cs="Arial" w:eastAsia="Arial" w:hAnsi="Arial"/>
          <w:sz w:val="18"/>
          <w:szCs w:val="18"/>
          <w:color w:val="CE9B00"/>
        </w:rPr>
        <w:t xml:space="preserve"> </w:t>
      </w:r>
      <w:r>
        <w:rPr>
          <w:rFonts w:ascii="Arial" w:cs="Arial" w:eastAsia="Arial" w:hAnsi="Arial"/>
          <w:sz w:val="18"/>
          <w:szCs w:val="18"/>
          <w:color w:val="000000"/>
        </w:rPr>
        <w:t>incentivizing focus on pay goals at the expense of ongoing excellence and performance, and promotes teamwork.</w:t>
      </w:r>
    </w:p>
    <w:p>
      <w:pPr>
        <w:spacing w:after="0" w:line="15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CE9B00"/>
        </w:rPr>
        <w:t xml:space="preserve">ATTRACT AND RETAIN TOP TALENT: </w:t>
      </w:r>
      <w:r>
        <w:rPr>
          <w:rFonts w:ascii="Arial" w:cs="Arial" w:eastAsia="Arial" w:hAnsi="Arial"/>
          <w:sz w:val="18"/>
          <w:szCs w:val="18"/>
          <w:color w:val="000000"/>
        </w:rPr>
        <w:t>Our business spans continents, can be subject to meaningful volatility, requires tight coordination</w:t>
      </w:r>
      <w:r>
        <w:rPr>
          <w:rFonts w:ascii="Arial" w:cs="Arial" w:eastAsia="Arial" w:hAnsi="Arial"/>
          <w:sz w:val="18"/>
          <w:szCs w:val="18"/>
          <w:color w:val="CE9B00"/>
        </w:rPr>
        <w:t xml:space="preserve"> </w:t>
      </w:r>
      <w:r>
        <w:rPr>
          <w:rFonts w:ascii="Arial" w:cs="Arial" w:eastAsia="Arial" w:hAnsi="Arial"/>
          <w:sz w:val="18"/>
          <w:szCs w:val="18"/>
          <w:color w:val="000000"/>
        </w:rPr>
        <w:t>with regulators, depends on knowledge of numerous types of complex operations, requires diligent investment over many years and across business cycles, and is highly dependent on a reputation for excellence, so finding and retaining top talent is a critical element of our compensation.</w:t>
      </w:r>
    </w:p>
    <w:p>
      <w:pPr>
        <w:spacing w:after="0" w:line="3"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34 //</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4"/>
          <w:szCs w:val="24"/>
          <w:color w:val="auto"/>
        </w:rPr>
        <w:t>Executive compensation components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CE9B00"/>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1045845" cy="5657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45845" cy="565785"/>
                    </a:xfrm>
                    <a:prstGeom prst="rect">
                      <a:avLst/>
                    </a:prstGeom>
                    <a:noFill/>
                  </pic:spPr>
                </pic:pic>
              </a:graphicData>
            </a:graphic>
          </wp:anchor>
        </w:drawing>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675005</wp:posOffset>
            </wp:positionV>
            <wp:extent cx="1045845" cy="522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458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right="20"/>
        <w:spacing w:after="0" w:line="249" w:lineRule="auto"/>
        <w:rPr>
          <w:sz w:val="20"/>
          <w:szCs w:val="20"/>
          <w:color w:val="auto"/>
        </w:rPr>
      </w:pPr>
      <w:r>
        <w:rPr>
          <w:rFonts w:ascii="Arial" w:cs="Arial" w:eastAsia="Arial" w:hAnsi="Arial"/>
          <w:sz w:val="14"/>
          <w:szCs w:val="14"/>
          <w:color w:val="auto"/>
        </w:rPr>
        <w:t>Long-term incentives: Performance-based restricted stock</w:t>
      </w:r>
    </w:p>
    <w:p>
      <w:pPr>
        <w:spacing w:after="0" w:line="322" w:lineRule="exact"/>
        <w:rPr>
          <w:sz w:val="20"/>
          <w:szCs w:val="20"/>
          <w:color w:val="auto"/>
        </w:rPr>
      </w:pPr>
    </w:p>
    <w:p>
      <w:pPr>
        <w:jc w:val="both"/>
        <w:ind w:left="180"/>
        <w:spacing w:after="0" w:line="249" w:lineRule="auto"/>
        <w:rPr>
          <w:sz w:val="20"/>
          <w:szCs w:val="20"/>
          <w:color w:val="auto"/>
        </w:rPr>
      </w:pPr>
      <w:r>
        <w:rPr>
          <w:rFonts w:ascii="Arial" w:cs="Arial" w:eastAsia="Arial" w:hAnsi="Arial"/>
          <w:sz w:val="14"/>
          <w:szCs w:val="14"/>
          <w:color w:val="auto"/>
        </w:rPr>
        <w:t>Long-term incentives: Time-based restricted stock</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7"/>
        </w:trPr>
        <w:tc>
          <w:tcPr>
            <w:tcW w:w="1440" w:type="dxa"/>
            <w:vAlign w:val="bottom"/>
            <w:tcBorders>
              <w:left w:val="single" w:sz="8" w:color="E2EDED"/>
              <w:right w:val="single" w:sz="8" w:color="E2EDED"/>
            </w:tcBorders>
          </w:tcPr>
          <w:p>
            <w:pPr>
              <w:jc w:val="center"/>
              <w:ind w:left="132"/>
              <w:spacing w:after="0"/>
              <w:rPr>
                <w:sz w:val="20"/>
                <w:szCs w:val="20"/>
                <w:color w:val="auto"/>
              </w:rPr>
            </w:pPr>
            <w:r>
              <w:rPr>
                <w:rFonts w:ascii="Arial" w:cs="Arial" w:eastAsia="Arial" w:hAnsi="Arial"/>
                <w:sz w:val="13"/>
                <w:szCs w:val="13"/>
                <w:b w:val="1"/>
                <w:bCs w:val="1"/>
                <w:color w:val="CE9B00"/>
                <w:w w:val="94"/>
              </w:rPr>
              <w:t>% OF TOTAL</w:t>
            </w:r>
          </w:p>
        </w:tc>
        <w:tc>
          <w:tcPr>
            <w:tcW w:w="660" w:type="dxa"/>
            <w:vAlign w:val="bottom"/>
            <w:tcBorders>
              <w:right w:val="single" w:sz="8" w:color="E2EDED"/>
            </w:tcBorders>
            <w:vMerge w:val="restart"/>
          </w:tcPr>
          <w:p>
            <w:pPr>
              <w:jc w:val="center"/>
              <w:ind w:left="113"/>
              <w:spacing w:after="0"/>
              <w:rPr>
                <w:sz w:val="20"/>
                <w:szCs w:val="20"/>
                <w:color w:val="auto"/>
              </w:rPr>
            </w:pPr>
            <w:r>
              <w:rPr>
                <w:rFonts w:ascii="Arial" w:cs="Arial" w:eastAsia="Arial" w:hAnsi="Arial"/>
                <w:sz w:val="11"/>
                <w:szCs w:val="11"/>
                <w:b w:val="1"/>
                <w:bCs w:val="1"/>
                <w:color w:val="CE9B00"/>
                <w:w w:val="87"/>
              </w:rPr>
              <w:t>AT-</w:t>
            </w:r>
          </w:p>
        </w:tc>
        <w:tc>
          <w:tcPr>
            <w:tcW w:w="3700" w:type="dxa"/>
            <w:vAlign w:val="bottom"/>
            <w:tcBorders>
              <w:right w:val="single" w:sz="8" w:color="E2EDED"/>
            </w:tcBorders>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E2EDED"/>
              <w:right w:val="single" w:sz="8" w:color="E2EDED"/>
            </w:tcBorders>
            <w:vMerge w:val="restart"/>
          </w:tcPr>
          <w:p>
            <w:pPr>
              <w:jc w:val="center"/>
              <w:ind w:left="132"/>
              <w:spacing w:after="0" w:line="135" w:lineRule="exact"/>
              <w:rPr>
                <w:sz w:val="20"/>
                <w:szCs w:val="20"/>
                <w:color w:val="auto"/>
              </w:rPr>
            </w:pPr>
            <w:r>
              <w:rPr>
                <w:rFonts w:ascii="Arial" w:cs="Arial" w:eastAsia="Arial" w:hAnsi="Arial"/>
                <w:sz w:val="13"/>
                <w:szCs w:val="13"/>
                <w:b w:val="1"/>
                <w:bCs w:val="1"/>
                <w:color w:val="CE9B00"/>
                <w:w w:val="94"/>
              </w:rPr>
              <w:t>ANNUAL</w:t>
            </w:r>
          </w:p>
        </w:tc>
        <w:tc>
          <w:tcPr>
            <w:tcW w:w="660" w:type="dxa"/>
            <w:vAlign w:val="bottom"/>
            <w:tcBorders>
              <w:right w:val="single" w:sz="8" w:color="E2EDED"/>
            </w:tcBorders>
            <w:vMerge w:val="continue"/>
          </w:tcPr>
          <w:p>
            <w:pPr>
              <w:spacing w:after="0"/>
              <w:rPr>
                <w:sz w:val="4"/>
                <w:szCs w:val="4"/>
                <w:color w:val="auto"/>
              </w:rPr>
            </w:pPr>
          </w:p>
        </w:tc>
        <w:tc>
          <w:tcPr>
            <w:tcW w:w="3700" w:type="dxa"/>
            <w:vAlign w:val="bottom"/>
            <w:tcBorders>
              <w:right w:val="single" w:sz="8" w:color="E2EDED"/>
            </w:tcBorders>
            <w:vMerge w:val="restart"/>
          </w:tcPr>
          <w:p>
            <w:pPr>
              <w:ind w:left="1540"/>
              <w:spacing w:after="0" w:line="135" w:lineRule="exact"/>
              <w:rPr>
                <w:sz w:val="20"/>
                <w:szCs w:val="20"/>
                <w:color w:val="auto"/>
              </w:rPr>
            </w:pPr>
            <w:r>
              <w:rPr>
                <w:rFonts w:ascii="Arial" w:cs="Arial" w:eastAsia="Arial" w:hAnsi="Arial"/>
                <w:sz w:val="13"/>
                <w:szCs w:val="13"/>
                <w:b w:val="1"/>
                <w:bCs w:val="1"/>
                <w:color w:val="CE9B00"/>
              </w:rPr>
              <w:t>FEATURES</w:t>
            </w:r>
          </w:p>
        </w:tc>
        <w:tc>
          <w:tcPr>
            <w:tcW w:w="3580" w:type="dxa"/>
            <w:vAlign w:val="bottom"/>
            <w:vMerge w:val="restart"/>
          </w:tcPr>
          <w:p>
            <w:pPr>
              <w:ind w:left="1360"/>
              <w:spacing w:after="0" w:line="135" w:lineRule="exact"/>
              <w:rPr>
                <w:sz w:val="20"/>
                <w:szCs w:val="20"/>
                <w:color w:val="auto"/>
              </w:rPr>
            </w:pPr>
            <w:r>
              <w:rPr>
                <w:rFonts w:ascii="Arial" w:cs="Arial" w:eastAsia="Arial" w:hAnsi="Arial"/>
                <w:sz w:val="13"/>
                <w:szCs w:val="13"/>
                <w:b w:val="1"/>
                <w:bCs w:val="1"/>
                <w:color w:val="CE9B00"/>
              </w:rPr>
              <w:t>2021 RESULTS</w:t>
            </w:r>
          </w:p>
        </w:tc>
        <w:tc>
          <w:tcPr>
            <w:tcW w:w="0" w:type="dxa"/>
            <w:vAlign w:val="bottom"/>
          </w:tcPr>
          <w:p>
            <w:pPr>
              <w:spacing w:after="0"/>
              <w:rPr>
                <w:sz w:val="1"/>
                <w:szCs w:val="1"/>
                <w:color w:val="auto"/>
              </w:rPr>
            </w:pPr>
          </w:p>
        </w:tc>
      </w:tr>
      <w:tr>
        <w:trPr>
          <w:trHeight w:val="81"/>
        </w:trPr>
        <w:tc>
          <w:tcPr>
            <w:tcW w:w="1440" w:type="dxa"/>
            <w:vAlign w:val="bottom"/>
            <w:tcBorders>
              <w:left w:val="single" w:sz="8" w:color="E2EDED"/>
              <w:right w:val="single" w:sz="8" w:color="E2EDED"/>
            </w:tcBorders>
            <w:vMerge w:val="continue"/>
          </w:tcPr>
          <w:p>
            <w:pPr>
              <w:spacing w:after="0"/>
              <w:rPr>
                <w:sz w:val="7"/>
                <w:szCs w:val="7"/>
                <w:color w:val="auto"/>
              </w:rPr>
            </w:pPr>
          </w:p>
        </w:tc>
        <w:tc>
          <w:tcPr>
            <w:tcW w:w="660" w:type="dxa"/>
            <w:vAlign w:val="bottom"/>
            <w:tcBorders>
              <w:right w:val="single" w:sz="8" w:color="E2EDED"/>
            </w:tcBorders>
            <w:vMerge w:val="restart"/>
          </w:tcPr>
          <w:p>
            <w:pPr>
              <w:jc w:val="center"/>
              <w:ind w:left="113"/>
              <w:spacing w:after="0"/>
              <w:rPr>
                <w:sz w:val="20"/>
                <w:szCs w:val="20"/>
                <w:color w:val="auto"/>
              </w:rPr>
            </w:pPr>
            <w:r>
              <w:rPr>
                <w:rFonts w:ascii="Arial" w:cs="Arial" w:eastAsia="Arial" w:hAnsi="Arial"/>
                <w:sz w:val="13"/>
                <w:szCs w:val="13"/>
                <w:b w:val="1"/>
                <w:bCs w:val="1"/>
                <w:color w:val="CE9B00"/>
                <w:w w:val="92"/>
              </w:rPr>
              <w:t>RISK?</w:t>
            </w:r>
          </w:p>
        </w:tc>
        <w:tc>
          <w:tcPr>
            <w:tcW w:w="3700" w:type="dxa"/>
            <w:vAlign w:val="bottom"/>
            <w:tcBorders>
              <w:right w:val="single" w:sz="8" w:color="E2EDED"/>
            </w:tcBorders>
            <w:vMerge w:val="continue"/>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left w:val="single" w:sz="8" w:color="E2EDED"/>
              <w:right w:val="single" w:sz="8" w:color="E2EDED"/>
            </w:tcBorders>
            <w:vMerge w:val="restart"/>
          </w:tcPr>
          <w:p>
            <w:pPr>
              <w:jc w:val="center"/>
              <w:ind w:left="132"/>
              <w:spacing w:after="0"/>
              <w:rPr>
                <w:sz w:val="20"/>
                <w:szCs w:val="20"/>
                <w:color w:val="auto"/>
              </w:rPr>
            </w:pPr>
            <w:r>
              <w:rPr>
                <w:rFonts w:ascii="Arial" w:cs="Arial" w:eastAsia="Arial" w:hAnsi="Arial"/>
                <w:sz w:val="13"/>
                <w:szCs w:val="13"/>
                <w:b w:val="1"/>
                <w:bCs w:val="1"/>
                <w:color w:val="CE9B00"/>
                <w:w w:val="94"/>
              </w:rPr>
              <w:t>COMPENSATION</w:t>
            </w:r>
          </w:p>
        </w:tc>
        <w:tc>
          <w:tcPr>
            <w:tcW w:w="660" w:type="dxa"/>
            <w:vAlign w:val="bottom"/>
            <w:tcBorders>
              <w:right w:val="single" w:sz="8" w:color="E2EDED"/>
            </w:tcBorders>
            <w:vMerge w:val="continue"/>
          </w:tcPr>
          <w:p>
            <w:pPr>
              <w:spacing w:after="0"/>
              <w:rPr>
                <w:sz w:val="7"/>
                <w:szCs w:val="7"/>
                <w:color w:val="auto"/>
              </w:rPr>
            </w:pPr>
          </w:p>
        </w:tc>
        <w:tc>
          <w:tcPr>
            <w:tcW w:w="3700" w:type="dxa"/>
            <w:vAlign w:val="bottom"/>
            <w:tcBorders>
              <w:right w:val="single" w:sz="8" w:color="E2EDED"/>
            </w:tcBorders>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40" w:type="dxa"/>
            <w:vAlign w:val="bottom"/>
            <w:tcBorders>
              <w:left w:val="single" w:sz="8" w:color="E2EDED"/>
              <w:right w:val="single" w:sz="8" w:color="E2EDED"/>
            </w:tcBorders>
            <w:vMerge w:val="continue"/>
          </w:tcPr>
          <w:p>
            <w:pPr>
              <w:spacing w:after="0"/>
              <w:rPr>
                <w:sz w:val="7"/>
                <w:szCs w:val="7"/>
                <w:color w:val="auto"/>
              </w:rPr>
            </w:pPr>
          </w:p>
        </w:tc>
        <w:tc>
          <w:tcPr>
            <w:tcW w:w="660" w:type="dxa"/>
            <w:vAlign w:val="bottom"/>
            <w:tcBorders>
              <w:right w:val="single" w:sz="8" w:color="E2EDED"/>
            </w:tcBorders>
          </w:tcPr>
          <w:p>
            <w:pPr>
              <w:spacing w:after="0"/>
              <w:rPr>
                <w:sz w:val="7"/>
                <w:szCs w:val="7"/>
                <w:color w:val="auto"/>
              </w:rPr>
            </w:pPr>
          </w:p>
        </w:tc>
        <w:tc>
          <w:tcPr>
            <w:tcW w:w="3700" w:type="dxa"/>
            <w:vAlign w:val="bottom"/>
            <w:tcBorders>
              <w:right w:val="single" w:sz="8" w:color="E2EDED"/>
            </w:tcBorders>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440" w:type="dxa"/>
            <w:vAlign w:val="bottom"/>
            <w:tcBorders>
              <w:left w:val="single" w:sz="8" w:color="E2EDED"/>
              <w:right w:val="single" w:sz="8" w:color="E2EDED"/>
            </w:tcBorders>
          </w:tcPr>
          <w:p>
            <w:pPr>
              <w:spacing w:after="0"/>
              <w:rPr>
                <w:sz w:val="3"/>
                <w:szCs w:val="3"/>
                <w:color w:val="auto"/>
              </w:rPr>
            </w:pPr>
          </w:p>
        </w:tc>
        <w:tc>
          <w:tcPr>
            <w:tcW w:w="660" w:type="dxa"/>
            <w:vAlign w:val="bottom"/>
            <w:tcBorders>
              <w:right w:val="single" w:sz="8" w:color="E2EDED"/>
            </w:tcBorders>
          </w:tcPr>
          <w:p>
            <w:pPr>
              <w:spacing w:after="0"/>
              <w:rPr>
                <w:sz w:val="3"/>
                <w:szCs w:val="3"/>
                <w:color w:val="auto"/>
              </w:rPr>
            </w:pPr>
          </w:p>
        </w:tc>
        <w:tc>
          <w:tcPr>
            <w:tcW w:w="3700" w:type="dxa"/>
            <w:vAlign w:val="bottom"/>
            <w:tcBorders>
              <w:right w:val="single" w:sz="8" w:color="E2EDED"/>
            </w:tcBorders>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E2EDED"/>
              <w:right w:val="single" w:sz="8" w:color="E2EDED"/>
            </w:tcBorders>
            <w:shd w:val="clear" w:color="auto" w:fill="F5EBCC"/>
          </w:tcPr>
          <w:p>
            <w:pPr>
              <w:jc w:val="center"/>
              <w:ind w:left="132"/>
              <w:spacing w:after="0"/>
              <w:rPr>
                <w:sz w:val="20"/>
                <w:szCs w:val="20"/>
                <w:color w:val="auto"/>
              </w:rPr>
            </w:pPr>
            <w:r>
              <w:rPr>
                <w:rFonts w:ascii="Arial" w:cs="Arial" w:eastAsia="Arial" w:hAnsi="Arial"/>
                <w:sz w:val="14"/>
                <w:szCs w:val="14"/>
                <w:color w:val="auto"/>
                <w:w w:val="99"/>
              </w:rPr>
              <w:t>14%</w:t>
            </w:r>
          </w:p>
        </w:tc>
        <w:tc>
          <w:tcPr>
            <w:tcW w:w="660" w:type="dxa"/>
            <w:vAlign w:val="bottom"/>
            <w:tcBorders>
              <w:right w:val="single" w:sz="8" w:color="E2EDED"/>
            </w:tcBorders>
            <w:shd w:val="clear" w:color="auto" w:fill="F5EBCC"/>
          </w:tcPr>
          <w:p>
            <w:pPr>
              <w:jc w:val="center"/>
              <w:ind w:left="113"/>
              <w:spacing w:after="0"/>
              <w:rPr>
                <w:sz w:val="20"/>
                <w:szCs w:val="20"/>
                <w:color w:val="auto"/>
              </w:rPr>
            </w:pPr>
            <w:r>
              <w:rPr>
                <w:rFonts w:ascii="Arial" w:cs="Arial" w:eastAsia="Arial" w:hAnsi="Arial"/>
                <w:sz w:val="14"/>
                <w:szCs w:val="14"/>
                <w:color w:val="auto"/>
              </w:rPr>
              <w:t>No</w:t>
            </w:r>
          </w:p>
        </w:tc>
        <w:tc>
          <w:tcPr>
            <w:tcW w:w="3700" w:type="dxa"/>
            <w:vAlign w:val="bottom"/>
            <w:tcBorders>
              <w:right w:val="single" w:sz="8" w:color="E2EDED"/>
            </w:tcBorders>
            <w:shd w:val="clear" w:color="auto" w:fill="F5EBCC"/>
          </w:tcPr>
          <w:p>
            <w:pPr>
              <w:ind w:left="100"/>
              <w:spacing w:after="0"/>
              <w:rPr>
                <w:sz w:val="20"/>
                <w:szCs w:val="20"/>
                <w:color w:val="auto"/>
              </w:rPr>
            </w:pPr>
            <w:r>
              <w:rPr>
                <w:rFonts w:ascii="Arial" w:cs="Arial" w:eastAsia="Arial" w:hAnsi="Arial"/>
                <w:sz w:val="14"/>
                <w:szCs w:val="14"/>
                <w:color w:val="auto"/>
              </w:rPr>
              <w:t>Attract and retain top employees and recognize</w:t>
            </w:r>
          </w:p>
        </w:tc>
        <w:tc>
          <w:tcPr>
            <w:tcW w:w="3580" w:type="dxa"/>
            <w:vAlign w:val="bottom"/>
            <w:shd w:val="clear" w:color="auto" w:fill="F5EBCC"/>
          </w:tcPr>
          <w:p>
            <w:pPr>
              <w:ind w:left="100"/>
              <w:spacing w:after="0"/>
              <w:rPr>
                <w:sz w:val="20"/>
                <w:szCs w:val="20"/>
                <w:color w:val="auto"/>
              </w:rPr>
            </w:pPr>
            <w:r>
              <w:rPr>
                <w:rFonts w:ascii="Arial" w:cs="Arial" w:eastAsia="Arial" w:hAnsi="Arial"/>
                <w:sz w:val="14"/>
                <w:szCs w:val="14"/>
                <w:color w:val="auto"/>
              </w:rPr>
              <w:t>In December 2020, the NEOs voluntarily agreed to</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shd w:val="clear" w:color="auto" w:fill="F5EBCC"/>
          </w:tcPr>
          <w:p>
            <w:pPr>
              <w:spacing w:after="0"/>
              <w:rPr>
                <w:sz w:val="14"/>
                <w:szCs w:val="14"/>
                <w:color w:val="auto"/>
              </w:rPr>
            </w:pPr>
          </w:p>
        </w:tc>
        <w:tc>
          <w:tcPr>
            <w:tcW w:w="660" w:type="dxa"/>
            <w:vAlign w:val="bottom"/>
            <w:tcBorders>
              <w:right w:val="single" w:sz="8" w:color="E2EDED"/>
            </w:tcBorders>
            <w:shd w:val="clear" w:color="auto" w:fill="F5EBCC"/>
          </w:tcPr>
          <w:p>
            <w:pPr>
              <w:spacing w:after="0"/>
              <w:rPr>
                <w:sz w:val="14"/>
                <w:szCs w:val="14"/>
                <w:color w:val="auto"/>
              </w:rPr>
            </w:pPr>
          </w:p>
        </w:tc>
        <w:tc>
          <w:tcPr>
            <w:tcW w:w="3700" w:type="dxa"/>
            <w:vAlign w:val="bottom"/>
            <w:tcBorders>
              <w:right w:val="single" w:sz="8" w:color="E2EDED"/>
            </w:tcBorders>
            <w:shd w:val="clear" w:color="auto" w:fill="F5EBCC"/>
          </w:tcPr>
          <w:p>
            <w:pPr>
              <w:ind w:left="100"/>
              <w:spacing w:after="0"/>
              <w:rPr>
                <w:sz w:val="20"/>
                <w:szCs w:val="20"/>
                <w:color w:val="auto"/>
              </w:rPr>
            </w:pPr>
            <w:r>
              <w:rPr>
                <w:rFonts w:ascii="Arial" w:cs="Arial" w:eastAsia="Arial" w:hAnsi="Arial"/>
                <w:sz w:val="14"/>
                <w:szCs w:val="14"/>
                <w:color w:val="auto"/>
              </w:rPr>
              <w:t>sustained performance, job scope and experience</w:t>
            </w:r>
          </w:p>
        </w:tc>
        <w:tc>
          <w:tcPr>
            <w:tcW w:w="3580" w:type="dxa"/>
            <w:vAlign w:val="bottom"/>
            <w:shd w:val="clear" w:color="auto" w:fill="F5EBCC"/>
          </w:tcPr>
          <w:p>
            <w:pPr>
              <w:ind w:left="100"/>
              <w:spacing w:after="0"/>
              <w:rPr>
                <w:sz w:val="20"/>
                <w:szCs w:val="20"/>
                <w:color w:val="auto"/>
              </w:rPr>
            </w:pPr>
            <w:r>
              <w:rPr>
                <w:rFonts w:ascii="Arial" w:cs="Arial" w:eastAsia="Arial" w:hAnsi="Arial"/>
                <w:sz w:val="14"/>
                <w:szCs w:val="14"/>
                <w:color w:val="auto"/>
              </w:rPr>
              <w:t>reduce their base salaries by 20%, respectively,</w:t>
            </w:r>
          </w:p>
        </w:tc>
        <w:tc>
          <w:tcPr>
            <w:tcW w:w="0" w:type="dxa"/>
            <w:vAlign w:val="bottom"/>
          </w:tcPr>
          <w:p>
            <w:pPr>
              <w:spacing w:after="0"/>
              <w:rPr>
                <w:sz w:val="1"/>
                <w:szCs w:val="1"/>
                <w:color w:val="auto"/>
              </w:rPr>
            </w:pPr>
          </w:p>
        </w:tc>
      </w:tr>
      <w:tr>
        <w:trPr>
          <w:trHeight w:val="172"/>
        </w:trPr>
        <w:tc>
          <w:tcPr>
            <w:tcW w:w="1440" w:type="dxa"/>
            <w:vAlign w:val="bottom"/>
            <w:tcBorders>
              <w:left w:val="single" w:sz="8" w:color="E2EDED"/>
              <w:right w:val="single" w:sz="8" w:color="E2EDED"/>
            </w:tcBorders>
            <w:shd w:val="clear" w:color="auto" w:fill="F5EBCC"/>
          </w:tcPr>
          <w:p>
            <w:pPr>
              <w:spacing w:after="0"/>
              <w:rPr>
                <w:sz w:val="14"/>
                <w:szCs w:val="14"/>
                <w:color w:val="auto"/>
              </w:rPr>
            </w:pPr>
          </w:p>
        </w:tc>
        <w:tc>
          <w:tcPr>
            <w:tcW w:w="660" w:type="dxa"/>
            <w:vAlign w:val="bottom"/>
            <w:tcBorders>
              <w:right w:val="single" w:sz="8" w:color="E2EDED"/>
            </w:tcBorders>
            <w:shd w:val="clear" w:color="auto" w:fill="F5EBCC"/>
          </w:tcPr>
          <w:p>
            <w:pPr>
              <w:spacing w:after="0"/>
              <w:rPr>
                <w:sz w:val="14"/>
                <w:szCs w:val="14"/>
                <w:color w:val="auto"/>
              </w:rPr>
            </w:pPr>
          </w:p>
        </w:tc>
        <w:tc>
          <w:tcPr>
            <w:tcW w:w="3700" w:type="dxa"/>
            <w:vAlign w:val="bottom"/>
            <w:tcBorders>
              <w:right w:val="single" w:sz="8" w:color="E2EDED"/>
            </w:tcBorders>
            <w:shd w:val="clear" w:color="auto" w:fill="F5EBCC"/>
          </w:tcPr>
          <w:p>
            <w:pPr>
              <w:spacing w:after="0"/>
              <w:rPr>
                <w:sz w:val="14"/>
                <w:szCs w:val="14"/>
                <w:color w:val="auto"/>
              </w:rPr>
            </w:pPr>
          </w:p>
        </w:tc>
        <w:tc>
          <w:tcPr>
            <w:tcW w:w="3580" w:type="dxa"/>
            <w:vAlign w:val="bottom"/>
            <w:shd w:val="clear" w:color="auto" w:fill="F5EBCC"/>
          </w:tcPr>
          <w:p>
            <w:pPr>
              <w:ind w:left="100"/>
              <w:spacing w:after="0"/>
              <w:rPr>
                <w:sz w:val="20"/>
                <w:szCs w:val="20"/>
                <w:color w:val="auto"/>
              </w:rPr>
            </w:pPr>
            <w:r>
              <w:rPr>
                <w:rFonts w:ascii="Arial" w:cs="Arial" w:eastAsia="Arial" w:hAnsi="Arial"/>
                <w:sz w:val="14"/>
                <w:szCs w:val="14"/>
                <w:color w:val="auto"/>
              </w:rPr>
              <w:t>January 1, 2021, through March 31, 2021</w:t>
            </w:r>
          </w:p>
        </w:tc>
        <w:tc>
          <w:tcPr>
            <w:tcW w:w="0" w:type="dxa"/>
            <w:vAlign w:val="bottom"/>
          </w:tcPr>
          <w:p>
            <w:pPr>
              <w:spacing w:after="0"/>
              <w:rPr>
                <w:sz w:val="1"/>
                <w:szCs w:val="1"/>
                <w:color w:val="auto"/>
              </w:rPr>
            </w:pPr>
          </w:p>
        </w:tc>
      </w:tr>
      <w:tr>
        <w:trPr>
          <w:trHeight w:val="243"/>
        </w:trPr>
        <w:tc>
          <w:tcPr>
            <w:tcW w:w="1440" w:type="dxa"/>
            <w:vAlign w:val="bottom"/>
            <w:tcBorders>
              <w:left w:val="single" w:sz="8" w:color="E2EDED"/>
              <w:right w:val="single" w:sz="8" w:color="E2EDED"/>
            </w:tcBorders>
            <w:shd w:val="clear" w:color="auto" w:fill="F5EBCC"/>
          </w:tcPr>
          <w:p>
            <w:pPr>
              <w:spacing w:after="0"/>
              <w:rPr>
                <w:sz w:val="21"/>
                <w:szCs w:val="21"/>
                <w:color w:val="auto"/>
              </w:rPr>
            </w:pPr>
          </w:p>
        </w:tc>
        <w:tc>
          <w:tcPr>
            <w:tcW w:w="660" w:type="dxa"/>
            <w:vAlign w:val="bottom"/>
            <w:tcBorders>
              <w:right w:val="single" w:sz="8" w:color="E2EDED"/>
            </w:tcBorders>
            <w:shd w:val="clear" w:color="auto" w:fill="F5EBCC"/>
          </w:tcPr>
          <w:p>
            <w:pPr>
              <w:spacing w:after="0"/>
              <w:rPr>
                <w:sz w:val="21"/>
                <w:szCs w:val="21"/>
                <w:color w:val="auto"/>
              </w:rPr>
            </w:pPr>
          </w:p>
        </w:tc>
        <w:tc>
          <w:tcPr>
            <w:tcW w:w="3700" w:type="dxa"/>
            <w:vAlign w:val="bottom"/>
            <w:tcBorders>
              <w:right w:val="single" w:sz="8" w:color="E2EDED"/>
            </w:tcBorders>
            <w:shd w:val="clear" w:color="auto" w:fill="F5EBCC"/>
          </w:tcPr>
          <w:p>
            <w:pPr>
              <w:spacing w:after="0"/>
              <w:rPr>
                <w:sz w:val="21"/>
                <w:szCs w:val="21"/>
                <w:color w:val="auto"/>
              </w:rPr>
            </w:pPr>
          </w:p>
        </w:tc>
        <w:tc>
          <w:tcPr>
            <w:tcW w:w="3580" w:type="dxa"/>
            <w:vAlign w:val="bottom"/>
            <w:shd w:val="clear" w:color="auto" w:fill="F5EBCC"/>
          </w:tcPr>
          <w:p>
            <w:pPr>
              <w:ind w:left="100"/>
              <w:spacing w:after="0"/>
              <w:rPr>
                <w:sz w:val="20"/>
                <w:szCs w:val="20"/>
                <w:color w:val="auto"/>
              </w:rPr>
            </w:pPr>
            <w:r>
              <w:rPr>
                <w:rFonts w:ascii="Arial" w:cs="Arial" w:eastAsia="Arial" w:hAnsi="Arial"/>
                <w:sz w:val="14"/>
                <w:szCs w:val="14"/>
                <w:color w:val="auto"/>
              </w:rPr>
              <w:t>Otherwise, base salary remained unchanged in 2021</w:t>
            </w:r>
          </w:p>
        </w:tc>
        <w:tc>
          <w:tcPr>
            <w:tcW w:w="0" w:type="dxa"/>
            <w:vAlign w:val="bottom"/>
          </w:tcPr>
          <w:p>
            <w:pPr>
              <w:spacing w:after="0"/>
              <w:rPr>
                <w:sz w:val="1"/>
                <w:szCs w:val="1"/>
                <w:color w:val="auto"/>
              </w:rPr>
            </w:pPr>
          </w:p>
        </w:tc>
      </w:tr>
      <w:tr>
        <w:trPr>
          <w:trHeight w:val="80"/>
        </w:trPr>
        <w:tc>
          <w:tcPr>
            <w:tcW w:w="1440" w:type="dxa"/>
            <w:vAlign w:val="bottom"/>
            <w:tcBorders>
              <w:left w:val="single" w:sz="8" w:color="E2EDED"/>
              <w:right w:val="single" w:sz="8" w:color="E2EDED"/>
            </w:tcBorders>
            <w:shd w:val="clear" w:color="auto" w:fill="F5EBCC"/>
          </w:tcPr>
          <w:p>
            <w:pPr>
              <w:spacing w:after="0"/>
              <w:rPr>
                <w:sz w:val="6"/>
                <w:szCs w:val="6"/>
                <w:color w:val="auto"/>
              </w:rPr>
            </w:pPr>
          </w:p>
        </w:tc>
        <w:tc>
          <w:tcPr>
            <w:tcW w:w="660" w:type="dxa"/>
            <w:vAlign w:val="bottom"/>
            <w:tcBorders>
              <w:right w:val="single" w:sz="8" w:color="E2EDED"/>
            </w:tcBorders>
            <w:shd w:val="clear" w:color="auto" w:fill="F5EBCC"/>
          </w:tcPr>
          <w:p>
            <w:pPr>
              <w:spacing w:after="0"/>
              <w:rPr>
                <w:sz w:val="6"/>
                <w:szCs w:val="6"/>
                <w:color w:val="auto"/>
              </w:rPr>
            </w:pPr>
          </w:p>
        </w:tc>
        <w:tc>
          <w:tcPr>
            <w:tcW w:w="3700" w:type="dxa"/>
            <w:vAlign w:val="bottom"/>
            <w:tcBorders>
              <w:right w:val="single" w:sz="8" w:color="E2EDED"/>
            </w:tcBorders>
            <w:shd w:val="clear" w:color="auto" w:fill="F5EBCC"/>
          </w:tcPr>
          <w:p>
            <w:pPr>
              <w:spacing w:after="0"/>
              <w:rPr>
                <w:sz w:val="6"/>
                <w:szCs w:val="6"/>
                <w:color w:val="auto"/>
              </w:rPr>
            </w:pPr>
          </w:p>
        </w:tc>
        <w:tc>
          <w:tcPr>
            <w:tcW w:w="3580" w:type="dxa"/>
            <w:vAlign w:val="bottom"/>
            <w:shd w:val="clear" w:color="auto" w:fill="F5EBCC"/>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E2EDED"/>
              <w:right w:val="single" w:sz="8" w:color="E2EDED"/>
            </w:tcBorders>
          </w:tcPr>
          <w:p>
            <w:pPr>
              <w:jc w:val="center"/>
              <w:ind w:left="132"/>
              <w:spacing w:after="0"/>
              <w:rPr>
                <w:sz w:val="20"/>
                <w:szCs w:val="20"/>
                <w:color w:val="auto"/>
              </w:rPr>
            </w:pPr>
            <w:r>
              <w:rPr>
                <w:rFonts w:ascii="Arial" w:cs="Arial" w:eastAsia="Arial" w:hAnsi="Arial"/>
                <w:sz w:val="14"/>
                <w:szCs w:val="14"/>
                <w:color w:val="auto"/>
                <w:w w:val="99"/>
              </w:rPr>
              <w:t>33%</w:t>
            </w:r>
          </w:p>
        </w:tc>
        <w:tc>
          <w:tcPr>
            <w:tcW w:w="660" w:type="dxa"/>
            <w:vAlign w:val="bottom"/>
            <w:tcBorders>
              <w:right w:val="single" w:sz="8" w:color="E2EDED"/>
            </w:tcBorders>
          </w:tcPr>
          <w:p>
            <w:pPr>
              <w:jc w:val="center"/>
              <w:ind w:left="113"/>
              <w:spacing w:after="0"/>
              <w:rPr>
                <w:sz w:val="20"/>
                <w:szCs w:val="20"/>
                <w:color w:val="auto"/>
              </w:rPr>
            </w:pPr>
            <w:r>
              <w:rPr>
                <w:rFonts w:ascii="Arial" w:cs="Arial" w:eastAsia="Arial" w:hAnsi="Arial"/>
                <w:sz w:val="14"/>
                <w:szCs w:val="14"/>
                <w:color w:val="auto"/>
                <w:w w:val="99"/>
              </w:rPr>
              <w:t>Yes</w:t>
            </w: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Utilize multiple metrics with pre-set goals</w:t>
            </w:r>
          </w:p>
        </w:tc>
        <w:tc>
          <w:tcPr>
            <w:tcW w:w="3580" w:type="dxa"/>
            <w:vAlign w:val="bottom"/>
          </w:tcPr>
          <w:p>
            <w:pPr>
              <w:ind w:left="100"/>
              <w:spacing w:after="0"/>
              <w:rPr>
                <w:sz w:val="20"/>
                <w:szCs w:val="20"/>
                <w:color w:val="auto"/>
              </w:rPr>
            </w:pPr>
            <w:r>
              <w:rPr>
                <w:rFonts w:ascii="Arial" w:cs="Arial" w:eastAsia="Arial" w:hAnsi="Arial"/>
                <w:sz w:val="14"/>
                <w:szCs w:val="14"/>
                <w:color w:val="auto"/>
              </w:rPr>
              <w:t>Payout based on pre-set robust Financial and</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vMerge w:val="restart"/>
          </w:tcPr>
          <w:p>
            <w:pPr>
              <w:ind w:left="100"/>
              <w:spacing w:after="0"/>
              <w:rPr>
                <w:sz w:val="20"/>
                <w:szCs w:val="20"/>
                <w:color w:val="auto"/>
              </w:rPr>
            </w:pPr>
            <w:r>
              <w:rPr>
                <w:rFonts w:ascii="Arial" w:cs="Arial" w:eastAsia="Arial" w:hAnsi="Arial"/>
                <w:sz w:val="14"/>
                <w:szCs w:val="14"/>
                <w:color w:val="auto"/>
              </w:rPr>
              <w:t>Incentivize executives, enforce accountability and</w:t>
            </w:r>
          </w:p>
        </w:tc>
        <w:tc>
          <w:tcPr>
            <w:tcW w:w="3580" w:type="dxa"/>
            <w:vAlign w:val="bottom"/>
          </w:tcPr>
          <w:p>
            <w:pPr>
              <w:ind w:left="100"/>
              <w:spacing w:after="0"/>
              <w:rPr>
                <w:sz w:val="20"/>
                <w:szCs w:val="20"/>
                <w:color w:val="auto"/>
              </w:rPr>
            </w:pPr>
            <w:r>
              <w:rPr>
                <w:rFonts w:ascii="Arial" w:cs="Arial" w:eastAsia="Arial" w:hAnsi="Arial"/>
                <w:sz w:val="14"/>
                <w:szCs w:val="14"/>
                <w:color w:val="auto"/>
              </w:rPr>
              <w:t>Operational objectives as discussed under “2021</w:t>
            </w:r>
          </w:p>
        </w:tc>
        <w:tc>
          <w:tcPr>
            <w:tcW w:w="0" w:type="dxa"/>
            <w:vAlign w:val="bottom"/>
          </w:tcPr>
          <w:p>
            <w:pPr>
              <w:spacing w:after="0"/>
              <w:rPr>
                <w:sz w:val="1"/>
                <w:szCs w:val="1"/>
                <w:color w:val="auto"/>
              </w:rPr>
            </w:pPr>
          </w:p>
        </w:tc>
      </w:tr>
      <w:tr>
        <w:trPr>
          <w:trHeight w:val="81"/>
        </w:trPr>
        <w:tc>
          <w:tcPr>
            <w:tcW w:w="1440" w:type="dxa"/>
            <w:vAlign w:val="bottom"/>
            <w:tcBorders>
              <w:left w:val="single" w:sz="8" w:color="E2EDED"/>
              <w:right w:val="single" w:sz="8" w:color="E2EDED"/>
            </w:tcBorders>
          </w:tcPr>
          <w:p>
            <w:pPr>
              <w:spacing w:after="0"/>
              <w:rPr>
                <w:sz w:val="7"/>
                <w:szCs w:val="7"/>
                <w:color w:val="auto"/>
              </w:rPr>
            </w:pPr>
          </w:p>
        </w:tc>
        <w:tc>
          <w:tcPr>
            <w:tcW w:w="660" w:type="dxa"/>
            <w:vAlign w:val="bottom"/>
            <w:tcBorders>
              <w:right w:val="single" w:sz="8" w:color="E2EDED"/>
            </w:tcBorders>
          </w:tcPr>
          <w:p>
            <w:pPr>
              <w:spacing w:after="0"/>
              <w:rPr>
                <w:sz w:val="7"/>
                <w:szCs w:val="7"/>
                <w:color w:val="auto"/>
              </w:rPr>
            </w:pPr>
          </w:p>
        </w:tc>
        <w:tc>
          <w:tcPr>
            <w:tcW w:w="3700" w:type="dxa"/>
            <w:vAlign w:val="bottom"/>
            <w:tcBorders>
              <w:right w:val="single" w:sz="8" w:color="E2EDED"/>
            </w:tcBorders>
            <w:vMerge w:val="continue"/>
          </w:tcPr>
          <w:p>
            <w:pPr>
              <w:spacing w:after="0"/>
              <w:rPr>
                <w:sz w:val="7"/>
                <w:szCs w:val="7"/>
                <w:color w:val="auto"/>
              </w:rPr>
            </w:pPr>
          </w:p>
        </w:tc>
        <w:tc>
          <w:tcPr>
            <w:tcW w:w="3580" w:type="dxa"/>
            <w:vAlign w:val="bottom"/>
            <w:vMerge w:val="restart"/>
          </w:tcPr>
          <w:p>
            <w:pPr>
              <w:ind w:left="100"/>
              <w:spacing w:after="0"/>
              <w:rPr>
                <w:sz w:val="20"/>
                <w:szCs w:val="20"/>
                <w:color w:val="auto"/>
              </w:rPr>
            </w:pPr>
            <w:r>
              <w:rPr>
                <w:rFonts w:ascii="Arial" w:cs="Arial" w:eastAsia="Arial" w:hAnsi="Arial"/>
                <w:sz w:val="14"/>
                <w:szCs w:val="14"/>
                <w:color w:val="auto"/>
              </w:rPr>
              <w:t>Compensation design &amp; decisions”</w:t>
            </w:r>
          </w:p>
        </w:tc>
        <w:tc>
          <w:tcPr>
            <w:tcW w:w="0" w:type="dxa"/>
            <w:vAlign w:val="bottom"/>
          </w:tcPr>
          <w:p>
            <w:pPr>
              <w:spacing w:after="0"/>
              <w:rPr>
                <w:sz w:val="1"/>
                <w:szCs w:val="1"/>
                <w:color w:val="auto"/>
              </w:rPr>
            </w:pPr>
          </w:p>
        </w:tc>
      </w:tr>
      <w:tr>
        <w:trPr>
          <w:trHeight w:val="91"/>
        </w:trPr>
        <w:tc>
          <w:tcPr>
            <w:tcW w:w="1440" w:type="dxa"/>
            <w:vAlign w:val="bottom"/>
            <w:tcBorders>
              <w:left w:val="single" w:sz="8" w:color="E2EDED"/>
              <w:right w:val="single" w:sz="8" w:color="E2EDED"/>
            </w:tcBorders>
          </w:tcPr>
          <w:p>
            <w:pPr>
              <w:spacing w:after="0"/>
              <w:rPr>
                <w:sz w:val="7"/>
                <w:szCs w:val="7"/>
                <w:color w:val="auto"/>
              </w:rPr>
            </w:pPr>
          </w:p>
        </w:tc>
        <w:tc>
          <w:tcPr>
            <w:tcW w:w="660" w:type="dxa"/>
            <w:vAlign w:val="bottom"/>
            <w:tcBorders>
              <w:right w:val="single" w:sz="8" w:color="E2EDED"/>
            </w:tcBorders>
          </w:tcPr>
          <w:p>
            <w:pPr>
              <w:spacing w:after="0"/>
              <w:rPr>
                <w:sz w:val="7"/>
                <w:szCs w:val="7"/>
                <w:color w:val="auto"/>
              </w:rPr>
            </w:pPr>
          </w:p>
        </w:tc>
        <w:tc>
          <w:tcPr>
            <w:tcW w:w="3700" w:type="dxa"/>
            <w:vAlign w:val="bottom"/>
            <w:tcBorders>
              <w:right w:val="single" w:sz="8" w:color="E2EDED"/>
            </w:tcBorders>
            <w:vMerge w:val="restart"/>
          </w:tcPr>
          <w:p>
            <w:pPr>
              <w:ind w:left="100"/>
              <w:spacing w:after="0"/>
              <w:rPr>
                <w:sz w:val="20"/>
                <w:szCs w:val="20"/>
                <w:color w:val="auto"/>
              </w:rPr>
            </w:pPr>
            <w:r>
              <w:rPr>
                <w:rFonts w:ascii="Arial" w:cs="Arial" w:eastAsia="Arial" w:hAnsi="Arial"/>
                <w:sz w:val="14"/>
                <w:szCs w:val="14"/>
                <w:color w:val="auto"/>
              </w:rPr>
              <w:t>motivate and reward achievement of annual goals</w:t>
            </w: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40" w:type="dxa"/>
            <w:vAlign w:val="bottom"/>
            <w:tcBorders>
              <w:left w:val="single" w:sz="8" w:color="E2EDED"/>
              <w:right w:val="single" w:sz="8" w:color="E2EDED"/>
            </w:tcBorders>
          </w:tcPr>
          <w:p>
            <w:pPr>
              <w:spacing w:after="0"/>
              <w:rPr>
                <w:sz w:val="7"/>
                <w:szCs w:val="7"/>
                <w:color w:val="auto"/>
              </w:rPr>
            </w:pPr>
          </w:p>
        </w:tc>
        <w:tc>
          <w:tcPr>
            <w:tcW w:w="660" w:type="dxa"/>
            <w:vAlign w:val="bottom"/>
            <w:tcBorders>
              <w:right w:val="single" w:sz="8" w:color="E2EDED"/>
            </w:tcBorders>
          </w:tcPr>
          <w:p>
            <w:pPr>
              <w:spacing w:after="0"/>
              <w:rPr>
                <w:sz w:val="7"/>
                <w:szCs w:val="7"/>
                <w:color w:val="auto"/>
              </w:rPr>
            </w:pPr>
          </w:p>
        </w:tc>
        <w:tc>
          <w:tcPr>
            <w:tcW w:w="3700" w:type="dxa"/>
            <w:vAlign w:val="bottom"/>
            <w:tcBorders>
              <w:right w:val="single" w:sz="8" w:color="E2EDED"/>
            </w:tcBorders>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40" w:type="dxa"/>
            <w:vAlign w:val="bottom"/>
            <w:tcBorders>
              <w:left w:val="single" w:sz="8" w:color="E2EDED"/>
              <w:right w:val="single" w:sz="8" w:color="E2EDED"/>
            </w:tcBorders>
          </w:tcPr>
          <w:p>
            <w:pPr>
              <w:spacing w:after="0"/>
              <w:rPr>
                <w:sz w:val="20"/>
                <w:szCs w:val="20"/>
                <w:color w:val="auto"/>
              </w:rPr>
            </w:pPr>
          </w:p>
        </w:tc>
        <w:tc>
          <w:tcPr>
            <w:tcW w:w="660" w:type="dxa"/>
            <w:vAlign w:val="bottom"/>
            <w:tcBorders>
              <w:right w:val="single" w:sz="8" w:color="E2EDED"/>
            </w:tcBorders>
          </w:tcPr>
          <w:p>
            <w:pPr>
              <w:spacing w:after="0"/>
              <w:rPr>
                <w:sz w:val="20"/>
                <w:szCs w:val="20"/>
                <w:color w:val="auto"/>
              </w:rPr>
            </w:pP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50% of annual incentive awards paid in stock and</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subject to NEO holding requirements, further aligning</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executive and long-term shareholder interests</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40" w:type="dxa"/>
            <w:vAlign w:val="bottom"/>
            <w:tcBorders>
              <w:left w:val="single" w:sz="8" w:color="E2EDED"/>
              <w:right w:val="single" w:sz="8" w:color="E2EDED"/>
            </w:tcBorders>
          </w:tcPr>
          <w:p>
            <w:pPr>
              <w:spacing w:after="0"/>
              <w:rPr>
                <w:sz w:val="6"/>
                <w:szCs w:val="6"/>
                <w:color w:val="auto"/>
              </w:rPr>
            </w:pPr>
          </w:p>
        </w:tc>
        <w:tc>
          <w:tcPr>
            <w:tcW w:w="660" w:type="dxa"/>
            <w:vAlign w:val="bottom"/>
            <w:tcBorders>
              <w:right w:val="single" w:sz="8" w:color="E2EDED"/>
            </w:tcBorders>
          </w:tcPr>
          <w:p>
            <w:pPr>
              <w:spacing w:after="0"/>
              <w:rPr>
                <w:sz w:val="6"/>
                <w:szCs w:val="6"/>
                <w:color w:val="auto"/>
              </w:rPr>
            </w:pPr>
          </w:p>
        </w:tc>
        <w:tc>
          <w:tcPr>
            <w:tcW w:w="3700" w:type="dxa"/>
            <w:vAlign w:val="bottom"/>
            <w:tcBorders>
              <w:right w:val="single" w:sz="8" w:color="E2EDED"/>
            </w:tcBorders>
          </w:tcPr>
          <w:p>
            <w:pPr>
              <w:spacing w:after="0"/>
              <w:rPr>
                <w:sz w:val="6"/>
                <w:szCs w:val="6"/>
                <w:color w:val="auto"/>
              </w:rPr>
            </w:pPr>
          </w:p>
        </w:tc>
        <w:tc>
          <w:tcPr>
            <w:tcW w:w="3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E2EDED"/>
              <w:right w:val="single" w:sz="8" w:color="E2EDED"/>
            </w:tcBorders>
            <w:shd w:val="clear" w:color="auto" w:fill="F5EBCC"/>
          </w:tcPr>
          <w:p>
            <w:pPr>
              <w:jc w:val="center"/>
              <w:ind w:left="132"/>
              <w:spacing w:after="0"/>
              <w:rPr>
                <w:sz w:val="20"/>
                <w:szCs w:val="20"/>
                <w:color w:val="auto"/>
              </w:rPr>
            </w:pPr>
            <w:r>
              <w:rPr>
                <w:rFonts w:ascii="Arial" w:cs="Arial" w:eastAsia="Arial" w:hAnsi="Arial"/>
                <w:sz w:val="14"/>
                <w:szCs w:val="14"/>
                <w:color w:val="auto"/>
                <w:w w:val="99"/>
              </w:rPr>
              <w:t>17%</w:t>
            </w:r>
          </w:p>
        </w:tc>
        <w:tc>
          <w:tcPr>
            <w:tcW w:w="660" w:type="dxa"/>
            <w:vAlign w:val="bottom"/>
            <w:tcBorders>
              <w:right w:val="single" w:sz="8" w:color="E2EDED"/>
            </w:tcBorders>
            <w:shd w:val="clear" w:color="auto" w:fill="F5EBCC"/>
          </w:tcPr>
          <w:p>
            <w:pPr>
              <w:jc w:val="center"/>
              <w:ind w:left="113"/>
              <w:spacing w:after="0"/>
              <w:rPr>
                <w:sz w:val="20"/>
                <w:szCs w:val="20"/>
                <w:color w:val="auto"/>
              </w:rPr>
            </w:pPr>
            <w:r>
              <w:rPr>
                <w:rFonts w:ascii="Arial" w:cs="Arial" w:eastAsia="Arial" w:hAnsi="Arial"/>
                <w:sz w:val="14"/>
                <w:szCs w:val="14"/>
                <w:color w:val="auto"/>
                <w:w w:val="99"/>
              </w:rPr>
              <w:t>Yes</w:t>
            </w:r>
          </w:p>
        </w:tc>
        <w:tc>
          <w:tcPr>
            <w:tcW w:w="3700" w:type="dxa"/>
            <w:vAlign w:val="bottom"/>
            <w:tcBorders>
              <w:right w:val="single" w:sz="8" w:color="E2EDED"/>
            </w:tcBorders>
            <w:shd w:val="clear" w:color="auto" w:fill="F5EBCC"/>
          </w:tcPr>
          <w:p>
            <w:pPr>
              <w:ind w:left="100"/>
              <w:spacing w:after="0"/>
              <w:rPr>
                <w:sz w:val="20"/>
                <w:szCs w:val="20"/>
                <w:color w:val="auto"/>
              </w:rPr>
            </w:pPr>
            <w:r>
              <w:rPr>
                <w:rFonts w:ascii="Arial" w:cs="Arial" w:eastAsia="Arial" w:hAnsi="Arial"/>
                <w:sz w:val="14"/>
                <w:szCs w:val="14"/>
                <w:color w:val="auto"/>
              </w:rPr>
              <w:t>Performance-based stock vests solely based on</w:t>
            </w:r>
          </w:p>
        </w:tc>
        <w:tc>
          <w:tcPr>
            <w:tcW w:w="3580" w:type="dxa"/>
            <w:vAlign w:val="bottom"/>
            <w:shd w:val="clear" w:color="auto" w:fill="F5EBCC"/>
          </w:tcPr>
          <w:p>
            <w:pPr>
              <w:ind w:left="100"/>
              <w:spacing w:after="0"/>
              <w:rPr>
                <w:sz w:val="20"/>
                <w:szCs w:val="20"/>
                <w:color w:val="auto"/>
              </w:rPr>
            </w:pPr>
            <w:r>
              <w:rPr>
                <w:rFonts w:ascii="Arial" w:cs="Arial" w:eastAsia="Arial" w:hAnsi="Arial"/>
                <w:sz w:val="14"/>
                <w:szCs w:val="14"/>
                <w:color w:val="auto"/>
              </w:rPr>
              <w:t>Performance-based restricted stock linked to the</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shd w:val="clear" w:color="auto" w:fill="F5EBCC"/>
          </w:tcPr>
          <w:p>
            <w:pPr>
              <w:spacing w:after="0"/>
              <w:rPr>
                <w:sz w:val="14"/>
                <w:szCs w:val="14"/>
                <w:color w:val="auto"/>
              </w:rPr>
            </w:pPr>
          </w:p>
        </w:tc>
        <w:tc>
          <w:tcPr>
            <w:tcW w:w="660" w:type="dxa"/>
            <w:vAlign w:val="bottom"/>
            <w:tcBorders>
              <w:right w:val="single" w:sz="8" w:color="E2EDED"/>
            </w:tcBorders>
            <w:shd w:val="clear" w:color="auto" w:fill="F5EBCC"/>
          </w:tcPr>
          <w:p>
            <w:pPr>
              <w:spacing w:after="0"/>
              <w:rPr>
                <w:sz w:val="14"/>
                <w:szCs w:val="14"/>
                <w:color w:val="auto"/>
              </w:rPr>
            </w:pPr>
          </w:p>
        </w:tc>
        <w:tc>
          <w:tcPr>
            <w:tcW w:w="3700" w:type="dxa"/>
            <w:vAlign w:val="bottom"/>
            <w:tcBorders>
              <w:right w:val="single" w:sz="8" w:color="E2EDED"/>
            </w:tcBorders>
            <w:shd w:val="clear" w:color="auto" w:fill="F5EBCC"/>
          </w:tcPr>
          <w:p>
            <w:pPr>
              <w:ind w:left="100"/>
              <w:spacing w:after="0"/>
              <w:rPr>
                <w:sz w:val="20"/>
                <w:szCs w:val="20"/>
                <w:color w:val="auto"/>
              </w:rPr>
            </w:pPr>
            <w:r>
              <w:rPr>
                <w:rFonts w:ascii="Arial" w:cs="Arial" w:eastAsia="Arial" w:hAnsi="Arial"/>
                <w:sz w:val="14"/>
                <w:szCs w:val="14"/>
                <w:color w:val="auto"/>
              </w:rPr>
              <w:t>company performance on preset goals over a three-</w:t>
            </w:r>
          </w:p>
        </w:tc>
        <w:tc>
          <w:tcPr>
            <w:tcW w:w="3580" w:type="dxa"/>
            <w:vAlign w:val="bottom"/>
            <w:shd w:val="clear" w:color="auto" w:fill="F5EBCC"/>
          </w:tcPr>
          <w:p>
            <w:pPr>
              <w:ind w:left="100"/>
              <w:spacing w:after="0"/>
              <w:rPr>
                <w:sz w:val="20"/>
                <w:szCs w:val="20"/>
                <w:color w:val="auto"/>
              </w:rPr>
            </w:pPr>
            <w:r>
              <w:rPr>
                <w:rFonts w:ascii="Arial" w:cs="Arial" w:eastAsia="Arial" w:hAnsi="Arial"/>
                <w:sz w:val="14"/>
                <w:szCs w:val="14"/>
                <w:color w:val="auto"/>
              </w:rPr>
              <w:t>achievement of “fair share” metrics</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shd w:val="clear" w:color="auto" w:fill="F5EBCC"/>
          </w:tcPr>
          <w:p>
            <w:pPr>
              <w:spacing w:after="0"/>
              <w:rPr>
                <w:sz w:val="14"/>
                <w:szCs w:val="14"/>
                <w:color w:val="auto"/>
              </w:rPr>
            </w:pPr>
          </w:p>
        </w:tc>
        <w:tc>
          <w:tcPr>
            <w:tcW w:w="660" w:type="dxa"/>
            <w:vAlign w:val="bottom"/>
            <w:tcBorders>
              <w:right w:val="single" w:sz="8" w:color="E2EDED"/>
            </w:tcBorders>
            <w:shd w:val="clear" w:color="auto" w:fill="F5EBCC"/>
          </w:tcPr>
          <w:p>
            <w:pPr>
              <w:spacing w:after="0"/>
              <w:rPr>
                <w:sz w:val="14"/>
                <w:szCs w:val="14"/>
                <w:color w:val="auto"/>
              </w:rPr>
            </w:pPr>
          </w:p>
        </w:tc>
        <w:tc>
          <w:tcPr>
            <w:tcW w:w="3700" w:type="dxa"/>
            <w:vAlign w:val="bottom"/>
            <w:tcBorders>
              <w:right w:val="single" w:sz="8" w:color="E2EDED"/>
            </w:tcBorders>
            <w:shd w:val="clear" w:color="auto" w:fill="F5EBCC"/>
          </w:tcPr>
          <w:p>
            <w:pPr>
              <w:ind w:left="100"/>
              <w:spacing w:after="0"/>
              <w:rPr>
                <w:sz w:val="20"/>
                <w:szCs w:val="20"/>
                <w:color w:val="auto"/>
              </w:rPr>
            </w:pPr>
            <w:r>
              <w:rPr>
                <w:rFonts w:ascii="Arial" w:cs="Arial" w:eastAsia="Arial" w:hAnsi="Arial"/>
                <w:sz w:val="14"/>
                <w:szCs w:val="14"/>
                <w:color w:val="auto"/>
              </w:rPr>
              <w:t>year performance period, linking the creation of</w:t>
            </w:r>
          </w:p>
        </w:tc>
        <w:tc>
          <w:tcPr>
            <w:tcW w:w="3580" w:type="dxa"/>
            <w:vAlign w:val="bottom"/>
            <w:shd w:val="clear" w:color="auto" w:fill="F5EBC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Borders>
              <w:left w:val="single" w:sz="8" w:color="E2EDED"/>
              <w:right w:val="single" w:sz="8" w:color="E2EDED"/>
            </w:tcBorders>
            <w:shd w:val="clear" w:color="auto" w:fill="F5EBCC"/>
          </w:tcPr>
          <w:p>
            <w:pPr>
              <w:spacing w:after="0"/>
              <w:rPr>
                <w:sz w:val="14"/>
                <w:szCs w:val="14"/>
                <w:color w:val="auto"/>
              </w:rPr>
            </w:pPr>
          </w:p>
        </w:tc>
        <w:tc>
          <w:tcPr>
            <w:tcW w:w="660" w:type="dxa"/>
            <w:vAlign w:val="bottom"/>
            <w:tcBorders>
              <w:right w:val="single" w:sz="8" w:color="E2EDED"/>
            </w:tcBorders>
            <w:shd w:val="clear" w:color="auto" w:fill="F5EBCC"/>
          </w:tcPr>
          <w:p>
            <w:pPr>
              <w:spacing w:after="0"/>
              <w:rPr>
                <w:sz w:val="14"/>
                <w:szCs w:val="14"/>
                <w:color w:val="auto"/>
              </w:rPr>
            </w:pPr>
          </w:p>
        </w:tc>
        <w:tc>
          <w:tcPr>
            <w:tcW w:w="3700" w:type="dxa"/>
            <w:vAlign w:val="bottom"/>
            <w:tcBorders>
              <w:right w:val="single" w:sz="8" w:color="E2EDED"/>
            </w:tcBorders>
            <w:shd w:val="clear" w:color="auto" w:fill="F5EBCC"/>
          </w:tcPr>
          <w:p>
            <w:pPr>
              <w:ind w:left="100"/>
              <w:spacing w:after="0"/>
              <w:rPr>
                <w:sz w:val="20"/>
                <w:szCs w:val="20"/>
                <w:color w:val="auto"/>
              </w:rPr>
            </w:pPr>
            <w:r>
              <w:rPr>
                <w:rFonts w:ascii="Arial" w:cs="Arial" w:eastAsia="Arial" w:hAnsi="Arial"/>
                <w:sz w:val="14"/>
                <w:szCs w:val="14"/>
                <w:color w:val="auto"/>
              </w:rPr>
              <w:t>shareholder value to incentives earned</w:t>
            </w:r>
          </w:p>
        </w:tc>
        <w:tc>
          <w:tcPr>
            <w:tcW w:w="3580" w:type="dxa"/>
            <w:vAlign w:val="bottom"/>
            <w:shd w:val="clear" w:color="auto" w:fill="F5EBCC"/>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440" w:type="dxa"/>
            <w:vAlign w:val="bottom"/>
            <w:tcBorders>
              <w:left w:val="single" w:sz="8" w:color="E2EDED"/>
              <w:right w:val="single" w:sz="8" w:color="E2EDED"/>
            </w:tcBorders>
            <w:shd w:val="clear" w:color="auto" w:fill="F5EBCC"/>
          </w:tcPr>
          <w:p>
            <w:pPr>
              <w:spacing w:after="0"/>
              <w:rPr>
                <w:sz w:val="8"/>
                <w:szCs w:val="8"/>
                <w:color w:val="auto"/>
              </w:rPr>
            </w:pPr>
          </w:p>
        </w:tc>
        <w:tc>
          <w:tcPr>
            <w:tcW w:w="660" w:type="dxa"/>
            <w:vAlign w:val="bottom"/>
            <w:tcBorders>
              <w:right w:val="single" w:sz="8" w:color="E2EDED"/>
            </w:tcBorders>
            <w:shd w:val="clear" w:color="auto" w:fill="F5EBCC"/>
          </w:tcPr>
          <w:p>
            <w:pPr>
              <w:spacing w:after="0"/>
              <w:rPr>
                <w:sz w:val="8"/>
                <w:szCs w:val="8"/>
                <w:color w:val="auto"/>
              </w:rPr>
            </w:pPr>
          </w:p>
        </w:tc>
        <w:tc>
          <w:tcPr>
            <w:tcW w:w="3700" w:type="dxa"/>
            <w:vAlign w:val="bottom"/>
            <w:tcBorders>
              <w:right w:val="single" w:sz="8" w:color="E2EDED"/>
            </w:tcBorders>
            <w:shd w:val="clear" w:color="auto" w:fill="F5EBCC"/>
          </w:tcPr>
          <w:p>
            <w:pPr>
              <w:spacing w:after="0"/>
              <w:rPr>
                <w:sz w:val="8"/>
                <w:szCs w:val="8"/>
                <w:color w:val="auto"/>
              </w:rPr>
            </w:pPr>
          </w:p>
        </w:tc>
        <w:tc>
          <w:tcPr>
            <w:tcW w:w="3580" w:type="dxa"/>
            <w:vAlign w:val="bottom"/>
            <w:shd w:val="clear" w:color="auto" w:fill="F5EBCC"/>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E2EDED"/>
              <w:right w:val="single" w:sz="8" w:color="E2EDED"/>
            </w:tcBorders>
          </w:tcPr>
          <w:p>
            <w:pPr>
              <w:jc w:val="center"/>
              <w:ind w:left="132"/>
              <w:spacing w:after="0"/>
              <w:rPr>
                <w:sz w:val="20"/>
                <w:szCs w:val="20"/>
                <w:color w:val="auto"/>
              </w:rPr>
            </w:pPr>
            <w:r>
              <w:rPr>
                <w:rFonts w:ascii="Arial" w:cs="Arial" w:eastAsia="Arial" w:hAnsi="Arial"/>
                <w:sz w:val="14"/>
                <w:szCs w:val="14"/>
                <w:color w:val="auto"/>
                <w:w w:val="99"/>
              </w:rPr>
              <w:t>36%</w:t>
            </w:r>
          </w:p>
        </w:tc>
        <w:tc>
          <w:tcPr>
            <w:tcW w:w="660" w:type="dxa"/>
            <w:vAlign w:val="bottom"/>
            <w:tcBorders>
              <w:right w:val="single" w:sz="8" w:color="E2EDED"/>
            </w:tcBorders>
          </w:tcPr>
          <w:p>
            <w:pPr>
              <w:jc w:val="center"/>
              <w:ind w:left="113"/>
              <w:spacing w:after="0"/>
              <w:rPr>
                <w:sz w:val="20"/>
                <w:szCs w:val="20"/>
                <w:color w:val="auto"/>
              </w:rPr>
            </w:pPr>
            <w:r>
              <w:rPr>
                <w:rFonts w:ascii="Arial" w:cs="Arial" w:eastAsia="Arial" w:hAnsi="Arial"/>
                <w:sz w:val="14"/>
                <w:szCs w:val="14"/>
                <w:color w:val="auto"/>
                <w:w w:val="99"/>
              </w:rPr>
              <w:t>Yes</w:t>
            </w: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Ensure focus on long-term value creation, align</w:t>
            </w:r>
          </w:p>
        </w:tc>
        <w:tc>
          <w:tcPr>
            <w:tcW w:w="3580" w:type="dxa"/>
            <w:vAlign w:val="bottom"/>
          </w:tcPr>
          <w:p>
            <w:pPr>
              <w:ind w:left="100"/>
              <w:spacing w:after="0"/>
              <w:rPr>
                <w:sz w:val="20"/>
                <w:szCs w:val="20"/>
                <w:color w:val="auto"/>
              </w:rPr>
            </w:pPr>
            <w:r>
              <w:rPr>
                <w:rFonts w:ascii="Arial" w:cs="Arial" w:eastAsia="Arial" w:hAnsi="Arial"/>
                <w:sz w:val="14"/>
                <w:szCs w:val="14"/>
                <w:color w:val="auto"/>
              </w:rPr>
              <w:t>Retention, alignment of interests with those of long-</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executive and long-term shareholder interests, and</w:t>
            </w:r>
          </w:p>
        </w:tc>
        <w:tc>
          <w:tcPr>
            <w:tcW w:w="3580" w:type="dxa"/>
            <w:vAlign w:val="bottom"/>
          </w:tcPr>
          <w:p>
            <w:pPr>
              <w:ind w:left="100"/>
              <w:spacing w:after="0"/>
              <w:rPr>
                <w:sz w:val="20"/>
                <w:szCs w:val="20"/>
                <w:color w:val="auto"/>
              </w:rPr>
            </w:pPr>
            <w:r>
              <w:rPr>
                <w:rFonts w:ascii="Arial" w:cs="Arial" w:eastAsia="Arial" w:hAnsi="Arial"/>
                <w:sz w:val="14"/>
                <w:szCs w:val="14"/>
                <w:color w:val="auto"/>
              </w:rPr>
              <w:t>term shareholders and includes a one-time grant for</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promote retention</w:t>
            </w:r>
          </w:p>
        </w:tc>
        <w:tc>
          <w:tcPr>
            <w:tcW w:w="3580" w:type="dxa"/>
            <w:vAlign w:val="bottom"/>
          </w:tcPr>
          <w:p>
            <w:pPr>
              <w:ind w:left="100"/>
              <w:spacing w:after="0"/>
              <w:rPr>
                <w:sz w:val="20"/>
                <w:szCs w:val="20"/>
                <w:color w:val="auto"/>
              </w:rPr>
            </w:pPr>
            <w:r>
              <w:rPr>
                <w:rFonts w:ascii="Arial" w:cs="Arial" w:eastAsia="Arial" w:hAnsi="Arial"/>
                <w:sz w:val="14"/>
                <w:szCs w:val="14"/>
                <w:color w:val="auto"/>
              </w:rPr>
              <w:t>Craig Billings in connection with the execution of an</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spacing w:after="0"/>
              <w:rPr>
                <w:sz w:val="14"/>
                <w:szCs w:val="14"/>
                <w:color w:val="auto"/>
              </w:rPr>
            </w:pPr>
          </w:p>
        </w:tc>
        <w:tc>
          <w:tcPr>
            <w:tcW w:w="3580" w:type="dxa"/>
            <w:vAlign w:val="bottom"/>
          </w:tcPr>
          <w:p>
            <w:pPr>
              <w:ind w:left="100"/>
              <w:spacing w:after="0"/>
              <w:rPr>
                <w:sz w:val="20"/>
                <w:szCs w:val="20"/>
                <w:color w:val="auto"/>
              </w:rPr>
            </w:pPr>
            <w:r>
              <w:rPr>
                <w:rFonts w:ascii="Arial" w:cs="Arial" w:eastAsia="Arial" w:hAnsi="Arial"/>
                <w:sz w:val="14"/>
                <w:szCs w:val="14"/>
                <w:color w:val="auto"/>
              </w:rPr>
              <w:t>employment contract amendment in relation to his</w:t>
            </w:r>
          </w:p>
        </w:tc>
        <w:tc>
          <w:tcPr>
            <w:tcW w:w="0" w:type="dxa"/>
            <w:vAlign w:val="bottom"/>
          </w:tcPr>
          <w:p>
            <w:pPr>
              <w:spacing w:after="0"/>
              <w:rPr>
                <w:sz w:val="1"/>
                <w:szCs w:val="1"/>
                <w:color w:val="auto"/>
              </w:rPr>
            </w:pPr>
          </w:p>
        </w:tc>
      </w:tr>
      <w:tr>
        <w:trPr>
          <w:trHeight w:val="16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spacing w:after="0"/>
              <w:rPr>
                <w:sz w:val="14"/>
                <w:szCs w:val="14"/>
                <w:color w:val="auto"/>
              </w:rPr>
            </w:pPr>
          </w:p>
        </w:tc>
        <w:tc>
          <w:tcPr>
            <w:tcW w:w="3580" w:type="dxa"/>
            <w:vAlign w:val="bottom"/>
          </w:tcPr>
          <w:p>
            <w:pPr>
              <w:ind w:left="100"/>
              <w:spacing w:after="0"/>
              <w:rPr>
                <w:sz w:val="20"/>
                <w:szCs w:val="20"/>
                <w:color w:val="auto"/>
              </w:rPr>
            </w:pPr>
            <w:r>
              <w:rPr>
                <w:rFonts w:ascii="Arial" w:cs="Arial" w:eastAsia="Arial" w:hAnsi="Arial"/>
                <w:sz w:val="14"/>
                <w:szCs w:val="14"/>
                <w:color w:val="auto"/>
              </w:rPr>
              <w:t>promotion to Chief Executive Officer effective</w:t>
            </w:r>
          </w:p>
        </w:tc>
        <w:tc>
          <w:tcPr>
            <w:tcW w:w="0" w:type="dxa"/>
            <w:vAlign w:val="bottom"/>
          </w:tcPr>
          <w:p>
            <w:pPr>
              <w:spacing w:after="0"/>
              <w:rPr>
                <w:sz w:val="1"/>
                <w:szCs w:val="1"/>
                <w:color w:val="auto"/>
              </w:rPr>
            </w:pPr>
          </w:p>
        </w:tc>
      </w:tr>
      <w:tr>
        <w:trPr>
          <w:trHeight w:val="172"/>
        </w:trPr>
        <w:tc>
          <w:tcPr>
            <w:tcW w:w="1440" w:type="dxa"/>
            <w:vAlign w:val="bottom"/>
            <w:tcBorders>
              <w:left w:val="single" w:sz="8" w:color="E2EDED"/>
              <w:right w:val="single" w:sz="8" w:color="E2EDED"/>
            </w:tcBorders>
          </w:tcPr>
          <w:p>
            <w:pPr>
              <w:spacing w:after="0"/>
              <w:rPr>
                <w:sz w:val="14"/>
                <w:szCs w:val="14"/>
                <w:color w:val="auto"/>
              </w:rPr>
            </w:pPr>
          </w:p>
        </w:tc>
        <w:tc>
          <w:tcPr>
            <w:tcW w:w="660" w:type="dxa"/>
            <w:vAlign w:val="bottom"/>
            <w:tcBorders>
              <w:right w:val="single" w:sz="8" w:color="E2EDED"/>
            </w:tcBorders>
          </w:tcPr>
          <w:p>
            <w:pPr>
              <w:spacing w:after="0"/>
              <w:rPr>
                <w:sz w:val="14"/>
                <w:szCs w:val="14"/>
                <w:color w:val="auto"/>
              </w:rPr>
            </w:pPr>
          </w:p>
        </w:tc>
        <w:tc>
          <w:tcPr>
            <w:tcW w:w="3700" w:type="dxa"/>
            <w:vAlign w:val="bottom"/>
            <w:tcBorders>
              <w:right w:val="single" w:sz="8" w:color="E2EDED"/>
            </w:tcBorders>
          </w:tcPr>
          <w:p>
            <w:pPr>
              <w:spacing w:after="0"/>
              <w:rPr>
                <w:sz w:val="14"/>
                <w:szCs w:val="14"/>
                <w:color w:val="auto"/>
              </w:rPr>
            </w:pPr>
          </w:p>
        </w:tc>
        <w:tc>
          <w:tcPr>
            <w:tcW w:w="3580" w:type="dxa"/>
            <w:vAlign w:val="bottom"/>
          </w:tcPr>
          <w:p>
            <w:pPr>
              <w:ind w:left="100"/>
              <w:spacing w:after="0"/>
              <w:rPr>
                <w:sz w:val="20"/>
                <w:szCs w:val="20"/>
                <w:color w:val="auto"/>
              </w:rPr>
            </w:pPr>
            <w:r>
              <w:rPr>
                <w:rFonts w:ascii="Arial" w:cs="Arial" w:eastAsia="Arial" w:hAnsi="Arial"/>
                <w:sz w:val="14"/>
                <w:szCs w:val="14"/>
                <w:color w:val="auto"/>
              </w:rPr>
              <w:t>February 1, 2022</w:t>
            </w:r>
          </w:p>
        </w:tc>
        <w:tc>
          <w:tcPr>
            <w:tcW w:w="0" w:type="dxa"/>
            <w:vAlign w:val="bottom"/>
          </w:tcPr>
          <w:p>
            <w:pPr>
              <w:spacing w:after="0"/>
              <w:rPr>
                <w:sz w:val="1"/>
                <w:szCs w:val="1"/>
                <w:color w:val="auto"/>
              </w:rPr>
            </w:pPr>
          </w:p>
        </w:tc>
      </w:tr>
      <w:tr>
        <w:trPr>
          <w:trHeight w:val="107"/>
        </w:trPr>
        <w:tc>
          <w:tcPr>
            <w:tcW w:w="1440" w:type="dxa"/>
            <w:vAlign w:val="bottom"/>
            <w:tcBorders>
              <w:left w:val="single" w:sz="8" w:color="E2EDED"/>
              <w:right w:val="single" w:sz="8" w:color="E2EDED"/>
            </w:tcBorders>
          </w:tcPr>
          <w:p>
            <w:pPr>
              <w:spacing w:after="0"/>
              <w:rPr>
                <w:sz w:val="9"/>
                <w:szCs w:val="9"/>
                <w:color w:val="auto"/>
              </w:rPr>
            </w:pPr>
          </w:p>
        </w:tc>
        <w:tc>
          <w:tcPr>
            <w:tcW w:w="660" w:type="dxa"/>
            <w:vAlign w:val="bottom"/>
            <w:tcBorders>
              <w:right w:val="single" w:sz="8" w:color="E2EDED"/>
            </w:tcBorders>
          </w:tcPr>
          <w:p>
            <w:pPr>
              <w:spacing w:after="0"/>
              <w:rPr>
                <w:sz w:val="9"/>
                <w:szCs w:val="9"/>
                <w:color w:val="auto"/>
              </w:rPr>
            </w:pPr>
          </w:p>
        </w:tc>
        <w:tc>
          <w:tcPr>
            <w:tcW w:w="3700" w:type="dxa"/>
            <w:vAlign w:val="bottom"/>
            <w:tcBorders>
              <w:right w:val="single" w:sz="8" w:color="E2EDED"/>
            </w:tcBorders>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580" w:space="180"/>
            <w:col w:w="9380"/>
          </w:cols>
          <w:pgMar w:left="320" w:top="459" w:right="43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E9B00"/>
        </w:rPr>
        <w:t>HOW OUR EXECUTIVE COMPENSATION PHILOSOPHY DRIVES CEO PAY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86360</wp:posOffset>
            </wp:positionV>
            <wp:extent cx="6797675" cy="2219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7675" cy="221996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40" w:type="dxa"/>
            <w:vAlign w:val="bottom"/>
            <w:vMerge w:val="restart"/>
          </w:tcPr>
          <w:p>
            <w:pPr>
              <w:jc w:val="center"/>
              <w:ind w:right="55"/>
              <w:spacing w:after="0"/>
              <w:rPr>
                <w:sz w:val="20"/>
                <w:szCs w:val="20"/>
                <w:color w:val="auto"/>
              </w:rPr>
            </w:pPr>
            <w:r>
              <w:rPr>
                <w:rFonts w:ascii="Arial" w:cs="Arial" w:eastAsia="Arial" w:hAnsi="Arial"/>
                <w:sz w:val="10"/>
                <w:szCs w:val="10"/>
                <w:b w:val="1"/>
                <w:bCs w:val="1"/>
                <w:color w:val="CE9B00"/>
                <w:w w:val="94"/>
              </w:rPr>
              <w:t>PAY FOR</w:t>
            </w:r>
          </w:p>
        </w:tc>
        <w:tc>
          <w:tcPr>
            <w:tcW w:w="1500" w:type="dxa"/>
            <w:vAlign w:val="bottom"/>
            <w:tcBorders>
              <w:right w:val="single" w:sz="8" w:color="A8BCBF"/>
            </w:tcBorders>
          </w:tcPr>
          <w:p>
            <w:pPr>
              <w:spacing w:after="0"/>
              <w:rPr>
                <w:sz w:val="14"/>
                <w:szCs w:val="14"/>
                <w:color w:val="auto"/>
              </w:rPr>
            </w:pPr>
          </w:p>
        </w:tc>
        <w:tc>
          <w:tcPr>
            <w:tcW w:w="1500" w:type="dxa"/>
            <w:vAlign w:val="bottom"/>
            <w:tcBorders>
              <w:right w:val="single" w:sz="8" w:color="A8BCBF"/>
            </w:tcBorders>
          </w:tcPr>
          <w:p>
            <w:pPr>
              <w:jc w:val="center"/>
              <w:ind w:right="37"/>
              <w:spacing w:after="0"/>
              <w:rPr>
                <w:sz w:val="20"/>
                <w:szCs w:val="20"/>
                <w:color w:val="auto"/>
              </w:rPr>
            </w:pPr>
            <w:r>
              <w:rPr>
                <w:rFonts w:ascii="Arial" w:cs="Arial" w:eastAsia="Arial" w:hAnsi="Arial"/>
                <w:sz w:val="10"/>
                <w:szCs w:val="10"/>
                <w:b w:val="1"/>
                <w:bCs w:val="1"/>
                <w:color w:val="CE9B00"/>
                <w:w w:val="98"/>
              </w:rPr>
              <w:t>FOCUS ON</w:t>
            </w:r>
          </w:p>
        </w:tc>
        <w:tc>
          <w:tcPr>
            <w:tcW w:w="1380" w:type="dxa"/>
            <w:vAlign w:val="bottom"/>
            <w:tcBorders>
              <w:right w:val="single" w:sz="8" w:color="A8BCBF"/>
            </w:tcBorders>
          </w:tcPr>
          <w:p>
            <w:pPr>
              <w:spacing w:after="0"/>
              <w:rPr>
                <w:sz w:val="14"/>
                <w:szCs w:val="14"/>
                <w:color w:val="auto"/>
              </w:rPr>
            </w:pPr>
          </w:p>
        </w:tc>
        <w:tc>
          <w:tcPr>
            <w:tcW w:w="1440" w:type="dxa"/>
            <w:vAlign w:val="bottom"/>
            <w:vMerge w:val="restart"/>
          </w:tcPr>
          <w:p>
            <w:pPr>
              <w:jc w:val="center"/>
              <w:ind w:right="35"/>
              <w:spacing w:after="0"/>
              <w:rPr>
                <w:sz w:val="20"/>
                <w:szCs w:val="20"/>
                <w:color w:val="auto"/>
              </w:rPr>
            </w:pPr>
            <w:r>
              <w:rPr>
                <w:rFonts w:ascii="Arial" w:cs="Arial" w:eastAsia="Arial" w:hAnsi="Arial"/>
                <w:sz w:val="10"/>
                <w:szCs w:val="10"/>
                <w:b w:val="1"/>
                <w:bCs w:val="1"/>
                <w:color w:val="CE9B00"/>
                <w:w w:val="97"/>
              </w:rPr>
              <w:t>ATTRACT AND</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50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CE9B00"/>
                <w:w w:val="98"/>
              </w:rPr>
              <w:t>SHAREHOLDER</w:t>
            </w:r>
          </w:p>
        </w:tc>
        <w:tc>
          <w:tcPr>
            <w:tcW w:w="150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CE9B00"/>
                <w:w w:val="97"/>
              </w:rPr>
              <w:t>COMPENSATION</w:t>
            </w:r>
          </w:p>
        </w:tc>
        <w:tc>
          <w:tcPr>
            <w:tcW w:w="1380" w:type="dxa"/>
            <w:vAlign w:val="bottom"/>
            <w:tcBorders>
              <w:right w:val="single" w:sz="8" w:color="A8BCBF"/>
            </w:tcBorders>
            <w:vMerge w:val="restart"/>
          </w:tcPr>
          <w:p>
            <w:pPr>
              <w:jc w:val="center"/>
              <w:ind w:right="12"/>
              <w:spacing w:after="0"/>
              <w:rPr>
                <w:sz w:val="20"/>
                <w:szCs w:val="20"/>
                <w:color w:val="auto"/>
              </w:rPr>
            </w:pPr>
            <w:r>
              <w:rPr>
                <w:rFonts w:ascii="Arial" w:cs="Arial" w:eastAsia="Arial" w:hAnsi="Arial"/>
                <w:sz w:val="10"/>
                <w:szCs w:val="10"/>
                <w:b w:val="1"/>
                <w:bCs w:val="1"/>
                <w:color w:val="CE9B00"/>
                <w:w w:val="96"/>
              </w:rPr>
              <w:t>SIMPLICITY</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340" w:type="dxa"/>
            <w:vAlign w:val="bottom"/>
            <w:vMerge w:val="restart"/>
          </w:tcPr>
          <w:p>
            <w:pPr>
              <w:jc w:val="center"/>
              <w:ind w:right="55"/>
              <w:spacing w:after="0"/>
              <w:rPr>
                <w:sz w:val="20"/>
                <w:szCs w:val="20"/>
                <w:color w:val="auto"/>
              </w:rPr>
            </w:pPr>
            <w:r>
              <w:rPr>
                <w:rFonts w:ascii="Arial" w:cs="Arial" w:eastAsia="Arial" w:hAnsi="Arial"/>
                <w:sz w:val="10"/>
                <w:szCs w:val="10"/>
                <w:b w:val="1"/>
                <w:bCs w:val="1"/>
                <w:color w:val="CE9B00"/>
                <w:w w:val="98"/>
              </w:rPr>
              <w:t>SUSTAINABLE</w:t>
            </w:r>
          </w:p>
        </w:tc>
        <w:tc>
          <w:tcPr>
            <w:tcW w:w="1500" w:type="dxa"/>
            <w:vAlign w:val="bottom"/>
            <w:tcBorders>
              <w:right w:val="single" w:sz="8" w:color="A8BCBF"/>
            </w:tcBorders>
            <w:vMerge w:val="continue"/>
          </w:tcPr>
          <w:p>
            <w:pPr>
              <w:spacing w:after="0"/>
              <w:rPr>
                <w:sz w:val="5"/>
                <w:szCs w:val="5"/>
                <w:color w:val="auto"/>
              </w:rPr>
            </w:pPr>
          </w:p>
        </w:tc>
        <w:tc>
          <w:tcPr>
            <w:tcW w:w="1500" w:type="dxa"/>
            <w:vAlign w:val="bottom"/>
            <w:tcBorders>
              <w:right w:val="single" w:sz="8" w:color="A8BCBF"/>
            </w:tcBorders>
            <w:vMerge w:val="continue"/>
          </w:tcPr>
          <w:p>
            <w:pPr>
              <w:spacing w:after="0"/>
              <w:rPr>
                <w:sz w:val="5"/>
                <w:szCs w:val="5"/>
                <w:color w:val="auto"/>
              </w:rPr>
            </w:pPr>
          </w:p>
        </w:tc>
        <w:tc>
          <w:tcPr>
            <w:tcW w:w="1380" w:type="dxa"/>
            <w:vAlign w:val="bottom"/>
            <w:tcBorders>
              <w:right w:val="single" w:sz="8" w:color="A8BCBF"/>
            </w:tcBorders>
            <w:vMerge w:val="continue"/>
          </w:tcPr>
          <w:p>
            <w:pPr>
              <w:spacing w:after="0"/>
              <w:rPr>
                <w:sz w:val="5"/>
                <w:szCs w:val="5"/>
                <w:color w:val="auto"/>
              </w:rPr>
            </w:pPr>
          </w:p>
        </w:tc>
        <w:tc>
          <w:tcPr>
            <w:tcW w:w="1440" w:type="dxa"/>
            <w:vAlign w:val="bottom"/>
            <w:vMerge w:val="restart"/>
          </w:tcPr>
          <w:p>
            <w:pPr>
              <w:jc w:val="center"/>
              <w:spacing w:after="0"/>
              <w:rPr>
                <w:sz w:val="20"/>
                <w:szCs w:val="20"/>
                <w:color w:val="auto"/>
              </w:rPr>
            </w:pPr>
            <w:r>
              <w:rPr>
                <w:rFonts w:ascii="Arial" w:cs="Arial" w:eastAsia="Arial" w:hAnsi="Arial"/>
                <w:sz w:val="10"/>
                <w:szCs w:val="10"/>
                <w:b w:val="1"/>
                <w:bCs w:val="1"/>
                <w:color w:val="CE9B00"/>
                <w:w w:val="95"/>
              </w:rPr>
              <w:t>RETAIN TOP</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50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CE9B00"/>
                <w:w w:val="97"/>
              </w:rPr>
              <w:t>ALIGNMENT</w:t>
            </w:r>
          </w:p>
        </w:tc>
        <w:tc>
          <w:tcPr>
            <w:tcW w:w="1500" w:type="dxa"/>
            <w:vAlign w:val="bottom"/>
            <w:tcBorders>
              <w:right w:val="single" w:sz="8" w:color="A8BCBF"/>
            </w:tcBorders>
            <w:vMerge w:val="restart"/>
          </w:tcPr>
          <w:p>
            <w:pPr>
              <w:ind w:left="420"/>
              <w:spacing w:after="0"/>
              <w:rPr>
                <w:sz w:val="20"/>
                <w:szCs w:val="20"/>
                <w:color w:val="auto"/>
              </w:rPr>
            </w:pPr>
            <w:r>
              <w:rPr>
                <w:rFonts w:ascii="Arial" w:cs="Arial" w:eastAsia="Arial" w:hAnsi="Arial"/>
                <w:sz w:val="10"/>
                <w:szCs w:val="10"/>
                <w:b w:val="1"/>
                <w:bCs w:val="1"/>
                <w:color w:val="CE9B00"/>
              </w:rPr>
              <w:t>TOTALS AND</w:t>
            </w:r>
          </w:p>
        </w:tc>
        <w:tc>
          <w:tcPr>
            <w:tcW w:w="1380" w:type="dxa"/>
            <w:vAlign w:val="bottom"/>
            <w:tcBorders>
              <w:right w:val="single" w:sz="8" w:color="A8BCBF"/>
            </w:tcBorders>
            <w:vMerge w:val="restart"/>
          </w:tcPr>
          <w:p>
            <w:pPr>
              <w:jc w:val="center"/>
              <w:ind w:right="12"/>
              <w:spacing w:after="0"/>
              <w:rPr>
                <w:sz w:val="20"/>
                <w:szCs w:val="20"/>
                <w:color w:val="auto"/>
              </w:rPr>
            </w:pPr>
            <w:r>
              <w:rPr>
                <w:rFonts w:ascii="Arial" w:cs="Arial" w:eastAsia="Arial" w:hAnsi="Arial"/>
                <w:sz w:val="10"/>
                <w:szCs w:val="10"/>
                <w:b w:val="1"/>
                <w:bCs w:val="1"/>
                <w:color w:val="CE9B00"/>
                <w:w w:val="97"/>
              </w:rPr>
              <w:t>AND CLARITY</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340" w:type="dxa"/>
            <w:vAlign w:val="bottom"/>
            <w:vMerge w:val="restart"/>
          </w:tcPr>
          <w:p>
            <w:pPr>
              <w:jc w:val="center"/>
              <w:ind w:right="55"/>
              <w:spacing w:after="0"/>
              <w:rPr>
                <w:sz w:val="20"/>
                <w:szCs w:val="20"/>
                <w:color w:val="auto"/>
              </w:rPr>
            </w:pPr>
            <w:r>
              <w:rPr>
                <w:rFonts w:ascii="Arial" w:cs="Arial" w:eastAsia="Arial" w:hAnsi="Arial"/>
                <w:sz w:val="10"/>
                <w:szCs w:val="10"/>
                <w:b w:val="1"/>
                <w:bCs w:val="1"/>
                <w:color w:val="CE9B00"/>
                <w:w w:val="99"/>
              </w:rPr>
              <w:t>PERFORMANCE</w:t>
            </w:r>
          </w:p>
        </w:tc>
        <w:tc>
          <w:tcPr>
            <w:tcW w:w="1500" w:type="dxa"/>
            <w:vAlign w:val="bottom"/>
            <w:tcBorders>
              <w:right w:val="single" w:sz="8" w:color="A8BCBF"/>
            </w:tcBorders>
            <w:vMerge w:val="continue"/>
          </w:tcPr>
          <w:p>
            <w:pPr>
              <w:spacing w:after="0"/>
              <w:rPr>
                <w:sz w:val="5"/>
                <w:szCs w:val="5"/>
                <w:color w:val="auto"/>
              </w:rPr>
            </w:pPr>
          </w:p>
        </w:tc>
        <w:tc>
          <w:tcPr>
            <w:tcW w:w="1500" w:type="dxa"/>
            <w:vAlign w:val="bottom"/>
            <w:tcBorders>
              <w:right w:val="single" w:sz="8" w:color="A8BCBF"/>
            </w:tcBorders>
            <w:vMerge w:val="continue"/>
          </w:tcPr>
          <w:p>
            <w:pPr>
              <w:spacing w:after="0"/>
              <w:rPr>
                <w:sz w:val="5"/>
                <w:szCs w:val="5"/>
                <w:color w:val="auto"/>
              </w:rPr>
            </w:pPr>
          </w:p>
        </w:tc>
        <w:tc>
          <w:tcPr>
            <w:tcW w:w="1380" w:type="dxa"/>
            <w:vAlign w:val="bottom"/>
            <w:tcBorders>
              <w:right w:val="single" w:sz="8" w:color="A8BCBF"/>
            </w:tcBorders>
            <w:vMerge w:val="continue"/>
          </w:tcPr>
          <w:p>
            <w:pPr>
              <w:spacing w:after="0"/>
              <w:rPr>
                <w:sz w:val="5"/>
                <w:szCs w:val="5"/>
                <w:color w:val="auto"/>
              </w:rPr>
            </w:pPr>
          </w:p>
        </w:tc>
        <w:tc>
          <w:tcPr>
            <w:tcW w:w="1440" w:type="dxa"/>
            <w:vAlign w:val="bottom"/>
            <w:vMerge w:val="restart"/>
          </w:tcPr>
          <w:p>
            <w:pPr>
              <w:jc w:val="center"/>
              <w:ind w:right="35"/>
              <w:spacing w:after="0"/>
              <w:rPr>
                <w:sz w:val="20"/>
                <w:szCs w:val="20"/>
                <w:color w:val="auto"/>
              </w:rPr>
            </w:pPr>
            <w:r>
              <w:rPr>
                <w:rFonts w:ascii="Arial" w:cs="Arial" w:eastAsia="Arial" w:hAnsi="Arial"/>
                <w:sz w:val="10"/>
                <w:szCs w:val="10"/>
                <w:b w:val="1"/>
                <w:bCs w:val="1"/>
                <w:color w:val="CE9B00"/>
                <w:w w:val="96"/>
              </w:rPr>
              <w:t>TALENT</w:t>
            </w:r>
          </w:p>
        </w:tc>
        <w:tc>
          <w:tcPr>
            <w:tcW w:w="0" w:type="dxa"/>
            <w:vAlign w:val="bottom"/>
          </w:tcPr>
          <w:p>
            <w:pPr>
              <w:spacing w:after="0"/>
              <w:rPr>
                <w:sz w:val="1"/>
                <w:szCs w:val="1"/>
                <w:color w:val="auto"/>
              </w:rPr>
            </w:pPr>
          </w:p>
        </w:tc>
      </w:tr>
      <w:tr>
        <w:trPr>
          <w:trHeight w:val="62"/>
        </w:trPr>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500" w:type="dxa"/>
            <w:vAlign w:val="bottom"/>
            <w:tcBorders>
              <w:right w:val="single" w:sz="8" w:color="A8BCBF"/>
            </w:tcBorders>
          </w:tcPr>
          <w:p>
            <w:pPr>
              <w:spacing w:after="0"/>
              <w:rPr>
                <w:sz w:val="5"/>
                <w:szCs w:val="5"/>
                <w:color w:val="auto"/>
              </w:rPr>
            </w:pPr>
          </w:p>
        </w:tc>
        <w:tc>
          <w:tcPr>
            <w:tcW w:w="1500" w:type="dxa"/>
            <w:vAlign w:val="bottom"/>
            <w:tcBorders>
              <w:right w:val="single" w:sz="8" w:color="A8BCBF"/>
            </w:tcBorders>
            <w:vMerge w:val="restart"/>
          </w:tcPr>
          <w:p>
            <w:pPr>
              <w:jc w:val="center"/>
              <w:ind w:right="37"/>
              <w:spacing w:after="0"/>
              <w:rPr>
                <w:sz w:val="20"/>
                <w:szCs w:val="20"/>
                <w:color w:val="auto"/>
              </w:rPr>
            </w:pPr>
            <w:r>
              <w:rPr>
                <w:rFonts w:ascii="Arial" w:cs="Arial" w:eastAsia="Arial" w:hAnsi="Arial"/>
                <w:sz w:val="10"/>
                <w:szCs w:val="10"/>
                <w:b w:val="1"/>
                <w:bCs w:val="1"/>
                <w:color w:val="CE9B00"/>
                <w:w w:val="98"/>
              </w:rPr>
              <w:t>PARITY</w:t>
            </w:r>
          </w:p>
        </w:tc>
        <w:tc>
          <w:tcPr>
            <w:tcW w:w="1380" w:type="dxa"/>
            <w:vAlign w:val="bottom"/>
            <w:tcBorders>
              <w:right w:val="single" w:sz="8" w:color="A8BCBF"/>
            </w:tcBorders>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00" w:type="dxa"/>
            <w:vAlign w:val="bottom"/>
            <w:tcBorders>
              <w:right w:val="single" w:sz="8" w:color="A8BCBF"/>
            </w:tcBorders>
          </w:tcPr>
          <w:p>
            <w:pPr>
              <w:spacing w:after="0"/>
              <w:rPr>
                <w:sz w:val="10"/>
                <w:szCs w:val="10"/>
                <w:color w:val="auto"/>
              </w:rPr>
            </w:pPr>
          </w:p>
        </w:tc>
        <w:tc>
          <w:tcPr>
            <w:tcW w:w="1500" w:type="dxa"/>
            <w:vAlign w:val="bottom"/>
            <w:tcBorders>
              <w:right w:val="single" w:sz="8" w:color="A8BCBF"/>
            </w:tcBorders>
            <w:vMerge w:val="continue"/>
          </w:tcPr>
          <w:p>
            <w:pPr>
              <w:spacing w:after="0"/>
              <w:rPr>
                <w:sz w:val="10"/>
                <w:szCs w:val="10"/>
                <w:color w:val="auto"/>
              </w:rPr>
            </w:pPr>
          </w:p>
        </w:tc>
        <w:tc>
          <w:tcPr>
            <w:tcW w:w="1380" w:type="dxa"/>
            <w:vAlign w:val="bottom"/>
            <w:tcBorders>
              <w:right w:val="single" w:sz="8" w:color="A8BCBF"/>
            </w:tcBorders>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00" w:type="dxa"/>
            <w:vAlign w:val="bottom"/>
            <w:shd w:val="clear" w:color="auto" w:fill="F5EBCC"/>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shd w:val="clear" w:color="auto" w:fill="F5EBCC"/>
          </w:tcPr>
          <w:p>
            <w:pPr>
              <w:ind w:left="360"/>
              <w:spacing w:after="0"/>
              <w:rPr>
                <w:sz w:val="20"/>
                <w:szCs w:val="20"/>
                <w:color w:val="auto"/>
              </w:rPr>
            </w:pPr>
            <w:r>
              <w:rPr>
                <w:rFonts w:ascii="Arial" w:cs="Arial" w:eastAsia="Arial" w:hAnsi="Arial"/>
                <w:sz w:val="16"/>
                <w:szCs w:val="16"/>
                <w:color w:val="auto"/>
              </w:rPr>
              <w:t>Benchmarking CEO at Median of Peer</w:t>
            </w:r>
          </w:p>
        </w:tc>
        <w:tc>
          <w:tcPr>
            <w:tcW w:w="1340" w:type="dxa"/>
            <w:vAlign w:val="bottom"/>
            <w:shd w:val="clear" w:color="auto" w:fill="F5EBCC"/>
          </w:tcPr>
          <w:p>
            <w:pPr>
              <w:spacing w:after="0"/>
              <w:rPr>
                <w:sz w:val="22"/>
                <w:szCs w:val="22"/>
                <w:color w:val="auto"/>
              </w:rPr>
            </w:pPr>
          </w:p>
        </w:tc>
        <w:tc>
          <w:tcPr>
            <w:tcW w:w="1500" w:type="dxa"/>
            <w:vAlign w:val="bottom"/>
            <w:tcBorders>
              <w:right w:val="single" w:sz="8" w:color="F5EBCC"/>
            </w:tcBorders>
            <w:vMerge w:val="restart"/>
            <w:shd w:val="clear" w:color="auto" w:fill="F5EBCC"/>
          </w:tcPr>
          <w:p>
            <w:pPr>
              <w:jc w:val="center"/>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F5EBCC"/>
            </w:tcBorders>
            <w:vMerge w:val="restart"/>
            <w:shd w:val="clear" w:color="auto" w:fill="F5EBCC"/>
          </w:tcPr>
          <w:p>
            <w:pPr>
              <w:jc w:val="center"/>
              <w:ind w:right="17"/>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F5EBCC"/>
            </w:tcBorders>
            <w:shd w:val="clear" w:color="auto" w:fill="F5EBCC"/>
          </w:tcPr>
          <w:p>
            <w:pPr>
              <w:spacing w:after="0"/>
              <w:rPr>
                <w:sz w:val="22"/>
                <w:szCs w:val="22"/>
                <w:color w:val="auto"/>
              </w:rPr>
            </w:pPr>
          </w:p>
        </w:tc>
        <w:tc>
          <w:tcPr>
            <w:tcW w:w="1440" w:type="dxa"/>
            <w:vAlign w:val="bottom"/>
            <w:vMerge w:val="restart"/>
            <w:shd w:val="clear" w:color="auto" w:fill="F5EBCC"/>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00" w:type="dxa"/>
            <w:vAlign w:val="bottom"/>
            <w:tcBorders>
              <w:bottom w:val="single" w:sz="8" w:color="F5EBCC"/>
            </w:tcBorders>
            <w:shd w:val="clear" w:color="auto" w:fill="F5EBCC"/>
          </w:tcPr>
          <w:p>
            <w:pPr>
              <w:spacing w:after="0"/>
              <w:rPr>
                <w:sz w:val="20"/>
                <w:szCs w:val="20"/>
                <w:color w:val="auto"/>
              </w:rPr>
            </w:pPr>
          </w:p>
        </w:tc>
        <w:tc>
          <w:tcPr>
            <w:tcW w:w="3560" w:type="dxa"/>
            <w:vAlign w:val="bottom"/>
            <w:tcBorders>
              <w:bottom w:val="single" w:sz="8" w:color="F5EBCC"/>
            </w:tcBorders>
            <w:shd w:val="clear" w:color="auto" w:fill="F5EBCC"/>
          </w:tcPr>
          <w:p>
            <w:pPr>
              <w:ind w:left="360"/>
              <w:spacing w:after="0"/>
              <w:rPr>
                <w:sz w:val="20"/>
                <w:szCs w:val="20"/>
                <w:color w:val="auto"/>
              </w:rPr>
            </w:pPr>
            <w:r>
              <w:rPr>
                <w:rFonts w:ascii="Arial" w:cs="Arial" w:eastAsia="Arial" w:hAnsi="Arial"/>
                <w:sz w:val="16"/>
                <w:szCs w:val="16"/>
                <w:color w:val="auto"/>
              </w:rPr>
              <w:t>Group</w:t>
            </w:r>
          </w:p>
        </w:tc>
        <w:tc>
          <w:tcPr>
            <w:tcW w:w="1340" w:type="dxa"/>
            <w:vAlign w:val="bottom"/>
            <w:tcBorders>
              <w:bottom w:val="single" w:sz="8" w:color="F5EBCC"/>
            </w:tcBorders>
            <w:shd w:val="clear" w:color="auto" w:fill="F5EBCC"/>
          </w:tcPr>
          <w:p>
            <w:pPr>
              <w:spacing w:after="0"/>
              <w:rPr>
                <w:sz w:val="20"/>
                <w:szCs w:val="20"/>
                <w:color w:val="auto"/>
              </w:rPr>
            </w:pPr>
          </w:p>
        </w:tc>
        <w:tc>
          <w:tcPr>
            <w:tcW w:w="1500" w:type="dxa"/>
            <w:vAlign w:val="bottom"/>
            <w:tcBorders>
              <w:bottom w:val="single" w:sz="8" w:color="F5EBCC"/>
              <w:right w:val="single" w:sz="8" w:color="F5EBCC"/>
            </w:tcBorders>
            <w:vMerge w:val="continue"/>
            <w:shd w:val="clear" w:color="auto" w:fill="F5EBCC"/>
          </w:tcPr>
          <w:p>
            <w:pPr>
              <w:spacing w:after="0"/>
              <w:rPr>
                <w:sz w:val="20"/>
                <w:szCs w:val="20"/>
                <w:color w:val="auto"/>
              </w:rPr>
            </w:pPr>
          </w:p>
        </w:tc>
        <w:tc>
          <w:tcPr>
            <w:tcW w:w="1500" w:type="dxa"/>
            <w:vAlign w:val="bottom"/>
            <w:tcBorders>
              <w:bottom w:val="single" w:sz="8" w:color="F5EBCC"/>
              <w:right w:val="single" w:sz="8" w:color="F5EBCC"/>
            </w:tcBorders>
            <w:vMerge w:val="continue"/>
            <w:shd w:val="clear" w:color="auto" w:fill="F5EBCC"/>
          </w:tcPr>
          <w:p>
            <w:pPr>
              <w:spacing w:after="0"/>
              <w:rPr>
                <w:sz w:val="20"/>
                <w:szCs w:val="20"/>
                <w:color w:val="auto"/>
              </w:rPr>
            </w:pPr>
          </w:p>
        </w:tc>
        <w:tc>
          <w:tcPr>
            <w:tcW w:w="1380" w:type="dxa"/>
            <w:vAlign w:val="bottom"/>
            <w:tcBorders>
              <w:bottom w:val="single" w:sz="8" w:color="F5EBCC"/>
              <w:right w:val="single" w:sz="8" w:color="F5EBCC"/>
            </w:tcBorders>
            <w:shd w:val="clear" w:color="auto" w:fill="F5EBCC"/>
          </w:tcPr>
          <w:p>
            <w:pPr>
              <w:spacing w:after="0"/>
              <w:rPr>
                <w:sz w:val="20"/>
                <w:szCs w:val="20"/>
                <w:color w:val="auto"/>
              </w:rPr>
            </w:pPr>
          </w:p>
        </w:tc>
        <w:tc>
          <w:tcPr>
            <w:tcW w:w="1440" w:type="dxa"/>
            <w:vAlign w:val="bottom"/>
            <w:tcBorders>
              <w:bottom w:val="single" w:sz="8" w:color="F5EBCC"/>
            </w:tcBorders>
            <w:vMerge w:val="continue"/>
            <w:shd w:val="clear" w:color="auto" w:fill="F5EBCC"/>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360"/>
              <w:spacing w:after="0"/>
              <w:rPr>
                <w:sz w:val="20"/>
                <w:szCs w:val="20"/>
                <w:color w:val="auto"/>
              </w:rPr>
            </w:pPr>
            <w:r>
              <w:rPr>
                <w:rFonts w:ascii="Arial" w:cs="Arial" w:eastAsia="Arial" w:hAnsi="Arial"/>
                <w:sz w:val="16"/>
                <w:szCs w:val="16"/>
                <w:color w:val="auto"/>
              </w:rPr>
              <w:t>86% of total direct NEO compensation is</w:t>
            </w:r>
          </w:p>
        </w:tc>
        <w:tc>
          <w:tcPr>
            <w:tcW w:w="1340" w:type="dxa"/>
            <w:vAlign w:val="bottom"/>
            <w:vMerge w:val="restart"/>
          </w:tcPr>
          <w:p>
            <w:pPr>
              <w:jc w:val="center"/>
              <w:ind w:right="55"/>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22"/>
                <w:szCs w:val="22"/>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560" w:type="dxa"/>
            <w:vAlign w:val="bottom"/>
          </w:tcPr>
          <w:p>
            <w:pPr>
              <w:ind w:left="360"/>
              <w:spacing w:after="0"/>
              <w:rPr>
                <w:sz w:val="20"/>
                <w:szCs w:val="20"/>
                <w:color w:val="auto"/>
              </w:rPr>
            </w:pPr>
            <w:r>
              <w:rPr>
                <w:rFonts w:ascii="Arial" w:cs="Arial" w:eastAsia="Arial" w:hAnsi="Arial"/>
                <w:sz w:val="16"/>
                <w:szCs w:val="16"/>
                <w:color w:val="auto"/>
              </w:rPr>
              <w:t>at-risk (1)</w:t>
            </w:r>
          </w:p>
        </w:tc>
        <w:tc>
          <w:tcPr>
            <w:tcW w:w="13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0" w:type="dxa"/>
            <w:vAlign w:val="bottom"/>
            <w:shd w:val="clear" w:color="auto" w:fill="F5EBCC"/>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shd w:val="clear" w:color="auto" w:fill="F5EBCC"/>
          </w:tcPr>
          <w:p>
            <w:pPr>
              <w:ind w:left="360"/>
              <w:spacing w:after="0"/>
              <w:rPr>
                <w:sz w:val="20"/>
                <w:szCs w:val="20"/>
                <w:color w:val="auto"/>
              </w:rPr>
            </w:pPr>
            <w:r>
              <w:rPr>
                <w:rFonts w:ascii="Arial" w:cs="Arial" w:eastAsia="Arial" w:hAnsi="Arial"/>
                <w:sz w:val="16"/>
                <w:szCs w:val="16"/>
                <w:color w:val="auto"/>
              </w:rPr>
              <w:t>Annual incentives are 100% performance</w:t>
            </w:r>
          </w:p>
        </w:tc>
        <w:tc>
          <w:tcPr>
            <w:tcW w:w="1340" w:type="dxa"/>
            <w:vAlign w:val="bottom"/>
            <w:vMerge w:val="restart"/>
            <w:shd w:val="clear" w:color="auto" w:fill="F5EBCC"/>
          </w:tcPr>
          <w:p>
            <w:pPr>
              <w:jc w:val="center"/>
              <w:ind w:right="55"/>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F5EBCC"/>
            </w:tcBorders>
            <w:vMerge w:val="restart"/>
            <w:shd w:val="clear" w:color="auto" w:fill="F5EBCC"/>
          </w:tcPr>
          <w:p>
            <w:pPr>
              <w:jc w:val="center"/>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F5EBCC"/>
            </w:tcBorders>
            <w:vMerge w:val="restart"/>
            <w:shd w:val="clear" w:color="auto" w:fill="F5EBCC"/>
          </w:tcPr>
          <w:p>
            <w:pPr>
              <w:jc w:val="center"/>
              <w:ind w:right="17"/>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F5EBCC"/>
            </w:tcBorders>
            <w:vMerge w:val="restart"/>
            <w:shd w:val="clear" w:color="auto" w:fill="F5EBCC"/>
          </w:tcPr>
          <w:p>
            <w:pPr>
              <w:jc w:val="center"/>
              <w:spacing w:after="0"/>
              <w:rPr>
                <w:sz w:val="20"/>
                <w:szCs w:val="20"/>
                <w:color w:val="auto"/>
              </w:rPr>
            </w:pPr>
            <w:r>
              <w:rPr>
                <w:rFonts w:ascii="Arial" w:cs="Arial" w:eastAsia="Arial" w:hAnsi="Arial"/>
                <w:sz w:val="16"/>
                <w:szCs w:val="16"/>
                <w:color w:val="auto"/>
                <w:w w:val="82"/>
              </w:rPr>
              <w:t>●</w:t>
            </w:r>
          </w:p>
        </w:tc>
        <w:tc>
          <w:tcPr>
            <w:tcW w:w="1440" w:type="dxa"/>
            <w:vAlign w:val="bottom"/>
            <w:vMerge w:val="restart"/>
            <w:shd w:val="clear" w:color="auto" w:fill="F5EBCC"/>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00" w:type="dxa"/>
            <w:vAlign w:val="bottom"/>
            <w:tcBorders>
              <w:bottom w:val="single" w:sz="8" w:color="F5EBCC"/>
            </w:tcBorders>
            <w:shd w:val="clear" w:color="auto" w:fill="F5EBCC"/>
          </w:tcPr>
          <w:p>
            <w:pPr>
              <w:spacing w:after="0"/>
              <w:rPr>
                <w:sz w:val="20"/>
                <w:szCs w:val="20"/>
                <w:color w:val="auto"/>
              </w:rPr>
            </w:pPr>
          </w:p>
        </w:tc>
        <w:tc>
          <w:tcPr>
            <w:tcW w:w="3560" w:type="dxa"/>
            <w:vAlign w:val="bottom"/>
            <w:tcBorders>
              <w:bottom w:val="single" w:sz="8" w:color="F5EBCC"/>
            </w:tcBorders>
            <w:shd w:val="clear" w:color="auto" w:fill="F5EBCC"/>
          </w:tcPr>
          <w:p>
            <w:pPr>
              <w:ind w:left="360"/>
              <w:spacing w:after="0"/>
              <w:rPr>
                <w:sz w:val="20"/>
                <w:szCs w:val="20"/>
                <w:color w:val="auto"/>
              </w:rPr>
            </w:pPr>
            <w:r>
              <w:rPr>
                <w:rFonts w:ascii="Arial" w:cs="Arial" w:eastAsia="Arial" w:hAnsi="Arial"/>
                <w:sz w:val="16"/>
                <w:szCs w:val="16"/>
                <w:color w:val="auto"/>
              </w:rPr>
              <w:t>based</w:t>
            </w:r>
          </w:p>
        </w:tc>
        <w:tc>
          <w:tcPr>
            <w:tcW w:w="1340" w:type="dxa"/>
            <w:vAlign w:val="bottom"/>
            <w:tcBorders>
              <w:bottom w:val="single" w:sz="8" w:color="F5EBCC"/>
            </w:tcBorders>
            <w:vMerge w:val="continue"/>
            <w:shd w:val="clear" w:color="auto" w:fill="F5EBCC"/>
          </w:tcPr>
          <w:p>
            <w:pPr>
              <w:spacing w:after="0"/>
              <w:rPr>
                <w:sz w:val="20"/>
                <w:szCs w:val="20"/>
                <w:color w:val="auto"/>
              </w:rPr>
            </w:pPr>
          </w:p>
        </w:tc>
        <w:tc>
          <w:tcPr>
            <w:tcW w:w="1500" w:type="dxa"/>
            <w:vAlign w:val="bottom"/>
            <w:tcBorders>
              <w:bottom w:val="single" w:sz="8" w:color="F5EBCC"/>
              <w:right w:val="single" w:sz="8" w:color="F5EBCC"/>
            </w:tcBorders>
            <w:vMerge w:val="continue"/>
            <w:shd w:val="clear" w:color="auto" w:fill="F5EBCC"/>
          </w:tcPr>
          <w:p>
            <w:pPr>
              <w:spacing w:after="0"/>
              <w:rPr>
                <w:sz w:val="20"/>
                <w:szCs w:val="20"/>
                <w:color w:val="auto"/>
              </w:rPr>
            </w:pPr>
          </w:p>
        </w:tc>
        <w:tc>
          <w:tcPr>
            <w:tcW w:w="1500" w:type="dxa"/>
            <w:vAlign w:val="bottom"/>
            <w:tcBorders>
              <w:bottom w:val="single" w:sz="8" w:color="F5EBCC"/>
              <w:right w:val="single" w:sz="8" w:color="F5EBCC"/>
            </w:tcBorders>
            <w:vMerge w:val="continue"/>
            <w:shd w:val="clear" w:color="auto" w:fill="F5EBCC"/>
          </w:tcPr>
          <w:p>
            <w:pPr>
              <w:spacing w:after="0"/>
              <w:rPr>
                <w:sz w:val="20"/>
                <w:szCs w:val="20"/>
                <w:color w:val="auto"/>
              </w:rPr>
            </w:pPr>
          </w:p>
        </w:tc>
        <w:tc>
          <w:tcPr>
            <w:tcW w:w="1380" w:type="dxa"/>
            <w:vAlign w:val="bottom"/>
            <w:tcBorders>
              <w:bottom w:val="single" w:sz="8" w:color="F5EBCC"/>
              <w:right w:val="single" w:sz="8" w:color="F5EBCC"/>
            </w:tcBorders>
            <w:vMerge w:val="continue"/>
            <w:shd w:val="clear" w:color="auto" w:fill="F5EBCC"/>
          </w:tcPr>
          <w:p>
            <w:pPr>
              <w:spacing w:after="0"/>
              <w:rPr>
                <w:sz w:val="20"/>
                <w:szCs w:val="20"/>
                <w:color w:val="auto"/>
              </w:rPr>
            </w:pPr>
          </w:p>
        </w:tc>
        <w:tc>
          <w:tcPr>
            <w:tcW w:w="1440" w:type="dxa"/>
            <w:vAlign w:val="bottom"/>
            <w:tcBorders>
              <w:bottom w:val="single" w:sz="8" w:color="F5EBCC"/>
            </w:tcBorders>
            <w:vMerge w:val="continue"/>
            <w:shd w:val="clear" w:color="auto" w:fill="F5EBCC"/>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360"/>
              <w:spacing w:after="0"/>
              <w:rPr>
                <w:sz w:val="20"/>
                <w:szCs w:val="20"/>
                <w:color w:val="auto"/>
              </w:rPr>
            </w:pPr>
            <w:r>
              <w:rPr>
                <w:rFonts w:ascii="Arial" w:cs="Arial" w:eastAsia="Arial" w:hAnsi="Arial"/>
                <w:sz w:val="16"/>
                <w:szCs w:val="16"/>
                <w:color w:val="auto"/>
              </w:rPr>
              <w:t>Performance-based stock units comprise</w:t>
            </w:r>
          </w:p>
        </w:tc>
        <w:tc>
          <w:tcPr>
            <w:tcW w:w="1340" w:type="dxa"/>
            <w:vAlign w:val="bottom"/>
            <w:vMerge w:val="restart"/>
          </w:tcPr>
          <w:p>
            <w:pPr>
              <w:jc w:val="center"/>
              <w:ind w:right="55"/>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center"/>
              <w:ind w:right="17"/>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2"/>
              </w:rPr>
              <w:t>●</w:t>
            </w:r>
          </w:p>
        </w:tc>
        <w:tc>
          <w:tcPr>
            <w:tcW w:w="1440" w:type="dxa"/>
            <w:vAlign w:val="bottom"/>
            <w:vMerge w:val="restart"/>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560" w:type="dxa"/>
            <w:vAlign w:val="bottom"/>
          </w:tcPr>
          <w:p>
            <w:pPr>
              <w:ind w:left="360"/>
              <w:spacing w:after="0"/>
              <w:rPr>
                <w:sz w:val="20"/>
                <w:szCs w:val="20"/>
                <w:color w:val="auto"/>
              </w:rPr>
            </w:pPr>
            <w:r>
              <w:rPr>
                <w:rFonts w:ascii="Arial" w:cs="Arial" w:eastAsia="Arial" w:hAnsi="Arial"/>
                <w:sz w:val="16"/>
                <w:szCs w:val="16"/>
                <w:color w:val="auto"/>
              </w:rPr>
              <w:t>majority of long-term incentives (2)</w:t>
            </w:r>
          </w:p>
        </w:tc>
        <w:tc>
          <w:tcPr>
            <w:tcW w:w="13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196850" cy="325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325755"/>
                    </a:xfrm>
                    <a:prstGeom prst="rect">
                      <a:avLst/>
                    </a:prstGeom>
                    <a:noFill/>
                  </pic:spPr>
                </pic:pic>
              </a:graphicData>
            </a:graphic>
          </wp:anchor>
        </w:drawing>
      </w:r>
    </w:p>
    <w:p>
      <w:pPr>
        <w:spacing w:after="0" w:line="103" w:lineRule="exact"/>
        <w:rPr>
          <w:sz w:val="20"/>
          <w:szCs w:val="20"/>
          <w:color w:val="auto"/>
        </w:rPr>
      </w:pPr>
    </w:p>
    <w:p>
      <w:pPr>
        <w:ind w:left="780" w:hanging="592"/>
        <w:spacing w:after="0"/>
        <w:tabs>
          <w:tab w:leader="none" w:pos="780"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Annual incentives subject to negative</w:t>
      </w:r>
    </w:p>
    <w:tbl>
      <w:tblPr>
        <w:tblLayout w:type="fixed"/>
        <w:tblInd w:w="180" w:type="dxa"/>
        <w:tblCellMar>
          <w:top w:w="0" w:type="dxa"/>
          <w:left w:w="0" w:type="dxa"/>
          <w:bottom w:w="0" w:type="dxa"/>
          <w:right w:w="0" w:type="dxa"/>
        </w:tblCellMar>
      </w:tblPr>
      <w:tr>
        <w:trPr>
          <w:trHeight w:val="206"/>
        </w:trPr>
        <w:tc>
          <w:tcPr>
            <w:tcW w:w="380" w:type="dxa"/>
            <w:vAlign w:val="bottom"/>
          </w:tcPr>
          <w:p>
            <w:pPr>
              <w:spacing w:after="0"/>
              <w:rPr>
                <w:sz w:val="17"/>
                <w:szCs w:val="17"/>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Board discretion</w:t>
            </w:r>
          </w:p>
        </w:tc>
        <w:tc>
          <w:tcPr>
            <w:tcW w:w="1180" w:type="dxa"/>
            <w:vAlign w:val="bottom"/>
          </w:tcPr>
          <w:p>
            <w:pPr>
              <w:ind w:left="400"/>
              <w:spacing w:after="0"/>
              <w:rPr>
                <w:sz w:val="20"/>
                <w:szCs w:val="20"/>
                <w:color w:val="auto"/>
              </w:rPr>
            </w:pPr>
            <w:r>
              <w:rPr>
                <w:rFonts w:ascii="Arial" w:cs="Arial" w:eastAsia="Arial" w:hAnsi="Arial"/>
                <w:sz w:val="16"/>
                <w:szCs w:val="16"/>
                <w:color w:val="auto"/>
              </w:rPr>
              <w:t>●</w:t>
            </w:r>
          </w:p>
        </w:tc>
        <w:tc>
          <w:tcPr>
            <w:tcW w:w="2200" w:type="dxa"/>
            <w:vAlign w:val="bottom"/>
          </w:tcPr>
          <w:p>
            <w:pPr>
              <w:ind w:left="680"/>
              <w:spacing w:after="0"/>
              <w:rPr>
                <w:sz w:val="20"/>
                <w:szCs w:val="20"/>
                <w:color w:val="auto"/>
              </w:rPr>
            </w:pPr>
            <w:r>
              <w:rPr>
                <w:rFonts w:ascii="Arial" w:cs="Arial" w:eastAsia="Arial" w:hAnsi="Arial"/>
                <w:sz w:val="16"/>
                <w:szCs w:val="16"/>
                <w:color w:val="auto"/>
              </w:rPr>
              <w:t>●</w:t>
            </w:r>
          </w:p>
        </w:tc>
        <w:tc>
          <w:tcPr>
            <w:tcW w:w="2160" w:type="dxa"/>
            <w:vAlign w:val="bottom"/>
          </w:tcPr>
          <w:p>
            <w:pPr>
              <w:ind w:left="14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r>
      <w:tr>
        <w:trPr>
          <w:trHeight w:val="341"/>
        </w:trPr>
        <w:tc>
          <w:tcPr>
            <w:tcW w:w="3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220"/>
              <w:spacing w:after="0"/>
              <w:rPr>
                <w:sz w:val="20"/>
                <w:szCs w:val="20"/>
                <w:color w:val="auto"/>
              </w:rPr>
            </w:pPr>
            <w:r>
              <w:rPr>
                <w:rFonts w:ascii="Arial" w:cs="Arial" w:eastAsia="Arial" w:hAnsi="Arial"/>
                <w:sz w:val="16"/>
                <w:szCs w:val="16"/>
                <w:color w:val="auto"/>
              </w:rPr>
              <w:t>Stock Ownership Guidelines for all NEOs</w:t>
            </w:r>
          </w:p>
        </w:tc>
        <w:tc>
          <w:tcPr>
            <w:tcW w:w="1180" w:type="dxa"/>
            <w:vAlign w:val="bottom"/>
          </w:tcPr>
          <w:p>
            <w:pPr>
              <w:spacing w:after="0"/>
              <w:rPr>
                <w:sz w:val="24"/>
                <w:szCs w:val="24"/>
                <w:color w:val="auto"/>
              </w:rPr>
            </w:pPr>
          </w:p>
        </w:tc>
        <w:tc>
          <w:tcPr>
            <w:tcW w:w="2200" w:type="dxa"/>
            <w:vAlign w:val="bottom"/>
          </w:tcPr>
          <w:p>
            <w:pPr>
              <w:ind w:left="680"/>
              <w:spacing w:after="0"/>
              <w:rPr>
                <w:sz w:val="20"/>
                <w:szCs w:val="20"/>
                <w:color w:val="auto"/>
              </w:rPr>
            </w:pPr>
            <w:r>
              <w:rPr>
                <w:rFonts w:ascii="Arial" w:cs="Arial" w:eastAsia="Arial" w:hAnsi="Arial"/>
                <w:sz w:val="16"/>
                <w:szCs w:val="16"/>
                <w:color w:val="auto"/>
              </w:rPr>
              <w:t>●</w:t>
            </w:r>
          </w:p>
        </w:tc>
        <w:tc>
          <w:tcPr>
            <w:tcW w:w="2160" w:type="dxa"/>
            <w:vAlign w:val="bottom"/>
          </w:tcPr>
          <w:p>
            <w:pPr>
              <w:ind w:left="1420"/>
              <w:spacing w:after="0"/>
              <w:rPr>
                <w:sz w:val="20"/>
                <w:szCs w:val="20"/>
                <w:color w:val="auto"/>
              </w:rPr>
            </w:pPr>
            <w:r>
              <w:rPr>
                <w:rFonts w:ascii="Arial" w:cs="Arial" w:eastAsia="Arial" w:hAnsi="Arial"/>
                <w:sz w:val="16"/>
                <w:szCs w:val="16"/>
                <w:color w:val="auto"/>
              </w:rPr>
              <w:t>●</w:t>
            </w:r>
          </w:p>
        </w:tc>
        <w:tc>
          <w:tcPr>
            <w:tcW w:w="740" w:type="dxa"/>
            <w:vAlign w:val="bottom"/>
          </w:tcPr>
          <w:p>
            <w:pPr>
              <w:ind w:left="640"/>
              <w:spacing w:after="0"/>
              <w:rPr>
                <w:sz w:val="20"/>
                <w:szCs w:val="20"/>
                <w:color w:val="auto"/>
              </w:rPr>
            </w:pPr>
            <w:r>
              <w:rPr>
                <w:rFonts w:ascii="Arial" w:cs="Arial" w:eastAsia="Arial" w:hAnsi="Arial"/>
                <w:sz w:val="16"/>
                <w:szCs w:val="16"/>
                <w:color w:val="auto"/>
                <w:w w:val="82"/>
              </w:rPr>
              <w:t>●</w:t>
            </w:r>
          </w:p>
        </w:tc>
      </w:tr>
    </w:tbl>
    <w:p>
      <w:pPr>
        <w:spacing w:after="0" w:line="133" w:lineRule="exact"/>
        <w:rPr>
          <w:sz w:val="20"/>
          <w:szCs w:val="20"/>
          <w:color w:val="auto"/>
        </w:rPr>
      </w:pPr>
    </w:p>
    <w:p>
      <w:pPr>
        <w:ind w:left="280" w:hanging="164"/>
        <w:spacing w:after="0"/>
        <w:tabs>
          <w:tab w:leader="none" w:pos="2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Based on 2021 Total Direct Compensation for NEOs.</w:t>
      </w:r>
    </w:p>
    <w:p>
      <w:pPr>
        <w:spacing w:after="0" w:line="62" w:lineRule="exact"/>
        <w:rPr>
          <w:rFonts w:ascii="Arial" w:cs="Arial" w:eastAsia="Arial" w:hAnsi="Arial"/>
          <w:sz w:val="11"/>
          <w:szCs w:val="11"/>
          <w:color w:val="auto"/>
        </w:rPr>
      </w:pPr>
    </w:p>
    <w:p>
      <w:pPr>
        <w:ind w:left="280" w:hanging="164"/>
        <w:spacing w:after="0"/>
        <w:tabs>
          <w:tab w:leader="none" w:pos="2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Excluding equity grant to Mr. Billings in connection with his promotion to CEO.</w:t>
      </w:r>
    </w:p>
    <w:p>
      <w:pPr>
        <w:spacing w:after="0" w:line="15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35 //</w:t>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How the company has performed</w:t>
      </w:r>
    </w:p>
    <w:p>
      <w:pPr>
        <w:spacing w:after="0" w:line="2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year-to-year performance can be significantly impacted by market factors, geopolitical events and investor sentiment. Since our initial public offering in October 2002, the Company has averaged a 14% annual Total Shareholder Return (“TSR”), (including reinvestment of dividends), which is above the TSR of both the S&amp;P 500 (approximately 11% average annual TSR) and the S&amp;P Consumer Discretionary Index (approximately 13% average annual TSR) over the same time period. We have also delivered an average annual TSR nearly four times our closest industry peers.</w:t>
      </w:r>
      <w:r>
        <w:rPr>
          <w:rFonts w:ascii="Arial" w:cs="Arial" w:eastAsia="Arial" w:hAnsi="Arial"/>
          <w:sz w:val="15"/>
          <w:szCs w:val="15"/>
          <w:color w:val="auto"/>
        </w:rPr>
        <w:t>(1)</w:t>
      </w:r>
      <w:r>
        <w:rPr>
          <w:rFonts w:ascii="Arial" w:cs="Arial" w:eastAsia="Arial" w:hAnsi="Arial"/>
          <w:sz w:val="18"/>
          <w:szCs w:val="18"/>
          <w:color w:val="auto"/>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130175</wp:posOffset>
            </wp:positionV>
            <wp:extent cx="4697730" cy="256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9773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160" w:hanging="4"/>
        <w:spacing w:after="0" w:line="238" w:lineRule="auto"/>
        <w:tabs>
          <w:tab w:leader="none" w:pos="262" w:val="left"/>
        </w:tabs>
        <w:numPr>
          <w:ilvl w:val="0"/>
          <w:numId w:val="34"/>
        </w:numPr>
        <w:rPr>
          <w:rFonts w:ascii="Arial" w:cs="Arial" w:eastAsia="Arial" w:hAnsi="Arial"/>
          <w:sz w:val="9"/>
          <w:szCs w:val="9"/>
          <w:color w:val="auto"/>
        </w:rPr>
      </w:pPr>
      <w:r>
        <w:rPr>
          <w:rFonts w:ascii="Arial" w:cs="Arial" w:eastAsia="Arial" w:hAnsi="Arial"/>
          <w:sz w:val="11"/>
          <w:szCs w:val="11"/>
          <w:color w:val="auto"/>
        </w:rPr>
        <w:t>Industry peers reflect Las Vegas Sands and MGM Resorts. Las Vegas Sands’ TSR is measured from the market close on the day of their IPO on 12/15/2004 (average annual TSR of approximately 1%). MGM Resorts’ TSR is measured from the close on the date of Wynn Resorts’ IPO on 10/25/2002 (average annual TSR of approximately 6%).</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7"/>
          <w:szCs w:val="27"/>
          <w:color w:val="auto"/>
        </w:rPr>
        <w:t>Our key accomplishments in 2021 include:</w:t>
      </w:r>
    </w:p>
    <w:p>
      <w:pPr>
        <w:spacing w:after="0" w:line="21" w:lineRule="exact"/>
        <w:rPr>
          <w:sz w:val="20"/>
          <w:szCs w:val="20"/>
          <w:color w:val="auto"/>
        </w:rPr>
      </w:pPr>
    </w:p>
    <w:p>
      <w:pPr>
        <w:ind w:left="340" w:hanging="224"/>
        <w:spacing w:after="0" w:line="23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CE9B00"/>
        </w:rPr>
        <w:t xml:space="preserve">ACHIEVED RECORD-SETTING RESULTS IN LAS VEGAS. </w:t>
      </w:r>
      <w:r>
        <w:rPr>
          <w:rFonts w:ascii="Arial" w:cs="Arial" w:eastAsia="Arial" w:hAnsi="Arial"/>
          <w:sz w:val="18"/>
          <w:szCs w:val="18"/>
          <w:color w:val="000000"/>
        </w:rPr>
        <w:t>Our Las Vegas Operations achieved its highest Adjusted Property EBITDA</w:t>
      </w:r>
      <w:r>
        <w:rPr>
          <w:rFonts w:ascii="Arial" w:cs="Arial" w:eastAsia="Arial" w:hAnsi="Arial"/>
          <w:sz w:val="18"/>
          <w:szCs w:val="18"/>
          <w:color w:val="CE9B00"/>
        </w:rPr>
        <w:t xml:space="preserve"> </w:t>
      </w:r>
      <w:r>
        <w:rPr>
          <w:rFonts w:ascii="Arial" w:cs="Arial" w:eastAsia="Arial" w:hAnsi="Arial"/>
          <w:sz w:val="18"/>
          <w:szCs w:val="18"/>
          <w:color w:val="000000"/>
        </w:rPr>
        <w:t>in the history of the resort at $530.9 million (previous record was $522.4 million of Adjusted Property EBITDA for 2017), despite continued COVID-19 health and safety restrictions during 2021. In addition, we continued to advance our strategy of delighting our guests with world-class amenities, which included opening two new restaurants and beginning a full remodel of our 2,674 hotel rooms in the Wynn Tower (expected completion in mid-2022) and Le Rêve Theater to a new and exciting performance concept (expected completion in Fall 2022).</w:t>
      </w:r>
    </w:p>
    <w:p>
      <w:pPr>
        <w:spacing w:after="0" w:line="204" w:lineRule="exact"/>
        <w:rPr>
          <w:rFonts w:ascii="Arial" w:cs="Arial" w:eastAsia="Arial" w:hAnsi="Arial"/>
          <w:sz w:val="18"/>
          <w:szCs w:val="18"/>
          <w:color w:val="auto"/>
        </w:rPr>
      </w:pPr>
    </w:p>
    <w:p>
      <w:pPr>
        <w:ind w:left="340" w:right="60" w:hanging="224"/>
        <w:spacing w:after="0" w:line="257"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CE9B00"/>
        </w:rPr>
        <w:t xml:space="preserve">ACCELERATED GROWTH OF BOSTON OPERATIONS. </w:t>
      </w:r>
      <w:r>
        <w:rPr>
          <w:rFonts w:ascii="Arial" w:cs="Arial" w:eastAsia="Arial" w:hAnsi="Arial"/>
          <w:sz w:val="17"/>
          <w:szCs w:val="17"/>
          <w:color w:val="000000"/>
        </w:rPr>
        <w:t>Encore Boston Harbor achieved a record $210.1 million of Adjusted Property</w:t>
      </w:r>
      <w:r>
        <w:rPr>
          <w:rFonts w:ascii="Arial" w:cs="Arial" w:eastAsia="Arial" w:hAnsi="Arial"/>
          <w:sz w:val="17"/>
          <w:szCs w:val="17"/>
          <w:color w:val="CE9B00"/>
        </w:rPr>
        <w:t xml:space="preserve"> </w:t>
      </w:r>
      <w:r>
        <w:rPr>
          <w:rFonts w:ascii="Arial" w:cs="Arial" w:eastAsia="Arial" w:hAnsi="Arial"/>
          <w:sz w:val="17"/>
          <w:szCs w:val="17"/>
          <w:color w:val="000000"/>
        </w:rPr>
        <w:t>EBITDA during 2021 despite ongoing pandemic related challenges. We continued to execute on our operating strategy during 2021, opening new fast casual food and beverage offerings and a new sports bar with the infrastructure to function as a retail sports book positioning us to be ready for a ‘Day 1’ launch in the event enabling legislation is approved by the Commonwealth of Massachusetts.</w:t>
      </w:r>
    </w:p>
    <w:p>
      <w:pPr>
        <w:spacing w:after="0" w:line="188" w:lineRule="exact"/>
        <w:rPr>
          <w:rFonts w:ascii="Arial" w:cs="Arial" w:eastAsia="Arial" w:hAnsi="Arial"/>
          <w:sz w:val="17"/>
          <w:szCs w:val="17"/>
          <w:color w:val="auto"/>
        </w:rPr>
      </w:pPr>
    </w:p>
    <w:p>
      <w:pPr>
        <w:ind w:left="340" w:right="20" w:hanging="224"/>
        <w:spacing w:after="0" w:line="23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CE9B00"/>
        </w:rPr>
        <w:t xml:space="preserve">GROWING OUR MASS GGR IN MACAU. </w:t>
      </w:r>
      <w:r>
        <w:rPr>
          <w:rFonts w:ascii="Arial" w:cs="Arial" w:eastAsia="Arial" w:hAnsi="Arial"/>
          <w:sz w:val="18"/>
          <w:szCs w:val="18"/>
          <w:color w:val="000000"/>
        </w:rPr>
        <w:t>As visitation continues to fluctuate due to COVID-19-related travel restrictions, our team has</w:t>
      </w:r>
      <w:r>
        <w:rPr>
          <w:rFonts w:ascii="Arial" w:cs="Arial" w:eastAsia="Arial" w:hAnsi="Arial"/>
          <w:sz w:val="18"/>
          <w:szCs w:val="18"/>
          <w:color w:val="CE9B00"/>
        </w:rPr>
        <w:t xml:space="preserve"> </w:t>
      </w:r>
      <w:r>
        <w:rPr>
          <w:rFonts w:ascii="Arial" w:cs="Arial" w:eastAsia="Arial" w:hAnsi="Arial"/>
          <w:sz w:val="18"/>
          <w:szCs w:val="18"/>
          <w:color w:val="000000"/>
        </w:rPr>
        <w:t>remained focused on growing our mass table and slot gaming business through a combination of property level changes and marketing system upgrades, positioning the Company well to serve this valuable customer segment. Overall, these enhancements contributed to a 66% year over year increase in our mass table and slot gross gaming revenue in 2021.</w:t>
      </w:r>
    </w:p>
    <w:p>
      <w:pPr>
        <w:spacing w:after="0" w:line="3"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36 //</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hanging="224"/>
        <w:spacing w:after="0" w:line="23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CE9B00"/>
        </w:rPr>
        <w:t xml:space="preserve">MAINTAINED HEALTHY LIQUIDITY AND FINANCIAL FLEXIBILITY. </w:t>
      </w:r>
      <w:r>
        <w:rPr>
          <w:rFonts w:ascii="Arial" w:cs="Arial" w:eastAsia="Arial" w:hAnsi="Arial"/>
          <w:sz w:val="18"/>
          <w:szCs w:val="18"/>
          <w:color w:val="000000"/>
        </w:rPr>
        <w:t>Since the beginning of the COVID-19 pandemic, we have taken</w:t>
      </w:r>
      <w:r>
        <w:rPr>
          <w:rFonts w:ascii="Arial" w:cs="Arial" w:eastAsia="Arial" w:hAnsi="Arial"/>
          <w:sz w:val="18"/>
          <w:szCs w:val="18"/>
          <w:color w:val="CE9B00"/>
        </w:rPr>
        <w:t xml:space="preserve"> </w:t>
      </w:r>
      <w:r>
        <w:rPr>
          <w:rFonts w:ascii="Arial" w:cs="Arial" w:eastAsia="Arial" w:hAnsi="Arial"/>
          <w:sz w:val="18"/>
          <w:szCs w:val="18"/>
          <w:color w:val="000000"/>
        </w:rPr>
        <w:t>proactive steps to fortify our liquidity position and balance sheet. Those efforts continued into 2021, as the Company successfully raised approximately $860 million of equity to repay its U.S. revolving credit facility and assure funding for its growth pipeline and refinanced its Wynn Macau credit facility, extending the maturity date to 2025.</w:t>
      </w:r>
    </w:p>
    <w:p>
      <w:pPr>
        <w:spacing w:after="0" w:line="204" w:lineRule="exact"/>
        <w:rPr>
          <w:rFonts w:ascii="Arial" w:cs="Arial" w:eastAsia="Arial" w:hAnsi="Arial"/>
          <w:sz w:val="18"/>
          <w:szCs w:val="18"/>
          <w:color w:val="auto"/>
        </w:rPr>
      </w:pPr>
    </w:p>
    <w:p>
      <w:pPr>
        <w:ind w:left="340" w:right="140" w:hanging="224"/>
        <w:spacing w:after="0" w:line="23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CE9B00"/>
        </w:rPr>
        <w:t xml:space="preserve">CONTINUED RECOGNITION AS THE WORLD’S PREEMINENT LUXURY INTEGRATED RESORT COMPANY. </w:t>
      </w:r>
      <w:r>
        <w:rPr>
          <w:rFonts w:ascii="Arial" w:cs="Arial" w:eastAsia="Arial" w:hAnsi="Arial"/>
          <w:sz w:val="18"/>
          <w:szCs w:val="18"/>
          <w:color w:val="000000"/>
        </w:rPr>
        <w:t>With a combined 22</w:t>
      </w:r>
      <w:r>
        <w:rPr>
          <w:rFonts w:ascii="Arial" w:cs="Arial" w:eastAsia="Arial" w:hAnsi="Arial"/>
          <w:sz w:val="18"/>
          <w:szCs w:val="18"/>
          <w:color w:val="CE9B00"/>
        </w:rPr>
        <w:t xml:space="preserve"> </w:t>
      </w:r>
      <w:r>
        <w:rPr>
          <w:rFonts w:ascii="Arial" w:cs="Arial" w:eastAsia="Arial" w:hAnsi="Arial"/>
          <w:sz w:val="18"/>
          <w:szCs w:val="18"/>
          <w:color w:val="000000"/>
        </w:rPr>
        <w:t>Forbes Travel Guide Five-Star Awards in 2021, Wynn Resorts remains the most decorated independent hotel company in the world. Our Macau operations were awarded 15 FTG Five-Star Awards, with Wynn Macau the only resort in the world to receive eight FTG Five-Star Awards and Wynn Palace receiving seven. In the US, Wynn Las Vegas and Encore Las Vegas hold the most FTG Five-Star awards of any resorts in North America, collectively receiving seven Five-Star Awards. In addition, Wynn Resorts was once again honored to be included on FORTUNE Magazine’s 2022 World’s Most Admired Companies list in the hotel, casino, and resort category and ranked first overall in the category of Quality of Products/ Services among all international hotel companies.</w:t>
      </w:r>
    </w:p>
    <w:p>
      <w:pPr>
        <w:spacing w:after="0" w:line="202" w:lineRule="exact"/>
        <w:rPr>
          <w:rFonts w:ascii="Arial" w:cs="Arial" w:eastAsia="Arial" w:hAnsi="Arial"/>
          <w:sz w:val="18"/>
          <w:szCs w:val="18"/>
          <w:color w:val="auto"/>
        </w:rPr>
      </w:pPr>
    </w:p>
    <w:p>
      <w:pPr>
        <w:ind w:left="340" w:right="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CE9B00"/>
        </w:rPr>
        <w:t xml:space="preserve">CONTINUED LEADERSHIP IN OUR RESPONSE TO THE COVID-19 PANDEMIC. </w:t>
      </w:r>
      <w:r>
        <w:rPr>
          <w:rFonts w:ascii="Arial" w:cs="Arial" w:eastAsia="Arial" w:hAnsi="Arial"/>
          <w:sz w:val="18"/>
          <w:szCs w:val="18"/>
          <w:color w:val="000000"/>
        </w:rPr>
        <w:t>We remained focused on protecting our customers,</w:t>
      </w:r>
      <w:r>
        <w:rPr>
          <w:rFonts w:ascii="Arial" w:cs="Arial" w:eastAsia="Arial" w:hAnsi="Arial"/>
          <w:sz w:val="18"/>
          <w:szCs w:val="18"/>
          <w:color w:val="CE9B00"/>
        </w:rPr>
        <w:t xml:space="preserve"> </w:t>
      </w:r>
      <w:r>
        <w:rPr>
          <w:rFonts w:ascii="Arial" w:cs="Arial" w:eastAsia="Arial" w:hAnsi="Arial"/>
          <w:sz w:val="18"/>
          <w:szCs w:val="18"/>
          <w:color w:val="000000"/>
        </w:rPr>
        <w:t>our partners, and our employees in response to the COVID-19 pandemic, while still providing the world-class service and unique experiences guests have come to expect from Wynn.</w:t>
      </w: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31"/>
          <w:szCs w:val="31"/>
          <w:color w:val="auto"/>
        </w:rPr>
        <w:t>How we designed incentives in 2021</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E9B00"/>
        </w:rPr>
        <w:t>2021 HIGHLIGHTS: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2021, the Compensation Committee:</w:t>
      </w:r>
    </w:p>
    <w:p>
      <w:pPr>
        <w:spacing w:after="0" w:line="212" w:lineRule="exact"/>
        <w:rPr>
          <w:sz w:val="20"/>
          <w:szCs w:val="20"/>
          <w:color w:val="auto"/>
        </w:rPr>
      </w:pPr>
    </w:p>
    <w:p>
      <w:pPr>
        <w:ind w:left="340" w:right="780" w:hanging="224"/>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Set rigorous and meaningful financial metrics for annual incentives for 2021, despite significant uncertainty stemming from the COVID-19 pandemic at the point at which such targets were established.</w:t>
      </w:r>
    </w:p>
    <w:p>
      <w:pPr>
        <w:spacing w:after="0" w:line="196"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pay 50% of annual incentive executive compensation in equity.</w:t>
      </w:r>
    </w:p>
    <w:p>
      <w:pPr>
        <w:spacing w:after="0" w:line="211"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Maintained a policy that at least 50% of long-term incentive grants would be performance-based, including performance-based stock awards that vest upon achievement of pre-established financial performance goals that are based on the Company’s ability to achieve a premium revenue “fair share” relative to its peers (see discussion of this metric below), on a one-, two- and three-year basis.</w:t>
      </w:r>
    </w:p>
    <w:p>
      <w:pPr>
        <w:spacing w:after="0" w:line="202" w:lineRule="exact"/>
        <w:rPr>
          <w:rFonts w:ascii="Arial" w:cs="Arial" w:eastAsia="Arial" w:hAnsi="Arial"/>
          <w:sz w:val="18"/>
          <w:szCs w:val="18"/>
          <w:color w:val="auto"/>
        </w:rPr>
      </w:pPr>
    </w:p>
    <w:p>
      <w:pPr>
        <w:ind w:left="340" w:right="200" w:hanging="224"/>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Reaffirmed its commitment to compensate executives around the median with regard to total compensation and conducted an overall analysis of all NEO total compensation to confirm compliance.</w:t>
      </w:r>
    </w:p>
    <w:p>
      <w:pPr>
        <w:spacing w:after="0" w:line="156"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CE9B00"/>
        </w:rPr>
        <w:t xml:space="preserve">ROLE OF THE COMPENSATION COMMITTEE AND MANAGEMENT IN SETTING COMPENSATION: </w:t>
      </w:r>
      <w:r>
        <w:rPr>
          <w:rFonts w:ascii="Arial" w:cs="Arial" w:eastAsia="Arial" w:hAnsi="Arial"/>
          <w:sz w:val="18"/>
          <w:szCs w:val="18"/>
          <w:color w:val="000000"/>
        </w:rPr>
        <w:t>The Compensation Committee</w:t>
      </w:r>
      <w:r>
        <w:rPr>
          <w:rFonts w:ascii="Arial" w:cs="Arial" w:eastAsia="Arial" w:hAnsi="Arial"/>
          <w:sz w:val="18"/>
          <w:szCs w:val="18"/>
          <w:color w:val="CE9B00"/>
        </w:rPr>
        <w:t xml:space="preserve"> </w:t>
      </w:r>
      <w:r>
        <w:rPr>
          <w:rFonts w:ascii="Arial" w:cs="Arial" w:eastAsia="Arial" w:hAnsi="Arial"/>
          <w:sz w:val="18"/>
          <w:szCs w:val="18"/>
          <w:color w:val="000000"/>
        </w:rPr>
        <w:t>sets all elements of compensation for our NEOs based upon consideration of an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37 //</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E9B00"/>
        </w:rPr>
        <w:t>COMPENSATION MIX</w:t>
      </w:r>
    </w:p>
    <w:p>
      <w:pPr>
        <w:spacing w:after="0" w:line="1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take a multi-year investment approach to our business that focuses on rewarding strong near-term performance and the creation of long-term shareholder value. Because product quality and service excellence are at the core of our strategy, we use annually focused, operations-based pay to highlight the critical importance of performing well each year for each customer. We supplement that with a set of long-term incentives and holding requirements to support the sustainability of our reputation and our ongoing returns. The charts below highlight the focus on equity and at-risk mix of the total direct compensation for our current NEOs based on 2021 compensation outcomes</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103620" cy="1628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0362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0" w:hanging="164"/>
        <w:spacing w:after="0"/>
        <w:tabs>
          <w:tab w:leader="none" w:pos="280" w:val="left"/>
        </w:tabs>
        <w:numPr>
          <w:ilvl w:val="0"/>
          <w:numId w:val="38"/>
        </w:numPr>
        <w:rPr>
          <w:rFonts w:ascii="Arial" w:cs="Arial" w:eastAsia="Arial" w:hAnsi="Arial"/>
          <w:sz w:val="11"/>
          <w:szCs w:val="11"/>
          <w:color w:val="auto"/>
        </w:rPr>
      </w:pPr>
      <w:r>
        <w:rPr>
          <w:rFonts w:ascii="Arial" w:cs="Arial" w:eastAsia="Arial" w:hAnsi="Arial"/>
          <w:sz w:val="13"/>
          <w:szCs w:val="13"/>
          <w:color w:val="auto"/>
        </w:rPr>
        <w:t>Based on 2021 Total Direct Compensation for NEOs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7"/>
          <w:szCs w:val="27"/>
          <w:color w:val="auto"/>
        </w:rPr>
        <w:t>2021 Compensation design &amp; decisions</w:t>
      </w:r>
    </w:p>
    <w:p>
      <w:pPr>
        <w:spacing w:after="0" w:line="21" w:lineRule="exact"/>
        <w:rPr>
          <w:sz w:val="20"/>
          <w:szCs w:val="20"/>
          <w:color w:val="auto"/>
        </w:rPr>
      </w:pPr>
    </w:p>
    <w:p>
      <w:pPr>
        <w:ind w:left="120" w:right="520"/>
        <w:spacing w:after="0"/>
        <w:rPr>
          <w:sz w:val="20"/>
          <w:szCs w:val="20"/>
          <w:color w:val="auto"/>
        </w:rPr>
      </w:pPr>
      <w:r>
        <w:rPr>
          <w:rFonts w:ascii="Arial" w:cs="Arial" w:eastAsia="Arial" w:hAnsi="Arial"/>
          <w:sz w:val="18"/>
          <w:szCs w:val="18"/>
          <w:color w:val="CE9B00"/>
        </w:rPr>
        <w:t xml:space="preserve">Base Salary: </w:t>
      </w:r>
      <w:r>
        <w:rPr>
          <w:rFonts w:ascii="Arial" w:cs="Arial" w:eastAsia="Arial" w:hAnsi="Arial"/>
          <w:sz w:val="18"/>
          <w:szCs w:val="18"/>
          <w:color w:val="000000"/>
        </w:rPr>
        <w:t>Negotiated employment agreements establish our NEOs’ initial base salaries. We review and adjust their base salaries</w:t>
      </w:r>
      <w:r>
        <w:rPr>
          <w:rFonts w:ascii="Arial" w:cs="Arial" w:eastAsia="Arial" w:hAnsi="Arial"/>
          <w:sz w:val="18"/>
          <w:szCs w:val="18"/>
          <w:color w:val="CE9B00"/>
        </w:rPr>
        <w:t xml:space="preserve"> </w:t>
      </w:r>
      <w:r>
        <w:rPr>
          <w:rFonts w:ascii="Arial" w:cs="Arial" w:eastAsia="Arial" w:hAnsi="Arial"/>
          <w:sz w:val="18"/>
          <w:szCs w:val="18"/>
          <w:color w:val="000000"/>
        </w:rPr>
        <w:t>periodically to stay competitive, reflect improvements in performance, capabilities, and experience, and reward expansions of responsibility or other extraordinary circumstances.</w:t>
      </w:r>
    </w:p>
    <w:p>
      <w:pPr>
        <w:spacing w:after="0" w:line="162"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In December 2020, each of the NEOs voluntarily elected to reduce their base salary by 20% for the period of January 1, 2021 through March 31, 2021, after which each NEO’s base salary would be reinstated to the amount of their initial base salaries. The NEOs did not receive an equity grant in connection with the reduction in their base salaries.</w:t>
      </w:r>
    </w:p>
    <w:p>
      <w:pPr>
        <w:spacing w:after="0" w:line="17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table below presents the base salary for each of our NEOs in 2021, which represents a blend of the reduced base salary each NEO received from January 1, 2021, through March 31, 2021, and the reinstated initial base salary each NEO received for the remainder of the year. The amount of each NEO’s salary reduction is described in the “Voluntary Reduction” column.</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600" w:type="dxa"/>
            <w:vAlign w:val="bottom"/>
            <w:tcBorders>
              <w:right w:val="single" w:sz="8" w:color="E2EDED"/>
            </w:tcBorders>
            <w:vMerge w:val="restart"/>
          </w:tcPr>
          <w:p>
            <w:pPr>
              <w:ind w:left="80"/>
              <w:spacing w:after="0"/>
              <w:rPr>
                <w:sz w:val="20"/>
                <w:szCs w:val="20"/>
                <w:color w:val="auto"/>
              </w:rPr>
            </w:pPr>
            <w:r>
              <w:rPr>
                <w:rFonts w:ascii="Arial" w:cs="Arial" w:eastAsia="Arial" w:hAnsi="Arial"/>
                <w:sz w:val="14"/>
                <w:szCs w:val="14"/>
                <w:b w:val="1"/>
                <w:bCs w:val="1"/>
                <w:color w:val="CE9B00"/>
              </w:rPr>
              <w:t>EXECUTIVE</w:t>
            </w:r>
          </w:p>
        </w:tc>
        <w:tc>
          <w:tcPr>
            <w:tcW w:w="1680" w:type="dxa"/>
            <w:vAlign w:val="bottom"/>
            <w:tcBorders>
              <w:right w:val="single" w:sz="8" w:color="E2EDED"/>
            </w:tcBorders>
            <w:gridSpan w:val="2"/>
          </w:tcPr>
          <w:p>
            <w:pPr>
              <w:jc w:val="right"/>
              <w:ind w:right="455"/>
              <w:spacing w:after="0"/>
              <w:rPr>
                <w:sz w:val="20"/>
                <w:szCs w:val="20"/>
                <w:color w:val="auto"/>
              </w:rPr>
            </w:pPr>
            <w:r>
              <w:rPr>
                <w:rFonts w:ascii="Arial" w:cs="Arial" w:eastAsia="Arial" w:hAnsi="Arial"/>
                <w:sz w:val="14"/>
                <w:szCs w:val="14"/>
                <w:b w:val="1"/>
                <w:bCs w:val="1"/>
                <w:color w:val="CE9B00"/>
              </w:rPr>
              <w:t>2021 BASE</w:t>
            </w:r>
          </w:p>
        </w:tc>
        <w:tc>
          <w:tcPr>
            <w:tcW w:w="1880" w:type="dxa"/>
            <w:vAlign w:val="bottom"/>
            <w:tcBorders>
              <w:right w:val="single" w:sz="8" w:color="E2EDED"/>
            </w:tcBorders>
            <w:gridSpan w:val="2"/>
          </w:tcPr>
          <w:p>
            <w:pPr>
              <w:jc w:val="right"/>
              <w:ind w:right="555"/>
              <w:spacing w:after="0"/>
              <w:rPr>
                <w:sz w:val="20"/>
                <w:szCs w:val="20"/>
                <w:color w:val="auto"/>
              </w:rPr>
            </w:pPr>
            <w:r>
              <w:rPr>
                <w:rFonts w:ascii="Arial" w:cs="Arial" w:eastAsia="Arial" w:hAnsi="Arial"/>
                <w:sz w:val="14"/>
                <w:szCs w:val="14"/>
                <w:b w:val="1"/>
                <w:bCs w:val="1"/>
                <w:color w:val="CE9B00"/>
              </w:rPr>
              <w:t>2020 BASE</w:t>
            </w:r>
          </w:p>
        </w:tc>
        <w:tc>
          <w:tcPr>
            <w:tcW w:w="1860" w:type="dxa"/>
            <w:vAlign w:val="bottom"/>
            <w:gridSpan w:val="2"/>
          </w:tcPr>
          <w:p>
            <w:pPr>
              <w:ind w:left="420"/>
              <w:spacing w:after="0"/>
              <w:rPr>
                <w:sz w:val="20"/>
                <w:szCs w:val="20"/>
                <w:color w:val="auto"/>
              </w:rPr>
            </w:pPr>
            <w:r>
              <w:rPr>
                <w:rFonts w:ascii="Arial" w:cs="Arial" w:eastAsia="Arial" w:hAnsi="Arial"/>
                <w:sz w:val="14"/>
                <w:szCs w:val="14"/>
                <w:b w:val="1"/>
                <w:bCs w:val="1"/>
                <w:color w:val="CE9B00"/>
              </w:rPr>
              <w:t>VOLUNTARY</w:t>
            </w:r>
          </w:p>
        </w:tc>
        <w:tc>
          <w:tcPr>
            <w:tcW w:w="0" w:type="dxa"/>
            <w:vAlign w:val="bottom"/>
          </w:tcPr>
          <w:p>
            <w:pPr>
              <w:spacing w:after="0"/>
              <w:rPr>
                <w:sz w:val="1"/>
                <w:szCs w:val="1"/>
                <w:color w:val="auto"/>
              </w:rPr>
            </w:pPr>
          </w:p>
        </w:tc>
      </w:tr>
      <w:tr>
        <w:trPr>
          <w:trHeight w:val="109"/>
        </w:trPr>
        <w:tc>
          <w:tcPr>
            <w:tcW w:w="5600" w:type="dxa"/>
            <w:vAlign w:val="bottom"/>
            <w:tcBorders>
              <w:right w:val="single" w:sz="8" w:color="E2EDED"/>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Borders>
              <w:right w:val="single" w:sz="8" w:color="E2EDED"/>
            </w:tcBorders>
            <w:vMerge w:val="restart"/>
          </w:tcPr>
          <w:p>
            <w:pPr>
              <w:jc w:val="right"/>
              <w:ind w:right="535"/>
              <w:spacing w:after="0"/>
              <w:rPr>
                <w:sz w:val="20"/>
                <w:szCs w:val="20"/>
                <w:color w:val="auto"/>
              </w:rPr>
            </w:pPr>
            <w:r>
              <w:rPr>
                <w:rFonts w:ascii="Arial" w:cs="Arial" w:eastAsia="Arial" w:hAnsi="Arial"/>
                <w:sz w:val="14"/>
                <w:szCs w:val="14"/>
                <w:b w:val="1"/>
                <w:bCs w:val="1"/>
                <w:color w:val="CE9B00"/>
              </w:rPr>
              <w:t>SALARY</w:t>
            </w:r>
          </w:p>
        </w:tc>
        <w:tc>
          <w:tcPr>
            <w:tcW w:w="520" w:type="dxa"/>
            <w:vAlign w:val="bottom"/>
          </w:tcPr>
          <w:p>
            <w:pPr>
              <w:spacing w:after="0"/>
              <w:rPr>
                <w:sz w:val="9"/>
                <w:szCs w:val="9"/>
                <w:color w:val="auto"/>
              </w:rPr>
            </w:pPr>
          </w:p>
        </w:tc>
        <w:tc>
          <w:tcPr>
            <w:tcW w:w="1360" w:type="dxa"/>
            <w:vAlign w:val="bottom"/>
            <w:tcBorders>
              <w:right w:val="single" w:sz="8" w:color="E2EDED"/>
            </w:tcBorders>
            <w:vMerge w:val="restart"/>
          </w:tcPr>
          <w:p>
            <w:pPr>
              <w:jc w:val="right"/>
              <w:ind w:right="635"/>
              <w:spacing w:after="0"/>
              <w:rPr>
                <w:sz w:val="20"/>
                <w:szCs w:val="20"/>
                <w:color w:val="auto"/>
              </w:rPr>
            </w:pPr>
            <w:r>
              <w:rPr>
                <w:rFonts w:ascii="Arial" w:cs="Arial" w:eastAsia="Arial" w:hAnsi="Arial"/>
                <w:sz w:val="14"/>
                <w:szCs w:val="14"/>
                <w:b w:val="1"/>
                <w:bCs w:val="1"/>
                <w:color w:val="CE9B00"/>
              </w:rPr>
              <w:t>SALARY</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CE9B00"/>
              </w:rPr>
              <w:t>REDUCTION</w:t>
            </w:r>
          </w:p>
        </w:tc>
        <w:tc>
          <w:tcPr>
            <w:tcW w:w="0" w:type="dxa"/>
            <w:vAlign w:val="bottom"/>
          </w:tcPr>
          <w:p>
            <w:pPr>
              <w:spacing w:after="0"/>
              <w:rPr>
                <w:sz w:val="1"/>
                <w:szCs w:val="1"/>
                <w:color w:val="auto"/>
              </w:rPr>
            </w:pPr>
          </w:p>
        </w:tc>
      </w:tr>
      <w:tr>
        <w:trPr>
          <w:trHeight w:val="87"/>
        </w:trPr>
        <w:tc>
          <w:tcPr>
            <w:tcW w:w="5600" w:type="dxa"/>
            <w:vAlign w:val="bottom"/>
            <w:tcBorders>
              <w:right w:val="single" w:sz="8" w:color="E2EDED"/>
            </w:tcBorders>
          </w:tcPr>
          <w:p>
            <w:pPr>
              <w:spacing w:after="0"/>
              <w:rPr>
                <w:sz w:val="7"/>
                <w:szCs w:val="7"/>
                <w:color w:val="auto"/>
              </w:rPr>
            </w:pPr>
          </w:p>
        </w:tc>
        <w:tc>
          <w:tcPr>
            <w:tcW w:w="420" w:type="dxa"/>
            <w:vAlign w:val="bottom"/>
          </w:tcPr>
          <w:p>
            <w:pPr>
              <w:spacing w:after="0"/>
              <w:rPr>
                <w:sz w:val="7"/>
                <w:szCs w:val="7"/>
                <w:color w:val="auto"/>
              </w:rPr>
            </w:pPr>
          </w:p>
        </w:tc>
        <w:tc>
          <w:tcPr>
            <w:tcW w:w="1260" w:type="dxa"/>
            <w:vAlign w:val="bottom"/>
            <w:tcBorders>
              <w:right w:val="single" w:sz="8" w:color="E2EDED"/>
            </w:tcBorders>
            <w:vMerge w:val="continue"/>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Borders>
              <w:right w:val="single" w:sz="8" w:color="E2EDED"/>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F5EBCC"/>
              <w:right w:val="single" w:sz="8" w:color="E2EDED"/>
            </w:tcBorders>
            <w:shd w:val="clear" w:color="auto" w:fill="F5EBCC"/>
          </w:tcPr>
          <w:p>
            <w:pPr>
              <w:ind w:left="60"/>
              <w:spacing w:after="0"/>
              <w:rPr>
                <w:sz w:val="20"/>
                <w:szCs w:val="20"/>
                <w:color w:val="auto"/>
              </w:rPr>
            </w:pPr>
            <w:r>
              <w:rPr>
                <w:rFonts w:ascii="Arial" w:cs="Arial" w:eastAsia="Arial" w:hAnsi="Arial"/>
                <w:sz w:val="18"/>
                <w:szCs w:val="18"/>
                <w:color w:val="auto"/>
              </w:rPr>
              <w:t>Matt Maddox</w:t>
            </w:r>
          </w:p>
        </w:tc>
        <w:tc>
          <w:tcPr>
            <w:tcW w:w="420" w:type="dxa"/>
            <w:vAlign w:val="bottom"/>
            <w:tcBorders>
              <w:bottom w:val="single" w:sz="8" w:color="F5EBCC"/>
            </w:tcBorders>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5EBCC"/>
              <w:right w:val="single" w:sz="8" w:color="E2EDED"/>
            </w:tcBorders>
            <w:shd w:val="clear" w:color="auto" w:fill="F5EBCC"/>
          </w:tcPr>
          <w:p>
            <w:pPr>
              <w:jc w:val="right"/>
              <w:ind w:right="375"/>
              <w:spacing w:after="0"/>
              <w:rPr>
                <w:sz w:val="20"/>
                <w:szCs w:val="20"/>
                <w:color w:val="auto"/>
              </w:rPr>
            </w:pPr>
            <w:r>
              <w:rPr>
                <w:rFonts w:ascii="Arial" w:cs="Arial" w:eastAsia="Arial" w:hAnsi="Arial"/>
                <w:sz w:val="18"/>
                <w:szCs w:val="18"/>
                <w:color w:val="auto"/>
                <w:w w:val="97"/>
              </w:rPr>
              <w:t>1,900,000</w:t>
            </w:r>
          </w:p>
        </w:tc>
        <w:tc>
          <w:tcPr>
            <w:tcW w:w="520" w:type="dxa"/>
            <w:vAlign w:val="bottom"/>
            <w:tcBorders>
              <w:bottom w:val="single" w:sz="8" w:color="F5EBCC"/>
            </w:tcBorders>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F5EBCC"/>
              <w:right w:val="single" w:sz="8" w:color="E2EDED"/>
            </w:tcBorders>
            <w:shd w:val="clear" w:color="auto" w:fill="F5EBCC"/>
          </w:tcPr>
          <w:p>
            <w:pPr>
              <w:jc w:val="right"/>
              <w:ind w:right="475"/>
              <w:spacing w:after="0"/>
              <w:rPr>
                <w:sz w:val="20"/>
                <w:szCs w:val="20"/>
                <w:color w:val="auto"/>
              </w:rPr>
            </w:pPr>
            <w:r>
              <w:rPr>
                <w:rFonts w:ascii="Arial" w:cs="Arial" w:eastAsia="Arial" w:hAnsi="Arial"/>
                <w:sz w:val="18"/>
                <w:szCs w:val="18"/>
                <w:color w:val="auto"/>
                <w:w w:val="97"/>
              </w:rPr>
              <w:t>2,000,000</w:t>
            </w:r>
          </w:p>
        </w:tc>
        <w:tc>
          <w:tcPr>
            <w:tcW w:w="540" w:type="dxa"/>
            <w:vAlign w:val="bottom"/>
            <w:tcBorders>
              <w:bottom w:val="single" w:sz="8" w:color="F5EBCC"/>
            </w:tcBorders>
            <w:shd w:val="clear" w:color="auto" w:fill="F5EBCC"/>
          </w:tcPr>
          <w:p>
            <w:pPr>
              <w:ind w:left="4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F5EBCC"/>
            </w:tcBorders>
            <w:shd w:val="clear" w:color="auto" w:fill="F5EBCC"/>
          </w:tcPr>
          <w:p>
            <w:pPr>
              <w:jc w:val="right"/>
              <w:ind w:right="55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5600" w:type="dxa"/>
            <w:vAlign w:val="bottom"/>
            <w:tcBorders>
              <w:right w:val="single" w:sz="8" w:color="E2EDED"/>
            </w:tcBorders>
          </w:tcPr>
          <w:p>
            <w:pPr>
              <w:ind w:left="60"/>
              <w:spacing w:after="0"/>
              <w:rPr>
                <w:sz w:val="20"/>
                <w:szCs w:val="20"/>
                <w:color w:val="auto"/>
              </w:rPr>
            </w:pPr>
            <w:r>
              <w:rPr>
                <w:rFonts w:ascii="Arial" w:cs="Arial" w:eastAsia="Arial" w:hAnsi="Arial"/>
                <w:sz w:val="18"/>
                <w:szCs w:val="18"/>
                <w:color w:val="auto"/>
              </w:rPr>
              <w:t>Craig S. Billings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2EDED"/>
            </w:tcBorders>
          </w:tcPr>
          <w:p>
            <w:pPr>
              <w:jc w:val="right"/>
              <w:ind w:right="375"/>
              <w:spacing w:after="0"/>
              <w:rPr>
                <w:sz w:val="20"/>
                <w:szCs w:val="20"/>
                <w:color w:val="auto"/>
              </w:rPr>
            </w:pPr>
            <w:r>
              <w:rPr>
                <w:rFonts w:ascii="Arial" w:cs="Arial" w:eastAsia="Arial" w:hAnsi="Arial"/>
                <w:sz w:val="18"/>
                <w:szCs w:val="18"/>
                <w:color w:val="auto"/>
                <w:w w:val="97"/>
              </w:rPr>
              <w:t>1,140,000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E2EDED"/>
            </w:tcBorders>
          </w:tcPr>
          <w:p>
            <w:pPr>
              <w:jc w:val="right"/>
              <w:ind w:right="475"/>
              <w:spacing w:after="0"/>
              <w:rPr>
                <w:sz w:val="20"/>
                <w:szCs w:val="20"/>
                <w:color w:val="auto"/>
              </w:rPr>
            </w:pPr>
            <w:r>
              <w:rPr>
                <w:rFonts w:ascii="Arial" w:cs="Arial" w:eastAsia="Arial" w:hAnsi="Arial"/>
                <w:sz w:val="18"/>
                <w:szCs w:val="18"/>
                <w:color w:val="auto"/>
                <w:w w:val="97"/>
              </w:rPr>
              <w:t>1,200,000</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
        </w:trPr>
        <w:tc>
          <w:tcPr>
            <w:tcW w:w="5600" w:type="dxa"/>
            <w:vAlign w:val="bottom"/>
            <w:tcBorders>
              <w:right w:val="single" w:sz="8" w:color="E2EDED"/>
            </w:tcBorders>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Borders>
              <w:right w:val="single" w:sz="8" w:color="E2EDED"/>
            </w:tcBorders>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Borders>
              <w:right w:val="single" w:sz="8" w:color="E2EDED"/>
            </w:tcBorders>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00" w:type="dxa"/>
            <w:vAlign w:val="bottom"/>
            <w:tcBorders>
              <w:right w:val="single" w:sz="8" w:color="E2EDED"/>
            </w:tcBorders>
            <w:shd w:val="clear" w:color="auto" w:fill="F5EBCC"/>
          </w:tcPr>
          <w:p>
            <w:pPr>
              <w:ind w:left="60"/>
              <w:spacing w:after="0"/>
              <w:rPr>
                <w:sz w:val="20"/>
                <w:szCs w:val="20"/>
                <w:color w:val="auto"/>
              </w:rPr>
            </w:pPr>
            <w:r>
              <w:rPr>
                <w:rFonts w:ascii="Arial" w:cs="Arial" w:eastAsia="Arial" w:hAnsi="Arial"/>
                <w:sz w:val="18"/>
                <w:szCs w:val="18"/>
                <w:color w:val="auto"/>
              </w:rPr>
              <w:t>Ellen F. Whittemore</w:t>
            </w:r>
          </w:p>
        </w:tc>
        <w:tc>
          <w:tcPr>
            <w:tcW w:w="420" w:type="dxa"/>
            <w:vAlign w:val="bottom"/>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2EDED"/>
            </w:tcBorders>
            <w:shd w:val="clear" w:color="auto" w:fill="F5EBCC"/>
          </w:tcPr>
          <w:p>
            <w:pPr>
              <w:jc w:val="right"/>
              <w:ind w:right="375"/>
              <w:spacing w:after="0"/>
              <w:rPr>
                <w:sz w:val="20"/>
                <w:szCs w:val="20"/>
                <w:color w:val="auto"/>
              </w:rPr>
            </w:pPr>
            <w:r>
              <w:rPr>
                <w:rFonts w:ascii="Arial" w:cs="Arial" w:eastAsia="Arial" w:hAnsi="Arial"/>
                <w:sz w:val="18"/>
                <w:szCs w:val="18"/>
                <w:color w:val="auto"/>
              </w:rPr>
              <w:t>665,000</w:t>
            </w:r>
          </w:p>
        </w:tc>
        <w:tc>
          <w:tcPr>
            <w:tcW w:w="520" w:type="dxa"/>
            <w:vAlign w:val="bottom"/>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E2EDED"/>
            </w:tcBorders>
            <w:shd w:val="clear" w:color="auto" w:fill="F5EBCC"/>
          </w:tcPr>
          <w:p>
            <w:pPr>
              <w:jc w:val="right"/>
              <w:ind w:right="475"/>
              <w:spacing w:after="0"/>
              <w:rPr>
                <w:sz w:val="20"/>
                <w:szCs w:val="20"/>
                <w:color w:val="auto"/>
              </w:rPr>
            </w:pPr>
            <w:r>
              <w:rPr>
                <w:rFonts w:ascii="Arial" w:cs="Arial" w:eastAsia="Arial" w:hAnsi="Arial"/>
                <w:sz w:val="18"/>
                <w:szCs w:val="18"/>
                <w:color w:val="auto"/>
              </w:rPr>
              <w:t>700,000</w:t>
            </w:r>
          </w:p>
        </w:tc>
        <w:tc>
          <w:tcPr>
            <w:tcW w:w="540" w:type="dxa"/>
            <w:vAlign w:val="bottom"/>
            <w:shd w:val="clear" w:color="auto" w:fill="F5EBCC"/>
          </w:tcPr>
          <w:p>
            <w:pPr>
              <w:ind w:left="4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F5EBCC"/>
          </w:tcPr>
          <w:p>
            <w:pPr>
              <w:jc w:val="right"/>
              <w:ind w:right="55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600" w:type="dxa"/>
            <w:vAlign w:val="bottom"/>
            <w:tcBorders>
              <w:right w:val="single" w:sz="8" w:color="E2EDED"/>
            </w:tcBorders>
            <w:shd w:val="clear" w:color="auto" w:fill="F5EBCC"/>
          </w:tcPr>
          <w:p>
            <w:pPr>
              <w:spacing w:after="0"/>
              <w:rPr>
                <w:sz w:val="2"/>
                <w:szCs w:val="2"/>
                <w:color w:val="auto"/>
              </w:rPr>
            </w:pPr>
          </w:p>
        </w:tc>
        <w:tc>
          <w:tcPr>
            <w:tcW w:w="420" w:type="dxa"/>
            <w:vAlign w:val="bottom"/>
            <w:shd w:val="clear" w:color="auto" w:fill="F5EBCC"/>
          </w:tcPr>
          <w:p>
            <w:pPr>
              <w:spacing w:after="0"/>
              <w:rPr>
                <w:sz w:val="2"/>
                <w:szCs w:val="2"/>
                <w:color w:val="auto"/>
              </w:rPr>
            </w:pPr>
          </w:p>
        </w:tc>
        <w:tc>
          <w:tcPr>
            <w:tcW w:w="1260" w:type="dxa"/>
            <w:vAlign w:val="bottom"/>
            <w:tcBorders>
              <w:right w:val="single" w:sz="8" w:color="E2EDED"/>
            </w:tcBorders>
            <w:shd w:val="clear" w:color="auto" w:fill="F5EBCC"/>
          </w:tcPr>
          <w:p>
            <w:pPr>
              <w:spacing w:after="0"/>
              <w:rPr>
                <w:sz w:val="2"/>
                <w:szCs w:val="2"/>
                <w:color w:val="auto"/>
              </w:rPr>
            </w:pPr>
          </w:p>
        </w:tc>
        <w:tc>
          <w:tcPr>
            <w:tcW w:w="520" w:type="dxa"/>
            <w:vAlign w:val="bottom"/>
            <w:shd w:val="clear" w:color="auto" w:fill="F5EBCC"/>
          </w:tcPr>
          <w:p>
            <w:pPr>
              <w:spacing w:after="0"/>
              <w:rPr>
                <w:sz w:val="2"/>
                <w:szCs w:val="2"/>
                <w:color w:val="auto"/>
              </w:rPr>
            </w:pPr>
          </w:p>
        </w:tc>
        <w:tc>
          <w:tcPr>
            <w:tcW w:w="1360" w:type="dxa"/>
            <w:vAlign w:val="bottom"/>
            <w:tcBorders>
              <w:right w:val="single" w:sz="8" w:color="E2EDED"/>
            </w:tcBorders>
            <w:shd w:val="clear" w:color="auto" w:fill="F5EBCC"/>
          </w:tcPr>
          <w:p>
            <w:pPr>
              <w:spacing w:after="0"/>
              <w:rPr>
                <w:sz w:val="2"/>
                <w:szCs w:val="2"/>
                <w:color w:val="auto"/>
              </w:rPr>
            </w:pPr>
          </w:p>
        </w:tc>
        <w:tc>
          <w:tcPr>
            <w:tcW w:w="540" w:type="dxa"/>
            <w:vAlign w:val="bottom"/>
            <w:shd w:val="clear" w:color="auto" w:fill="F5EBCC"/>
          </w:tcPr>
          <w:p>
            <w:pPr>
              <w:spacing w:after="0"/>
              <w:rPr>
                <w:sz w:val="2"/>
                <w:szCs w:val="2"/>
                <w:color w:val="auto"/>
              </w:rPr>
            </w:pPr>
          </w:p>
        </w:tc>
        <w:tc>
          <w:tcPr>
            <w:tcW w:w="1320" w:type="dxa"/>
            <w:vAlign w:val="bottom"/>
            <w:shd w:val="clear" w:color="auto" w:fill="F5EB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CE9B00"/>
        </w:rPr>
        <w:t xml:space="preserve">Annual Incentives: </w:t>
      </w:r>
      <w:r>
        <w:rPr>
          <w:rFonts w:ascii="Arial" w:cs="Arial" w:eastAsia="Arial" w:hAnsi="Arial"/>
          <w:sz w:val="18"/>
          <w:szCs w:val="18"/>
          <w:color w:val="000000"/>
        </w:rPr>
        <w:t>For the 2021 annual incentive awards granted under our Omnibus Plan, the Compensation Committee selected the</w:t>
      </w:r>
      <w:r>
        <w:rPr>
          <w:rFonts w:ascii="Arial" w:cs="Arial" w:eastAsia="Arial" w:hAnsi="Arial"/>
          <w:sz w:val="18"/>
          <w:szCs w:val="18"/>
          <w:color w:val="CE9B00"/>
        </w:rPr>
        <w:t xml:space="preserve"> </w:t>
      </w:r>
      <w:r>
        <w:rPr>
          <w:rFonts w:ascii="Arial" w:cs="Arial" w:eastAsia="Arial" w:hAnsi="Arial"/>
          <w:sz w:val="18"/>
          <w:szCs w:val="18"/>
          <w:color w:val="000000"/>
        </w:rPr>
        <w:t>following four performance goals:</w:t>
      </w:r>
    </w:p>
    <w:p>
      <w:pPr>
        <w:spacing w:after="0" w:line="224" w:lineRule="exact"/>
        <w:rPr>
          <w:sz w:val="20"/>
          <w:szCs w:val="20"/>
          <w:color w:val="auto"/>
        </w:rPr>
      </w:pPr>
    </w:p>
    <w:p>
      <w:pPr>
        <w:ind w:left="1000" w:right="20" w:hanging="876"/>
        <w:spacing w:after="0" w:line="238" w:lineRule="auto"/>
        <w:tabs>
          <w:tab w:leader="none" w:pos="980" w:val="left"/>
        </w:tabs>
        <w:rPr>
          <w:sz w:val="20"/>
          <w:szCs w:val="20"/>
          <w:color w:val="auto"/>
        </w:rPr>
      </w:pPr>
      <w:r>
        <w:rPr>
          <w:rFonts w:ascii="Arial" w:cs="Arial" w:eastAsia="Arial" w:hAnsi="Arial"/>
          <w:sz w:val="18"/>
          <w:szCs w:val="18"/>
          <w:color w:val="CE9B00"/>
        </w:rPr>
        <w:t>Goal 1 –</w:t>
        <w:tab/>
        <w:t xml:space="preserve">Encore Boston Harbor, 2021 Adjusted Property EBITDA (weighted 25%): </w:t>
      </w:r>
      <w:r>
        <w:rPr>
          <w:rFonts w:ascii="Arial" w:cs="Arial" w:eastAsia="Arial" w:hAnsi="Arial"/>
          <w:sz w:val="18"/>
          <w:szCs w:val="18"/>
          <w:color w:val="000000"/>
        </w:rPr>
        <w:t>This is used to measure the operating performance of</w:t>
      </w:r>
      <w:r>
        <w:rPr>
          <w:rFonts w:ascii="Arial" w:cs="Arial" w:eastAsia="Arial" w:hAnsi="Arial"/>
          <w:sz w:val="18"/>
          <w:szCs w:val="18"/>
          <w:color w:val="CE9B00"/>
        </w:rPr>
        <w:t xml:space="preserve"> </w:t>
      </w:r>
      <w:r>
        <w:rPr>
          <w:rFonts w:ascii="Arial" w:cs="Arial" w:eastAsia="Arial" w:hAnsi="Arial"/>
          <w:sz w:val="18"/>
          <w:szCs w:val="18"/>
          <w:color w:val="000000"/>
        </w:rPr>
        <w:t>our Boston property compared to that of our competitors. Adjusted Property EBITDA is an important measure of a property’s performance within its respective market, a key driver of return on equity and essential element to the valuation of our Company and our stock price.</w:t>
      </w:r>
    </w:p>
    <w:p>
      <w:pPr>
        <w:spacing w:after="0" w:line="205" w:lineRule="exact"/>
        <w:rPr>
          <w:sz w:val="20"/>
          <w:szCs w:val="20"/>
          <w:color w:val="auto"/>
        </w:rPr>
      </w:pPr>
    </w:p>
    <w:p>
      <w:pPr>
        <w:ind w:left="1000" w:right="100"/>
        <w:spacing w:after="0" w:line="274" w:lineRule="auto"/>
        <w:rPr>
          <w:sz w:val="20"/>
          <w:szCs w:val="20"/>
          <w:color w:val="auto"/>
        </w:rPr>
      </w:pPr>
      <w:r>
        <w:rPr>
          <w:rFonts w:ascii="Arial" w:cs="Arial" w:eastAsia="Arial" w:hAnsi="Arial"/>
          <w:sz w:val="17"/>
          <w:szCs w:val="17"/>
          <w:color w:val="auto"/>
        </w:rPr>
        <w:t>The Committee, based on the ongoing effect of the COVID-19 pandemic on the operating conditions in Boston, set a threshold performance level of at least $130 million, a target level of $140 million, and maximum performance level of $155 million.</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incentive payout would be earned in respect of this metric if the Company did not achieve the threshold performance level.</w:t>
      </w:r>
    </w:p>
    <w:p>
      <w:pPr>
        <w:spacing w:after="0" w:line="10"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38 //</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380" w:hanging="876"/>
        <w:spacing w:after="0" w:line="257" w:lineRule="auto"/>
        <w:tabs>
          <w:tab w:leader="none" w:pos="980" w:val="left"/>
        </w:tabs>
        <w:rPr>
          <w:sz w:val="20"/>
          <w:szCs w:val="20"/>
          <w:color w:val="auto"/>
        </w:rPr>
      </w:pPr>
      <w:r>
        <w:rPr>
          <w:rFonts w:ascii="Arial" w:cs="Arial" w:eastAsia="Arial" w:hAnsi="Arial"/>
          <w:sz w:val="18"/>
          <w:szCs w:val="18"/>
          <w:color w:val="CE9B00"/>
        </w:rPr>
        <w:t>Goal 2 –</w:t>
      </w:r>
      <w:r>
        <w:rPr>
          <w:sz w:val="20"/>
          <w:szCs w:val="20"/>
          <w:color w:val="auto"/>
        </w:rPr>
        <w:tab/>
      </w:r>
      <w:r>
        <w:rPr>
          <w:rFonts w:ascii="Arial" w:cs="Arial" w:eastAsia="Arial" w:hAnsi="Arial"/>
          <w:sz w:val="17"/>
          <w:szCs w:val="17"/>
          <w:color w:val="CE9B00"/>
        </w:rPr>
        <w:t xml:space="preserve">Wynn Las Vegas, Market Share of Gross Gaming Revenues (weighted 25%): </w:t>
      </w:r>
      <w:r>
        <w:rPr>
          <w:rFonts w:ascii="Arial" w:cs="Arial" w:eastAsia="Arial" w:hAnsi="Arial"/>
          <w:sz w:val="17"/>
          <w:szCs w:val="17"/>
          <w:color w:val="000000"/>
        </w:rPr>
        <w:t>Although Wynn Las Vegas remained open</w:t>
      </w:r>
      <w:r>
        <w:rPr>
          <w:rFonts w:ascii="Arial" w:cs="Arial" w:eastAsia="Arial" w:hAnsi="Arial"/>
          <w:sz w:val="17"/>
          <w:szCs w:val="17"/>
          <w:color w:val="CE9B00"/>
        </w:rPr>
        <w:t xml:space="preserve"> </w:t>
      </w:r>
      <w:r>
        <w:rPr>
          <w:rFonts w:ascii="Arial" w:cs="Arial" w:eastAsia="Arial" w:hAnsi="Arial"/>
          <w:sz w:val="17"/>
          <w:szCs w:val="17"/>
          <w:color w:val="000000"/>
        </w:rPr>
        <w:t>throughout 2021, many of its non-gaming offerings, including entertainment and group events, remained impacted by the COVID-19 pandemic. As such, the Compensation Committee established market share goals with respect to gross gaming revenues, a metric that largely reflects the state of the business under continued challenging and unusual conditions.</w:t>
      </w:r>
    </w:p>
    <w:p>
      <w:pPr>
        <w:spacing w:after="0" w:line="189" w:lineRule="exact"/>
        <w:rPr>
          <w:sz w:val="20"/>
          <w:szCs w:val="20"/>
          <w:color w:val="auto"/>
        </w:rPr>
      </w:pPr>
    </w:p>
    <w:p>
      <w:pPr>
        <w:ind w:left="1000" w:right="280"/>
        <w:spacing w:after="0" w:line="246" w:lineRule="auto"/>
        <w:rPr>
          <w:sz w:val="20"/>
          <w:szCs w:val="20"/>
          <w:color w:val="auto"/>
        </w:rPr>
      </w:pPr>
      <w:r>
        <w:rPr>
          <w:rFonts w:ascii="Arial" w:cs="Arial" w:eastAsia="Arial" w:hAnsi="Arial"/>
          <w:sz w:val="18"/>
          <w:szCs w:val="18"/>
          <w:color w:val="auto"/>
        </w:rPr>
        <w:t>The Committee set a threshold performance level of 10% market share, a target level of 12% market share, and a maximum performance level of 14% market share.</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incentive payout would be earned in respect of this metric if the Company did not achieve the threshold performance level.</w:t>
      </w:r>
    </w:p>
    <w:p>
      <w:pPr>
        <w:spacing w:after="0" w:line="239" w:lineRule="exact"/>
        <w:rPr>
          <w:sz w:val="20"/>
          <w:szCs w:val="20"/>
          <w:color w:val="auto"/>
        </w:rPr>
      </w:pPr>
    </w:p>
    <w:p>
      <w:pPr>
        <w:ind w:left="1000" w:right="40" w:hanging="876"/>
        <w:spacing w:after="0" w:line="238" w:lineRule="auto"/>
        <w:tabs>
          <w:tab w:leader="none" w:pos="980" w:val="left"/>
        </w:tabs>
        <w:rPr>
          <w:sz w:val="20"/>
          <w:szCs w:val="20"/>
          <w:color w:val="auto"/>
        </w:rPr>
      </w:pPr>
      <w:r>
        <w:rPr>
          <w:rFonts w:ascii="Arial" w:cs="Arial" w:eastAsia="Arial" w:hAnsi="Arial"/>
          <w:sz w:val="18"/>
          <w:szCs w:val="18"/>
          <w:color w:val="CE9B00"/>
        </w:rPr>
        <w:t>Goal 3 –</w:t>
        <w:tab/>
        <w:t xml:space="preserve">Macau Operations, Market Share of Gross Gaming Revenues on Mass Table Games and Slot Machines (weighted 25%): </w:t>
      </w:r>
      <w:r>
        <w:rPr>
          <w:rFonts w:ascii="Arial" w:cs="Arial" w:eastAsia="Arial" w:hAnsi="Arial"/>
          <w:sz w:val="18"/>
          <w:szCs w:val="18"/>
          <w:color w:val="000000"/>
        </w:rPr>
        <w:t>Despite the reopening of the Company’s properties in Macau, visitation volumes remained suppressed due to travel restrictions related to the COVID-19 pandemic. In line with the performance goals set for Wynn Las Vegas above, the Compensation Committee established market share goals with respect to gross gaming revenues on mass table games and slot machines for its Macau operations.</w:t>
      </w:r>
    </w:p>
    <w:p>
      <w:pPr>
        <w:spacing w:after="0" w:line="202" w:lineRule="exact"/>
        <w:rPr>
          <w:sz w:val="20"/>
          <w:szCs w:val="20"/>
          <w:color w:val="auto"/>
        </w:rPr>
      </w:pPr>
    </w:p>
    <w:p>
      <w:pPr>
        <w:ind w:left="1000" w:right="800"/>
        <w:spacing w:after="0" w:line="246" w:lineRule="auto"/>
        <w:rPr>
          <w:sz w:val="20"/>
          <w:szCs w:val="20"/>
          <w:color w:val="auto"/>
        </w:rPr>
      </w:pPr>
      <w:r>
        <w:rPr>
          <w:rFonts w:ascii="Arial" w:cs="Arial" w:eastAsia="Arial" w:hAnsi="Arial"/>
          <w:sz w:val="18"/>
          <w:szCs w:val="18"/>
          <w:color w:val="auto"/>
        </w:rPr>
        <w:t>The Committee set a threshold performance level of 10.5% market share, a target level of 11.5% market share, and a maximum performance level of 13% market share.</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incentive payout would be earned in respect of this metric if the Company did not achieve the threshold performance level.</w:t>
      </w:r>
    </w:p>
    <w:p>
      <w:pPr>
        <w:spacing w:after="0" w:line="212" w:lineRule="exact"/>
        <w:rPr>
          <w:sz w:val="20"/>
          <w:szCs w:val="20"/>
          <w:color w:val="auto"/>
        </w:rPr>
      </w:pPr>
    </w:p>
    <w:p>
      <w:pPr>
        <w:jc w:val="both"/>
        <w:ind w:left="1000" w:right="60" w:hanging="876"/>
        <w:spacing w:after="0" w:line="261" w:lineRule="auto"/>
        <w:tabs>
          <w:tab w:leader="none" w:pos="980" w:val="left"/>
        </w:tabs>
        <w:rPr>
          <w:sz w:val="20"/>
          <w:szCs w:val="20"/>
          <w:color w:val="auto"/>
        </w:rPr>
      </w:pPr>
      <w:r>
        <w:rPr>
          <w:rFonts w:ascii="Arial" w:cs="Arial" w:eastAsia="Arial" w:hAnsi="Arial"/>
          <w:sz w:val="18"/>
          <w:szCs w:val="18"/>
          <w:color w:val="CE9B00"/>
        </w:rPr>
        <w:t>Goal 4 –</w:t>
      </w:r>
      <w:r>
        <w:rPr>
          <w:sz w:val="20"/>
          <w:szCs w:val="20"/>
          <w:color w:val="auto"/>
        </w:rPr>
        <w:tab/>
      </w:r>
      <w:r>
        <w:rPr>
          <w:rFonts w:ascii="Arial" w:cs="Arial" w:eastAsia="Arial" w:hAnsi="Arial"/>
          <w:sz w:val="17"/>
          <w:szCs w:val="17"/>
          <w:color w:val="CE9B00"/>
        </w:rPr>
        <w:t xml:space="preserve">Wynn Interactive, Successful Scaling and Capitalization (weighted 25%): </w:t>
      </w:r>
      <w:r>
        <w:rPr>
          <w:rFonts w:ascii="Arial" w:cs="Arial" w:eastAsia="Arial" w:hAnsi="Arial"/>
          <w:sz w:val="17"/>
          <w:szCs w:val="17"/>
          <w:color w:val="000000"/>
        </w:rPr>
        <w:t>Having established its online gaming division in 2020,</w:t>
      </w:r>
      <w:r>
        <w:rPr>
          <w:rFonts w:ascii="Arial" w:cs="Arial" w:eastAsia="Arial" w:hAnsi="Arial"/>
          <w:sz w:val="17"/>
          <w:szCs w:val="17"/>
          <w:color w:val="CE9B00"/>
        </w:rPr>
        <w:t xml:space="preserve"> </w:t>
      </w:r>
      <w:r>
        <w:rPr>
          <w:rFonts w:ascii="Arial" w:cs="Arial" w:eastAsia="Arial" w:hAnsi="Arial"/>
          <w:sz w:val="17"/>
          <w:szCs w:val="17"/>
          <w:color w:val="000000"/>
        </w:rPr>
        <w:t>the Committee sought to incentivize management to grow that business during 2021. As such, this performance goal supports the Company’s strategic deployment of capital expenditures and return on capital, as well as increased brand awareness.</w:t>
      </w:r>
    </w:p>
    <w:p>
      <w:pPr>
        <w:spacing w:after="0" w:line="15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These awards were subject to (i) the limitations set forth in the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 as well as general macroeconomic conditions.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2021 Annual incentive payout:</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2021, Actual Adjusted Property EBITDA for Encore Boston Harbor was $55.1 million above the maximum performance level. Wynn Las Vegas achieved 12.1% market share in gross gaming revenues. Our Macau Operations achieved 15.6% market share in gross gaming revenues on mass table games and slot machines, above the maximum threshold. And, while the Company materially expanded the business of Wynn Interactive, the division did not achieve certain capitalization milestones and, as such, the Committee used negative discretion and did not pay an award based on this goal.</w:t>
      </w:r>
    </w:p>
    <w:p>
      <w:pPr>
        <w:spacing w:after="0" w:line="162"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Based on the 2021 results, in January 2022, the Compensation Committee determined the actual award payouts as set forth below, with the award being split equally in cash and stock:</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right w:val="single" w:sz="8" w:color="A8BCBF"/>
            </w:tcBorders>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779"/>
              <w:spacing w:after="0"/>
              <w:rPr>
                <w:sz w:val="20"/>
                <w:szCs w:val="20"/>
                <w:color w:val="auto"/>
              </w:rPr>
            </w:pPr>
            <w:r>
              <w:rPr>
                <w:rFonts w:ascii="Arial" w:cs="Arial" w:eastAsia="Arial" w:hAnsi="Arial"/>
                <w:sz w:val="11"/>
                <w:szCs w:val="11"/>
                <w:b w:val="1"/>
                <w:bCs w:val="1"/>
                <w:color w:val="CE9B00"/>
              </w:rPr>
              <w:t>ACTUAL AWARD(5)</w:t>
            </w:r>
          </w:p>
        </w:tc>
        <w:tc>
          <w:tcPr>
            <w:tcW w:w="0" w:type="dxa"/>
            <w:vAlign w:val="bottom"/>
          </w:tcPr>
          <w:p>
            <w:pPr>
              <w:spacing w:after="0"/>
              <w:rPr>
                <w:sz w:val="1"/>
                <w:szCs w:val="1"/>
                <w:color w:val="auto"/>
              </w:rPr>
            </w:pPr>
          </w:p>
        </w:tc>
      </w:tr>
      <w:tr>
        <w:trPr>
          <w:trHeight w:val="95"/>
        </w:trPr>
        <w:tc>
          <w:tcPr>
            <w:tcW w:w="5160" w:type="dxa"/>
            <w:vAlign w:val="bottom"/>
            <w:vMerge w:val="restart"/>
          </w:tcPr>
          <w:p>
            <w:pPr>
              <w:ind w:left="60"/>
              <w:spacing w:after="0"/>
              <w:rPr>
                <w:sz w:val="20"/>
                <w:szCs w:val="20"/>
                <w:color w:val="auto"/>
              </w:rPr>
            </w:pPr>
            <w:r>
              <w:rPr>
                <w:rFonts w:ascii="Arial" w:cs="Arial" w:eastAsia="Arial" w:hAnsi="Arial"/>
                <w:sz w:val="11"/>
                <w:szCs w:val="11"/>
                <w:b w:val="1"/>
                <w:bCs w:val="1"/>
                <w:color w:val="CE9B00"/>
              </w:rPr>
              <w:t>NAMED EXECUTIVE OFFICER</w:t>
            </w:r>
          </w:p>
        </w:tc>
        <w:tc>
          <w:tcPr>
            <w:tcW w:w="2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CE9B00"/>
                <w:w w:val="98"/>
              </w:rPr>
              <w:t>THRESHOLD (1)</w:t>
            </w:r>
          </w:p>
        </w:tc>
        <w:tc>
          <w:tcPr>
            <w:tcW w:w="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CE9B00"/>
                <w:w w:val="97"/>
              </w:rPr>
              <w:t>TARGET (2)</w:t>
            </w:r>
          </w:p>
        </w:tc>
        <w:tc>
          <w:tcPr>
            <w:tcW w:w="20" w:type="dxa"/>
            <w:vAlign w:val="bottom"/>
          </w:tcPr>
          <w:p>
            <w:pPr>
              <w:spacing w:after="0"/>
              <w:rPr>
                <w:sz w:val="8"/>
                <w:szCs w:val="8"/>
                <w:color w:val="auto"/>
              </w:rPr>
            </w:pPr>
          </w:p>
        </w:tc>
        <w:tc>
          <w:tcPr>
            <w:tcW w:w="104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1"/>
                <w:szCs w:val="11"/>
                <w:b w:val="1"/>
                <w:bCs w:val="1"/>
                <w:color w:val="CE9B00"/>
                <w:w w:val="99"/>
              </w:rPr>
              <w:t>MAXIMUM (3)</w:t>
            </w:r>
          </w:p>
        </w:tc>
        <w:tc>
          <w:tcPr>
            <w:tcW w:w="300" w:type="dxa"/>
            <w:vAlign w:val="bottom"/>
          </w:tcPr>
          <w:p>
            <w:pPr>
              <w:spacing w:after="0"/>
              <w:rPr>
                <w:sz w:val="8"/>
                <w:szCs w:val="8"/>
                <w:color w:val="auto"/>
              </w:rPr>
            </w:pPr>
          </w:p>
        </w:tc>
        <w:tc>
          <w:tcPr>
            <w:tcW w:w="1020" w:type="dxa"/>
            <w:vAlign w:val="bottom"/>
            <w:vMerge w:val="restart"/>
          </w:tcPr>
          <w:p>
            <w:pPr>
              <w:jc w:val="right"/>
              <w:ind w:right="504"/>
              <w:spacing w:after="0"/>
              <w:rPr>
                <w:sz w:val="20"/>
                <w:szCs w:val="20"/>
                <w:color w:val="auto"/>
              </w:rPr>
            </w:pPr>
            <w:r>
              <w:rPr>
                <w:rFonts w:ascii="Arial" w:cs="Arial" w:eastAsia="Arial" w:hAnsi="Arial"/>
                <w:sz w:val="11"/>
                <w:szCs w:val="11"/>
                <w:b w:val="1"/>
                <w:bCs w:val="1"/>
                <w:color w:val="CE9B00"/>
              </w:rPr>
              <w:t>CASH</w:t>
            </w:r>
          </w:p>
        </w:tc>
        <w:tc>
          <w:tcPr>
            <w:tcW w:w="320" w:type="dxa"/>
            <w:vAlign w:val="bottom"/>
          </w:tcPr>
          <w:p>
            <w:pPr>
              <w:spacing w:after="0"/>
              <w:rPr>
                <w:sz w:val="8"/>
                <w:szCs w:val="8"/>
                <w:color w:val="auto"/>
              </w:rPr>
            </w:pPr>
          </w:p>
        </w:tc>
        <w:tc>
          <w:tcPr>
            <w:tcW w:w="1040" w:type="dxa"/>
            <w:vAlign w:val="bottom"/>
            <w:vMerge w:val="restart"/>
          </w:tcPr>
          <w:p>
            <w:pPr>
              <w:jc w:val="right"/>
              <w:ind w:right="379"/>
              <w:spacing w:after="0"/>
              <w:rPr>
                <w:sz w:val="20"/>
                <w:szCs w:val="20"/>
                <w:color w:val="auto"/>
              </w:rPr>
            </w:pPr>
            <w:r>
              <w:rPr>
                <w:rFonts w:ascii="Arial" w:cs="Arial" w:eastAsia="Arial" w:hAnsi="Arial"/>
                <w:sz w:val="11"/>
                <w:szCs w:val="11"/>
                <w:b w:val="1"/>
                <w:bCs w:val="1"/>
                <w:color w:val="CE9B00"/>
                <w:w w:val="97"/>
              </w:rPr>
              <w:t>EQUITY (4)</w:t>
            </w:r>
          </w:p>
        </w:tc>
        <w:tc>
          <w:tcPr>
            <w:tcW w:w="0" w:type="dxa"/>
            <w:vAlign w:val="bottom"/>
          </w:tcPr>
          <w:p>
            <w:pPr>
              <w:spacing w:after="0"/>
              <w:rPr>
                <w:sz w:val="1"/>
                <w:szCs w:val="1"/>
                <w:color w:val="auto"/>
              </w:rPr>
            </w:pPr>
          </w:p>
        </w:tc>
      </w:tr>
      <w:tr>
        <w:trPr>
          <w:trHeight w:val="153"/>
        </w:trPr>
        <w:tc>
          <w:tcPr>
            <w:tcW w:w="5160" w:type="dxa"/>
            <w:vAlign w:val="bottom"/>
            <w:vMerge w:val="continue"/>
          </w:tcPr>
          <w:p>
            <w:pPr>
              <w:spacing w:after="0"/>
              <w:rPr>
                <w:sz w:val="13"/>
                <w:szCs w:val="13"/>
                <w:color w:val="auto"/>
              </w:rPr>
            </w:pPr>
          </w:p>
        </w:tc>
        <w:tc>
          <w:tcPr>
            <w:tcW w:w="20" w:type="dxa"/>
            <w:vAlign w:val="bottom"/>
            <w:shd w:val="clear" w:color="auto" w:fill="A8BCBF"/>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shd w:val="clear" w:color="auto" w:fill="A8BCBF"/>
          </w:tcPr>
          <w:p>
            <w:pPr>
              <w:spacing w:after="0"/>
              <w:rPr>
                <w:sz w:val="13"/>
                <w:szCs w:val="13"/>
                <w:color w:val="auto"/>
              </w:rPr>
            </w:pPr>
          </w:p>
        </w:tc>
        <w:tc>
          <w:tcPr>
            <w:tcW w:w="920" w:type="dxa"/>
            <w:vAlign w:val="bottom"/>
            <w:vMerge w:val="continue"/>
          </w:tcPr>
          <w:p>
            <w:pPr>
              <w:spacing w:after="0"/>
              <w:rPr>
                <w:sz w:val="13"/>
                <w:szCs w:val="13"/>
                <w:color w:val="auto"/>
              </w:rPr>
            </w:pPr>
          </w:p>
        </w:tc>
        <w:tc>
          <w:tcPr>
            <w:tcW w:w="20" w:type="dxa"/>
            <w:vAlign w:val="bottom"/>
            <w:shd w:val="clear" w:color="auto" w:fill="A8BCBF"/>
          </w:tcPr>
          <w:p>
            <w:pPr>
              <w:spacing w:after="0"/>
              <w:rPr>
                <w:sz w:val="13"/>
                <w:szCs w:val="13"/>
                <w:color w:val="auto"/>
              </w:rPr>
            </w:pPr>
          </w:p>
        </w:tc>
        <w:tc>
          <w:tcPr>
            <w:tcW w:w="1040" w:type="dxa"/>
            <w:vAlign w:val="bottom"/>
            <w:tcBorders>
              <w:right w:val="single" w:sz="8" w:color="A8BCBF"/>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320" w:type="dxa"/>
            <w:vAlign w:val="bottom"/>
            <w:tcBorders>
              <w:left w:val="single" w:sz="8" w:color="A8BCBF"/>
            </w:tcBorders>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516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1040" w:type="dxa"/>
            <w:vAlign w:val="bottom"/>
            <w:tcBorders>
              <w:right w:val="single" w:sz="8" w:color="A8BCBF"/>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Borders>
              <w:left w:val="single" w:sz="8" w:color="A8BCBF"/>
            </w:tcBorders>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F5EBCC"/>
          </w:tcPr>
          <w:p>
            <w:pPr>
              <w:ind w:left="60"/>
              <w:spacing w:after="0"/>
              <w:rPr>
                <w:sz w:val="20"/>
                <w:szCs w:val="20"/>
                <w:color w:val="auto"/>
              </w:rPr>
            </w:pPr>
            <w:r>
              <w:rPr>
                <w:rFonts w:ascii="Arial" w:cs="Arial" w:eastAsia="Arial" w:hAnsi="Arial"/>
                <w:sz w:val="18"/>
                <w:szCs w:val="18"/>
                <w:color w:val="auto"/>
              </w:rPr>
              <w:t>Matt Maddox</w:t>
            </w:r>
          </w:p>
        </w:tc>
        <w:tc>
          <w:tcPr>
            <w:tcW w:w="20" w:type="dxa"/>
            <w:vAlign w:val="bottom"/>
            <w:shd w:val="clear" w:color="auto" w:fill="A8BCBF"/>
          </w:tcPr>
          <w:p>
            <w:pPr>
              <w:spacing w:after="0"/>
              <w:rPr>
                <w:sz w:val="19"/>
                <w:szCs w:val="19"/>
                <w:color w:val="auto"/>
              </w:rPr>
            </w:pPr>
          </w:p>
        </w:tc>
        <w:tc>
          <w:tcPr>
            <w:tcW w:w="1160" w:type="dxa"/>
            <w:vAlign w:val="bottom"/>
            <w:shd w:val="clear" w:color="auto" w:fill="F5EBCC"/>
          </w:tcPr>
          <w:p>
            <w:pPr>
              <w:jc w:val="center"/>
              <w:ind w:left="19"/>
              <w:spacing w:after="0"/>
              <w:rPr>
                <w:sz w:val="20"/>
                <w:szCs w:val="20"/>
                <w:color w:val="auto"/>
              </w:rPr>
            </w:pPr>
            <w:r>
              <w:rPr>
                <w:rFonts w:ascii="Arial" w:cs="Arial" w:eastAsia="Arial" w:hAnsi="Arial"/>
                <w:sz w:val="18"/>
                <w:szCs w:val="18"/>
                <w:color w:val="auto"/>
                <w:w w:val="99"/>
              </w:rPr>
              <w:t>200%</w:t>
            </w:r>
          </w:p>
        </w:tc>
        <w:tc>
          <w:tcPr>
            <w:tcW w:w="20" w:type="dxa"/>
            <w:vAlign w:val="bottom"/>
            <w:shd w:val="clear" w:color="auto" w:fill="A8BCBF"/>
          </w:tcPr>
          <w:p>
            <w:pPr>
              <w:spacing w:after="0"/>
              <w:rPr>
                <w:sz w:val="19"/>
                <w:szCs w:val="19"/>
                <w:color w:val="auto"/>
              </w:rPr>
            </w:pPr>
          </w:p>
        </w:tc>
        <w:tc>
          <w:tcPr>
            <w:tcW w:w="920" w:type="dxa"/>
            <w:vAlign w:val="bottom"/>
            <w:shd w:val="clear" w:color="auto" w:fill="F5EBCC"/>
          </w:tcPr>
          <w:p>
            <w:pPr>
              <w:jc w:val="center"/>
              <w:ind w:left="19"/>
              <w:spacing w:after="0"/>
              <w:rPr>
                <w:sz w:val="20"/>
                <w:szCs w:val="20"/>
                <w:color w:val="auto"/>
              </w:rPr>
            </w:pPr>
            <w:r>
              <w:rPr>
                <w:rFonts w:ascii="Arial" w:cs="Arial" w:eastAsia="Arial" w:hAnsi="Arial"/>
                <w:sz w:val="18"/>
                <w:szCs w:val="18"/>
                <w:color w:val="auto"/>
                <w:w w:val="99"/>
              </w:rPr>
              <w:t>250%</w:t>
            </w:r>
          </w:p>
        </w:tc>
        <w:tc>
          <w:tcPr>
            <w:tcW w:w="20" w:type="dxa"/>
            <w:vAlign w:val="bottom"/>
            <w:shd w:val="clear" w:color="auto" w:fill="A8BCBF"/>
          </w:tcPr>
          <w:p>
            <w:pPr>
              <w:spacing w:after="0"/>
              <w:rPr>
                <w:sz w:val="19"/>
                <w:szCs w:val="19"/>
                <w:color w:val="auto"/>
              </w:rPr>
            </w:pPr>
          </w:p>
        </w:tc>
        <w:tc>
          <w:tcPr>
            <w:tcW w:w="1040" w:type="dxa"/>
            <w:vAlign w:val="bottom"/>
            <w:tcBorders>
              <w:right w:val="single" w:sz="8" w:color="A8BCBF"/>
            </w:tcBorders>
            <w:shd w:val="clear" w:color="auto" w:fill="F5EBCC"/>
          </w:tcPr>
          <w:p>
            <w:pPr>
              <w:jc w:val="center"/>
              <w:spacing w:after="0"/>
              <w:rPr>
                <w:sz w:val="20"/>
                <w:szCs w:val="20"/>
                <w:color w:val="auto"/>
              </w:rPr>
            </w:pPr>
            <w:r>
              <w:rPr>
                <w:rFonts w:ascii="Arial" w:cs="Arial" w:eastAsia="Arial" w:hAnsi="Arial"/>
                <w:sz w:val="18"/>
                <w:szCs w:val="18"/>
                <w:color w:val="auto"/>
                <w:w w:val="99"/>
              </w:rPr>
              <w:t>300%</w:t>
            </w:r>
          </w:p>
        </w:tc>
        <w:tc>
          <w:tcPr>
            <w:tcW w:w="300" w:type="dxa"/>
            <w:vAlign w:val="bottom"/>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5EBCC"/>
          </w:tcPr>
          <w:p>
            <w:pPr>
              <w:jc w:val="right"/>
              <w:ind w:right="144"/>
              <w:spacing w:after="0"/>
              <w:rPr>
                <w:sz w:val="20"/>
                <w:szCs w:val="20"/>
                <w:color w:val="auto"/>
              </w:rPr>
            </w:pPr>
            <w:r>
              <w:rPr>
                <w:rFonts w:ascii="Arial" w:cs="Arial" w:eastAsia="Arial" w:hAnsi="Arial"/>
                <w:sz w:val="18"/>
                <w:szCs w:val="18"/>
                <w:color w:val="auto"/>
                <w:w w:val="97"/>
              </w:rPr>
              <w:t>2,500,000</w:t>
            </w:r>
          </w:p>
        </w:tc>
        <w:tc>
          <w:tcPr>
            <w:tcW w:w="320" w:type="dxa"/>
            <w:vAlign w:val="bottom"/>
            <w:tcBorders>
              <w:left w:val="single" w:sz="8" w:color="A8BCBF"/>
            </w:tcBorders>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5EBCC"/>
          </w:tcPr>
          <w:p>
            <w:pPr>
              <w:jc w:val="right"/>
              <w:ind w:right="139"/>
              <w:spacing w:after="0"/>
              <w:rPr>
                <w:sz w:val="20"/>
                <w:szCs w:val="20"/>
                <w:color w:val="auto"/>
              </w:rPr>
            </w:pPr>
            <w:r>
              <w:rPr>
                <w:rFonts w:ascii="Arial" w:cs="Arial" w:eastAsia="Arial" w:hAnsi="Arial"/>
                <w:sz w:val="18"/>
                <w:szCs w:val="18"/>
                <w:color w:val="auto"/>
                <w:w w:val="99"/>
              </w:rPr>
              <w:t>2,500,000</w:t>
            </w:r>
          </w:p>
        </w:tc>
        <w:tc>
          <w:tcPr>
            <w:tcW w:w="0" w:type="dxa"/>
            <w:vAlign w:val="bottom"/>
          </w:tcPr>
          <w:p>
            <w:pPr>
              <w:spacing w:after="0"/>
              <w:rPr>
                <w:sz w:val="1"/>
                <w:szCs w:val="1"/>
                <w:color w:val="auto"/>
              </w:rPr>
            </w:pPr>
          </w:p>
        </w:tc>
      </w:tr>
      <w:tr>
        <w:trPr>
          <w:trHeight w:val="230"/>
        </w:trPr>
        <w:tc>
          <w:tcPr>
            <w:tcW w:w="5160" w:type="dxa"/>
            <w:vAlign w:val="bottom"/>
          </w:tcPr>
          <w:p>
            <w:pPr>
              <w:ind w:left="60"/>
              <w:spacing w:after="0"/>
              <w:rPr>
                <w:sz w:val="20"/>
                <w:szCs w:val="20"/>
                <w:color w:val="auto"/>
              </w:rPr>
            </w:pPr>
            <w:r>
              <w:rPr>
                <w:rFonts w:ascii="Arial" w:cs="Arial" w:eastAsia="Arial" w:hAnsi="Arial"/>
                <w:sz w:val="18"/>
                <w:szCs w:val="18"/>
                <w:color w:val="auto"/>
              </w:rPr>
              <w:t>Craig S. Billings</w:t>
            </w:r>
          </w:p>
        </w:tc>
        <w:tc>
          <w:tcPr>
            <w:tcW w:w="20" w:type="dxa"/>
            <w:vAlign w:val="bottom"/>
            <w:shd w:val="clear" w:color="auto" w:fill="A8BCBF"/>
          </w:tcPr>
          <w:p>
            <w:pPr>
              <w:spacing w:after="0"/>
              <w:rPr>
                <w:sz w:val="19"/>
                <w:szCs w:val="19"/>
                <w:color w:val="auto"/>
              </w:rPr>
            </w:pPr>
          </w:p>
        </w:tc>
        <w:tc>
          <w:tcPr>
            <w:tcW w:w="1160" w:type="dxa"/>
            <w:vAlign w:val="bottom"/>
          </w:tcPr>
          <w:p>
            <w:pPr>
              <w:jc w:val="center"/>
              <w:ind w:left="19"/>
              <w:spacing w:after="0"/>
              <w:rPr>
                <w:sz w:val="20"/>
                <w:szCs w:val="20"/>
                <w:color w:val="auto"/>
              </w:rPr>
            </w:pPr>
            <w:r>
              <w:rPr>
                <w:rFonts w:ascii="Arial" w:cs="Arial" w:eastAsia="Arial" w:hAnsi="Arial"/>
                <w:sz w:val="18"/>
                <w:szCs w:val="18"/>
                <w:color w:val="auto"/>
                <w:w w:val="99"/>
              </w:rPr>
              <w:t>160%</w:t>
            </w:r>
          </w:p>
        </w:tc>
        <w:tc>
          <w:tcPr>
            <w:tcW w:w="20" w:type="dxa"/>
            <w:vAlign w:val="bottom"/>
            <w:shd w:val="clear" w:color="auto" w:fill="A8BCBF"/>
          </w:tcPr>
          <w:p>
            <w:pPr>
              <w:spacing w:after="0"/>
              <w:rPr>
                <w:sz w:val="19"/>
                <w:szCs w:val="19"/>
                <w:color w:val="auto"/>
              </w:rPr>
            </w:pPr>
          </w:p>
        </w:tc>
        <w:tc>
          <w:tcPr>
            <w:tcW w:w="920" w:type="dxa"/>
            <w:vAlign w:val="bottom"/>
          </w:tcPr>
          <w:p>
            <w:pPr>
              <w:jc w:val="center"/>
              <w:ind w:left="19"/>
              <w:spacing w:after="0"/>
              <w:rPr>
                <w:sz w:val="20"/>
                <w:szCs w:val="20"/>
                <w:color w:val="auto"/>
              </w:rPr>
            </w:pPr>
            <w:r>
              <w:rPr>
                <w:rFonts w:ascii="Arial" w:cs="Arial" w:eastAsia="Arial" w:hAnsi="Arial"/>
                <w:sz w:val="18"/>
                <w:szCs w:val="18"/>
                <w:color w:val="auto"/>
                <w:w w:val="99"/>
              </w:rPr>
              <w:t>200%</w:t>
            </w:r>
          </w:p>
        </w:tc>
        <w:tc>
          <w:tcPr>
            <w:tcW w:w="20" w:type="dxa"/>
            <w:vAlign w:val="bottom"/>
            <w:shd w:val="clear" w:color="auto" w:fill="A8BCBF"/>
          </w:tcPr>
          <w:p>
            <w:pPr>
              <w:spacing w:after="0"/>
              <w:rPr>
                <w:sz w:val="19"/>
                <w:szCs w:val="19"/>
                <w:color w:val="auto"/>
              </w:rPr>
            </w:pPr>
          </w:p>
        </w:tc>
        <w:tc>
          <w:tcPr>
            <w:tcW w:w="1040" w:type="dxa"/>
            <w:vAlign w:val="bottom"/>
            <w:tcBorders>
              <w:right w:val="single" w:sz="8" w:color="A8BCBF"/>
            </w:tcBorders>
          </w:tcPr>
          <w:p>
            <w:pPr>
              <w:jc w:val="center"/>
              <w:spacing w:after="0"/>
              <w:rPr>
                <w:sz w:val="20"/>
                <w:szCs w:val="20"/>
                <w:color w:val="auto"/>
              </w:rPr>
            </w:pPr>
            <w:r>
              <w:rPr>
                <w:rFonts w:ascii="Arial" w:cs="Arial" w:eastAsia="Arial" w:hAnsi="Arial"/>
                <w:sz w:val="18"/>
                <w:szCs w:val="18"/>
                <w:color w:val="auto"/>
                <w:w w:val="99"/>
              </w:rPr>
              <w:t>240%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4"/>
              <w:spacing w:after="0"/>
              <w:rPr>
                <w:sz w:val="20"/>
                <w:szCs w:val="20"/>
                <w:color w:val="auto"/>
              </w:rPr>
            </w:pPr>
            <w:r>
              <w:rPr>
                <w:rFonts w:ascii="Arial" w:cs="Arial" w:eastAsia="Arial" w:hAnsi="Arial"/>
                <w:sz w:val="18"/>
                <w:szCs w:val="18"/>
                <w:color w:val="auto"/>
                <w:w w:val="97"/>
              </w:rPr>
              <w:t>1,200,000</w:t>
            </w:r>
          </w:p>
        </w:tc>
        <w:tc>
          <w:tcPr>
            <w:tcW w:w="320" w:type="dxa"/>
            <w:vAlign w:val="bottom"/>
            <w:tcBorders>
              <w:left w:val="single" w:sz="8" w:color="A8BCBF"/>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9"/>
              <w:spacing w:after="0"/>
              <w:rPr>
                <w:sz w:val="20"/>
                <w:szCs w:val="20"/>
                <w:color w:val="auto"/>
              </w:rPr>
            </w:pPr>
            <w:r>
              <w:rPr>
                <w:rFonts w:ascii="Arial" w:cs="Arial" w:eastAsia="Arial" w:hAnsi="Arial"/>
                <w:sz w:val="18"/>
                <w:szCs w:val="18"/>
                <w:color w:val="auto"/>
                <w:w w:val="99"/>
              </w:rPr>
              <w:t>1,200,000</w:t>
            </w:r>
          </w:p>
        </w:tc>
        <w:tc>
          <w:tcPr>
            <w:tcW w:w="0" w:type="dxa"/>
            <w:vAlign w:val="bottom"/>
          </w:tcPr>
          <w:p>
            <w:pPr>
              <w:spacing w:after="0"/>
              <w:rPr>
                <w:sz w:val="1"/>
                <w:szCs w:val="1"/>
                <w:color w:val="auto"/>
              </w:rPr>
            </w:pPr>
          </w:p>
        </w:tc>
      </w:tr>
      <w:tr>
        <w:trPr>
          <w:trHeight w:val="230"/>
        </w:trPr>
        <w:tc>
          <w:tcPr>
            <w:tcW w:w="5160" w:type="dxa"/>
            <w:vAlign w:val="bottom"/>
            <w:shd w:val="clear" w:color="auto" w:fill="F5EBCC"/>
          </w:tcPr>
          <w:p>
            <w:pPr>
              <w:ind w:left="60"/>
              <w:spacing w:after="0"/>
              <w:rPr>
                <w:sz w:val="20"/>
                <w:szCs w:val="20"/>
                <w:color w:val="auto"/>
              </w:rPr>
            </w:pPr>
            <w:r>
              <w:rPr>
                <w:rFonts w:ascii="Arial" w:cs="Arial" w:eastAsia="Arial" w:hAnsi="Arial"/>
                <w:sz w:val="18"/>
                <w:szCs w:val="18"/>
                <w:color w:val="auto"/>
              </w:rPr>
              <w:t>Ellen F. Whittemore</w:t>
            </w:r>
          </w:p>
        </w:tc>
        <w:tc>
          <w:tcPr>
            <w:tcW w:w="20" w:type="dxa"/>
            <w:vAlign w:val="bottom"/>
            <w:shd w:val="clear" w:color="auto" w:fill="A8BCBF"/>
          </w:tcPr>
          <w:p>
            <w:pPr>
              <w:spacing w:after="0"/>
              <w:rPr>
                <w:sz w:val="19"/>
                <w:szCs w:val="19"/>
                <w:color w:val="auto"/>
              </w:rPr>
            </w:pPr>
          </w:p>
        </w:tc>
        <w:tc>
          <w:tcPr>
            <w:tcW w:w="1160" w:type="dxa"/>
            <w:vAlign w:val="bottom"/>
            <w:shd w:val="clear" w:color="auto" w:fill="F5EBCC"/>
          </w:tcPr>
          <w:p>
            <w:pPr>
              <w:jc w:val="center"/>
              <w:ind w:left="19"/>
              <w:spacing w:after="0"/>
              <w:rPr>
                <w:sz w:val="20"/>
                <w:szCs w:val="20"/>
                <w:color w:val="auto"/>
              </w:rPr>
            </w:pPr>
            <w:r>
              <w:rPr>
                <w:rFonts w:ascii="Arial" w:cs="Arial" w:eastAsia="Arial" w:hAnsi="Arial"/>
                <w:sz w:val="18"/>
                <w:szCs w:val="18"/>
                <w:color w:val="auto"/>
                <w:w w:val="99"/>
              </w:rPr>
              <w:t>160%</w:t>
            </w:r>
          </w:p>
        </w:tc>
        <w:tc>
          <w:tcPr>
            <w:tcW w:w="20" w:type="dxa"/>
            <w:vAlign w:val="bottom"/>
            <w:shd w:val="clear" w:color="auto" w:fill="A8BCBF"/>
          </w:tcPr>
          <w:p>
            <w:pPr>
              <w:spacing w:after="0"/>
              <w:rPr>
                <w:sz w:val="19"/>
                <w:szCs w:val="19"/>
                <w:color w:val="auto"/>
              </w:rPr>
            </w:pPr>
          </w:p>
        </w:tc>
        <w:tc>
          <w:tcPr>
            <w:tcW w:w="920" w:type="dxa"/>
            <w:vAlign w:val="bottom"/>
            <w:shd w:val="clear" w:color="auto" w:fill="F5EBCC"/>
          </w:tcPr>
          <w:p>
            <w:pPr>
              <w:jc w:val="center"/>
              <w:ind w:left="19"/>
              <w:spacing w:after="0"/>
              <w:rPr>
                <w:sz w:val="20"/>
                <w:szCs w:val="20"/>
                <w:color w:val="auto"/>
              </w:rPr>
            </w:pPr>
            <w:r>
              <w:rPr>
                <w:rFonts w:ascii="Arial" w:cs="Arial" w:eastAsia="Arial" w:hAnsi="Arial"/>
                <w:sz w:val="18"/>
                <w:szCs w:val="18"/>
                <w:color w:val="auto"/>
                <w:w w:val="99"/>
              </w:rPr>
              <w:t>200%</w:t>
            </w:r>
          </w:p>
        </w:tc>
        <w:tc>
          <w:tcPr>
            <w:tcW w:w="20" w:type="dxa"/>
            <w:vAlign w:val="bottom"/>
            <w:shd w:val="clear" w:color="auto" w:fill="A8BCBF"/>
          </w:tcPr>
          <w:p>
            <w:pPr>
              <w:spacing w:after="0"/>
              <w:rPr>
                <w:sz w:val="19"/>
                <w:szCs w:val="19"/>
                <w:color w:val="auto"/>
              </w:rPr>
            </w:pPr>
          </w:p>
        </w:tc>
        <w:tc>
          <w:tcPr>
            <w:tcW w:w="1040" w:type="dxa"/>
            <w:vAlign w:val="bottom"/>
            <w:tcBorders>
              <w:right w:val="single" w:sz="8" w:color="A8BCBF"/>
            </w:tcBorders>
            <w:shd w:val="clear" w:color="auto" w:fill="F5EBCC"/>
          </w:tcPr>
          <w:p>
            <w:pPr>
              <w:jc w:val="center"/>
              <w:spacing w:after="0"/>
              <w:rPr>
                <w:sz w:val="20"/>
                <w:szCs w:val="20"/>
                <w:color w:val="auto"/>
              </w:rPr>
            </w:pPr>
            <w:r>
              <w:rPr>
                <w:rFonts w:ascii="Arial" w:cs="Arial" w:eastAsia="Arial" w:hAnsi="Arial"/>
                <w:sz w:val="18"/>
                <w:szCs w:val="18"/>
                <w:color w:val="auto"/>
                <w:w w:val="99"/>
              </w:rPr>
              <w:t>240%</w:t>
            </w:r>
          </w:p>
        </w:tc>
        <w:tc>
          <w:tcPr>
            <w:tcW w:w="300" w:type="dxa"/>
            <w:vAlign w:val="bottom"/>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5EBCC"/>
          </w:tcPr>
          <w:p>
            <w:pPr>
              <w:jc w:val="right"/>
              <w:ind w:right="144"/>
              <w:spacing w:after="0"/>
              <w:rPr>
                <w:sz w:val="20"/>
                <w:szCs w:val="20"/>
                <w:color w:val="auto"/>
              </w:rPr>
            </w:pPr>
            <w:r>
              <w:rPr>
                <w:rFonts w:ascii="Arial" w:cs="Arial" w:eastAsia="Arial" w:hAnsi="Arial"/>
                <w:sz w:val="18"/>
                <w:szCs w:val="18"/>
                <w:color w:val="auto"/>
              </w:rPr>
              <w:t>700,000</w:t>
            </w:r>
          </w:p>
        </w:tc>
        <w:tc>
          <w:tcPr>
            <w:tcW w:w="320" w:type="dxa"/>
            <w:vAlign w:val="bottom"/>
            <w:tcBorders>
              <w:left w:val="single" w:sz="8" w:color="A8BCBF"/>
            </w:tcBorders>
            <w:shd w:val="clear" w:color="auto" w:fill="F5EB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5EBCC"/>
          </w:tcPr>
          <w:p>
            <w:pPr>
              <w:jc w:val="right"/>
              <w:ind w:right="139"/>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 Percentages of the base salaries in the Threshold column reflect potential awards for achievement of (i) 2021 Encore Boston Harbor Adjusted Property EBITDA greater than or equal to</w:t>
      </w:r>
    </w:p>
    <w:p>
      <w:pPr>
        <w:ind w:left="120" w:right="180"/>
        <w:spacing w:after="0" w:line="230" w:lineRule="auto"/>
        <w:rPr>
          <w:sz w:val="20"/>
          <w:szCs w:val="20"/>
          <w:color w:val="auto"/>
        </w:rPr>
      </w:pPr>
      <w:r>
        <w:rPr>
          <w:rFonts w:ascii="Arial" w:cs="Arial" w:eastAsia="Arial" w:hAnsi="Arial"/>
          <w:sz w:val="13"/>
          <w:szCs w:val="13"/>
          <w:color w:val="auto"/>
        </w:rPr>
        <w:t>$130 million but less than $140 million, (ii) Macau operations mass table and slots GGR market share above or equal to 10.5% but below 11.5%, (iii) Wynn Las Vegas GGR market share above or equal to 10.0% but below 12.0% and (iv) Successfully capitalize Wynn Interactive. No awards would have been payable if the (i) 2021 Encore Boston Harbor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39 //</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Adjusted Property EBITDA was below $130 million, (ii) Macau operations mass table and slots GGR market share was below 10.5%, (iii) Wynn Las Vegas GGR market share was below 10.0% and</w:t>
      </w:r>
    </w:p>
    <w:p>
      <w:pPr>
        <w:ind w:left="120" w:hanging="4"/>
        <w:spacing w:after="0" w:line="222" w:lineRule="auto"/>
        <w:tabs>
          <w:tab w:leader="none" w:pos="33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Wynn Interactive is not successfully capitalized. Adjusted Property EBITDA is net income/loss before interest, income taxes, depreciation and amortization, pre-opening expenses, property charges and other, management and license fees, corporate expenses and other (including intercompany golf course and water rights leases), stock-based compensation, loss on extinguishment of debt, change in derivatives value, and other non-operating income and expenses. See our Annual Report on Form 10-K for the year ended December 31, 2021 (Item 8, Note 20—“Segment Information” to our Consolidated Financial Statements) for the definition of “Adjusted Property EBITDA,” a reconciliation of Adjusted Property EBITDA to net income/loss attributable to Wynn Resorts, and other information regarding this non-GAAP financial measure.</w:t>
      </w:r>
    </w:p>
    <w:p>
      <w:pPr>
        <w:spacing w:after="0" w:line="92" w:lineRule="exact"/>
        <w:rPr>
          <w:sz w:val="20"/>
          <w:szCs w:val="20"/>
          <w:color w:val="auto"/>
        </w:rPr>
      </w:pPr>
    </w:p>
    <w:p>
      <w:pPr>
        <w:ind w:left="120" w:right="120" w:hanging="4"/>
        <w:spacing w:after="0" w:line="225" w:lineRule="auto"/>
        <w:tabs>
          <w:tab w:leader="none" w:pos="309" w:val="left"/>
        </w:tabs>
        <w:numPr>
          <w:ilvl w:val="0"/>
          <w:numId w:val="40"/>
        </w:numPr>
        <w:rPr>
          <w:rFonts w:ascii="Arial" w:cs="Arial" w:eastAsia="Arial" w:hAnsi="Arial"/>
          <w:sz w:val="13"/>
          <w:szCs w:val="13"/>
          <w:color w:val="auto"/>
        </w:rPr>
      </w:pPr>
      <w:r>
        <w:rPr>
          <w:rFonts w:ascii="Arial" w:cs="Arial" w:eastAsia="Arial" w:hAnsi="Arial"/>
          <w:sz w:val="13"/>
          <w:szCs w:val="13"/>
          <w:color w:val="auto"/>
        </w:rPr>
        <w:t>Percentages of the base salaries in the Target column reflect potential awards for achievement of (i) 2021 Encore Boston Harbor Adjusted Property EBITDA greater than or equal to $140 million but less than $155 million, (ii) Macau operations mass table and slots GGR market share above or equal to 11.5% but below 13.0%, (iii) Wynn Las Vegas GGR market share above or equal to 12.0% but below 14.0% and (iv) Successfully capitalize Wynn Interactive.</w:t>
      </w:r>
    </w:p>
    <w:p>
      <w:pPr>
        <w:spacing w:after="0" w:line="78" w:lineRule="exact"/>
        <w:rPr>
          <w:rFonts w:ascii="Arial" w:cs="Arial" w:eastAsia="Arial" w:hAnsi="Arial"/>
          <w:sz w:val="13"/>
          <w:szCs w:val="13"/>
          <w:color w:val="auto"/>
        </w:rPr>
      </w:pPr>
    </w:p>
    <w:p>
      <w:pPr>
        <w:ind w:left="300" w:hanging="184"/>
        <w:spacing w:after="0"/>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Percentages of the base salaries in the Maximum column reflect potential awards for achievement of (i) 2021 Encore Boston Harbor Adjusted Property EBITDA greater than or equal to</w:t>
      </w:r>
    </w:p>
    <w:p>
      <w:pPr>
        <w:ind w:left="120" w:right="540"/>
        <w:spacing w:after="0" w:line="230" w:lineRule="auto"/>
        <w:rPr>
          <w:sz w:val="20"/>
          <w:szCs w:val="20"/>
          <w:color w:val="auto"/>
        </w:rPr>
      </w:pPr>
      <w:r>
        <w:rPr>
          <w:rFonts w:ascii="Arial" w:cs="Arial" w:eastAsia="Arial" w:hAnsi="Arial"/>
          <w:sz w:val="13"/>
          <w:szCs w:val="13"/>
          <w:color w:val="auto"/>
        </w:rPr>
        <w:t>$155 million, (ii) Macau operations mass table and slots GGR market share above or equal to 13.0%, (iii) Wynn Las Vegas GGR market share above or equal to 14.0% and (iv) Successfully capitalize Wynn Interactive.</w:t>
      </w:r>
    </w:p>
    <w:p>
      <w:pPr>
        <w:spacing w:after="0" w:line="91" w:lineRule="exact"/>
        <w:rPr>
          <w:sz w:val="20"/>
          <w:szCs w:val="20"/>
          <w:color w:val="auto"/>
        </w:rPr>
      </w:pPr>
    </w:p>
    <w:p>
      <w:pPr>
        <w:ind w:left="300" w:hanging="184"/>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amounts set forth in this column reflect the aggregate grant date fair value of stock awards granted. These stock awards are fully vested.</w:t>
      </w:r>
    </w:p>
    <w:p>
      <w:pPr>
        <w:spacing w:after="0" w:line="93" w:lineRule="exact"/>
        <w:rPr>
          <w:rFonts w:ascii="Arial" w:cs="Arial" w:eastAsia="Arial" w:hAnsi="Arial"/>
          <w:sz w:val="13"/>
          <w:szCs w:val="13"/>
          <w:color w:val="auto"/>
        </w:rPr>
      </w:pPr>
    </w:p>
    <w:p>
      <w:pPr>
        <w:ind w:left="120" w:right="160" w:hanging="4"/>
        <w:spacing w:after="0" w:line="230" w:lineRule="auto"/>
        <w:tabs>
          <w:tab w:leader="none" w:pos="309" w:val="left"/>
        </w:tabs>
        <w:numPr>
          <w:ilvl w:val="0"/>
          <w:numId w:val="41"/>
        </w:numPr>
        <w:rPr>
          <w:rFonts w:ascii="Arial" w:cs="Arial" w:eastAsia="Arial" w:hAnsi="Arial"/>
          <w:sz w:val="13"/>
          <w:szCs w:val="13"/>
          <w:color w:val="auto"/>
        </w:rPr>
      </w:pPr>
      <w:r>
        <w:rPr>
          <w:rFonts w:ascii="Arial" w:cs="Arial" w:eastAsia="Arial" w:hAnsi="Arial"/>
          <w:sz w:val="13"/>
          <w:szCs w:val="13"/>
          <w:color w:val="auto"/>
        </w:rPr>
        <w:t>For 2021, the actual award paid to each NEO totaled the target percentage and was calculated based on achieving maximum performance with respect to goals one and three, achieving target performance with respect to goal two, and not achieving goal four.</w:t>
      </w:r>
    </w:p>
    <w:p>
      <w:pPr>
        <w:spacing w:after="0" w:line="313" w:lineRule="exact"/>
        <w:rPr>
          <w:sz w:val="20"/>
          <w:szCs w:val="20"/>
          <w:color w:val="auto"/>
        </w:rPr>
      </w:pPr>
    </w:p>
    <w:p>
      <w:pPr>
        <w:ind w:left="120" w:right="500"/>
        <w:spacing w:after="0"/>
        <w:rPr>
          <w:sz w:val="20"/>
          <w:szCs w:val="20"/>
          <w:color w:val="auto"/>
        </w:rPr>
      </w:pPr>
      <w:r>
        <w:rPr>
          <w:rFonts w:ascii="Arial" w:cs="Arial" w:eastAsia="Arial" w:hAnsi="Arial"/>
          <w:sz w:val="18"/>
          <w:szCs w:val="18"/>
          <w:color w:val="CE9B00"/>
        </w:rPr>
        <w:t xml:space="preserve">LONG-TERM INCENTIVES: </w:t>
      </w:r>
      <w:r>
        <w:rPr>
          <w:rFonts w:ascii="Arial" w:cs="Arial" w:eastAsia="Arial" w:hAnsi="Arial"/>
          <w:sz w:val="18"/>
          <w:szCs w:val="18"/>
          <w:color w:val="000000"/>
        </w:rPr>
        <w:t>In the past, the Company made periodic—not annual—equity grants to executives, including our NEOs.</w:t>
      </w:r>
      <w:r>
        <w:rPr>
          <w:rFonts w:ascii="Arial" w:cs="Arial" w:eastAsia="Arial" w:hAnsi="Arial"/>
          <w:sz w:val="18"/>
          <w:szCs w:val="18"/>
          <w:color w:val="CE9B00"/>
        </w:rPr>
        <w:t xml:space="preserve"> </w:t>
      </w:r>
      <w:r>
        <w:rPr>
          <w:rFonts w:ascii="Arial" w:cs="Arial" w:eastAsia="Arial" w:hAnsi="Arial"/>
          <w:sz w:val="18"/>
          <w:szCs w:val="18"/>
          <w:color w:val="000000"/>
        </w:rPr>
        <w:t>Those periodic grants were typically made with long-term vesting dates of up to ten years and such awards were not subject to performance conditions.</w:t>
      </w:r>
    </w:p>
    <w:p>
      <w:pPr>
        <w:spacing w:after="0" w:line="176"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Beginning in 2018, the Compensation Committee moved from periodic grants to annual grants with three-year cliff vesting and implemented a policy of subjecting a portion (in 2021 no less than 50%) of grants made to NEOs to performance conditions in order to ensure a superior focus on operational excellence as well as better align executives’ interests with those of long-term shareholders. For 2021, the Compensation Committee set the vesting schedule on annual restricted stock grants to equal annual installment vesting on a pro rata basis over three-years to allow executives to realize incentives over time.</w:t>
      </w:r>
    </w:p>
    <w:p>
      <w:pPr>
        <w:spacing w:after="0" w:line="162"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In 2021, management proposed, and the Compensation Committee approved, the use of “fair share” metrics for performance conditions over one-, two-, and three-year performance periods that take into consideration uncertainty from continued COVID-19 restrictions, most notably in Macau. These fair share metrics were generally calculated as follows:</w:t>
      </w:r>
    </w:p>
    <w:p>
      <w:pPr>
        <w:spacing w:after="0" w:line="203" w:lineRule="exact"/>
        <w:rPr>
          <w:sz w:val="20"/>
          <w:szCs w:val="20"/>
          <w:color w:val="auto"/>
        </w:rPr>
      </w:pPr>
    </w:p>
    <w:p>
      <w:pPr>
        <w:ind w:left="1320" w:right="400" w:hanging="435"/>
        <w:spacing w:after="0" w:line="246"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Las Vegas, the Company’s share of total revenue relative to selected peers divided by the Company’s share of hotel rooms among such peers; and</w:t>
      </w:r>
    </w:p>
    <w:p>
      <w:pPr>
        <w:spacing w:after="0" w:line="196" w:lineRule="exact"/>
        <w:rPr>
          <w:rFonts w:ascii="Arial" w:cs="Arial" w:eastAsia="Arial" w:hAnsi="Arial"/>
          <w:sz w:val="18"/>
          <w:szCs w:val="18"/>
          <w:color w:val="auto"/>
        </w:rPr>
      </w:pPr>
    </w:p>
    <w:p>
      <w:pPr>
        <w:ind w:left="1320" w:right="240" w:hanging="435"/>
        <w:spacing w:after="0" w:line="246"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Macau, the Company’s share of gaming revenue relative to selected peers divided by the Company’s share of gaming tables among such peers.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decision to select these metrics was based on careful consideration of the following factors:</w:t>
      </w:r>
    </w:p>
    <w:p>
      <w:pPr>
        <w:spacing w:after="0" w:line="212" w:lineRule="exact"/>
        <w:rPr>
          <w:sz w:val="20"/>
          <w:szCs w:val="20"/>
          <w:color w:val="auto"/>
        </w:rPr>
      </w:pPr>
    </w:p>
    <w:p>
      <w:pPr>
        <w:ind w:left="1320" w:right="100" w:hanging="435"/>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exposure to Macau provides sizeable opportunities over the mid and long-term, but can create meaningful volatility over short periods, significantly skewing short-term TSR and creating opportunities for management to benefit from outsized market growth, irrespective of their performance; and</w:t>
      </w:r>
    </w:p>
    <w:p>
      <w:pPr>
        <w:spacing w:after="0" w:line="202" w:lineRule="exact"/>
        <w:rPr>
          <w:rFonts w:ascii="Arial" w:cs="Arial" w:eastAsia="Arial" w:hAnsi="Arial"/>
          <w:sz w:val="18"/>
          <w:szCs w:val="18"/>
          <w:color w:val="auto"/>
        </w:rPr>
      </w:pPr>
    </w:p>
    <w:p>
      <w:pPr>
        <w:ind w:left="1320" w:right="160" w:hanging="435"/>
        <w:spacing w:after="0" w:line="238" w:lineRule="auto"/>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strategy is to attract and retain premium consumers in each market in which the Company operates. We believe the results of this strategy provide outsized operating results, relative to peers, and create meaningful shareholder returns over the long-term. Consistently achieving such premium fair share requires diligent and consistent investment in facilities and people across the business cycle.</w:t>
      </w:r>
    </w:p>
    <w:p>
      <w:pPr>
        <w:spacing w:after="0" w:line="204" w:lineRule="exact"/>
        <w:rPr>
          <w:rFonts w:ascii="Arial" w:cs="Arial" w:eastAsia="Arial" w:hAnsi="Arial"/>
          <w:sz w:val="18"/>
          <w:szCs w:val="18"/>
          <w:color w:val="auto"/>
        </w:rPr>
      </w:pPr>
    </w:p>
    <w:p>
      <w:pPr>
        <w:ind w:left="1320" w:right="40" w:hanging="435"/>
        <w:spacing w:after="0" w:line="238" w:lineRule="auto"/>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near-term operating results may be subject to significant volatility stemming from the COVID-19 Pandemic. This volatility, when coupled with the Company’s stated position of retaining employees despite temporary fluctuations in operating results, may cause material fluctuations in the Company’s EBITDA results, relative to certain peers who do not maintain comparable employee retention policies, rendering the Company’s historical measure of “fair share” of EBITDA incomparable for the performance periods in question.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E9B00"/>
        </w:rPr>
        <w:t>Equity Grants:</w:t>
      </w:r>
    </w:p>
    <w:p>
      <w:pPr>
        <w:spacing w:after="0" w:line="13"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On January 11, 2021, Mr. Maddox received a grant of 55,542 shares of restricted stock. Except as otherwise described in the section titled “Potential Payments Upon Termination or Change in Control”, such restricted stock award is subject to both</w:t>
      </w: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40 //</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time- and performance-based vesting conditions, whereby 50% of the award vests ratably over three years on each of the dates of February 28, 2022, 2023 and 2024, based on achievement of pre-established financial performance goals, and the remaining 50% of the award time vests ratably over three years on each anniversary of the grant date, subject to Mr. Maddox’s continued employment through such vesting date.</w:t>
      </w:r>
    </w:p>
    <w:p>
      <w:pPr>
        <w:spacing w:after="0" w:line="17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 January 11, 2021, Mr. Billings received a grant of 20,366 shares of restricted stock. Except as otherwise described in the section titled “Potential Payments Upon Termination or Change in Control”, such restricted stock award is subject to both time- and performance-based vesting conditions, whereby 50% of the award vests ratably over three years on each of the dates of February 28, 2022, 2023 and 2024 based on achievement of pre-established financial performance goals, and the remaining 50% of the award vests ratably over three years on each anniversary of the grant date, subject to Mr. Billings’ continued employment through such date.</w:t>
      </w:r>
    </w:p>
    <w:p>
      <w:pPr>
        <w:spacing w:after="0" w:line="16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On November 9, 2021, the Company announced that Mr. Billings had been appointed to serve as the Company’s CEO and member of the Board, effective February 1, 2022. In connection with the appointment, Mr. Billings and the Company entered into a new employment contract, under which Mr. Billings received a grant of 52,715 shares of restricted stock upon execution of the employment contract. Except as otherwise described in the section titled “Potential Payments Upon Termination or Change in Control”, such restricted stock award is subject to time-based vesting conditions, whereby the award vests ratably over three years on each anniversary of the grant date, subject to Mr. Billings’ continued employment through such date.</w:t>
      </w:r>
    </w:p>
    <w:p>
      <w:pPr>
        <w:spacing w:after="0" w:line="16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On January 12, 2022, Mr. Billings received a grant of 78,672 shares of restricted stock. Except as otherwise described in the section titled “Potential Payments Upon Termination or Change in Control”, such restricted stock award is subject to both time- and performance-based vesting conditions, whereby 33.3% of the award vests ratably over three years on each of the dates of February 28, 2023, 2024 and 2025, based on achievement of pre-established financial performance goals, and the remaining 67.7% of the award time vests ratably over three years on each anniversary of the grant date, subject to Mr. Billings’ continued employment through such vesting date.</w:t>
      </w:r>
    </w:p>
    <w:p>
      <w:pPr>
        <w:spacing w:after="0" w:line="17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On January 11, 2021, Ms. Whittemore received a grant of 9,952 shares of restricted stock. Except as otherwise described in the section titled “Potential Payments Upon Termination or Change in Control”, Ms. Whittemore’s award is subject to both time-and performance-based vesting conditions, whereby 50% of the award vests ratably over three years on each of the dates of February 28, 2022, 2023 and 2024 based on achievement of pre-established financial performance goals, and the remaining 50% of the award vests ratably over three years on each anniversary of the grant date, subject to Ms. Whittemore’s continued employment through such vesting date.</w:t>
      </w:r>
    </w:p>
    <w:p>
      <w:pPr>
        <w:spacing w:after="0" w:line="16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On January 12, 2022, Ms. Whittemore received a grant of 18,357 shares of restricted stock. Except as otherwise described in the section titled “Potential Payments Upon Termination or Change in Control”, such restricted stock award is subject to both time- and performance-based vesting conditions, whereby 33.3% of the award vests ratably over three years on each of the dates of February 28, 2023, 2024 and 2025, based on achievement of pre-established financial performance goals, and the remaining 67.7% of the award time vests ratably over three years on each anniversary of the grant date, subject to Ms. Whittemore’s continued employment through such vesting date.</w:t>
      </w:r>
    </w:p>
    <w:p>
      <w:pPr>
        <w:spacing w:after="0" w:line="162"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On January 14, 2022, the Company announced that Ms. Whittemore and the Company had agreed to extend her employment contract through January 31, 2025.</w:t>
      </w:r>
    </w:p>
    <w:p>
      <w:pPr>
        <w:spacing w:after="0" w:line="17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CE9B00"/>
        </w:rPr>
        <w:t xml:space="preserve">EXECUTIVE BENEFITS: </w:t>
      </w:r>
      <w:r>
        <w:rPr>
          <w:rFonts w:ascii="Arial" w:cs="Arial" w:eastAsia="Arial" w:hAnsi="Arial"/>
          <w:sz w:val="18"/>
          <w:szCs w:val="18"/>
          <w:color w:val="000000"/>
        </w:rPr>
        <w:t>We provide our NEOs with benefits that we believe are reasonable, competitive and consistent with our overall</w:t>
      </w:r>
      <w:r>
        <w:rPr>
          <w:rFonts w:ascii="Arial" w:cs="Arial" w:eastAsia="Arial" w:hAnsi="Arial"/>
          <w:sz w:val="18"/>
          <w:szCs w:val="18"/>
          <w:color w:val="CE9B00"/>
        </w:rPr>
        <w:t xml:space="preserve"> </w:t>
      </w:r>
      <w:r>
        <w:rPr>
          <w:rFonts w:ascii="Arial" w:cs="Arial" w:eastAsia="Arial" w:hAnsi="Arial"/>
          <w:sz w:val="18"/>
          <w:szCs w:val="18"/>
          <w:color w:val="000000"/>
        </w:rPr>
        <w:t>executive compensation program. Our primary executive benefits are certain health insurance coverage, life insurance premiums, discounts and complimentary privileges with respect to the Company’s resorts, which are described in the footnotes to the “Summary Compensation Table.” For 2021, we paid nonresident state income taxes imposed on our executives who were required by us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 In addition, certain executives, including NEOs, have access to the Company’s aircraft pursuant to time-sharing agreements described in “Certain relationships and transactions—Aircraft Arrangements.”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41 //</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CE9B00"/>
        </w:rPr>
        <w:t xml:space="preserve">PEER GROUP BENCHMARKING: </w:t>
      </w:r>
      <w:r>
        <w:rPr>
          <w:rFonts w:ascii="Arial" w:cs="Arial" w:eastAsia="Arial" w:hAnsi="Arial"/>
          <w:sz w:val="18"/>
          <w:szCs w:val="18"/>
          <w:color w:val="000000"/>
        </w:rPr>
        <w:t>The Compensation Committee believes that it is appropriate to offer competitive total compensation</w:t>
      </w:r>
      <w:r>
        <w:rPr>
          <w:rFonts w:ascii="Arial" w:cs="Arial" w:eastAsia="Arial" w:hAnsi="Arial"/>
          <w:sz w:val="18"/>
          <w:szCs w:val="18"/>
          <w:color w:val="CE9B00"/>
        </w:rPr>
        <w:t xml:space="preserve"> </w:t>
      </w:r>
      <w:r>
        <w:rPr>
          <w:rFonts w:ascii="Arial" w:cs="Arial" w:eastAsia="Arial" w:hAnsi="Arial"/>
          <w:sz w:val="18"/>
          <w:szCs w:val="18"/>
          <w:color w:val="000000"/>
        </w:rPr>
        <w:t>packages to senior executive officers in order to attract and retain top executive talent. The compensation peer group allows the Compensation Committee to monitor the compensation practices of our primary competitors for executive talent. The Compensation Committee targets the 50th percentile for the Company’s senior executive officers’ total compensation to ensure that executives are appropriately compensated as we operate in a highly competitive industry.</w:t>
      </w:r>
    </w:p>
    <w:p>
      <w:pPr>
        <w:spacing w:after="0" w:line="17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2021, as part of our regular review of our compensation programs, as well as in connection with new employment contracts for our NEOs, the Compensation Committee considered peer group data from gaming and other related industries that the Compensation Committee believes reflect the competitive market for executive talent similar to that required by the Company. Our peer group is updated for 2021.</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31"/>
          <w:szCs w:val="31"/>
          <w:color w:val="auto"/>
        </w:rPr>
        <w:t>Wynn Resorts 2021 executive compensation peer group</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3380" w:type="dxa"/>
            <w:vAlign w:val="bottom"/>
            <w:tcBorders>
              <w:right w:val="single" w:sz="8" w:color="A8BCBF"/>
            </w:tcBorders>
          </w:tcPr>
          <w:p>
            <w:pPr>
              <w:ind w:left="60"/>
              <w:spacing w:after="0"/>
              <w:rPr>
                <w:sz w:val="20"/>
                <w:szCs w:val="20"/>
                <w:color w:val="auto"/>
              </w:rPr>
            </w:pPr>
            <w:r>
              <w:rPr>
                <w:rFonts w:ascii="Arial" w:cs="Arial" w:eastAsia="Arial" w:hAnsi="Arial"/>
                <w:sz w:val="13"/>
                <w:szCs w:val="13"/>
                <w:b w:val="1"/>
                <w:bCs w:val="1"/>
                <w:color w:val="CE9B00"/>
              </w:rPr>
              <w:t>GAMING &amp; RESORTS</w:t>
            </w:r>
          </w:p>
        </w:tc>
        <w:tc>
          <w:tcPr>
            <w:tcW w:w="4520" w:type="dxa"/>
            <w:vAlign w:val="bottom"/>
            <w:tcBorders>
              <w:right w:val="single" w:sz="8" w:color="A8BCBF"/>
            </w:tcBorders>
          </w:tcPr>
          <w:p>
            <w:pPr>
              <w:ind w:left="1220"/>
              <w:spacing w:after="0"/>
              <w:rPr>
                <w:sz w:val="20"/>
                <w:szCs w:val="20"/>
                <w:color w:val="auto"/>
              </w:rPr>
            </w:pPr>
            <w:r>
              <w:rPr>
                <w:rFonts w:ascii="Arial" w:cs="Arial" w:eastAsia="Arial" w:hAnsi="Arial"/>
                <w:sz w:val="13"/>
                <w:szCs w:val="13"/>
                <w:b w:val="1"/>
                <w:bCs w:val="1"/>
                <w:color w:val="CE9B00"/>
              </w:rPr>
              <w:t>TRAVEL, HOSPITALITY &amp; RESORTS</w:t>
            </w:r>
          </w:p>
        </w:tc>
        <w:tc>
          <w:tcPr>
            <w:tcW w:w="3120" w:type="dxa"/>
            <w:vAlign w:val="bottom"/>
          </w:tcPr>
          <w:p>
            <w:pPr>
              <w:ind w:left="1000"/>
              <w:spacing w:after="0"/>
              <w:rPr>
                <w:sz w:val="20"/>
                <w:szCs w:val="20"/>
                <w:color w:val="auto"/>
              </w:rPr>
            </w:pPr>
            <w:r>
              <w:rPr>
                <w:rFonts w:ascii="Arial" w:cs="Arial" w:eastAsia="Arial" w:hAnsi="Arial"/>
                <w:sz w:val="13"/>
                <w:szCs w:val="13"/>
                <w:b w:val="1"/>
                <w:bCs w:val="1"/>
                <w:color w:val="CE9B00"/>
              </w:rPr>
              <w:t>LIFESTYLE PRODUCTS</w:t>
            </w:r>
          </w:p>
        </w:tc>
      </w:tr>
      <w:tr>
        <w:trPr>
          <w:trHeight w:val="56"/>
        </w:trPr>
        <w:tc>
          <w:tcPr>
            <w:tcW w:w="3380" w:type="dxa"/>
            <w:vAlign w:val="bottom"/>
            <w:tcBorders>
              <w:right w:val="single" w:sz="8" w:color="A8BCBF"/>
            </w:tcBorders>
          </w:tcPr>
          <w:p>
            <w:pPr>
              <w:spacing w:after="0"/>
              <w:rPr>
                <w:sz w:val="4"/>
                <w:szCs w:val="4"/>
                <w:color w:val="auto"/>
              </w:rPr>
            </w:pPr>
          </w:p>
        </w:tc>
        <w:tc>
          <w:tcPr>
            <w:tcW w:w="4520" w:type="dxa"/>
            <w:vAlign w:val="bottom"/>
            <w:tcBorders>
              <w:right w:val="single" w:sz="8" w:color="A8BCBF"/>
            </w:tcBorders>
          </w:tcPr>
          <w:p>
            <w:pPr>
              <w:spacing w:after="0"/>
              <w:rPr>
                <w:sz w:val="4"/>
                <w:szCs w:val="4"/>
                <w:color w:val="auto"/>
              </w:rPr>
            </w:pPr>
          </w:p>
        </w:tc>
        <w:tc>
          <w:tcPr>
            <w:tcW w:w="3120" w:type="dxa"/>
            <w:vAlign w:val="bottom"/>
          </w:tcPr>
          <w:p>
            <w:pPr>
              <w:spacing w:after="0"/>
              <w:rPr>
                <w:sz w:val="4"/>
                <w:szCs w:val="4"/>
                <w:color w:val="auto"/>
              </w:rPr>
            </w:pPr>
          </w:p>
        </w:tc>
      </w:tr>
      <w:tr>
        <w:trPr>
          <w:trHeight w:val="223"/>
        </w:trPr>
        <w:tc>
          <w:tcPr>
            <w:tcW w:w="3380" w:type="dxa"/>
            <w:vAlign w:val="bottom"/>
            <w:tcBorders>
              <w:bottom w:val="single" w:sz="8" w:color="F5EBCC"/>
              <w:right w:val="single" w:sz="8" w:color="A8BCBF"/>
            </w:tcBorders>
            <w:shd w:val="clear" w:color="auto" w:fill="F5EBCC"/>
          </w:tcPr>
          <w:p>
            <w:pPr>
              <w:ind w:left="60"/>
              <w:spacing w:after="0"/>
              <w:rPr>
                <w:sz w:val="20"/>
                <w:szCs w:val="20"/>
                <w:color w:val="auto"/>
              </w:rPr>
            </w:pPr>
            <w:r>
              <w:rPr>
                <w:rFonts w:ascii="Arial" w:cs="Arial" w:eastAsia="Arial" w:hAnsi="Arial"/>
                <w:sz w:val="15"/>
                <w:szCs w:val="15"/>
                <w:color w:val="auto"/>
              </w:rPr>
              <w:t>Caesars Entertainment Corporation</w:t>
            </w:r>
          </w:p>
        </w:tc>
        <w:tc>
          <w:tcPr>
            <w:tcW w:w="4520" w:type="dxa"/>
            <w:vAlign w:val="bottom"/>
            <w:tcBorders>
              <w:bottom w:val="single" w:sz="8" w:color="F5EBCC"/>
              <w:right w:val="single" w:sz="8" w:color="A8BCBF"/>
            </w:tcBorders>
            <w:shd w:val="clear" w:color="auto" w:fill="F5EBCC"/>
          </w:tcPr>
          <w:p>
            <w:pPr>
              <w:ind w:left="80"/>
              <w:spacing w:after="0"/>
              <w:rPr>
                <w:sz w:val="20"/>
                <w:szCs w:val="20"/>
                <w:color w:val="auto"/>
              </w:rPr>
            </w:pPr>
            <w:r>
              <w:rPr>
                <w:rFonts w:ascii="Arial" w:cs="Arial" w:eastAsia="Arial" w:hAnsi="Arial"/>
                <w:sz w:val="15"/>
                <w:szCs w:val="15"/>
                <w:color w:val="auto"/>
              </w:rPr>
              <w:t>Hilton Worldwide Holdings Inc.</w:t>
            </w:r>
          </w:p>
        </w:tc>
        <w:tc>
          <w:tcPr>
            <w:tcW w:w="3120" w:type="dxa"/>
            <w:vAlign w:val="bottom"/>
            <w:tcBorders>
              <w:bottom w:val="single" w:sz="8" w:color="F5EBCC"/>
            </w:tcBorders>
            <w:shd w:val="clear" w:color="auto" w:fill="F5EBCC"/>
          </w:tcPr>
          <w:p>
            <w:pPr>
              <w:ind w:left="320"/>
              <w:spacing w:after="0"/>
              <w:rPr>
                <w:sz w:val="20"/>
                <w:szCs w:val="20"/>
                <w:color w:val="auto"/>
              </w:rPr>
            </w:pPr>
            <w:r>
              <w:rPr>
                <w:rFonts w:ascii="Arial" w:cs="Arial" w:eastAsia="Arial" w:hAnsi="Arial"/>
                <w:sz w:val="15"/>
                <w:szCs w:val="15"/>
                <w:color w:val="auto"/>
              </w:rPr>
              <w:t>Capri Holdings Limited</w:t>
            </w:r>
          </w:p>
        </w:tc>
      </w:tr>
      <w:tr>
        <w:trPr>
          <w:trHeight w:val="221"/>
        </w:trPr>
        <w:tc>
          <w:tcPr>
            <w:tcW w:w="3380" w:type="dxa"/>
            <w:vAlign w:val="bottom"/>
            <w:tcBorders>
              <w:right w:val="single" w:sz="8" w:color="A8BCBF"/>
            </w:tcBorders>
          </w:tcPr>
          <w:p>
            <w:pPr>
              <w:ind w:left="60"/>
              <w:spacing w:after="0"/>
              <w:rPr>
                <w:sz w:val="20"/>
                <w:szCs w:val="20"/>
                <w:color w:val="auto"/>
              </w:rPr>
            </w:pPr>
            <w:r>
              <w:rPr>
                <w:rFonts w:ascii="Arial" w:cs="Arial" w:eastAsia="Arial" w:hAnsi="Arial"/>
                <w:sz w:val="15"/>
                <w:szCs w:val="15"/>
                <w:color w:val="auto"/>
              </w:rPr>
              <w:t>Las Vegas Sands Corp.</w:t>
            </w:r>
          </w:p>
        </w:tc>
        <w:tc>
          <w:tcPr>
            <w:tcW w:w="4520" w:type="dxa"/>
            <w:vAlign w:val="bottom"/>
            <w:tcBorders>
              <w:right w:val="single" w:sz="8" w:color="A8BCBF"/>
            </w:tcBorders>
          </w:tcPr>
          <w:p>
            <w:pPr>
              <w:ind w:left="80"/>
              <w:spacing w:after="0"/>
              <w:rPr>
                <w:sz w:val="20"/>
                <w:szCs w:val="20"/>
                <w:color w:val="auto"/>
              </w:rPr>
            </w:pPr>
            <w:r>
              <w:rPr>
                <w:rFonts w:ascii="Arial" w:cs="Arial" w:eastAsia="Arial" w:hAnsi="Arial"/>
                <w:sz w:val="15"/>
                <w:szCs w:val="15"/>
                <w:color w:val="auto"/>
              </w:rPr>
              <w:t>Hyatt Hotels Corporation</w:t>
            </w:r>
          </w:p>
        </w:tc>
        <w:tc>
          <w:tcPr>
            <w:tcW w:w="3120" w:type="dxa"/>
            <w:vAlign w:val="bottom"/>
          </w:tcPr>
          <w:p>
            <w:pPr>
              <w:ind w:left="320"/>
              <w:spacing w:after="0"/>
              <w:rPr>
                <w:sz w:val="20"/>
                <w:szCs w:val="20"/>
                <w:color w:val="auto"/>
              </w:rPr>
            </w:pPr>
            <w:r>
              <w:rPr>
                <w:rFonts w:ascii="Arial" w:cs="Arial" w:eastAsia="Arial" w:hAnsi="Arial"/>
                <w:sz w:val="15"/>
                <w:szCs w:val="15"/>
                <w:color w:val="auto"/>
              </w:rPr>
              <w:t>PVH Corp.</w:t>
            </w:r>
          </w:p>
        </w:tc>
      </w:tr>
      <w:tr>
        <w:trPr>
          <w:trHeight w:val="22"/>
        </w:trPr>
        <w:tc>
          <w:tcPr>
            <w:tcW w:w="3380" w:type="dxa"/>
            <w:vAlign w:val="bottom"/>
            <w:tcBorders>
              <w:right w:val="single" w:sz="8" w:color="A8BCBF"/>
            </w:tcBorders>
          </w:tcPr>
          <w:p>
            <w:pPr>
              <w:spacing w:after="0" w:line="20" w:lineRule="exact"/>
              <w:rPr>
                <w:sz w:val="1"/>
                <w:szCs w:val="1"/>
                <w:color w:val="auto"/>
              </w:rPr>
            </w:pPr>
          </w:p>
        </w:tc>
        <w:tc>
          <w:tcPr>
            <w:tcW w:w="4520" w:type="dxa"/>
            <w:vAlign w:val="bottom"/>
            <w:tcBorders>
              <w:right w:val="single" w:sz="8" w:color="A8BCB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3"/>
        </w:trPr>
        <w:tc>
          <w:tcPr>
            <w:tcW w:w="3380" w:type="dxa"/>
            <w:vAlign w:val="bottom"/>
            <w:tcBorders>
              <w:bottom w:val="single" w:sz="8" w:color="F5EBCC"/>
              <w:right w:val="single" w:sz="8" w:color="A8BCBF"/>
            </w:tcBorders>
            <w:shd w:val="clear" w:color="auto" w:fill="F5EBCC"/>
          </w:tcPr>
          <w:p>
            <w:pPr>
              <w:ind w:left="60"/>
              <w:spacing w:after="0"/>
              <w:rPr>
                <w:sz w:val="20"/>
                <w:szCs w:val="20"/>
                <w:color w:val="auto"/>
              </w:rPr>
            </w:pPr>
            <w:r>
              <w:rPr>
                <w:rFonts w:ascii="Arial" w:cs="Arial" w:eastAsia="Arial" w:hAnsi="Arial"/>
                <w:sz w:val="15"/>
                <w:szCs w:val="15"/>
                <w:color w:val="auto"/>
              </w:rPr>
              <w:t>MGM Resorts International</w:t>
            </w:r>
          </w:p>
        </w:tc>
        <w:tc>
          <w:tcPr>
            <w:tcW w:w="4520" w:type="dxa"/>
            <w:vAlign w:val="bottom"/>
            <w:tcBorders>
              <w:bottom w:val="single" w:sz="8" w:color="F5EBCC"/>
              <w:right w:val="single" w:sz="8" w:color="A8BCBF"/>
            </w:tcBorders>
            <w:shd w:val="clear" w:color="auto" w:fill="F5EBCC"/>
          </w:tcPr>
          <w:p>
            <w:pPr>
              <w:ind w:left="80"/>
              <w:spacing w:after="0"/>
              <w:rPr>
                <w:sz w:val="20"/>
                <w:szCs w:val="20"/>
                <w:color w:val="auto"/>
              </w:rPr>
            </w:pPr>
            <w:r>
              <w:rPr>
                <w:rFonts w:ascii="Arial" w:cs="Arial" w:eastAsia="Arial" w:hAnsi="Arial"/>
                <w:sz w:val="15"/>
                <w:szCs w:val="15"/>
                <w:color w:val="auto"/>
              </w:rPr>
              <w:t>Marriott International, Inc.</w:t>
            </w:r>
          </w:p>
        </w:tc>
        <w:tc>
          <w:tcPr>
            <w:tcW w:w="3120" w:type="dxa"/>
            <w:vAlign w:val="bottom"/>
            <w:tcBorders>
              <w:bottom w:val="single" w:sz="8" w:color="F5EBCC"/>
            </w:tcBorders>
            <w:shd w:val="clear" w:color="auto" w:fill="F5EBCC"/>
          </w:tcPr>
          <w:p>
            <w:pPr>
              <w:ind w:left="320"/>
              <w:spacing w:after="0"/>
              <w:rPr>
                <w:sz w:val="20"/>
                <w:szCs w:val="20"/>
                <w:color w:val="auto"/>
              </w:rPr>
            </w:pPr>
            <w:r>
              <w:rPr>
                <w:rFonts w:ascii="Arial" w:cs="Arial" w:eastAsia="Arial" w:hAnsi="Arial"/>
                <w:sz w:val="15"/>
                <w:szCs w:val="15"/>
                <w:color w:val="auto"/>
              </w:rPr>
              <w:t>Ralph Lauren Corporation</w:t>
            </w:r>
          </w:p>
        </w:tc>
      </w:tr>
      <w:tr>
        <w:trPr>
          <w:trHeight w:val="222"/>
        </w:trPr>
        <w:tc>
          <w:tcPr>
            <w:tcW w:w="3380" w:type="dxa"/>
            <w:vAlign w:val="bottom"/>
            <w:tcBorders>
              <w:right w:val="single" w:sz="8" w:color="A8BCBF"/>
            </w:tcBorders>
          </w:tcPr>
          <w:p>
            <w:pPr>
              <w:ind w:left="60"/>
              <w:spacing w:after="0"/>
              <w:rPr>
                <w:sz w:val="20"/>
                <w:szCs w:val="20"/>
                <w:color w:val="auto"/>
              </w:rPr>
            </w:pPr>
            <w:r>
              <w:rPr>
                <w:rFonts w:ascii="Arial" w:cs="Arial" w:eastAsia="Arial" w:hAnsi="Arial"/>
                <w:sz w:val="15"/>
                <w:szCs w:val="15"/>
                <w:color w:val="auto"/>
              </w:rPr>
              <w:t>Penn National Gaming, Inc.</w:t>
            </w:r>
          </w:p>
        </w:tc>
        <w:tc>
          <w:tcPr>
            <w:tcW w:w="4520" w:type="dxa"/>
            <w:vAlign w:val="bottom"/>
            <w:tcBorders>
              <w:right w:val="single" w:sz="8" w:color="A8BCBF"/>
            </w:tcBorders>
          </w:tcPr>
          <w:p>
            <w:pPr>
              <w:ind w:left="80"/>
              <w:spacing w:after="0"/>
              <w:rPr>
                <w:sz w:val="20"/>
                <w:szCs w:val="20"/>
                <w:color w:val="auto"/>
              </w:rPr>
            </w:pPr>
            <w:r>
              <w:rPr>
                <w:rFonts w:ascii="Arial" w:cs="Arial" w:eastAsia="Arial" w:hAnsi="Arial"/>
                <w:sz w:val="15"/>
                <w:szCs w:val="15"/>
                <w:color w:val="auto"/>
              </w:rPr>
              <w:t>Norwegian Cruise Line Holdings Ltd</w:t>
            </w:r>
          </w:p>
        </w:tc>
        <w:tc>
          <w:tcPr>
            <w:tcW w:w="3120" w:type="dxa"/>
            <w:vAlign w:val="bottom"/>
          </w:tcPr>
          <w:p>
            <w:pPr>
              <w:ind w:left="320"/>
              <w:spacing w:after="0"/>
              <w:rPr>
                <w:sz w:val="20"/>
                <w:szCs w:val="20"/>
                <w:color w:val="auto"/>
              </w:rPr>
            </w:pPr>
            <w:r>
              <w:rPr>
                <w:rFonts w:ascii="Arial" w:cs="Arial" w:eastAsia="Arial" w:hAnsi="Arial"/>
                <w:sz w:val="15"/>
                <w:szCs w:val="15"/>
                <w:color w:val="auto"/>
              </w:rPr>
              <w:t>Tapestry, Inc.</w:t>
            </w:r>
          </w:p>
        </w:tc>
      </w:tr>
      <w:tr>
        <w:trPr>
          <w:trHeight w:val="22"/>
        </w:trPr>
        <w:tc>
          <w:tcPr>
            <w:tcW w:w="3380" w:type="dxa"/>
            <w:vAlign w:val="bottom"/>
            <w:tcBorders>
              <w:right w:val="single" w:sz="8" w:color="A8BCBF"/>
            </w:tcBorders>
          </w:tcPr>
          <w:p>
            <w:pPr>
              <w:spacing w:after="0" w:line="20" w:lineRule="exact"/>
              <w:rPr>
                <w:sz w:val="1"/>
                <w:szCs w:val="1"/>
                <w:color w:val="auto"/>
              </w:rPr>
            </w:pPr>
          </w:p>
        </w:tc>
        <w:tc>
          <w:tcPr>
            <w:tcW w:w="4520" w:type="dxa"/>
            <w:vAlign w:val="bottom"/>
            <w:tcBorders>
              <w:right w:val="single" w:sz="8" w:color="A8BCB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3"/>
        </w:trPr>
        <w:tc>
          <w:tcPr>
            <w:tcW w:w="3380" w:type="dxa"/>
            <w:vAlign w:val="bottom"/>
            <w:tcBorders>
              <w:bottom w:val="single" w:sz="8" w:color="F5EBCC"/>
              <w:right w:val="single" w:sz="8" w:color="A8BCBF"/>
            </w:tcBorders>
            <w:shd w:val="clear" w:color="auto" w:fill="F5EBCC"/>
          </w:tcPr>
          <w:p>
            <w:pPr>
              <w:spacing w:after="0"/>
              <w:rPr>
                <w:sz w:val="19"/>
                <w:szCs w:val="19"/>
                <w:color w:val="auto"/>
              </w:rPr>
            </w:pPr>
          </w:p>
        </w:tc>
        <w:tc>
          <w:tcPr>
            <w:tcW w:w="4520" w:type="dxa"/>
            <w:vAlign w:val="bottom"/>
            <w:tcBorders>
              <w:bottom w:val="single" w:sz="8" w:color="F5EBCC"/>
              <w:right w:val="single" w:sz="8" w:color="A8BCBF"/>
            </w:tcBorders>
            <w:shd w:val="clear" w:color="auto" w:fill="F5EBCC"/>
          </w:tcPr>
          <w:p>
            <w:pPr>
              <w:ind w:left="80"/>
              <w:spacing w:after="0"/>
              <w:rPr>
                <w:sz w:val="20"/>
                <w:szCs w:val="20"/>
                <w:color w:val="auto"/>
              </w:rPr>
            </w:pPr>
            <w:r>
              <w:rPr>
                <w:rFonts w:ascii="Arial" w:cs="Arial" w:eastAsia="Arial" w:hAnsi="Arial"/>
                <w:sz w:val="15"/>
                <w:szCs w:val="15"/>
                <w:color w:val="auto"/>
              </w:rPr>
              <w:t>Royal Caribbean Cruises Ltd</w:t>
            </w:r>
          </w:p>
        </w:tc>
        <w:tc>
          <w:tcPr>
            <w:tcW w:w="3120" w:type="dxa"/>
            <w:vAlign w:val="bottom"/>
            <w:tcBorders>
              <w:bottom w:val="single" w:sz="8" w:color="F5EBCC"/>
            </w:tcBorders>
            <w:shd w:val="clear" w:color="auto" w:fill="F5EBCC"/>
          </w:tcPr>
          <w:p>
            <w:pPr>
              <w:ind w:left="320"/>
              <w:spacing w:after="0"/>
              <w:rPr>
                <w:sz w:val="20"/>
                <w:szCs w:val="20"/>
                <w:color w:val="auto"/>
              </w:rPr>
            </w:pPr>
            <w:r>
              <w:rPr>
                <w:rFonts w:ascii="Arial" w:cs="Arial" w:eastAsia="Arial" w:hAnsi="Arial"/>
                <w:sz w:val="15"/>
                <w:szCs w:val="15"/>
                <w:color w:val="auto"/>
              </w:rPr>
              <w:t>The Estée Lauder Companies Inc.</w:t>
            </w:r>
          </w:p>
        </w:tc>
      </w:tr>
      <w:tr>
        <w:trPr>
          <w:trHeight w:val="222"/>
        </w:trPr>
        <w:tc>
          <w:tcPr>
            <w:tcW w:w="3380" w:type="dxa"/>
            <w:vAlign w:val="bottom"/>
            <w:tcBorders>
              <w:right w:val="single" w:sz="8" w:color="A8BCBF"/>
            </w:tcBorders>
          </w:tcPr>
          <w:p>
            <w:pPr>
              <w:spacing w:after="0"/>
              <w:rPr>
                <w:sz w:val="19"/>
                <w:szCs w:val="19"/>
                <w:color w:val="auto"/>
              </w:rPr>
            </w:pPr>
          </w:p>
        </w:tc>
        <w:tc>
          <w:tcPr>
            <w:tcW w:w="4520" w:type="dxa"/>
            <w:vAlign w:val="bottom"/>
            <w:tcBorders>
              <w:right w:val="single" w:sz="8" w:color="A8BCBF"/>
            </w:tcBorders>
          </w:tcPr>
          <w:p>
            <w:pPr>
              <w:ind w:left="80"/>
              <w:spacing w:after="0"/>
              <w:rPr>
                <w:sz w:val="20"/>
                <w:szCs w:val="20"/>
                <w:color w:val="auto"/>
              </w:rPr>
            </w:pPr>
            <w:r>
              <w:rPr>
                <w:rFonts w:ascii="Arial" w:cs="Arial" w:eastAsia="Arial" w:hAnsi="Arial"/>
                <w:sz w:val="15"/>
                <w:szCs w:val="15"/>
                <w:color w:val="auto"/>
              </w:rPr>
              <w:t>Wyndham Hotels &amp; Resorts, Inc.</w:t>
            </w:r>
          </w:p>
        </w:tc>
        <w:tc>
          <w:tcPr>
            <w:tcW w:w="3120" w:type="dxa"/>
            <w:vAlign w:val="bottom"/>
          </w:tcPr>
          <w:p>
            <w:pPr>
              <w:ind w:left="320"/>
              <w:spacing w:after="0"/>
              <w:rPr>
                <w:sz w:val="20"/>
                <w:szCs w:val="20"/>
                <w:color w:val="auto"/>
              </w:rPr>
            </w:pPr>
            <w:r>
              <w:rPr>
                <w:rFonts w:ascii="Arial" w:cs="Arial" w:eastAsia="Arial" w:hAnsi="Arial"/>
                <w:sz w:val="15"/>
                <w:szCs w:val="15"/>
                <w:color w:val="auto"/>
              </w:rPr>
              <w:t>V.F. Corporation</w:t>
            </w:r>
          </w:p>
        </w:tc>
      </w:tr>
      <w:tr>
        <w:trPr>
          <w:trHeight w:val="22"/>
        </w:trPr>
        <w:tc>
          <w:tcPr>
            <w:tcW w:w="3380" w:type="dxa"/>
            <w:vAlign w:val="bottom"/>
            <w:tcBorders>
              <w:right w:val="single" w:sz="8" w:color="A8BCBF"/>
            </w:tcBorders>
          </w:tcPr>
          <w:p>
            <w:pPr>
              <w:spacing w:after="0" w:line="20" w:lineRule="exact"/>
              <w:rPr>
                <w:sz w:val="1"/>
                <w:szCs w:val="1"/>
                <w:color w:val="auto"/>
              </w:rPr>
            </w:pPr>
          </w:p>
        </w:tc>
        <w:tc>
          <w:tcPr>
            <w:tcW w:w="4520" w:type="dxa"/>
            <w:vAlign w:val="bottom"/>
            <w:tcBorders>
              <w:right w:val="single" w:sz="8" w:color="A8BCB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16 companies in the peer group generally had revenue, market capitalization and total enterprise value (as of December 31, 2021) in a relevant range around those of the Company as set forth below.</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2880" w:type="dxa"/>
            <w:vAlign w:val="bottom"/>
            <w:tcBorders>
              <w:right w:val="single" w:sz="8" w:color="A8BCBF"/>
            </w:tcBorders>
          </w:tcPr>
          <w:p>
            <w:pPr>
              <w:spacing w:after="0"/>
              <w:rPr>
                <w:sz w:val="24"/>
                <w:szCs w:val="24"/>
                <w:color w:val="auto"/>
              </w:rPr>
            </w:pPr>
          </w:p>
        </w:tc>
        <w:tc>
          <w:tcPr>
            <w:tcW w:w="2340" w:type="dxa"/>
            <w:vAlign w:val="bottom"/>
            <w:tcBorders>
              <w:right w:val="single" w:sz="8" w:color="9E9E9E"/>
            </w:tcBorders>
          </w:tcPr>
          <w:p>
            <w:pPr>
              <w:jc w:val="center"/>
              <w:ind w:left="435"/>
              <w:spacing w:after="0"/>
              <w:rPr>
                <w:sz w:val="20"/>
                <w:szCs w:val="20"/>
                <w:color w:val="auto"/>
              </w:rPr>
            </w:pPr>
            <w:r>
              <w:rPr>
                <w:rFonts w:ascii="Arial" w:cs="Arial" w:eastAsia="Arial" w:hAnsi="Arial"/>
                <w:sz w:val="14"/>
                <w:szCs w:val="14"/>
                <w:b w:val="1"/>
                <w:bCs w:val="1"/>
                <w:color w:val="CE9B00"/>
              </w:rPr>
              <w:t>WYNN RESORTS</w:t>
            </w:r>
          </w:p>
        </w:tc>
        <w:tc>
          <w:tcPr>
            <w:tcW w:w="1760" w:type="dxa"/>
            <w:vAlign w:val="bottom"/>
          </w:tcPr>
          <w:p>
            <w:pPr>
              <w:spacing w:after="0"/>
              <w:rPr>
                <w:sz w:val="24"/>
                <w:szCs w:val="24"/>
                <w:color w:val="auto"/>
              </w:rPr>
            </w:pPr>
          </w:p>
        </w:tc>
        <w:tc>
          <w:tcPr>
            <w:tcW w:w="4040" w:type="dxa"/>
            <w:vAlign w:val="bottom"/>
          </w:tcPr>
          <w:p>
            <w:pPr>
              <w:ind w:left="520"/>
              <w:spacing w:after="0"/>
              <w:rPr>
                <w:sz w:val="20"/>
                <w:szCs w:val="20"/>
                <w:color w:val="auto"/>
              </w:rPr>
            </w:pPr>
            <w:r>
              <w:rPr>
                <w:rFonts w:ascii="Arial" w:cs="Arial" w:eastAsia="Arial" w:hAnsi="Arial"/>
                <w:sz w:val="14"/>
                <w:szCs w:val="14"/>
                <w:b w:val="1"/>
                <w:bCs w:val="1"/>
                <w:color w:val="CE9B00"/>
              </w:rPr>
              <w:t>PEER GROUP</w:t>
            </w:r>
          </w:p>
        </w:tc>
      </w:tr>
      <w:tr>
        <w:trPr>
          <w:trHeight w:val="243"/>
        </w:trPr>
        <w:tc>
          <w:tcPr>
            <w:tcW w:w="2880" w:type="dxa"/>
            <w:vAlign w:val="bottom"/>
            <w:tcBorders>
              <w:right w:val="single" w:sz="8" w:color="A8BCBF"/>
            </w:tcBorders>
            <w:shd w:val="clear" w:color="auto" w:fill="F5EBCC"/>
          </w:tcPr>
          <w:p>
            <w:pPr>
              <w:ind w:left="60"/>
              <w:spacing w:after="0"/>
              <w:rPr>
                <w:sz w:val="20"/>
                <w:szCs w:val="20"/>
                <w:color w:val="auto"/>
              </w:rPr>
            </w:pPr>
            <w:r>
              <w:rPr>
                <w:rFonts w:ascii="Arial" w:cs="Arial" w:eastAsia="Arial" w:hAnsi="Arial"/>
                <w:sz w:val="18"/>
                <w:szCs w:val="18"/>
                <w:color w:val="auto"/>
              </w:rPr>
              <w:t>Revenue</w:t>
            </w:r>
          </w:p>
        </w:tc>
        <w:tc>
          <w:tcPr>
            <w:tcW w:w="2340" w:type="dxa"/>
            <w:vAlign w:val="bottom"/>
            <w:tcBorders>
              <w:right w:val="single" w:sz="8" w:color="A8BCBF"/>
            </w:tcBorders>
            <w:shd w:val="clear" w:color="auto" w:fill="F5EBCC"/>
          </w:tcPr>
          <w:p>
            <w:pPr>
              <w:jc w:val="center"/>
              <w:ind w:left="435"/>
              <w:spacing w:after="0"/>
              <w:rPr>
                <w:sz w:val="20"/>
                <w:szCs w:val="20"/>
                <w:color w:val="auto"/>
              </w:rPr>
            </w:pPr>
            <w:r>
              <w:rPr>
                <w:rFonts w:ascii="Arial" w:cs="Arial" w:eastAsia="Arial" w:hAnsi="Arial"/>
                <w:sz w:val="18"/>
                <w:szCs w:val="18"/>
                <w:color w:val="auto"/>
                <w:w w:val="99"/>
              </w:rPr>
              <w:t>$3.4 billion</w:t>
            </w:r>
          </w:p>
        </w:tc>
        <w:tc>
          <w:tcPr>
            <w:tcW w:w="1760" w:type="dxa"/>
            <w:vAlign w:val="bottom"/>
            <w:tcBorders>
              <w:right w:val="single" w:sz="8" w:color="A8BCBF"/>
            </w:tcBorders>
            <w:shd w:val="clear" w:color="auto" w:fill="F5EBCC"/>
          </w:tcPr>
          <w:p>
            <w:pPr>
              <w:ind w:left="760"/>
              <w:spacing w:after="0"/>
              <w:rPr>
                <w:sz w:val="20"/>
                <w:szCs w:val="20"/>
                <w:color w:val="auto"/>
              </w:rPr>
            </w:pPr>
            <w:r>
              <w:rPr>
                <w:rFonts w:ascii="Arial" w:cs="Arial" w:eastAsia="Arial" w:hAnsi="Arial"/>
                <w:sz w:val="18"/>
                <w:szCs w:val="18"/>
                <w:color w:val="auto"/>
              </w:rPr>
              <w:t>Range:</w:t>
            </w:r>
          </w:p>
        </w:tc>
        <w:tc>
          <w:tcPr>
            <w:tcW w:w="4040" w:type="dxa"/>
            <w:vAlign w:val="bottom"/>
            <w:shd w:val="clear" w:color="auto" w:fill="F5EBCC"/>
          </w:tcPr>
          <w:p>
            <w:pPr>
              <w:ind w:left="760"/>
              <w:spacing w:after="0"/>
              <w:rPr>
                <w:sz w:val="20"/>
                <w:szCs w:val="20"/>
                <w:color w:val="auto"/>
              </w:rPr>
            </w:pPr>
            <w:r>
              <w:rPr>
                <w:rFonts w:ascii="Arial" w:cs="Arial" w:eastAsia="Arial" w:hAnsi="Arial"/>
                <w:sz w:val="18"/>
                <w:szCs w:val="18"/>
                <w:color w:val="auto"/>
              </w:rPr>
              <w:t>$0.2 billion–$17.7 billion</w:t>
            </w:r>
          </w:p>
        </w:tc>
      </w:tr>
      <w:tr>
        <w:trPr>
          <w:trHeight w:val="236"/>
        </w:trPr>
        <w:tc>
          <w:tcPr>
            <w:tcW w:w="2880" w:type="dxa"/>
            <w:vAlign w:val="bottom"/>
            <w:tcBorders>
              <w:right w:val="single" w:sz="8" w:color="A8BCBF"/>
            </w:tcBorders>
          </w:tcPr>
          <w:p>
            <w:pPr>
              <w:spacing w:after="0"/>
              <w:rPr>
                <w:sz w:val="20"/>
                <w:szCs w:val="20"/>
                <w:color w:val="auto"/>
              </w:rPr>
            </w:pPr>
          </w:p>
        </w:tc>
        <w:tc>
          <w:tcPr>
            <w:tcW w:w="2340" w:type="dxa"/>
            <w:vAlign w:val="bottom"/>
            <w:tcBorders>
              <w:right w:val="single" w:sz="8" w:color="A8BCBF"/>
            </w:tcBorders>
          </w:tcPr>
          <w:p>
            <w:pPr>
              <w:spacing w:after="0"/>
              <w:rPr>
                <w:sz w:val="20"/>
                <w:szCs w:val="20"/>
                <w:color w:val="auto"/>
              </w:rPr>
            </w:pPr>
          </w:p>
        </w:tc>
        <w:tc>
          <w:tcPr>
            <w:tcW w:w="1760" w:type="dxa"/>
            <w:vAlign w:val="bottom"/>
            <w:tcBorders>
              <w:right w:val="single" w:sz="8" w:color="A8BCBF"/>
            </w:tcBorders>
          </w:tcPr>
          <w:p>
            <w:pPr>
              <w:ind w:left="760"/>
              <w:spacing w:after="0"/>
              <w:rPr>
                <w:sz w:val="20"/>
                <w:szCs w:val="20"/>
                <w:color w:val="auto"/>
              </w:rPr>
            </w:pPr>
            <w:r>
              <w:rPr>
                <w:rFonts w:ascii="Arial" w:cs="Arial" w:eastAsia="Arial" w:hAnsi="Arial"/>
                <w:sz w:val="18"/>
                <w:szCs w:val="18"/>
                <w:color w:val="auto"/>
              </w:rPr>
              <w:t>Median:</w:t>
            </w:r>
          </w:p>
        </w:tc>
        <w:tc>
          <w:tcPr>
            <w:tcW w:w="4040" w:type="dxa"/>
            <w:vAlign w:val="bottom"/>
          </w:tcPr>
          <w:p>
            <w:pPr>
              <w:ind w:left="760"/>
              <w:spacing w:after="0"/>
              <w:rPr>
                <w:sz w:val="20"/>
                <w:szCs w:val="20"/>
                <w:color w:val="auto"/>
              </w:rPr>
            </w:pPr>
            <w:r>
              <w:rPr>
                <w:rFonts w:ascii="Arial" w:cs="Arial" w:eastAsia="Arial" w:hAnsi="Arial"/>
                <w:sz w:val="18"/>
                <w:szCs w:val="18"/>
                <w:color w:val="auto"/>
              </w:rPr>
              <w:t>$5.9 billion</w:t>
            </w:r>
          </w:p>
        </w:tc>
      </w:tr>
      <w:tr>
        <w:trPr>
          <w:trHeight w:val="250"/>
        </w:trPr>
        <w:tc>
          <w:tcPr>
            <w:tcW w:w="2880" w:type="dxa"/>
            <w:vAlign w:val="bottom"/>
            <w:tcBorders>
              <w:right w:val="single" w:sz="8" w:color="A8BCBF"/>
            </w:tcBorders>
            <w:shd w:val="clear" w:color="auto" w:fill="F5EBCC"/>
          </w:tcPr>
          <w:p>
            <w:pPr>
              <w:ind w:left="60"/>
              <w:spacing w:after="0"/>
              <w:rPr>
                <w:sz w:val="20"/>
                <w:szCs w:val="20"/>
                <w:color w:val="auto"/>
              </w:rPr>
            </w:pPr>
            <w:r>
              <w:rPr>
                <w:rFonts w:ascii="Arial" w:cs="Arial" w:eastAsia="Arial" w:hAnsi="Arial"/>
                <w:sz w:val="18"/>
                <w:szCs w:val="18"/>
                <w:color w:val="auto"/>
              </w:rPr>
              <w:t>Market Capitalization</w:t>
            </w:r>
          </w:p>
        </w:tc>
        <w:tc>
          <w:tcPr>
            <w:tcW w:w="2340" w:type="dxa"/>
            <w:vAlign w:val="bottom"/>
            <w:tcBorders>
              <w:right w:val="single" w:sz="8" w:color="A8BCBF"/>
            </w:tcBorders>
            <w:shd w:val="clear" w:color="auto" w:fill="F5EBCC"/>
          </w:tcPr>
          <w:p>
            <w:pPr>
              <w:jc w:val="center"/>
              <w:ind w:left="435"/>
              <w:spacing w:after="0"/>
              <w:rPr>
                <w:sz w:val="20"/>
                <w:szCs w:val="20"/>
                <w:color w:val="auto"/>
              </w:rPr>
            </w:pPr>
            <w:r>
              <w:rPr>
                <w:rFonts w:ascii="Arial" w:cs="Arial" w:eastAsia="Arial" w:hAnsi="Arial"/>
                <w:sz w:val="18"/>
                <w:szCs w:val="18"/>
                <w:color w:val="auto"/>
                <w:w w:val="99"/>
              </w:rPr>
              <w:t>$9.8 billion</w:t>
            </w:r>
          </w:p>
        </w:tc>
        <w:tc>
          <w:tcPr>
            <w:tcW w:w="1760" w:type="dxa"/>
            <w:vAlign w:val="bottom"/>
            <w:tcBorders>
              <w:right w:val="single" w:sz="8" w:color="A8BCBF"/>
            </w:tcBorders>
            <w:shd w:val="clear" w:color="auto" w:fill="F5EBCC"/>
          </w:tcPr>
          <w:p>
            <w:pPr>
              <w:ind w:left="760"/>
              <w:spacing w:after="0"/>
              <w:rPr>
                <w:sz w:val="20"/>
                <w:szCs w:val="20"/>
                <w:color w:val="auto"/>
              </w:rPr>
            </w:pPr>
            <w:r>
              <w:rPr>
                <w:rFonts w:ascii="Arial" w:cs="Arial" w:eastAsia="Arial" w:hAnsi="Arial"/>
                <w:sz w:val="18"/>
                <w:szCs w:val="18"/>
                <w:color w:val="auto"/>
              </w:rPr>
              <w:t>Range:</w:t>
            </w:r>
          </w:p>
        </w:tc>
        <w:tc>
          <w:tcPr>
            <w:tcW w:w="4040" w:type="dxa"/>
            <w:vAlign w:val="bottom"/>
            <w:shd w:val="clear" w:color="auto" w:fill="F5EBCC"/>
          </w:tcPr>
          <w:p>
            <w:pPr>
              <w:ind w:left="760"/>
              <w:spacing w:after="0"/>
              <w:rPr>
                <w:sz w:val="20"/>
                <w:szCs w:val="20"/>
                <w:color w:val="auto"/>
              </w:rPr>
            </w:pPr>
            <w:r>
              <w:rPr>
                <w:rFonts w:ascii="Arial" w:cs="Arial" w:eastAsia="Arial" w:hAnsi="Arial"/>
                <w:sz w:val="18"/>
                <w:szCs w:val="18"/>
                <w:color w:val="auto"/>
              </w:rPr>
              <w:t>$7.5 billion–$133.3 billion</w:t>
            </w:r>
          </w:p>
        </w:tc>
      </w:tr>
      <w:tr>
        <w:trPr>
          <w:trHeight w:val="236"/>
        </w:trPr>
        <w:tc>
          <w:tcPr>
            <w:tcW w:w="2880" w:type="dxa"/>
            <w:vAlign w:val="bottom"/>
            <w:tcBorders>
              <w:right w:val="single" w:sz="8" w:color="A8BCBF"/>
            </w:tcBorders>
          </w:tcPr>
          <w:p>
            <w:pPr>
              <w:spacing w:after="0"/>
              <w:rPr>
                <w:sz w:val="20"/>
                <w:szCs w:val="20"/>
                <w:color w:val="auto"/>
              </w:rPr>
            </w:pPr>
          </w:p>
        </w:tc>
        <w:tc>
          <w:tcPr>
            <w:tcW w:w="2340" w:type="dxa"/>
            <w:vAlign w:val="bottom"/>
            <w:tcBorders>
              <w:right w:val="single" w:sz="8" w:color="A8BCBF"/>
            </w:tcBorders>
          </w:tcPr>
          <w:p>
            <w:pPr>
              <w:spacing w:after="0"/>
              <w:rPr>
                <w:sz w:val="20"/>
                <w:szCs w:val="20"/>
                <w:color w:val="auto"/>
              </w:rPr>
            </w:pPr>
          </w:p>
        </w:tc>
        <w:tc>
          <w:tcPr>
            <w:tcW w:w="1760" w:type="dxa"/>
            <w:vAlign w:val="bottom"/>
            <w:tcBorders>
              <w:right w:val="single" w:sz="8" w:color="A8BCBF"/>
            </w:tcBorders>
          </w:tcPr>
          <w:p>
            <w:pPr>
              <w:ind w:left="760"/>
              <w:spacing w:after="0"/>
              <w:rPr>
                <w:sz w:val="20"/>
                <w:szCs w:val="20"/>
                <w:color w:val="auto"/>
              </w:rPr>
            </w:pPr>
            <w:r>
              <w:rPr>
                <w:rFonts w:ascii="Arial" w:cs="Arial" w:eastAsia="Arial" w:hAnsi="Arial"/>
                <w:sz w:val="18"/>
                <w:szCs w:val="18"/>
                <w:color w:val="auto"/>
              </w:rPr>
              <w:t>Median:</w:t>
            </w:r>
          </w:p>
        </w:tc>
        <w:tc>
          <w:tcPr>
            <w:tcW w:w="4040" w:type="dxa"/>
            <w:vAlign w:val="bottom"/>
          </w:tcPr>
          <w:p>
            <w:pPr>
              <w:ind w:left="760"/>
              <w:spacing w:after="0"/>
              <w:rPr>
                <w:sz w:val="20"/>
                <w:szCs w:val="20"/>
                <w:color w:val="auto"/>
              </w:rPr>
            </w:pPr>
            <w:r>
              <w:rPr>
                <w:rFonts w:ascii="Arial" w:cs="Arial" w:eastAsia="Arial" w:hAnsi="Arial"/>
                <w:sz w:val="18"/>
                <w:szCs w:val="18"/>
                <w:color w:val="auto"/>
              </w:rPr>
              <w:t>$15.4 billion</w:t>
            </w:r>
          </w:p>
        </w:tc>
      </w:tr>
      <w:tr>
        <w:trPr>
          <w:trHeight w:val="250"/>
        </w:trPr>
        <w:tc>
          <w:tcPr>
            <w:tcW w:w="2880" w:type="dxa"/>
            <w:vAlign w:val="bottom"/>
            <w:tcBorders>
              <w:right w:val="single" w:sz="8" w:color="A8BCBF"/>
            </w:tcBorders>
            <w:shd w:val="clear" w:color="auto" w:fill="F5EBCC"/>
          </w:tcPr>
          <w:p>
            <w:pPr>
              <w:ind w:left="60"/>
              <w:spacing w:after="0"/>
              <w:rPr>
                <w:sz w:val="20"/>
                <w:szCs w:val="20"/>
                <w:color w:val="auto"/>
              </w:rPr>
            </w:pPr>
            <w:r>
              <w:rPr>
                <w:rFonts w:ascii="Arial" w:cs="Arial" w:eastAsia="Arial" w:hAnsi="Arial"/>
                <w:sz w:val="18"/>
                <w:szCs w:val="18"/>
                <w:color w:val="auto"/>
              </w:rPr>
              <w:t>Enterprise Value</w:t>
            </w:r>
          </w:p>
        </w:tc>
        <w:tc>
          <w:tcPr>
            <w:tcW w:w="2340" w:type="dxa"/>
            <w:vAlign w:val="bottom"/>
            <w:tcBorders>
              <w:right w:val="single" w:sz="8" w:color="A8BCBF"/>
            </w:tcBorders>
            <w:shd w:val="clear" w:color="auto" w:fill="F5EBCC"/>
          </w:tcPr>
          <w:p>
            <w:pPr>
              <w:jc w:val="center"/>
              <w:ind w:left="415"/>
              <w:spacing w:after="0"/>
              <w:rPr>
                <w:sz w:val="20"/>
                <w:szCs w:val="20"/>
                <w:color w:val="auto"/>
              </w:rPr>
            </w:pPr>
            <w:r>
              <w:rPr>
                <w:rFonts w:ascii="Arial" w:cs="Arial" w:eastAsia="Arial" w:hAnsi="Arial"/>
                <w:sz w:val="18"/>
                <w:szCs w:val="18"/>
                <w:color w:val="auto"/>
                <w:w w:val="99"/>
              </w:rPr>
              <w:t>$18.7 billion</w:t>
            </w:r>
          </w:p>
        </w:tc>
        <w:tc>
          <w:tcPr>
            <w:tcW w:w="1760" w:type="dxa"/>
            <w:vAlign w:val="bottom"/>
            <w:tcBorders>
              <w:right w:val="single" w:sz="8" w:color="A8BCBF"/>
            </w:tcBorders>
            <w:shd w:val="clear" w:color="auto" w:fill="F5EBCC"/>
          </w:tcPr>
          <w:p>
            <w:pPr>
              <w:ind w:left="760"/>
              <w:spacing w:after="0"/>
              <w:rPr>
                <w:sz w:val="20"/>
                <w:szCs w:val="20"/>
                <w:color w:val="auto"/>
              </w:rPr>
            </w:pPr>
            <w:r>
              <w:rPr>
                <w:rFonts w:ascii="Arial" w:cs="Arial" w:eastAsia="Arial" w:hAnsi="Arial"/>
                <w:sz w:val="18"/>
                <w:szCs w:val="18"/>
                <w:color w:val="auto"/>
              </w:rPr>
              <w:t>Range:</w:t>
            </w:r>
          </w:p>
        </w:tc>
        <w:tc>
          <w:tcPr>
            <w:tcW w:w="4040" w:type="dxa"/>
            <w:vAlign w:val="bottom"/>
            <w:shd w:val="clear" w:color="auto" w:fill="F5EBCC"/>
          </w:tcPr>
          <w:p>
            <w:pPr>
              <w:ind w:left="760"/>
              <w:spacing w:after="0"/>
              <w:rPr>
                <w:sz w:val="20"/>
                <w:szCs w:val="20"/>
                <w:color w:val="auto"/>
              </w:rPr>
            </w:pPr>
            <w:r>
              <w:rPr>
                <w:rFonts w:ascii="Arial" w:cs="Arial" w:eastAsia="Arial" w:hAnsi="Arial"/>
                <w:sz w:val="18"/>
                <w:szCs w:val="18"/>
                <w:color w:val="auto"/>
              </w:rPr>
              <w:t>$9.2 billion–$137.5billion</w:t>
            </w:r>
          </w:p>
        </w:tc>
      </w:tr>
      <w:tr>
        <w:trPr>
          <w:trHeight w:val="243"/>
        </w:trPr>
        <w:tc>
          <w:tcPr>
            <w:tcW w:w="2880" w:type="dxa"/>
            <w:vAlign w:val="bottom"/>
            <w:tcBorders>
              <w:right w:val="single" w:sz="8" w:color="A8BCBF"/>
            </w:tcBorders>
          </w:tcPr>
          <w:p>
            <w:pPr>
              <w:spacing w:after="0"/>
              <w:rPr>
                <w:sz w:val="21"/>
                <w:szCs w:val="21"/>
                <w:color w:val="auto"/>
              </w:rPr>
            </w:pPr>
          </w:p>
        </w:tc>
        <w:tc>
          <w:tcPr>
            <w:tcW w:w="2340" w:type="dxa"/>
            <w:vAlign w:val="bottom"/>
            <w:tcBorders>
              <w:right w:val="single" w:sz="8" w:color="A8BCBF"/>
            </w:tcBorders>
          </w:tcPr>
          <w:p>
            <w:pPr>
              <w:spacing w:after="0"/>
              <w:rPr>
                <w:sz w:val="21"/>
                <w:szCs w:val="21"/>
                <w:color w:val="auto"/>
              </w:rPr>
            </w:pPr>
          </w:p>
        </w:tc>
        <w:tc>
          <w:tcPr>
            <w:tcW w:w="1760" w:type="dxa"/>
            <w:vAlign w:val="bottom"/>
            <w:tcBorders>
              <w:right w:val="single" w:sz="8" w:color="A8BCBF"/>
            </w:tcBorders>
          </w:tcPr>
          <w:p>
            <w:pPr>
              <w:ind w:left="760"/>
              <w:spacing w:after="0"/>
              <w:rPr>
                <w:sz w:val="20"/>
                <w:szCs w:val="20"/>
                <w:color w:val="auto"/>
              </w:rPr>
            </w:pPr>
            <w:r>
              <w:rPr>
                <w:rFonts w:ascii="Arial" w:cs="Arial" w:eastAsia="Arial" w:hAnsi="Arial"/>
                <w:sz w:val="18"/>
                <w:szCs w:val="18"/>
                <w:color w:val="auto"/>
              </w:rPr>
              <w:t>Median:</w:t>
            </w:r>
          </w:p>
        </w:tc>
        <w:tc>
          <w:tcPr>
            <w:tcW w:w="4040" w:type="dxa"/>
            <w:vAlign w:val="bottom"/>
          </w:tcPr>
          <w:p>
            <w:pPr>
              <w:ind w:left="760"/>
              <w:spacing w:after="0"/>
              <w:rPr>
                <w:sz w:val="20"/>
                <w:szCs w:val="20"/>
                <w:color w:val="auto"/>
              </w:rPr>
            </w:pPr>
            <w:r>
              <w:rPr>
                <w:rFonts w:ascii="Arial" w:cs="Arial" w:eastAsia="Arial" w:hAnsi="Arial"/>
                <w:sz w:val="18"/>
                <w:szCs w:val="18"/>
                <w:color w:val="auto"/>
              </w:rPr>
              <w:t>$26.7 billion</w:t>
            </w:r>
          </w:p>
        </w:tc>
      </w:tr>
    </w:tbl>
    <w:p>
      <w:pPr>
        <w:spacing w:after="0" w:line="64"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Data source: Bloomberg.</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31"/>
          <w:szCs w:val="31"/>
          <w:color w:val="auto"/>
        </w:rPr>
        <w:t>Non-disclosure of certain metrics and targets</w:t>
      </w:r>
    </w:p>
    <w:p>
      <w:pPr>
        <w:spacing w:after="0" w:line="2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Company believes in transparency and strives to disclose as much information to shareholders as possible except in situations where we believe that providing full, or even limited, disclosure would be detrimental to the interests of shareholders. We believe certain disclosure could provide our competitors with insight regarding confidential business strategies without meaningfully adding to shareholders’ understanding of the metric.</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Other aspects of our executive compensation</w:t>
      </w:r>
    </w:p>
    <w:p>
      <w:pPr>
        <w:spacing w:after="0" w:line="3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CE9B00"/>
        </w:rPr>
        <w:t xml:space="preserve">ROLE OF THE COMPENSATION CONSULTANT: </w:t>
      </w:r>
      <w:r>
        <w:rPr>
          <w:rFonts w:ascii="Arial" w:cs="Arial" w:eastAsia="Arial" w:hAnsi="Arial"/>
          <w:sz w:val="18"/>
          <w:szCs w:val="18"/>
          <w:color w:val="000000"/>
        </w:rPr>
        <w:t>The Compensation Committee has the authority to retain compensation consulting firms</w:t>
      </w:r>
      <w:r>
        <w:rPr>
          <w:rFonts w:ascii="Arial" w:cs="Arial" w:eastAsia="Arial" w:hAnsi="Arial"/>
          <w:sz w:val="18"/>
          <w:szCs w:val="18"/>
          <w:color w:val="CE9B00"/>
        </w:rPr>
        <w:t xml:space="preserve"> </w:t>
      </w:r>
      <w:r>
        <w:rPr>
          <w:rFonts w:ascii="Arial" w:cs="Arial" w:eastAsia="Arial" w:hAnsi="Arial"/>
          <w:sz w:val="18"/>
          <w:szCs w:val="18"/>
          <w:color w:val="000000"/>
        </w:rPr>
        <w:t>exclusively to assist it in the evaluation of senior executive officer and employee compensation and benefit programs. In 2021, the Compensation Committee retained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2021, Radford, at the direction of the Compensation Committee, completed a peer group review and competitive compensation analysis, in connection with the Compensation Committee’s review of compensation levels of our NEOs. The Compensation Committee retains sole responsibility for engaging its advisors.</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42 //</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CE9B00"/>
        </w:rPr>
        <w:t xml:space="preserve">INDEPENDENCE OF THE COMPENSATION CONSULTANT: </w:t>
      </w:r>
      <w:r>
        <w:rPr>
          <w:rFonts w:ascii="Arial" w:cs="Arial" w:eastAsia="Arial" w:hAnsi="Arial"/>
          <w:sz w:val="18"/>
          <w:szCs w:val="18"/>
          <w:color w:val="000000"/>
        </w:rPr>
        <w:t>The Compensation Committee has determined that Radford is independent,</w:t>
      </w:r>
      <w:r>
        <w:rPr>
          <w:rFonts w:ascii="Arial" w:cs="Arial" w:eastAsia="Arial" w:hAnsi="Arial"/>
          <w:sz w:val="18"/>
          <w:szCs w:val="18"/>
          <w:color w:val="CE9B00"/>
        </w:rPr>
        <w:t xml:space="preserve"> </w:t>
      </w:r>
      <w:r>
        <w:rPr>
          <w:rFonts w:ascii="Arial" w:cs="Arial" w:eastAsia="Arial" w:hAnsi="Arial"/>
          <w:sz w:val="18"/>
          <w:szCs w:val="18"/>
          <w:color w:val="000000"/>
        </w:rPr>
        <w:t>and the services provided by Radford currently do not and during 2021 did not raise any conflict of interests. In reaching these conclusions, the Compensation Committee considered the factors set forth in Rule 10C-1 of the Exchange Act and applicable listing standards.</w:t>
      </w:r>
    </w:p>
    <w:p>
      <w:pPr>
        <w:spacing w:after="0" w:line="17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CE9B00"/>
        </w:rPr>
        <w:t xml:space="preserve">EMPLOYMENT CONTRACTS: </w:t>
      </w:r>
      <w:r>
        <w:rPr>
          <w:rFonts w:ascii="Arial" w:cs="Arial" w:eastAsia="Arial" w:hAnsi="Arial"/>
          <w:sz w:val="18"/>
          <w:szCs w:val="18"/>
          <w:color w:val="000000"/>
        </w:rPr>
        <w:t>We have a longstanding practice of entering into multi-year employment contracts with our senior</w:t>
      </w:r>
      <w:r>
        <w:rPr>
          <w:rFonts w:ascii="Arial" w:cs="Arial" w:eastAsia="Arial" w:hAnsi="Arial"/>
          <w:sz w:val="18"/>
          <w:szCs w:val="18"/>
          <w:color w:val="CE9B00"/>
        </w:rPr>
        <w:t xml:space="preserve"> </w:t>
      </w:r>
      <w:r>
        <w:rPr>
          <w:rFonts w:ascii="Arial" w:cs="Arial" w:eastAsia="Arial" w:hAnsi="Arial"/>
          <w:sz w:val="18"/>
          <w:szCs w:val="18"/>
          <w:color w:val="000000"/>
        </w:rPr>
        <w:t>executive officers and senior management. We believe that employment contracts provide greater assurance of continuity and retention of critical creative and operating talent in a highly competitive industry. Employment contracts for our NEOs are approved by the Compensation Committee in consultation with the Compensation Committee’s independent compensation advisors, as needed. The employment contracts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or Change in Control.” The employment contracts and the terms of equity awards also provide that vesting of some or all of an executive’s equity awards will accelerate upon certain events. Current employment contracts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Compensation committee report</w:t>
      </w:r>
    </w:p>
    <w:p>
      <w:pPr>
        <w:spacing w:after="0" w:line="2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6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Compensation Committee</w:t>
      </w:r>
    </w:p>
    <w:p>
      <w:pPr>
        <w:spacing w:after="0" w:line="16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Betsy S. Atkins, Chair</w:t>
      </w:r>
    </w:p>
    <w:p>
      <w:pPr>
        <w:ind w:left="7380"/>
        <w:spacing w:after="0" w:line="234" w:lineRule="auto"/>
        <w:rPr>
          <w:sz w:val="20"/>
          <w:szCs w:val="20"/>
          <w:color w:val="auto"/>
        </w:rPr>
      </w:pPr>
      <w:r>
        <w:rPr>
          <w:rFonts w:ascii="Arial" w:cs="Arial" w:eastAsia="Arial" w:hAnsi="Arial"/>
          <w:sz w:val="18"/>
          <w:szCs w:val="18"/>
          <w:color w:val="auto"/>
        </w:rPr>
        <w:t>Richard J. Byrne</w:t>
      </w:r>
    </w:p>
    <w:p>
      <w:pPr>
        <w:ind w:left="7380"/>
        <w:spacing w:after="0" w:line="235" w:lineRule="auto"/>
        <w:rPr>
          <w:sz w:val="20"/>
          <w:szCs w:val="20"/>
          <w:color w:val="auto"/>
        </w:rPr>
      </w:pPr>
      <w:r>
        <w:rPr>
          <w:rFonts w:ascii="Arial" w:cs="Arial" w:eastAsia="Arial" w:hAnsi="Arial"/>
          <w:sz w:val="18"/>
          <w:szCs w:val="18"/>
          <w:color w:val="auto"/>
        </w:rPr>
        <w:t>Margaret J. Myers</w:t>
      </w:r>
    </w:p>
    <w:p>
      <w:pPr>
        <w:spacing w:after="0" w:line="1"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Clark T. Randt, Jr.</w:t>
      </w:r>
    </w:p>
    <w:p>
      <w:pPr>
        <w:spacing w:after="0" w:line="39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43 //</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69405" cy="88468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69405"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94805" cy="88468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94805"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220345</wp:posOffset>
            </wp:positionV>
            <wp:extent cx="6789420" cy="88468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2021, 2020 and 2019.</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The table below is presented in a manner consistent with Regulation S-K. As discussed in the Compensation Discussion and Analysis section of this proxy, in response to the effects of the COVID-19 pandemic, each of the NEOs voluntarily elected to reduce their base salary by 20% for the period of January 1, 2021 through March 31, 2021, after which each NEO’s base salary was reinstated to the amount of their contractual base salaries. The NEOs did not receive an equity grant in connection with the reduction of their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7003415" cy="1962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03415" cy="1962785"/>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0"/>
        </w:trPr>
        <w:tc>
          <w:tcPr>
            <w:tcW w:w="3180" w:type="dxa"/>
            <w:vAlign w:val="bottom"/>
            <w:shd w:val="clear" w:color="auto" w:fill="E2E2D8"/>
          </w:tcPr>
          <w:p>
            <w:pPr>
              <w:spacing w:after="0"/>
              <w:rPr>
                <w:sz w:val="13"/>
                <w:szCs w:val="13"/>
                <w:color w:val="auto"/>
              </w:rPr>
            </w:pPr>
          </w:p>
        </w:tc>
        <w:tc>
          <w:tcPr>
            <w:tcW w:w="760" w:type="dxa"/>
            <w:vAlign w:val="bottom"/>
            <w:shd w:val="clear" w:color="auto" w:fill="E2E2D8"/>
          </w:tcPr>
          <w:p>
            <w:pPr>
              <w:spacing w:after="0"/>
              <w:rPr>
                <w:sz w:val="13"/>
                <w:szCs w:val="13"/>
                <w:color w:val="auto"/>
              </w:rPr>
            </w:pPr>
          </w:p>
        </w:tc>
        <w:tc>
          <w:tcPr>
            <w:tcW w:w="1100" w:type="dxa"/>
            <w:vAlign w:val="bottom"/>
            <w:shd w:val="clear" w:color="auto" w:fill="E2E2D8"/>
          </w:tcPr>
          <w:p>
            <w:pPr>
              <w:spacing w:after="0"/>
              <w:rPr>
                <w:sz w:val="13"/>
                <w:szCs w:val="13"/>
                <w:color w:val="auto"/>
              </w:rPr>
            </w:pPr>
          </w:p>
        </w:tc>
        <w:tc>
          <w:tcPr>
            <w:tcW w:w="1140" w:type="dxa"/>
            <w:vAlign w:val="bottom"/>
            <w:shd w:val="clear" w:color="auto" w:fill="E2E2D8"/>
          </w:tcPr>
          <w:p>
            <w:pPr>
              <w:spacing w:after="0"/>
              <w:rPr>
                <w:sz w:val="13"/>
                <w:szCs w:val="13"/>
                <w:color w:val="auto"/>
              </w:rPr>
            </w:pPr>
          </w:p>
        </w:tc>
        <w:tc>
          <w:tcPr>
            <w:tcW w:w="1100" w:type="dxa"/>
            <w:vAlign w:val="bottom"/>
            <w:shd w:val="clear" w:color="auto" w:fill="E2E2D8"/>
          </w:tcPr>
          <w:p>
            <w:pPr>
              <w:spacing w:after="0"/>
              <w:rPr>
                <w:sz w:val="13"/>
                <w:szCs w:val="13"/>
                <w:color w:val="auto"/>
              </w:rPr>
            </w:pPr>
          </w:p>
        </w:tc>
        <w:tc>
          <w:tcPr>
            <w:tcW w:w="1280" w:type="dxa"/>
            <w:vAlign w:val="bottom"/>
            <w:shd w:val="clear" w:color="auto" w:fill="E2E2D8"/>
          </w:tcPr>
          <w:p>
            <w:pPr>
              <w:jc w:val="center"/>
              <w:spacing w:after="0"/>
              <w:rPr>
                <w:sz w:val="20"/>
                <w:szCs w:val="20"/>
                <w:color w:val="auto"/>
              </w:rPr>
            </w:pPr>
            <w:r>
              <w:rPr>
                <w:rFonts w:ascii="Arial" w:cs="Arial" w:eastAsia="Arial" w:hAnsi="Arial"/>
                <w:sz w:val="11"/>
                <w:szCs w:val="11"/>
                <w:b w:val="1"/>
                <w:bCs w:val="1"/>
                <w:color w:val="auto"/>
                <w:w w:val="98"/>
              </w:rPr>
              <w:t>NON-EQUITY</w:t>
            </w:r>
          </w:p>
        </w:tc>
        <w:tc>
          <w:tcPr>
            <w:tcW w:w="1360" w:type="dxa"/>
            <w:vAlign w:val="bottom"/>
            <w:shd w:val="clear" w:color="auto" w:fill="E2E2D8"/>
          </w:tcPr>
          <w:p>
            <w:pPr>
              <w:spacing w:after="0"/>
              <w:rPr>
                <w:sz w:val="13"/>
                <w:szCs w:val="13"/>
                <w:color w:val="auto"/>
              </w:rPr>
            </w:pPr>
          </w:p>
        </w:tc>
        <w:tc>
          <w:tcPr>
            <w:tcW w:w="1100" w:type="dxa"/>
            <w:vAlign w:val="bottom"/>
            <w:shd w:val="clear" w:color="auto" w:fill="E2E2D8"/>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80" w:type="dxa"/>
            <w:vAlign w:val="bottom"/>
            <w:vMerge w:val="restart"/>
            <w:shd w:val="clear" w:color="auto" w:fill="E2E2D8"/>
          </w:tcPr>
          <w:p>
            <w:pPr>
              <w:ind w:left="120"/>
              <w:spacing w:after="0"/>
              <w:rPr>
                <w:sz w:val="20"/>
                <w:szCs w:val="20"/>
                <w:color w:val="auto"/>
              </w:rPr>
            </w:pPr>
            <w:r>
              <w:rPr>
                <w:rFonts w:ascii="Arial" w:cs="Arial" w:eastAsia="Arial" w:hAnsi="Arial"/>
                <w:sz w:val="11"/>
                <w:szCs w:val="11"/>
                <w:b w:val="1"/>
                <w:bCs w:val="1"/>
                <w:color w:val="auto"/>
              </w:rPr>
              <w:t>NAME AND</w:t>
            </w:r>
          </w:p>
        </w:tc>
        <w:tc>
          <w:tcPr>
            <w:tcW w:w="760" w:type="dxa"/>
            <w:vAlign w:val="bottom"/>
            <w:shd w:val="clear" w:color="auto" w:fill="E2E2D8"/>
          </w:tcPr>
          <w:p>
            <w:pPr>
              <w:spacing w:after="0"/>
              <w:rPr>
                <w:sz w:val="10"/>
                <w:szCs w:val="10"/>
                <w:color w:val="auto"/>
              </w:rPr>
            </w:pPr>
          </w:p>
        </w:tc>
        <w:tc>
          <w:tcPr>
            <w:tcW w:w="1100" w:type="dxa"/>
            <w:vAlign w:val="bottom"/>
            <w:vMerge w:val="restart"/>
            <w:shd w:val="clear" w:color="auto" w:fill="E2E2D8"/>
          </w:tcPr>
          <w:p>
            <w:pPr>
              <w:jc w:val="center"/>
              <w:spacing w:after="0"/>
              <w:rPr>
                <w:sz w:val="20"/>
                <w:szCs w:val="20"/>
                <w:color w:val="auto"/>
              </w:rPr>
            </w:pPr>
            <w:r>
              <w:rPr>
                <w:rFonts w:ascii="Arial" w:cs="Arial" w:eastAsia="Arial" w:hAnsi="Arial"/>
                <w:sz w:val="11"/>
                <w:szCs w:val="11"/>
                <w:b w:val="1"/>
                <w:bCs w:val="1"/>
                <w:color w:val="auto"/>
                <w:w w:val="97"/>
              </w:rPr>
              <w:t>SALARY ($)</w:t>
            </w:r>
          </w:p>
        </w:tc>
        <w:tc>
          <w:tcPr>
            <w:tcW w:w="1140" w:type="dxa"/>
            <w:vAlign w:val="bottom"/>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8"/>
              </w:rPr>
              <w:t>STOCK</w:t>
            </w:r>
          </w:p>
        </w:tc>
        <w:tc>
          <w:tcPr>
            <w:tcW w:w="1100" w:type="dxa"/>
            <w:vAlign w:val="bottom"/>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9"/>
              </w:rPr>
              <w:t>OPTION</w:t>
            </w:r>
          </w:p>
        </w:tc>
        <w:tc>
          <w:tcPr>
            <w:tcW w:w="1280" w:type="dxa"/>
            <w:vAlign w:val="bottom"/>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8"/>
              </w:rPr>
              <w:t>INCENTIVE</w:t>
            </w:r>
          </w:p>
        </w:tc>
        <w:tc>
          <w:tcPr>
            <w:tcW w:w="1360" w:type="dxa"/>
            <w:vAlign w:val="bottom"/>
            <w:shd w:val="clear" w:color="auto" w:fill="E2E2D8"/>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ALL OTHER</w:t>
            </w:r>
          </w:p>
        </w:tc>
        <w:tc>
          <w:tcPr>
            <w:tcW w:w="1100" w:type="dxa"/>
            <w:vAlign w:val="bottom"/>
            <w:shd w:val="clear" w:color="auto" w:fill="E2E2D8"/>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180" w:type="dxa"/>
            <w:vAlign w:val="bottom"/>
            <w:vMerge w:val="continue"/>
            <w:shd w:val="clear" w:color="auto" w:fill="E2E2D8"/>
          </w:tcPr>
          <w:p>
            <w:pPr>
              <w:spacing w:after="0"/>
              <w:rPr>
                <w:sz w:val="4"/>
                <w:szCs w:val="4"/>
                <w:color w:val="auto"/>
              </w:rPr>
            </w:pPr>
          </w:p>
        </w:tc>
        <w:tc>
          <w:tcPr>
            <w:tcW w:w="760" w:type="dxa"/>
            <w:vAlign w:val="bottom"/>
            <w:vMerge w:val="restart"/>
            <w:shd w:val="clear" w:color="auto" w:fill="E2E2D8"/>
          </w:tcPr>
          <w:p>
            <w:pPr>
              <w:ind w:left="200"/>
              <w:spacing w:after="0" w:line="122" w:lineRule="exact"/>
              <w:rPr>
                <w:sz w:val="20"/>
                <w:szCs w:val="20"/>
                <w:color w:val="auto"/>
              </w:rPr>
            </w:pPr>
            <w:r>
              <w:rPr>
                <w:rFonts w:ascii="Arial" w:cs="Arial" w:eastAsia="Arial" w:hAnsi="Arial"/>
                <w:sz w:val="11"/>
                <w:szCs w:val="11"/>
                <w:b w:val="1"/>
                <w:bCs w:val="1"/>
                <w:color w:val="auto"/>
              </w:rPr>
              <w:t>YEAR</w:t>
            </w:r>
          </w:p>
        </w:tc>
        <w:tc>
          <w:tcPr>
            <w:tcW w:w="1100" w:type="dxa"/>
            <w:vAlign w:val="bottom"/>
            <w:vMerge w:val="continue"/>
            <w:shd w:val="clear" w:color="auto" w:fill="E2E2D8"/>
          </w:tcPr>
          <w:p>
            <w:pPr>
              <w:spacing w:after="0"/>
              <w:rPr>
                <w:sz w:val="4"/>
                <w:szCs w:val="4"/>
                <w:color w:val="auto"/>
              </w:rPr>
            </w:pPr>
          </w:p>
        </w:tc>
        <w:tc>
          <w:tcPr>
            <w:tcW w:w="114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3"/>
              </w:rPr>
              <w:t>AWARDS ($)</w:t>
            </w:r>
          </w:p>
        </w:tc>
        <w:tc>
          <w:tcPr>
            <w:tcW w:w="11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6"/>
              </w:rPr>
              <w:t>AWARDS ($)</w:t>
            </w:r>
          </w:p>
        </w:tc>
        <w:tc>
          <w:tcPr>
            <w:tcW w:w="128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rPr>
              <w:t>PLAN</w:t>
            </w:r>
          </w:p>
        </w:tc>
        <w:tc>
          <w:tcPr>
            <w:tcW w:w="1360" w:type="dxa"/>
            <w:vAlign w:val="bottom"/>
            <w:vMerge w:val="restart"/>
            <w:shd w:val="clear" w:color="auto" w:fill="E2E2D8"/>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COMPENSATION</w:t>
            </w:r>
          </w:p>
        </w:tc>
        <w:tc>
          <w:tcPr>
            <w:tcW w:w="1100" w:type="dxa"/>
            <w:vAlign w:val="bottom"/>
            <w:vMerge w:val="restart"/>
            <w:shd w:val="clear" w:color="auto" w:fill="E2E2D8"/>
          </w:tcPr>
          <w:p>
            <w:pPr>
              <w:ind w:left="260"/>
              <w:spacing w:after="0" w:line="122" w:lineRule="exact"/>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68"/>
        </w:trPr>
        <w:tc>
          <w:tcPr>
            <w:tcW w:w="3180" w:type="dxa"/>
            <w:vAlign w:val="bottom"/>
            <w:vMerge w:val="restart"/>
            <w:shd w:val="clear" w:color="auto" w:fill="E2E2D8"/>
          </w:tcPr>
          <w:p>
            <w:pPr>
              <w:ind w:left="120"/>
              <w:spacing w:after="0"/>
              <w:rPr>
                <w:sz w:val="20"/>
                <w:szCs w:val="20"/>
                <w:color w:val="auto"/>
              </w:rPr>
            </w:pPr>
            <w:r>
              <w:rPr>
                <w:rFonts w:ascii="Arial" w:cs="Arial" w:eastAsia="Arial" w:hAnsi="Arial"/>
                <w:sz w:val="11"/>
                <w:szCs w:val="11"/>
                <w:b w:val="1"/>
                <w:bCs w:val="1"/>
                <w:color w:val="auto"/>
              </w:rPr>
              <w:t>PRINCIPAL POSITION</w:t>
            </w:r>
          </w:p>
        </w:tc>
        <w:tc>
          <w:tcPr>
            <w:tcW w:w="760" w:type="dxa"/>
            <w:vAlign w:val="bottom"/>
            <w:vMerge w:val="continue"/>
            <w:shd w:val="clear" w:color="auto" w:fill="E2E2D8"/>
          </w:tcPr>
          <w:p>
            <w:pPr>
              <w:spacing w:after="0"/>
              <w:rPr>
                <w:sz w:val="5"/>
                <w:szCs w:val="5"/>
                <w:color w:val="auto"/>
              </w:rPr>
            </w:pPr>
          </w:p>
        </w:tc>
        <w:tc>
          <w:tcPr>
            <w:tcW w:w="1100" w:type="dxa"/>
            <w:vAlign w:val="bottom"/>
            <w:vMerge w:val="restart"/>
            <w:shd w:val="clear" w:color="auto" w:fill="E2E2D8"/>
          </w:tcPr>
          <w:p>
            <w:pPr>
              <w:jc w:val="right"/>
              <w:ind w:right="446"/>
              <w:spacing w:after="0"/>
              <w:rPr>
                <w:sz w:val="20"/>
                <w:szCs w:val="20"/>
                <w:color w:val="auto"/>
              </w:rPr>
            </w:pPr>
            <w:r>
              <w:rPr>
                <w:rFonts w:ascii="Arial" w:cs="Arial" w:eastAsia="Arial" w:hAnsi="Arial"/>
                <w:sz w:val="11"/>
                <w:szCs w:val="11"/>
                <w:b w:val="1"/>
                <w:bCs w:val="1"/>
                <w:color w:val="auto"/>
              </w:rPr>
              <w:t>(1)</w:t>
            </w:r>
          </w:p>
        </w:tc>
        <w:tc>
          <w:tcPr>
            <w:tcW w:w="1140" w:type="dxa"/>
            <w:vAlign w:val="bottom"/>
            <w:vMerge w:val="continue"/>
            <w:shd w:val="clear" w:color="auto" w:fill="E2E2D8"/>
          </w:tcPr>
          <w:p>
            <w:pPr>
              <w:spacing w:after="0"/>
              <w:rPr>
                <w:sz w:val="5"/>
                <w:szCs w:val="5"/>
                <w:color w:val="auto"/>
              </w:rPr>
            </w:pPr>
          </w:p>
        </w:tc>
        <w:tc>
          <w:tcPr>
            <w:tcW w:w="1100" w:type="dxa"/>
            <w:vAlign w:val="bottom"/>
            <w:vMerge w:val="continue"/>
            <w:shd w:val="clear" w:color="auto" w:fill="E2E2D8"/>
          </w:tcPr>
          <w:p>
            <w:pPr>
              <w:spacing w:after="0"/>
              <w:rPr>
                <w:sz w:val="5"/>
                <w:szCs w:val="5"/>
                <w:color w:val="auto"/>
              </w:rPr>
            </w:pPr>
          </w:p>
        </w:tc>
        <w:tc>
          <w:tcPr>
            <w:tcW w:w="1280" w:type="dxa"/>
            <w:vAlign w:val="bottom"/>
            <w:vMerge w:val="continue"/>
            <w:shd w:val="clear" w:color="auto" w:fill="E2E2D8"/>
          </w:tcPr>
          <w:p>
            <w:pPr>
              <w:spacing w:after="0"/>
              <w:rPr>
                <w:sz w:val="5"/>
                <w:szCs w:val="5"/>
                <w:color w:val="auto"/>
              </w:rPr>
            </w:pPr>
          </w:p>
        </w:tc>
        <w:tc>
          <w:tcPr>
            <w:tcW w:w="1360" w:type="dxa"/>
            <w:vAlign w:val="bottom"/>
            <w:vMerge w:val="continue"/>
            <w:shd w:val="clear" w:color="auto" w:fill="E2E2D8"/>
          </w:tcPr>
          <w:p>
            <w:pPr>
              <w:spacing w:after="0"/>
              <w:rPr>
                <w:sz w:val="5"/>
                <w:szCs w:val="5"/>
                <w:color w:val="auto"/>
              </w:rPr>
            </w:pPr>
          </w:p>
        </w:tc>
        <w:tc>
          <w:tcPr>
            <w:tcW w:w="1100" w:type="dxa"/>
            <w:vAlign w:val="bottom"/>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180" w:type="dxa"/>
            <w:vAlign w:val="bottom"/>
            <w:vMerge w:val="continue"/>
            <w:shd w:val="clear" w:color="auto" w:fill="E2E2D8"/>
          </w:tcPr>
          <w:p>
            <w:pPr>
              <w:spacing w:after="0"/>
              <w:rPr>
                <w:sz w:val="6"/>
                <w:szCs w:val="6"/>
                <w:color w:val="auto"/>
              </w:rPr>
            </w:pPr>
          </w:p>
        </w:tc>
        <w:tc>
          <w:tcPr>
            <w:tcW w:w="760" w:type="dxa"/>
            <w:vAlign w:val="bottom"/>
            <w:shd w:val="clear" w:color="auto" w:fill="E2E2D8"/>
          </w:tcPr>
          <w:p>
            <w:pPr>
              <w:spacing w:after="0"/>
              <w:rPr>
                <w:sz w:val="6"/>
                <w:szCs w:val="6"/>
                <w:color w:val="auto"/>
              </w:rPr>
            </w:pPr>
          </w:p>
        </w:tc>
        <w:tc>
          <w:tcPr>
            <w:tcW w:w="1100" w:type="dxa"/>
            <w:vAlign w:val="bottom"/>
            <w:vMerge w:val="continue"/>
            <w:shd w:val="clear" w:color="auto" w:fill="E2E2D8"/>
          </w:tcPr>
          <w:p>
            <w:pPr>
              <w:spacing w:after="0"/>
              <w:rPr>
                <w:sz w:val="6"/>
                <w:szCs w:val="6"/>
                <w:color w:val="auto"/>
              </w:rPr>
            </w:pPr>
          </w:p>
        </w:tc>
        <w:tc>
          <w:tcPr>
            <w:tcW w:w="114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6"/>
              </w:rPr>
              <w:t>(2)(3)</w:t>
            </w:r>
          </w:p>
        </w:tc>
        <w:tc>
          <w:tcPr>
            <w:tcW w:w="11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6"/>
              </w:rPr>
              <w:t>(3)(4)</w:t>
            </w:r>
          </w:p>
        </w:tc>
        <w:tc>
          <w:tcPr>
            <w:tcW w:w="128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b w:val="1"/>
                <w:bCs w:val="1"/>
                <w:color w:val="auto"/>
                <w:w w:val="95"/>
              </w:rPr>
              <w:t>COMPENSATION</w:t>
            </w:r>
          </w:p>
        </w:tc>
        <w:tc>
          <w:tcPr>
            <w:tcW w:w="1360" w:type="dxa"/>
            <w:vAlign w:val="bottom"/>
            <w:vMerge w:val="restart"/>
            <w:shd w:val="clear" w:color="auto" w:fill="E2E2D8"/>
          </w:tcPr>
          <w:p>
            <w:pPr>
              <w:jc w:val="center"/>
              <w:ind w:right="6"/>
              <w:spacing w:after="0" w:line="122" w:lineRule="exact"/>
              <w:rPr>
                <w:sz w:val="20"/>
                <w:szCs w:val="20"/>
                <w:color w:val="auto"/>
              </w:rPr>
            </w:pPr>
            <w:r>
              <w:rPr>
                <w:rFonts w:ascii="Arial" w:cs="Arial" w:eastAsia="Arial" w:hAnsi="Arial"/>
                <w:sz w:val="11"/>
                <w:szCs w:val="11"/>
                <w:b w:val="1"/>
                <w:bCs w:val="1"/>
                <w:color w:val="auto"/>
              </w:rPr>
              <w:t>($) (6)</w:t>
            </w:r>
          </w:p>
        </w:tc>
        <w:tc>
          <w:tcPr>
            <w:tcW w:w="1100" w:type="dxa"/>
            <w:vAlign w:val="bottom"/>
            <w:shd w:val="clear" w:color="auto" w:fill="E2E2D8"/>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3180" w:type="dxa"/>
            <w:vAlign w:val="bottom"/>
            <w:shd w:val="clear" w:color="auto" w:fill="E2E2D8"/>
          </w:tcPr>
          <w:p>
            <w:pPr>
              <w:spacing w:after="0"/>
              <w:rPr>
                <w:sz w:val="4"/>
                <w:szCs w:val="4"/>
                <w:color w:val="auto"/>
              </w:rPr>
            </w:pPr>
          </w:p>
        </w:tc>
        <w:tc>
          <w:tcPr>
            <w:tcW w:w="760" w:type="dxa"/>
            <w:vAlign w:val="bottom"/>
            <w:shd w:val="clear" w:color="auto" w:fill="E2E2D8"/>
          </w:tcPr>
          <w:p>
            <w:pPr>
              <w:spacing w:after="0"/>
              <w:rPr>
                <w:sz w:val="4"/>
                <w:szCs w:val="4"/>
                <w:color w:val="auto"/>
              </w:rPr>
            </w:pPr>
          </w:p>
        </w:tc>
        <w:tc>
          <w:tcPr>
            <w:tcW w:w="1100" w:type="dxa"/>
            <w:vAlign w:val="bottom"/>
            <w:shd w:val="clear" w:color="auto" w:fill="E2E2D8"/>
          </w:tcPr>
          <w:p>
            <w:pPr>
              <w:spacing w:after="0"/>
              <w:rPr>
                <w:sz w:val="4"/>
                <w:szCs w:val="4"/>
                <w:color w:val="auto"/>
              </w:rPr>
            </w:pPr>
          </w:p>
        </w:tc>
        <w:tc>
          <w:tcPr>
            <w:tcW w:w="1140" w:type="dxa"/>
            <w:vAlign w:val="bottom"/>
            <w:vMerge w:val="continue"/>
            <w:shd w:val="clear" w:color="auto" w:fill="E2E2D8"/>
          </w:tcPr>
          <w:p>
            <w:pPr>
              <w:spacing w:after="0"/>
              <w:rPr>
                <w:sz w:val="4"/>
                <w:szCs w:val="4"/>
                <w:color w:val="auto"/>
              </w:rPr>
            </w:pPr>
          </w:p>
        </w:tc>
        <w:tc>
          <w:tcPr>
            <w:tcW w:w="1100" w:type="dxa"/>
            <w:vAlign w:val="bottom"/>
            <w:vMerge w:val="continue"/>
            <w:shd w:val="clear" w:color="auto" w:fill="E2E2D8"/>
          </w:tcPr>
          <w:p>
            <w:pPr>
              <w:spacing w:after="0"/>
              <w:rPr>
                <w:sz w:val="4"/>
                <w:szCs w:val="4"/>
                <w:color w:val="auto"/>
              </w:rPr>
            </w:pPr>
          </w:p>
        </w:tc>
        <w:tc>
          <w:tcPr>
            <w:tcW w:w="1280" w:type="dxa"/>
            <w:vAlign w:val="bottom"/>
            <w:vMerge w:val="continue"/>
            <w:shd w:val="clear" w:color="auto" w:fill="E2E2D8"/>
          </w:tcPr>
          <w:p>
            <w:pPr>
              <w:spacing w:after="0"/>
              <w:rPr>
                <w:sz w:val="4"/>
                <w:szCs w:val="4"/>
                <w:color w:val="auto"/>
              </w:rPr>
            </w:pPr>
          </w:p>
        </w:tc>
        <w:tc>
          <w:tcPr>
            <w:tcW w:w="1360" w:type="dxa"/>
            <w:vAlign w:val="bottom"/>
            <w:vMerge w:val="continue"/>
            <w:shd w:val="clear" w:color="auto" w:fill="E2E2D8"/>
          </w:tcPr>
          <w:p>
            <w:pPr>
              <w:spacing w:after="0"/>
              <w:rPr>
                <w:sz w:val="4"/>
                <w:szCs w:val="4"/>
                <w:color w:val="auto"/>
              </w:rPr>
            </w:pPr>
          </w:p>
        </w:tc>
        <w:tc>
          <w:tcPr>
            <w:tcW w:w="1100" w:type="dxa"/>
            <w:vAlign w:val="bottom"/>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180" w:type="dxa"/>
            <w:vAlign w:val="bottom"/>
            <w:shd w:val="clear" w:color="auto" w:fill="E2E2D8"/>
          </w:tcPr>
          <w:p>
            <w:pPr>
              <w:spacing w:after="0"/>
              <w:rPr>
                <w:sz w:val="13"/>
                <w:szCs w:val="13"/>
                <w:color w:val="auto"/>
              </w:rPr>
            </w:pPr>
          </w:p>
        </w:tc>
        <w:tc>
          <w:tcPr>
            <w:tcW w:w="760" w:type="dxa"/>
            <w:vAlign w:val="bottom"/>
            <w:shd w:val="clear" w:color="auto" w:fill="E2E2D8"/>
          </w:tcPr>
          <w:p>
            <w:pPr>
              <w:spacing w:after="0"/>
              <w:rPr>
                <w:sz w:val="13"/>
                <w:szCs w:val="13"/>
                <w:color w:val="auto"/>
              </w:rPr>
            </w:pPr>
          </w:p>
        </w:tc>
        <w:tc>
          <w:tcPr>
            <w:tcW w:w="1100" w:type="dxa"/>
            <w:vAlign w:val="bottom"/>
            <w:shd w:val="clear" w:color="auto" w:fill="E2E2D8"/>
          </w:tcPr>
          <w:p>
            <w:pPr>
              <w:spacing w:after="0"/>
              <w:rPr>
                <w:sz w:val="13"/>
                <w:szCs w:val="13"/>
                <w:color w:val="auto"/>
              </w:rPr>
            </w:pPr>
          </w:p>
        </w:tc>
        <w:tc>
          <w:tcPr>
            <w:tcW w:w="1140" w:type="dxa"/>
            <w:vAlign w:val="bottom"/>
            <w:shd w:val="clear" w:color="auto" w:fill="E2E2D8"/>
          </w:tcPr>
          <w:p>
            <w:pPr>
              <w:spacing w:after="0"/>
              <w:rPr>
                <w:sz w:val="13"/>
                <w:szCs w:val="13"/>
                <w:color w:val="auto"/>
              </w:rPr>
            </w:pPr>
          </w:p>
        </w:tc>
        <w:tc>
          <w:tcPr>
            <w:tcW w:w="1100" w:type="dxa"/>
            <w:vAlign w:val="bottom"/>
            <w:shd w:val="clear" w:color="auto" w:fill="E2E2D8"/>
          </w:tcPr>
          <w:p>
            <w:pPr>
              <w:spacing w:after="0"/>
              <w:rPr>
                <w:sz w:val="13"/>
                <w:szCs w:val="13"/>
                <w:color w:val="auto"/>
              </w:rPr>
            </w:pPr>
          </w:p>
        </w:tc>
        <w:tc>
          <w:tcPr>
            <w:tcW w:w="1280" w:type="dxa"/>
            <w:vAlign w:val="bottom"/>
            <w:shd w:val="clear" w:color="auto" w:fill="E2E2D8"/>
          </w:tcPr>
          <w:p>
            <w:pPr>
              <w:jc w:val="center"/>
              <w:spacing w:after="0"/>
              <w:rPr>
                <w:sz w:val="20"/>
                <w:szCs w:val="20"/>
                <w:color w:val="auto"/>
              </w:rPr>
            </w:pPr>
            <w:r>
              <w:rPr>
                <w:rFonts w:ascii="Arial" w:cs="Arial" w:eastAsia="Arial" w:hAnsi="Arial"/>
                <w:sz w:val="11"/>
                <w:szCs w:val="11"/>
                <w:b w:val="1"/>
                <w:bCs w:val="1"/>
                <w:color w:val="auto"/>
              </w:rPr>
              <w:t>($) (5)</w:t>
            </w:r>
          </w:p>
        </w:tc>
        <w:tc>
          <w:tcPr>
            <w:tcW w:w="1360" w:type="dxa"/>
            <w:vAlign w:val="bottom"/>
            <w:shd w:val="clear" w:color="auto" w:fill="E2E2D8"/>
          </w:tcPr>
          <w:p>
            <w:pPr>
              <w:spacing w:after="0"/>
              <w:rPr>
                <w:sz w:val="13"/>
                <w:szCs w:val="13"/>
                <w:color w:val="auto"/>
              </w:rPr>
            </w:pPr>
          </w:p>
        </w:tc>
        <w:tc>
          <w:tcPr>
            <w:tcW w:w="1100" w:type="dxa"/>
            <w:vAlign w:val="bottom"/>
            <w:shd w:val="clear" w:color="auto" w:fill="E2E2D8"/>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760" w:type="dxa"/>
            <w:vAlign w:val="bottom"/>
            <w:shd w:val="clear" w:color="auto" w:fill="EAEFF9"/>
          </w:tcPr>
          <w:p>
            <w:pPr>
              <w:spacing w:after="0"/>
              <w:rPr>
                <w:sz w:val="5"/>
                <w:szCs w:val="5"/>
                <w:color w:val="auto"/>
              </w:rPr>
            </w:pPr>
          </w:p>
        </w:tc>
        <w:tc>
          <w:tcPr>
            <w:tcW w:w="1100" w:type="dxa"/>
            <w:vAlign w:val="bottom"/>
            <w:shd w:val="clear" w:color="auto" w:fill="EAEFF9"/>
          </w:tcPr>
          <w:p>
            <w:pPr>
              <w:spacing w:after="0"/>
              <w:rPr>
                <w:sz w:val="5"/>
                <w:szCs w:val="5"/>
                <w:color w:val="auto"/>
              </w:rPr>
            </w:pPr>
          </w:p>
        </w:tc>
        <w:tc>
          <w:tcPr>
            <w:tcW w:w="1140" w:type="dxa"/>
            <w:vAlign w:val="bottom"/>
            <w:shd w:val="clear" w:color="auto" w:fill="EAEFF9"/>
          </w:tcPr>
          <w:p>
            <w:pPr>
              <w:spacing w:after="0"/>
              <w:rPr>
                <w:sz w:val="5"/>
                <w:szCs w:val="5"/>
                <w:color w:val="auto"/>
              </w:rPr>
            </w:pPr>
          </w:p>
        </w:tc>
        <w:tc>
          <w:tcPr>
            <w:tcW w:w="1100" w:type="dxa"/>
            <w:vAlign w:val="bottom"/>
            <w:shd w:val="clear" w:color="auto" w:fill="EAEFF9"/>
          </w:tcPr>
          <w:p>
            <w:pPr>
              <w:spacing w:after="0"/>
              <w:rPr>
                <w:sz w:val="5"/>
                <w:szCs w:val="5"/>
                <w:color w:val="auto"/>
              </w:rPr>
            </w:pPr>
          </w:p>
        </w:tc>
        <w:tc>
          <w:tcPr>
            <w:tcW w:w="1280" w:type="dxa"/>
            <w:vAlign w:val="bottom"/>
            <w:shd w:val="clear" w:color="auto" w:fill="EAEFF9"/>
          </w:tcPr>
          <w:p>
            <w:pPr>
              <w:spacing w:after="0"/>
              <w:rPr>
                <w:sz w:val="5"/>
                <w:szCs w:val="5"/>
                <w:color w:val="auto"/>
              </w:rPr>
            </w:pPr>
          </w:p>
        </w:tc>
        <w:tc>
          <w:tcPr>
            <w:tcW w:w="1360" w:type="dxa"/>
            <w:vAlign w:val="bottom"/>
            <w:shd w:val="clear" w:color="auto" w:fill="EAEFF9"/>
          </w:tcPr>
          <w:p>
            <w:pPr>
              <w:spacing w:after="0"/>
              <w:rPr>
                <w:sz w:val="5"/>
                <w:szCs w:val="5"/>
                <w:color w:val="auto"/>
              </w:rPr>
            </w:pPr>
          </w:p>
        </w:tc>
        <w:tc>
          <w:tcPr>
            <w:tcW w:w="1100" w:type="dxa"/>
            <w:vAlign w:val="bottom"/>
            <w:shd w:val="clear" w:color="auto" w:fill="EAEFF9"/>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1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MATT MADDOX</w:t>
            </w:r>
          </w:p>
        </w:tc>
        <w:tc>
          <w:tcPr>
            <w:tcW w:w="760" w:type="dxa"/>
            <w:vAlign w:val="bottom"/>
            <w:gridSpan w:val="2"/>
            <w:shd w:val="clear" w:color="auto" w:fill="EAEFF9"/>
          </w:tcPr>
          <w:p>
            <w:pPr>
              <w:jc w:val="right"/>
              <w:ind w:right="88"/>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$1,900,000</w:t>
            </w:r>
          </w:p>
        </w:tc>
        <w:tc>
          <w:tcPr>
            <w:tcW w:w="11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$8,500,202</w:t>
            </w:r>
          </w:p>
        </w:tc>
        <w:tc>
          <w:tcPr>
            <w:tcW w:w="114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$2,500,000</w:t>
            </w:r>
          </w:p>
        </w:tc>
        <w:tc>
          <w:tcPr>
            <w:tcW w:w="126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$28,545</w:t>
            </w:r>
          </w:p>
        </w:tc>
        <w:tc>
          <w:tcPr>
            <w:tcW w:w="1200" w:type="dxa"/>
            <w:vAlign w:val="bottom"/>
            <w:shd w:val="clear" w:color="auto" w:fill="EAEFF9"/>
          </w:tcPr>
          <w:p>
            <w:pPr>
              <w:jc w:val="center"/>
              <w:ind w:left="8"/>
              <w:spacing w:after="0"/>
              <w:rPr>
                <w:sz w:val="20"/>
                <w:szCs w:val="20"/>
                <w:color w:val="auto"/>
              </w:rPr>
            </w:pPr>
            <w:r>
              <w:rPr>
                <w:rFonts w:ascii="Arial" w:cs="Arial" w:eastAsia="Arial" w:hAnsi="Arial"/>
                <w:sz w:val="14"/>
                <w:szCs w:val="14"/>
                <w:color w:val="auto"/>
              </w:rPr>
              <w:t>$12,928,747</w:t>
            </w:r>
          </w:p>
        </w:tc>
        <w:tc>
          <w:tcPr>
            <w:tcW w:w="0" w:type="dxa"/>
            <w:vAlign w:val="bottom"/>
          </w:tcPr>
          <w:p>
            <w:pPr>
              <w:spacing w:after="0"/>
              <w:rPr>
                <w:sz w:val="1"/>
                <w:szCs w:val="1"/>
                <w:color w:val="auto"/>
              </w:rPr>
            </w:pPr>
          </w:p>
        </w:tc>
      </w:tr>
      <w:tr>
        <w:trPr>
          <w:trHeight w:val="49"/>
        </w:trPr>
        <w:tc>
          <w:tcPr>
            <w:tcW w:w="3180" w:type="dxa"/>
            <w:vAlign w:val="bottom"/>
            <w:vMerge w:val="continue"/>
          </w:tcPr>
          <w:p>
            <w:pPr>
              <w:spacing w:after="0"/>
              <w:rPr>
                <w:sz w:val="4"/>
                <w:szCs w:val="4"/>
                <w:color w:val="auto"/>
              </w:rPr>
            </w:pPr>
          </w:p>
        </w:tc>
        <w:tc>
          <w:tcPr>
            <w:tcW w:w="160" w:type="dxa"/>
            <w:vAlign w:val="bottom"/>
            <w:shd w:val="clear" w:color="auto" w:fill="EAEFF9"/>
          </w:tcPr>
          <w:p>
            <w:pPr>
              <w:spacing w:after="0"/>
              <w:rPr>
                <w:sz w:val="4"/>
                <w:szCs w:val="4"/>
                <w:color w:val="auto"/>
              </w:rPr>
            </w:pPr>
          </w:p>
        </w:tc>
        <w:tc>
          <w:tcPr>
            <w:tcW w:w="600" w:type="dxa"/>
            <w:vAlign w:val="bottom"/>
            <w:vMerge w:val="restart"/>
            <w:shd w:val="clear" w:color="auto" w:fill="EAEFF9"/>
          </w:tcPr>
          <w:p>
            <w:pPr>
              <w:jc w:val="right"/>
              <w:ind w:right="88"/>
              <w:spacing w:after="0"/>
              <w:rPr>
                <w:sz w:val="20"/>
                <w:szCs w:val="20"/>
                <w:color w:val="auto"/>
              </w:rPr>
            </w:pPr>
            <w:r>
              <w:rPr>
                <w:rFonts w:ascii="Arial" w:cs="Arial" w:eastAsia="Arial" w:hAnsi="Arial"/>
                <w:sz w:val="14"/>
                <w:szCs w:val="14"/>
                <w:color w:val="auto"/>
              </w:rPr>
              <w:t>2020</w:t>
            </w:r>
          </w:p>
        </w:tc>
        <w:tc>
          <w:tcPr>
            <w:tcW w:w="10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$2,000,000</w:t>
            </w:r>
          </w:p>
        </w:tc>
        <w:tc>
          <w:tcPr>
            <w:tcW w:w="11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$20,283,231</w:t>
            </w:r>
          </w:p>
        </w:tc>
        <w:tc>
          <w:tcPr>
            <w:tcW w:w="114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$699,218</w:t>
            </w:r>
          </w:p>
        </w:tc>
        <w:tc>
          <w:tcPr>
            <w:tcW w:w="122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$1,100,000</w:t>
            </w:r>
          </w:p>
        </w:tc>
        <w:tc>
          <w:tcPr>
            <w:tcW w:w="126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$489,531</w:t>
            </w:r>
          </w:p>
        </w:tc>
        <w:tc>
          <w:tcPr>
            <w:tcW w:w="1200" w:type="dxa"/>
            <w:vAlign w:val="bottom"/>
            <w:vMerge w:val="restart"/>
            <w:shd w:val="clear" w:color="auto" w:fill="EAEFF9"/>
          </w:tcPr>
          <w:p>
            <w:pPr>
              <w:jc w:val="center"/>
              <w:ind w:left="8"/>
              <w:spacing w:after="0"/>
              <w:rPr>
                <w:sz w:val="20"/>
                <w:szCs w:val="20"/>
                <w:color w:val="auto"/>
              </w:rPr>
            </w:pPr>
            <w:r>
              <w:rPr>
                <w:rFonts w:ascii="Arial" w:cs="Arial" w:eastAsia="Arial" w:hAnsi="Arial"/>
                <w:sz w:val="14"/>
                <w:szCs w:val="14"/>
                <w:color w:val="auto"/>
              </w:rPr>
              <w:t>$24,571,980</w:t>
            </w:r>
          </w:p>
        </w:tc>
        <w:tc>
          <w:tcPr>
            <w:tcW w:w="0" w:type="dxa"/>
            <w:vAlign w:val="bottom"/>
          </w:tcPr>
          <w:p>
            <w:pPr>
              <w:spacing w:after="0"/>
              <w:rPr>
                <w:sz w:val="1"/>
                <w:szCs w:val="1"/>
                <w:color w:val="auto"/>
              </w:rPr>
            </w:pPr>
          </w:p>
        </w:tc>
      </w:tr>
      <w:tr>
        <w:trPr>
          <w:trHeight w:val="162"/>
        </w:trPr>
        <w:tc>
          <w:tcPr>
            <w:tcW w:w="3180" w:type="dxa"/>
            <w:vAlign w:val="bottom"/>
          </w:tcPr>
          <w:p>
            <w:pPr>
              <w:ind w:left="80"/>
              <w:spacing w:after="0"/>
              <w:rPr>
                <w:sz w:val="20"/>
                <w:szCs w:val="20"/>
                <w:color w:val="auto"/>
              </w:rPr>
            </w:pPr>
            <w:r>
              <w:rPr>
                <w:rFonts w:ascii="Arial" w:cs="Arial" w:eastAsia="Arial" w:hAnsi="Arial"/>
                <w:sz w:val="14"/>
                <w:szCs w:val="14"/>
                <w:color w:val="auto"/>
              </w:rPr>
              <w:t>Former Director and</w:t>
            </w:r>
          </w:p>
        </w:tc>
        <w:tc>
          <w:tcPr>
            <w:tcW w:w="160" w:type="dxa"/>
            <w:vAlign w:val="bottom"/>
            <w:shd w:val="clear" w:color="auto" w:fill="EAEFF9"/>
          </w:tcPr>
          <w:p>
            <w:pPr>
              <w:spacing w:after="0"/>
              <w:rPr>
                <w:sz w:val="14"/>
                <w:szCs w:val="14"/>
                <w:color w:val="auto"/>
              </w:rPr>
            </w:pPr>
          </w:p>
        </w:tc>
        <w:tc>
          <w:tcPr>
            <w:tcW w:w="600" w:type="dxa"/>
            <w:vAlign w:val="bottom"/>
            <w:vMerge w:val="continue"/>
            <w:shd w:val="clear" w:color="auto" w:fill="EAEFF9"/>
          </w:tcPr>
          <w:p>
            <w:pPr>
              <w:spacing w:after="0"/>
              <w:rPr>
                <w:sz w:val="14"/>
                <w:szCs w:val="14"/>
                <w:color w:val="auto"/>
              </w:rPr>
            </w:pPr>
          </w:p>
        </w:tc>
        <w:tc>
          <w:tcPr>
            <w:tcW w:w="1080" w:type="dxa"/>
            <w:vAlign w:val="bottom"/>
            <w:vMerge w:val="continue"/>
            <w:shd w:val="clear" w:color="auto" w:fill="EAEFF9"/>
          </w:tcPr>
          <w:p>
            <w:pPr>
              <w:spacing w:after="0"/>
              <w:rPr>
                <w:sz w:val="14"/>
                <w:szCs w:val="14"/>
                <w:color w:val="auto"/>
              </w:rPr>
            </w:pPr>
          </w:p>
        </w:tc>
        <w:tc>
          <w:tcPr>
            <w:tcW w:w="1180" w:type="dxa"/>
            <w:vAlign w:val="bottom"/>
            <w:vMerge w:val="continue"/>
            <w:shd w:val="clear" w:color="auto" w:fill="EAEFF9"/>
          </w:tcPr>
          <w:p>
            <w:pPr>
              <w:spacing w:after="0"/>
              <w:rPr>
                <w:sz w:val="14"/>
                <w:szCs w:val="14"/>
                <w:color w:val="auto"/>
              </w:rPr>
            </w:pPr>
          </w:p>
        </w:tc>
        <w:tc>
          <w:tcPr>
            <w:tcW w:w="1140" w:type="dxa"/>
            <w:vAlign w:val="bottom"/>
            <w:vMerge w:val="continue"/>
            <w:shd w:val="clear" w:color="auto" w:fill="EAEFF9"/>
          </w:tcPr>
          <w:p>
            <w:pPr>
              <w:spacing w:after="0"/>
              <w:rPr>
                <w:sz w:val="14"/>
                <w:szCs w:val="14"/>
                <w:color w:val="auto"/>
              </w:rPr>
            </w:pPr>
          </w:p>
        </w:tc>
        <w:tc>
          <w:tcPr>
            <w:tcW w:w="1220" w:type="dxa"/>
            <w:vAlign w:val="bottom"/>
            <w:vMerge w:val="continue"/>
            <w:shd w:val="clear" w:color="auto" w:fill="EAEFF9"/>
          </w:tcPr>
          <w:p>
            <w:pPr>
              <w:spacing w:after="0"/>
              <w:rPr>
                <w:sz w:val="14"/>
                <w:szCs w:val="14"/>
                <w:color w:val="auto"/>
              </w:rPr>
            </w:pPr>
          </w:p>
        </w:tc>
        <w:tc>
          <w:tcPr>
            <w:tcW w:w="1260" w:type="dxa"/>
            <w:vAlign w:val="bottom"/>
            <w:vMerge w:val="continue"/>
            <w:shd w:val="clear" w:color="auto" w:fill="EAEFF9"/>
          </w:tcPr>
          <w:p>
            <w:pPr>
              <w:spacing w:after="0"/>
              <w:rPr>
                <w:sz w:val="14"/>
                <w:szCs w:val="14"/>
                <w:color w:val="auto"/>
              </w:rPr>
            </w:pPr>
          </w:p>
        </w:tc>
        <w:tc>
          <w:tcPr>
            <w:tcW w:w="1200" w:type="dxa"/>
            <w:vAlign w:val="bottom"/>
            <w:vMerge w:val="continue"/>
            <w:shd w:val="clear" w:color="auto" w:fill="EAEF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EAEFF9"/>
          </w:tcPr>
          <w:p>
            <w:pPr>
              <w:spacing w:after="0"/>
              <w:rPr>
                <w:sz w:val="14"/>
                <w:szCs w:val="14"/>
                <w:color w:val="auto"/>
              </w:rPr>
            </w:pPr>
          </w:p>
        </w:tc>
        <w:tc>
          <w:tcPr>
            <w:tcW w:w="600" w:type="dxa"/>
            <w:vAlign w:val="bottom"/>
            <w:vMerge w:val="restart"/>
            <w:shd w:val="clear" w:color="auto" w:fill="EAEFF9"/>
          </w:tcPr>
          <w:p>
            <w:pPr>
              <w:jc w:val="right"/>
              <w:ind w:right="88"/>
              <w:spacing w:after="0"/>
              <w:rPr>
                <w:sz w:val="20"/>
                <w:szCs w:val="20"/>
                <w:color w:val="auto"/>
              </w:rPr>
            </w:pPr>
            <w:r>
              <w:rPr>
                <w:rFonts w:ascii="Arial" w:cs="Arial" w:eastAsia="Arial" w:hAnsi="Arial"/>
                <w:sz w:val="14"/>
                <w:szCs w:val="14"/>
                <w:color w:val="auto"/>
              </w:rPr>
              <w:t>2019</w:t>
            </w:r>
          </w:p>
        </w:tc>
        <w:tc>
          <w:tcPr>
            <w:tcW w:w="10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$2,000,000</w:t>
            </w:r>
          </w:p>
        </w:tc>
        <w:tc>
          <w:tcPr>
            <w:tcW w:w="11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$8,000,209</w:t>
            </w:r>
          </w:p>
        </w:tc>
        <w:tc>
          <w:tcPr>
            <w:tcW w:w="114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$2,000,000</w:t>
            </w:r>
          </w:p>
        </w:tc>
        <w:tc>
          <w:tcPr>
            <w:tcW w:w="126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$1,851,089</w:t>
            </w:r>
          </w:p>
        </w:tc>
        <w:tc>
          <w:tcPr>
            <w:tcW w:w="1200" w:type="dxa"/>
            <w:vAlign w:val="bottom"/>
            <w:vMerge w:val="restart"/>
            <w:shd w:val="clear" w:color="auto" w:fill="EAEFF9"/>
          </w:tcPr>
          <w:p>
            <w:pPr>
              <w:jc w:val="center"/>
              <w:ind w:left="8"/>
              <w:spacing w:after="0"/>
              <w:rPr>
                <w:sz w:val="20"/>
                <w:szCs w:val="20"/>
                <w:color w:val="auto"/>
              </w:rPr>
            </w:pPr>
            <w:r>
              <w:rPr>
                <w:rFonts w:ascii="Arial" w:cs="Arial" w:eastAsia="Arial" w:hAnsi="Arial"/>
                <w:sz w:val="14"/>
                <w:szCs w:val="14"/>
                <w:color w:val="auto"/>
              </w:rPr>
              <w:t>$13,851,298</w:t>
            </w:r>
          </w:p>
        </w:tc>
        <w:tc>
          <w:tcPr>
            <w:tcW w:w="0" w:type="dxa"/>
            <w:vAlign w:val="bottom"/>
          </w:tcPr>
          <w:p>
            <w:pPr>
              <w:spacing w:after="0"/>
              <w:rPr>
                <w:sz w:val="1"/>
                <w:szCs w:val="1"/>
                <w:color w:val="auto"/>
              </w:rPr>
            </w:pPr>
          </w:p>
        </w:tc>
      </w:tr>
      <w:tr>
        <w:trPr>
          <w:trHeight w:val="100"/>
        </w:trPr>
        <w:tc>
          <w:tcPr>
            <w:tcW w:w="3180" w:type="dxa"/>
            <w:vAlign w:val="bottom"/>
          </w:tcPr>
          <w:p>
            <w:pPr>
              <w:spacing w:after="0"/>
              <w:rPr>
                <w:sz w:val="8"/>
                <w:szCs w:val="8"/>
                <w:color w:val="auto"/>
              </w:rPr>
            </w:pPr>
          </w:p>
        </w:tc>
        <w:tc>
          <w:tcPr>
            <w:tcW w:w="160" w:type="dxa"/>
            <w:vAlign w:val="bottom"/>
            <w:tcBorders>
              <w:bottom w:val="single" w:sz="8" w:color="EAEFF9"/>
            </w:tcBorders>
            <w:shd w:val="clear" w:color="auto" w:fill="EAEFF9"/>
          </w:tcPr>
          <w:p>
            <w:pPr>
              <w:spacing w:after="0"/>
              <w:rPr>
                <w:sz w:val="8"/>
                <w:szCs w:val="8"/>
                <w:color w:val="auto"/>
              </w:rPr>
            </w:pPr>
          </w:p>
        </w:tc>
        <w:tc>
          <w:tcPr>
            <w:tcW w:w="600" w:type="dxa"/>
            <w:vAlign w:val="bottom"/>
            <w:tcBorders>
              <w:bottom w:val="single" w:sz="8" w:color="EAEFF9"/>
            </w:tcBorders>
            <w:vMerge w:val="continue"/>
            <w:shd w:val="clear" w:color="auto" w:fill="EAEFF9"/>
          </w:tcPr>
          <w:p>
            <w:pPr>
              <w:spacing w:after="0"/>
              <w:rPr>
                <w:sz w:val="8"/>
                <w:szCs w:val="8"/>
                <w:color w:val="auto"/>
              </w:rPr>
            </w:pPr>
          </w:p>
        </w:tc>
        <w:tc>
          <w:tcPr>
            <w:tcW w:w="1080" w:type="dxa"/>
            <w:vAlign w:val="bottom"/>
            <w:tcBorders>
              <w:bottom w:val="single" w:sz="8" w:color="EAEFF9"/>
            </w:tcBorders>
            <w:vMerge w:val="continue"/>
            <w:shd w:val="clear" w:color="auto" w:fill="EAEFF9"/>
          </w:tcPr>
          <w:p>
            <w:pPr>
              <w:spacing w:after="0"/>
              <w:rPr>
                <w:sz w:val="8"/>
                <w:szCs w:val="8"/>
                <w:color w:val="auto"/>
              </w:rPr>
            </w:pPr>
          </w:p>
        </w:tc>
        <w:tc>
          <w:tcPr>
            <w:tcW w:w="1180" w:type="dxa"/>
            <w:vAlign w:val="bottom"/>
            <w:tcBorders>
              <w:bottom w:val="single" w:sz="8" w:color="EAEFF9"/>
            </w:tcBorders>
            <w:vMerge w:val="continue"/>
            <w:shd w:val="clear" w:color="auto" w:fill="EAEFF9"/>
          </w:tcPr>
          <w:p>
            <w:pPr>
              <w:spacing w:after="0"/>
              <w:rPr>
                <w:sz w:val="8"/>
                <w:szCs w:val="8"/>
                <w:color w:val="auto"/>
              </w:rPr>
            </w:pPr>
          </w:p>
        </w:tc>
        <w:tc>
          <w:tcPr>
            <w:tcW w:w="1140" w:type="dxa"/>
            <w:vAlign w:val="bottom"/>
            <w:tcBorders>
              <w:bottom w:val="single" w:sz="8" w:color="EAEFF9"/>
            </w:tcBorders>
            <w:vMerge w:val="continue"/>
            <w:shd w:val="clear" w:color="auto" w:fill="EAEFF9"/>
          </w:tcPr>
          <w:p>
            <w:pPr>
              <w:spacing w:after="0"/>
              <w:rPr>
                <w:sz w:val="8"/>
                <w:szCs w:val="8"/>
                <w:color w:val="auto"/>
              </w:rPr>
            </w:pPr>
          </w:p>
        </w:tc>
        <w:tc>
          <w:tcPr>
            <w:tcW w:w="1220" w:type="dxa"/>
            <w:vAlign w:val="bottom"/>
            <w:tcBorders>
              <w:bottom w:val="single" w:sz="8" w:color="EAEFF9"/>
            </w:tcBorders>
            <w:vMerge w:val="continue"/>
            <w:shd w:val="clear" w:color="auto" w:fill="EAEFF9"/>
          </w:tcPr>
          <w:p>
            <w:pPr>
              <w:spacing w:after="0"/>
              <w:rPr>
                <w:sz w:val="8"/>
                <w:szCs w:val="8"/>
                <w:color w:val="auto"/>
              </w:rPr>
            </w:pPr>
          </w:p>
        </w:tc>
        <w:tc>
          <w:tcPr>
            <w:tcW w:w="1260" w:type="dxa"/>
            <w:vAlign w:val="bottom"/>
            <w:tcBorders>
              <w:bottom w:val="single" w:sz="8" w:color="EAEFF9"/>
            </w:tcBorders>
            <w:vMerge w:val="continue"/>
            <w:shd w:val="clear" w:color="auto" w:fill="EAEFF9"/>
          </w:tcPr>
          <w:p>
            <w:pPr>
              <w:spacing w:after="0"/>
              <w:rPr>
                <w:sz w:val="8"/>
                <w:szCs w:val="8"/>
                <w:color w:val="auto"/>
              </w:rPr>
            </w:pPr>
          </w:p>
        </w:tc>
        <w:tc>
          <w:tcPr>
            <w:tcW w:w="1200" w:type="dxa"/>
            <w:vAlign w:val="bottom"/>
            <w:tcBorders>
              <w:bottom w:val="single" w:sz="8" w:color="EAEFF9"/>
            </w:tcBorders>
            <w:vMerge w:val="continue"/>
            <w:shd w:val="clear" w:color="auto" w:fill="EAEFF9"/>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3180" w:type="dxa"/>
            <w:vAlign w:val="bottom"/>
            <w:shd w:val="clear" w:color="auto" w:fill="E2E2D8"/>
          </w:tcPr>
          <w:p>
            <w:pPr>
              <w:ind w:left="80"/>
              <w:spacing w:after="0"/>
              <w:rPr>
                <w:sz w:val="20"/>
                <w:szCs w:val="20"/>
                <w:color w:val="auto"/>
              </w:rPr>
            </w:pPr>
            <w:r>
              <w:rPr>
                <w:rFonts w:ascii="Arial" w:cs="Arial" w:eastAsia="Arial" w:hAnsi="Arial"/>
                <w:sz w:val="13"/>
                <w:szCs w:val="13"/>
                <w:b w:val="1"/>
                <w:bCs w:val="1"/>
                <w:color w:val="auto"/>
              </w:rPr>
              <w:t>CRAIG BILLINGS</w:t>
            </w:r>
          </w:p>
        </w:tc>
        <w:tc>
          <w:tcPr>
            <w:tcW w:w="760" w:type="dxa"/>
            <w:vAlign w:val="bottom"/>
            <w:gridSpan w:val="2"/>
            <w:shd w:val="clear" w:color="auto" w:fill="E2E2D8"/>
          </w:tcPr>
          <w:p>
            <w:pPr>
              <w:jc w:val="right"/>
              <w:ind w:right="88"/>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$1,140,000</w:t>
            </w:r>
          </w:p>
        </w:tc>
        <w:tc>
          <w:tcPr>
            <w:tcW w:w="11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$8,361,675</w:t>
            </w:r>
          </w:p>
        </w:tc>
        <w:tc>
          <w:tcPr>
            <w:tcW w:w="114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w:t>
            </w:r>
          </w:p>
        </w:tc>
        <w:tc>
          <w:tcPr>
            <w:tcW w:w="122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$1,200,000</w:t>
            </w:r>
          </w:p>
        </w:tc>
        <w:tc>
          <w:tcPr>
            <w:tcW w:w="126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$11,671</w:t>
            </w:r>
          </w:p>
        </w:tc>
        <w:tc>
          <w:tcPr>
            <w:tcW w:w="1200" w:type="dxa"/>
            <w:vAlign w:val="bottom"/>
            <w:shd w:val="clear" w:color="auto" w:fill="E2E2D8"/>
          </w:tcPr>
          <w:p>
            <w:pPr>
              <w:jc w:val="center"/>
              <w:ind w:left="8"/>
              <w:spacing w:after="0"/>
              <w:rPr>
                <w:sz w:val="20"/>
                <w:szCs w:val="20"/>
                <w:color w:val="auto"/>
              </w:rPr>
            </w:pPr>
            <w:r>
              <w:rPr>
                <w:rFonts w:ascii="Arial" w:cs="Arial" w:eastAsia="Arial" w:hAnsi="Arial"/>
                <w:sz w:val="14"/>
                <w:szCs w:val="14"/>
                <w:color w:val="auto"/>
              </w:rPr>
              <w:t>$10,713,346</w:t>
            </w:r>
          </w:p>
        </w:tc>
        <w:tc>
          <w:tcPr>
            <w:tcW w:w="0" w:type="dxa"/>
            <w:vAlign w:val="bottom"/>
          </w:tcPr>
          <w:p>
            <w:pPr>
              <w:spacing w:after="0"/>
              <w:rPr>
                <w:sz w:val="1"/>
                <w:szCs w:val="1"/>
                <w:color w:val="auto"/>
              </w:rPr>
            </w:pPr>
          </w:p>
        </w:tc>
      </w:tr>
      <w:tr>
        <w:trPr>
          <w:trHeight w:val="162"/>
        </w:trPr>
        <w:tc>
          <w:tcPr>
            <w:tcW w:w="3180" w:type="dxa"/>
            <w:vAlign w:val="bottom"/>
            <w:shd w:val="clear" w:color="auto" w:fill="E2E2D8"/>
          </w:tcPr>
          <w:p>
            <w:pPr>
              <w:ind w:left="80"/>
              <w:spacing w:after="0"/>
              <w:rPr>
                <w:sz w:val="20"/>
                <w:szCs w:val="20"/>
                <w:color w:val="auto"/>
              </w:rPr>
            </w:pPr>
            <w:r>
              <w:rPr>
                <w:rFonts w:ascii="Arial" w:cs="Arial" w:eastAsia="Arial" w:hAnsi="Arial"/>
                <w:sz w:val="14"/>
                <w:szCs w:val="14"/>
                <w:color w:val="auto"/>
              </w:rPr>
              <w:t>Director and</w:t>
            </w:r>
          </w:p>
        </w:tc>
        <w:tc>
          <w:tcPr>
            <w:tcW w:w="160" w:type="dxa"/>
            <w:vAlign w:val="bottom"/>
            <w:shd w:val="clear" w:color="auto" w:fill="E2E2D8"/>
          </w:tcPr>
          <w:p>
            <w:pPr>
              <w:spacing w:after="0"/>
              <w:rPr>
                <w:sz w:val="14"/>
                <w:szCs w:val="14"/>
                <w:color w:val="auto"/>
              </w:rPr>
            </w:pPr>
          </w:p>
        </w:tc>
        <w:tc>
          <w:tcPr>
            <w:tcW w:w="600" w:type="dxa"/>
            <w:vAlign w:val="bottom"/>
            <w:vMerge w:val="restart"/>
            <w:shd w:val="clear" w:color="auto" w:fill="E2E2D8"/>
          </w:tcPr>
          <w:p>
            <w:pPr>
              <w:jc w:val="right"/>
              <w:ind w:right="88"/>
              <w:spacing w:after="0"/>
              <w:rPr>
                <w:sz w:val="20"/>
                <w:szCs w:val="20"/>
                <w:color w:val="auto"/>
              </w:rPr>
            </w:pPr>
            <w:r>
              <w:rPr>
                <w:rFonts w:ascii="Arial" w:cs="Arial" w:eastAsia="Arial" w:hAnsi="Arial"/>
                <w:sz w:val="14"/>
                <w:szCs w:val="14"/>
                <w:color w:val="auto"/>
              </w:rPr>
              <w:t>2020</w:t>
            </w:r>
          </w:p>
        </w:tc>
        <w:tc>
          <w:tcPr>
            <w:tcW w:w="1080" w:type="dxa"/>
            <w:vAlign w:val="bottom"/>
            <w:vMerge w:val="restart"/>
            <w:shd w:val="clear" w:color="auto" w:fill="E2E2D8"/>
          </w:tcPr>
          <w:p>
            <w:pPr>
              <w:jc w:val="center"/>
              <w:spacing w:after="0"/>
              <w:rPr>
                <w:sz w:val="20"/>
                <w:szCs w:val="20"/>
                <w:color w:val="auto"/>
              </w:rPr>
            </w:pPr>
            <w:r>
              <w:rPr>
                <w:rFonts w:ascii="Arial" w:cs="Arial" w:eastAsia="Arial" w:hAnsi="Arial"/>
                <w:sz w:val="14"/>
                <w:szCs w:val="14"/>
                <w:color w:val="auto"/>
              </w:rPr>
              <w:t>$1,200,000</w:t>
            </w:r>
          </w:p>
        </w:tc>
        <w:tc>
          <w:tcPr>
            <w:tcW w:w="1180" w:type="dxa"/>
            <w:vAlign w:val="bottom"/>
            <w:vMerge w:val="restart"/>
            <w:shd w:val="clear" w:color="auto" w:fill="E2E2D8"/>
          </w:tcPr>
          <w:p>
            <w:pPr>
              <w:jc w:val="center"/>
              <w:spacing w:after="0"/>
              <w:rPr>
                <w:sz w:val="20"/>
                <w:szCs w:val="20"/>
                <w:color w:val="auto"/>
              </w:rPr>
            </w:pPr>
            <w:r>
              <w:rPr>
                <w:rFonts w:ascii="Arial" w:cs="Arial" w:eastAsia="Arial" w:hAnsi="Arial"/>
                <w:sz w:val="14"/>
                <w:szCs w:val="14"/>
                <w:color w:val="auto"/>
              </w:rPr>
              <w:t>$3,678,581</w:t>
            </w:r>
          </w:p>
        </w:tc>
        <w:tc>
          <w:tcPr>
            <w:tcW w:w="1140" w:type="dxa"/>
            <w:vAlign w:val="bottom"/>
            <w:vMerge w:val="restart"/>
            <w:shd w:val="clear" w:color="auto" w:fill="E2E2D8"/>
          </w:tcPr>
          <w:p>
            <w:pPr>
              <w:jc w:val="center"/>
              <w:spacing w:after="0"/>
              <w:rPr>
                <w:sz w:val="20"/>
                <w:szCs w:val="20"/>
                <w:color w:val="auto"/>
              </w:rPr>
            </w:pPr>
            <w:r>
              <w:rPr>
                <w:rFonts w:ascii="Arial" w:cs="Arial" w:eastAsia="Arial" w:hAnsi="Arial"/>
                <w:sz w:val="14"/>
                <w:szCs w:val="14"/>
                <w:color w:val="auto"/>
              </w:rPr>
              <w:t>$1,673,207</w:t>
            </w:r>
          </w:p>
        </w:tc>
        <w:tc>
          <w:tcPr>
            <w:tcW w:w="1220" w:type="dxa"/>
            <w:vAlign w:val="bottom"/>
            <w:vMerge w:val="restart"/>
            <w:shd w:val="clear" w:color="auto" w:fill="E2E2D8"/>
          </w:tcPr>
          <w:p>
            <w:pPr>
              <w:jc w:val="center"/>
              <w:spacing w:after="0"/>
              <w:rPr>
                <w:sz w:val="20"/>
                <w:szCs w:val="20"/>
                <w:color w:val="auto"/>
              </w:rPr>
            </w:pPr>
            <w:r>
              <w:rPr>
                <w:rFonts w:ascii="Arial" w:cs="Arial" w:eastAsia="Arial" w:hAnsi="Arial"/>
                <w:sz w:val="14"/>
                <w:szCs w:val="14"/>
                <w:color w:val="auto"/>
              </w:rPr>
              <w:t>$528,000</w:t>
            </w:r>
          </w:p>
        </w:tc>
        <w:tc>
          <w:tcPr>
            <w:tcW w:w="1260" w:type="dxa"/>
            <w:vAlign w:val="bottom"/>
            <w:vMerge w:val="restart"/>
            <w:shd w:val="clear" w:color="auto" w:fill="E2E2D8"/>
          </w:tcPr>
          <w:p>
            <w:pPr>
              <w:jc w:val="center"/>
              <w:spacing w:after="0"/>
              <w:rPr>
                <w:sz w:val="20"/>
                <w:szCs w:val="20"/>
                <w:color w:val="auto"/>
              </w:rPr>
            </w:pPr>
            <w:r>
              <w:rPr>
                <w:rFonts w:ascii="Arial" w:cs="Arial" w:eastAsia="Arial" w:hAnsi="Arial"/>
                <w:sz w:val="14"/>
                <w:szCs w:val="14"/>
                <w:color w:val="auto"/>
              </w:rPr>
              <w:t>$70,997</w:t>
            </w:r>
          </w:p>
        </w:tc>
        <w:tc>
          <w:tcPr>
            <w:tcW w:w="1200" w:type="dxa"/>
            <w:vAlign w:val="bottom"/>
            <w:vMerge w:val="restart"/>
            <w:shd w:val="clear" w:color="auto" w:fill="E2E2D8"/>
          </w:tcPr>
          <w:p>
            <w:pPr>
              <w:jc w:val="center"/>
              <w:ind w:left="8"/>
              <w:spacing w:after="0"/>
              <w:rPr>
                <w:sz w:val="20"/>
                <w:szCs w:val="20"/>
                <w:color w:val="auto"/>
              </w:rPr>
            </w:pPr>
            <w:r>
              <w:rPr>
                <w:rFonts w:ascii="Arial" w:cs="Arial" w:eastAsia="Arial" w:hAnsi="Arial"/>
                <w:sz w:val="14"/>
                <w:szCs w:val="14"/>
                <w:color w:val="auto"/>
              </w:rPr>
              <w:t>$7,150,785</w:t>
            </w:r>
          </w:p>
        </w:tc>
        <w:tc>
          <w:tcPr>
            <w:tcW w:w="0" w:type="dxa"/>
            <w:vAlign w:val="bottom"/>
          </w:tcPr>
          <w:p>
            <w:pPr>
              <w:spacing w:after="0"/>
              <w:rPr>
                <w:sz w:val="1"/>
                <w:szCs w:val="1"/>
                <w:color w:val="auto"/>
              </w:rPr>
            </w:pPr>
          </w:p>
        </w:tc>
      </w:tr>
      <w:tr>
        <w:trPr>
          <w:trHeight w:val="78"/>
        </w:trPr>
        <w:tc>
          <w:tcPr>
            <w:tcW w:w="3180" w:type="dxa"/>
            <w:vAlign w:val="bottom"/>
            <w:vMerge w:val="restart"/>
            <w:shd w:val="clear" w:color="auto" w:fill="E2E2D8"/>
          </w:tcPr>
          <w:p>
            <w:pPr>
              <w:ind w:left="80"/>
              <w:spacing w:after="0"/>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E2E2D8"/>
          </w:tcPr>
          <w:p>
            <w:pPr>
              <w:spacing w:after="0"/>
              <w:rPr>
                <w:sz w:val="6"/>
                <w:szCs w:val="6"/>
                <w:color w:val="auto"/>
              </w:rPr>
            </w:pPr>
          </w:p>
        </w:tc>
        <w:tc>
          <w:tcPr>
            <w:tcW w:w="600" w:type="dxa"/>
            <w:vAlign w:val="bottom"/>
            <w:vMerge w:val="continue"/>
            <w:shd w:val="clear" w:color="auto" w:fill="E2E2D8"/>
          </w:tcPr>
          <w:p>
            <w:pPr>
              <w:spacing w:after="0"/>
              <w:rPr>
                <w:sz w:val="6"/>
                <w:szCs w:val="6"/>
                <w:color w:val="auto"/>
              </w:rPr>
            </w:pPr>
          </w:p>
        </w:tc>
        <w:tc>
          <w:tcPr>
            <w:tcW w:w="1080" w:type="dxa"/>
            <w:vAlign w:val="bottom"/>
            <w:vMerge w:val="continue"/>
            <w:shd w:val="clear" w:color="auto" w:fill="E2E2D8"/>
          </w:tcPr>
          <w:p>
            <w:pPr>
              <w:spacing w:after="0"/>
              <w:rPr>
                <w:sz w:val="6"/>
                <w:szCs w:val="6"/>
                <w:color w:val="auto"/>
              </w:rPr>
            </w:pPr>
          </w:p>
        </w:tc>
        <w:tc>
          <w:tcPr>
            <w:tcW w:w="1180" w:type="dxa"/>
            <w:vAlign w:val="bottom"/>
            <w:vMerge w:val="continue"/>
            <w:shd w:val="clear" w:color="auto" w:fill="E2E2D8"/>
          </w:tcPr>
          <w:p>
            <w:pPr>
              <w:spacing w:after="0"/>
              <w:rPr>
                <w:sz w:val="6"/>
                <w:szCs w:val="6"/>
                <w:color w:val="auto"/>
              </w:rPr>
            </w:pPr>
          </w:p>
        </w:tc>
        <w:tc>
          <w:tcPr>
            <w:tcW w:w="1140" w:type="dxa"/>
            <w:vAlign w:val="bottom"/>
            <w:vMerge w:val="continue"/>
            <w:shd w:val="clear" w:color="auto" w:fill="E2E2D8"/>
          </w:tcPr>
          <w:p>
            <w:pPr>
              <w:spacing w:after="0"/>
              <w:rPr>
                <w:sz w:val="6"/>
                <w:szCs w:val="6"/>
                <w:color w:val="auto"/>
              </w:rPr>
            </w:pPr>
          </w:p>
        </w:tc>
        <w:tc>
          <w:tcPr>
            <w:tcW w:w="1220" w:type="dxa"/>
            <w:vAlign w:val="bottom"/>
            <w:vMerge w:val="continue"/>
            <w:shd w:val="clear" w:color="auto" w:fill="E2E2D8"/>
          </w:tcPr>
          <w:p>
            <w:pPr>
              <w:spacing w:after="0"/>
              <w:rPr>
                <w:sz w:val="6"/>
                <w:szCs w:val="6"/>
                <w:color w:val="auto"/>
              </w:rPr>
            </w:pPr>
          </w:p>
        </w:tc>
        <w:tc>
          <w:tcPr>
            <w:tcW w:w="1260" w:type="dxa"/>
            <w:vAlign w:val="bottom"/>
            <w:vMerge w:val="continue"/>
            <w:shd w:val="clear" w:color="auto" w:fill="E2E2D8"/>
          </w:tcPr>
          <w:p>
            <w:pPr>
              <w:spacing w:after="0"/>
              <w:rPr>
                <w:sz w:val="6"/>
                <w:szCs w:val="6"/>
                <w:color w:val="auto"/>
              </w:rPr>
            </w:pPr>
          </w:p>
        </w:tc>
        <w:tc>
          <w:tcPr>
            <w:tcW w:w="1200" w:type="dxa"/>
            <w:vAlign w:val="bottom"/>
            <w:vMerge w:val="continue"/>
            <w:shd w:val="clear" w:color="auto" w:fill="E2E2D8"/>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180" w:type="dxa"/>
            <w:vAlign w:val="bottom"/>
            <w:vMerge w:val="continue"/>
            <w:shd w:val="clear" w:color="auto" w:fill="E2E2D8"/>
          </w:tcPr>
          <w:p>
            <w:pPr>
              <w:spacing w:after="0"/>
              <w:rPr>
                <w:sz w:val="7"/>
                <w:szCs w:val="7"/>
                <w:color w:val="auto"/>
              </w:rPr>
            </w:pPr>
          </w:p>
        </w:tc>
        <w:tc>
          <w:tcPr>
            <w:tcW w:w="160" w:type="dxa"/>
            <w:vAlign w:val="bottom"/>
            <w:shd w:val="clear" w:color="auto" w:fill="E2E2D8"/>
          </w:tcPr>
          <w:p>
            <w:pPr>
              <w:spacing w:after="0"/>
              <w:rPr>
                <w:sz w:val="7"/>
                <w:szCs w:val="7"/>
                <w:color w:val="auto"/>
              </w:rPr>
            </w:pPr>
          </w:p>
        </w:tc>
        <w:tc>
          <w:tcPr>
            <w:tcW w:w="600" w:type="dxa"/>
            <w:vAlign w:val="bottom"/>
            <w:shd w:val="clear" w:color="auto" w:fill="E2E2D8"/>
          </w:tcPr>
          <w:p>
            <w:pPr>
              <w:spacing w:after="0"/>
              <w:rPr>
                <w:sz w:val="7"/>
                <w:szCs w:val="7"/>
                <w:color w:val="auto"/>
              </w:rPr>
            </w:pPr>
          </w:p>
        </w:tc>
        <w:tc>
          <w:tcPr>
            <w:tcW w:w="1080" w:type="dxa"/>
            <w:vAlign w:val="bottom"/>
            <w:shd w:val="clear" w:color="auto" w:fill="E2E2D8"/>
          </w:tcPr>
          <w:p>
            <w:pPr>
              <w:spacing w:after="0"/>
              <w:rPr>
                <w:sz w:val="7"/>
                <w:szCs w:val="7"/>
                <w:color w:val="auto"/>
              </w:rPr>
            </w:pPr>
          </w:p>
        </w:tc>
        <w:tc>
          <w:tcPr>
            <w:tcW w:w="1180" w:type="dxa"/>
            <w:vAlign w:val="bottom"/>
            <w:shd w:val="clear" w:color="auto" w:fill="E2E2D8"/>
          </w:tcPr>
          <w:p>
            <w:pPr>
              <w:spacing w:after="0"/>
              <w:rPr>
                <w:sz w:val="7"/>
                <w:szCs w:val="7"/>
                <w:color w:val="auto"/>
              </w:rPr>
            </w:pPr>
          </w:p>
        </w:tc>
        <w:tc>
          <w:tcPr>
            <w:tcW w:w="1140" w:type="dxa"/>
            <w:vAlign w:val="bottom"/>
            <w:shd w:val="clear" w:color="auto" w:fill="E2E2D8"/>
          </w:tcPr>
          <w:p>
            <w:pPr>
              <w:spacing w:after="0"/>
              <w:rPr>
                <w:sz w:val="7"/>
                <w:szCs w:val="7"/>
                <w:color w:val="auto"/>
              </w:rPr>
            </w:pPr>
          </w:p>
        </w:tc>
        <w:tc>
          <w:tcPr>
            <w:tcW w:w="1220" w:type="dxa"/>
            <w:vAlign w:val="bottom"/>
            <w:shd w:val="clear" w:color="auto" w:fill="E2E2D8"/>
          </w:tcPr>
          <w:p>
            <w:pPr>
              <w:spacing w:after="0"/>
              <w:rPr>
                <w:sz w:val="7"/>
                <w:szCs w:val="7"/>
                <w:color w:val="auto"/>
              </w:rPr>
            </w:pPr>
          </w:p>
        </w:tc>
        <w:tc>
          <w:tcPr>
            <w:tcW w:w="1260" w:type="dxa"/>
            <w:vAlign w:val="bottom"/>
            <w:shd w:val="clear" w:color="auto" w:fill="E2E2D8"/>
          </w:tcPr>
          <w:p>
            <w:pPr>
              <w:spacing w:after="0"/>
              <w:rPr>
                <w:sz w:val="7"/>
                <w:szCs w:val="7"/>
                <w:color w:val="auto"/>
              </w:rPr>
            </w:pPr>
          </w:p>
        </w:tc>
        <w:tc>
          <w:tcPr>
            <w:tcW w:w="1200" w:type="dxa"/>
            <w:vAlign w:val="bottom"/>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2E2D8"/>
            </w:tcBorders>
            <w:shd w:val="clear" w:color="auto" w:fill="E2E2D8"/>
          </w:tcPr>
          <w:p>
            <w:pPr>
              <w:ind w:left="80"/>
              <w:spacing w:after="0"/>
              <w:rPr>
                <w:sz w:val="20"/>
                <w:szCs w:val="20"/>
                <w:color w:val="auto"/>
              </w:rPr>
            </w:pPr>
            <w:r>
              <w:rPr>
                <w:rFonts w:ascii="Arial" w:cs="Arial" w:eastAsia="Arial" w:hAnsi="Arial"/>
                <w:sz w:val="14"/>
                <w:szCs w:val="14"/>
                <w:color w:val="auto"/>
              </w:rPr>
              <w:t>Former Chief Financial Officer</w:t>
            </w:r>
          </w:p>
        </w:tc>
        <w:tc>
          <w:tcPr>
            <w:tcW w:w="160" w:type="dxa"/>
            <w:vAlign w:val="bottom"/>
            <w:tcBorders>
              <w:bottom w:val="single" w:sz="8" w:color="E2E2D8"/>
            </w:tcBorders>
            <w:shd w:val="clear" w:color="auto" w:fill="E2E2D8"/>
          </w:tcPr>
          <w:p>
            <w:pPr>
              <w:spacing w:after="0"/>
              <w:rPr>
                <w:sz w:val="18"/>
                <w:szCs w:val="18"/>
                <w:color w:val="auto"/>
              </w:rPr>
            </w:pPr>
          </w:p>
        </w:tc>
        <w:tc>
          <w:tcPr>
            <w:tcW w:w="600" w:type="dxa"/>
            <w:vAlign w:val="bottom"/>
            <w:tcBorders>
              <w:bottom w:val="single" w:sz="8" w:color="E2E2D8"/>
            </w:tcBorders>
            <w:shd w:val="clear" w:color="auto" w:fill="E2E2D8"/>
          </w:tcPr>
          <w:p>
            <w:pPr>
              <w:jc w:val="right"/>
              <w:ind w:right="88"/>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E2E2D8"/>
            </w:tcBorders>
            <w:shd w:val="clear" w:color="auto" w:fill="E2E2D8"/>
          </w:tcPr>
          <w:p>
            <w:pPr>
              <w:jc w:val="center"/>
              <w:spacing w:after="0"/>
              <w:rPr>
                <w:sz w:val="20"/>
                <w:szCs w:val="20"/>
                <w:color w:val="auto"/>
              </w:rPr>
            </w:pPr>
            <w:r>
              <w:rPr>
                <w:rFonts w:ascii="Arial" w:cs="Arial" w:eastAsia="Arial" w:hAnsi="Arial"/>
                <w:sz w:val="14"/>
                <w:szCs w:val="14"/>
                <w:color w:val="auto"/>
              </w:rPr>
              <w:t>$1,053,750</w:t>
            </w:r>
          </w:p>
        </w:tc>
        <w:tc>
          <w:tcPr>
            <w:tcW w:w="1180" w:type="dxa"/>
            <w:vAlign w:val="bottom"/>
            <w:tcBorders>
              <w:bottom w:val="single" w:sz="8" w:color="E2E2D8"/>
            </w:tcBorders>
            <w:shd w:val="clear" w:color="auto" w:fill="E2E2D8"/>
          </w:tcPr>
          <w:p>
            <w:pPr>
              <w:jc w:val="center"/>
              <w:spacing w:after="0"/>
              <w:rPr>
                <w:sz w:val="20"/>
                <w:szCs w:val="20"/>
                <w:color w:val="auto"/>
              </w:rPr>
            </w:pPr>
            <w:r>
              <w:rPr>
                <w:rFonts w:ascii="Arial" w:cs="Arial" w:eastAsia="Arial" w:hAnsi="Arial"/>
                <w:sz w:val="14"/>
                <w:szCs w:val="14"/>
                <w:color w:val="auto"/>
              </w:rPr>
              <w:t>$2,560,147</w:t>
            </w:r>
          </w:p>
        </w:tc>
        <w:tc>
          <w:tcPr>
            <w:tcW w:w="1140" w:type="dxa"/>
            <w:vAlign w:val="bottom"/>
            <w:tcBorders>
              <w:bottom w:val="single" w:sz="8" w:color="E2E2D8"/>
            </w:tcBorders>
            <w:shd w:val="clear" w:color="auto" w:fill="E2E2D8"/>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2E2D8"/>
            </w:tcBorders>
            <w:shd w:val="clear" w:color="auto" w:fill="E2E2D8"/>
          </w:tcPr>
          <w:p>
            <w:pPr>
              <w:jc w:val="center"/>
              <w:spacing w:after="0"/>
              <w:rPr>
                <w:sz w:val="20"/>
                <w:szCs w:val="20"/>
                <w:color w:val="auto"/>
              </w:rPr>
            </w:pPr>
            <w:r>
              <w:rPr>
                <w:rFonts w:ascii="Arial" w:cs="Arial" w:eastAsia="Arial" w:hAnsi="Arial"/>
                <w:sz w:val="14"/>
                <w:szCs w:val="14"/>
                <w:color w:val="auto"/>
              </w:rPr>
              <w:t>$960,000</w:t>
            </w:r>
          </w:p>
        </w:tc>
        <w:tc>
          <w:tcPr>
            <w:tcW w:w="1260" w:type="dxa"/>
            <w:vAlign w:val="bottom"/>
            <w:tcBorders>
              <w:bottom w:val="single" w:sz="8" w:color="E2E2D8"/>
            </w:tcBorders>
            <w:shd w:val="clear" w:color="auto" w:fill="E2E2D8"/>
          </w:tcPr>
          <w:p>
            <w:pPr>
              <w:jc w:val="center"/>
              <w:spacing w:after="0"/>
              <w:rPr>
                <w:sz w:val="20"/>
                <w:szCs w:val="20"/>
                <w:color w:val="auto"/>
              </w:rPr>
            </w:pPr>
            <w:r>
              <w:rPr>
                <w:rFonts w:ascii="Arial" w:cs="Arial" w:eastAsia="Arial" w:hAnsi="Arial"/>
                <w:sz w:val="14"/>
                <w:szCs w:val="14"/>
                <w:color w:val="auto"/>
              </w:rPr>
              <w:t>$217,382</w:t>
            </w:r>
          </w:p>
        </w:tc>
        <w:tc>
          <w:tcPr>
            <w:tcW w:w="1200" w:type="dxa"/>
            <w:vAlign w:val="bottom"/>
            <w:tcBorders>
              <w:bottom w:val="single" w:sz="8" w:color="E2E2D8"/>
            </w:tcBorders>
            <w:shd w:val="clear" w:color="auto" w:fill="E2E2D8"/>
          </w:tcPr>
          <w:p>
            <w:pPr>
              <w:jc w:val="center"/>
              <w:ind w:left="8"/>
              <w:spacing w:after="0"/>
              <w:rPr>
                <w:sz w:val="20"/>
                <w:szCs w:val="20"/>
                <w:color w:val="auto"/>
              </w:rPr>
            </w:pPr>
            <w:r>
              <w:rPr>
                <w:rFonts w:ascii="Arial" w:cs="Arial" w:eastAsia="Arial" w:hAnsi="Arial"/>
                <w:sz w:val="14"/>
                <w:szCs w:val="14"/>
                <w:color w:val="auto"/>
              </w:rPr>
              <w:t>$4,791,279</w:t>
            </w:r>
          </w:p>
        </w:tc>
        <w:tc>
          <w:tcPr>
            <w:tcW w:w="0" w:type="dxa"/>
            <w:vAlign w:val="bottom"/>
          </w:tcPr>
          <w:p>
            <w:pPr>
              <w:spacing w:after="0"/>
              <w:rPr>
                <w:sz w:val="1"/>
                <w:szCs w:val="1"/>
                <w:color w:val="auto"/>
              </w:rPr>
            </w:pPr>
          </w:p>
        </w:tc>
      </w:tr>
      <w:tr>
        <w:trPr>
          <w:trHeight w:val="244"/>
        </w:trPr>
        <w:tc>
          <w:tcPr>
            <w:tcW w:w="3180" w:type="dxa"/>
            <w:vAlign w:val="bottom"/>
            <w:vMerge w:val="restart"/>
            <w:shd w:val="clear" w:color="auto" w:fill="EAEFF9"/>
          </w:tcPr>
          <w:p>
            <w:pPr>
              <w:ind w:left="80"/>
              <w:spacing w:after="0"/>
              <w:rPr>
                <w:sz w:val="20"/>
                <w:szCs w:val="20"/>
                <w:color w:val="auto"/>
              </w:rPr>
            </w:pPr>
            <w:r>
              <w:rPr>
                <w:rFonts w:ascii="Arial" w:cs="Arial" w:eastAsia="Arial" w:hAnsi="Arial"/>
                <w:sz w:val="13"/>
                <w:szCs w:val="13"/>
                <w:b w:val="1"/>
                <w:bCs w:val="1"/>
                <w:color w:val="auto"/>
              </w:rPr>
              <w:t>ELLEN F. WHITTEMORE</w:t>
            </w:r>
          </w:p>
        </w:tc>
        <w:tc>
          <w:tcPr>
            <w:tcW w:w="760" w:type="dxa"/>
            <w:vAlign w:val="bottom"/>
            <w:gridSpan w:val="2"/>
            <w:shd w:val="clear" w:color="auto" w:fill="EAEFF9"/>
          </w:tcPr>
          <w:p>
            <w:pPr>
              <w:jc w:val="right"/>
              <w:ind w:right="88"/>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$665,000</w:t>
            </w:r>
          </w:p>
        </w:tc>
        <w:tc>
          <w:tcPr>
            <w:tcW w:w="11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$1,775,115</w:t>
            </w:r>
          </w:p>
        </w:tc>
        <w:tc>
          <w:tcPr>
            <w:tcW w:w="114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$700,000</w:t>
            </w:r>
          </w:p>
        </w:tc>
        <w:tc>
          <w:tcPr>
            <w:tcW w:w="126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$19,318</w:t>
            </w:r>
          </w:p>
        </w:tc>
        <w:tc>
          <w:tcPr>
            <w:tcW w:w="1200" w:type="dxa"/>
            <w:vAlign w:val="bottom"/>
            <w:shd w:val="clear" w:color="auto" w:fill="EAEFF9"/>
          </w:tcPr>
          <w:p>
            <w:pPr>
              <w:jc w:val="center"/>
              <w:ind w:left="8"/>
              <w:spacing w:after="0"/>
              <w:rPr>
                <w:sz w:val="20"/>
                <w:szCs w:val="20"/>
                <w:color w:val="auto"/>
              </w:rPr>
            </w:pPr>
            <w:r>
              <w:rPr>
                <w:rFonts w:ascii="Arial" w:cs="Arial" w:eastAsia="Arial" w:hAnsi="Arial"/>
                <w:sz w:val="14"/>
                <w:szCs w:val="14"/>
                <w:color w:val="auto"/>
              </w:rPr>
              <w:t>$3,159,433</w:t>
            </w:r>
          </w:p>
        </w:tc>
        <w:tc>
          <w:tcPr>
            <w:tcW w:w="0" w:type="dxa"/>
            <w:vAlign w:val="bottom"/>
          </w:tcPr>
          <w:p>
            <w:pPr>
              <w:spacing w:after="0"/>
              <w:rPr>
                <w:sz w:val="1"/>
                <w:szCs w:val="1"/>
                <w:color w:val="auto"/>
              </w:rPr>
            </w:pPr>
          </w:p>
        </w:tc>
      </w:tr>
      <w:tr>
        <w:trPr>
          <w:trHeight w:val="84"/>
        </w:trPr>
        <w:tc>
          <w:tcPr>
            <w:tcW w:w="3180" w:type="dxa"/>
            <w:vAlign w:val="bottom"/>
            <w:vMerge w:val="continue"/>
            <w:shd w:val="clear" w:color="auto" w:fill="EAEFF9"/>
          </w:tcPr>
          <w:p>
            <w:pPr>
              <w:spacing w:after="0"/>
              <w:rPr>
                <w:sz w:val="7"/>
                <w:szCs w:val="7"/>
                <w:color w:val="auto"/>
              </w:rPr>
            </w:pPr>
          </w:p>
        </w:tc>
        <w:tc>
          <w:tcPr>
            <w:tcW w:w="160" w:type="dxa"/>
            <w:vAlign w:val="bottom"/>
            <w:shd w:val="clear" w:color="auto" w:fill="EAEFF9"/>
          </w:tcPr>
          <w:p>
            <w:pPr>
              <w:spacing w:after="0"/>
              <w:rPr>
                <w:sz w:val="7"/>
                <w:szCs w:val="7"/>
                <w:color w:val="auto"/>
              </w:rPr>
            </w:pPr>
          </w:p>
        </w:tc>
        <w:tc>
          <w:tcPr>
            <w:tcW w:w="600" w:type="dxa"/>
            <w:vAlign w:val="bottom"/>
            <w:vMerge w:val="restart"/>
            <w:shd w:val="clear" w:color="auto" w:fill="EAEFF9"/>
          </w:tcPr>
          <w:p>
            <w:pPr>
              <w:jc w:val="right"/>
              <w:ind w:right="88"/>
              <w:spacing w:after="0"/>
              <w:rPr>
                <w:sz w:val="20"/>
                <w:szCs w:val="20"/>
                <w:color w:val="auto"/>
              </w:rPr>
            </w:pPr>
            <w:r>
              <w:rPr>
                <w:rFonts w:ascii="Arial" w:cs="Arial" w:eastAsia="Arial" w:hAnsi="Arial"/>
                <w:sz w:val="14"/>
                <w:szCs w:val="14"/>
                <w:color w:val="auto"/>
              </w:rPr>
              <w:t>2020</w:t>
            </w:r>
          </w:p>
        </w:tc>
        <w:tc>
          <w:tcPr>
            <w:tcW w:w="10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$700,000</w:t>
            </w:r>
          </w:p>
        </w:tc>
        <w:tc>
          <w:tcPr>
            <w:tcW w:w="11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$1,985,303</w:t>
            </w:r>
          </w:p>
        </w:tc>
        <w:tc>
          <w:tcPr>
            <w:tcW w:w="114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$249,824</w:t>
            </w:r>
          </w:p>
        </w:tc>
        <w:tc>
          <w:tcPr>
            <w:tcW w:w="122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$308,000</w:t>
            </w:r>
          </w:p>
        </w:tc>
        <w:tc>
          <w:tcPr>
            <w:tcW w:w="126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$27,484</w:t>
            </w:r>
          </w:p>
        </w:tc>
        <w:tc>
          <w:tcPr>
            <w:tcW w:w="1200" w:type="dxa"/>
            <w:vAlign w:val="bottom"/>
            <w:vMerge w:val="restart"/>
            <w:shd w:val="clear" w:color="auto" w:fill="EAEFF9"/>
          </w:tcPr>
          <w:p>
            <w:pPr>
              <w:jc w:val="center"/>
              <w:ind w:left="8"/>
              <w:spacing w:after="0"/>
              <w:rPr>
                <w:sz w:val="20"/>
                <w:szCs w:val="20"/>
                <w:color w:val="auto"/>
              </w:rPr>
            </w:pPr>
            <w:r>
              <w:rPr>
                <w:rFonts w:ascii="Arial" w:cs="Arial" w:eastAsia="Arial" w:hAnsi="Arial"/>
                <w:sz w:val="14"/>
                <w:szCs w:val="14"/>
                <w:color w:val="auto"/>
              </w:rPr>
              <w:t>$3,270,611</w:t>
            </w:r>
          </w:p>
        </w:tc>
        <w:tc>
          <w:tcPr>
            <w:tcW w:w="0" w:type="dxa"/>
            <w:vAlign w:val="bottom"/>
          </w:tcPr>
          <w:p>
            <w:pPr>
              <w:spacing w:after="0"/>
              <w:rPr>
                <w:sz w:val="1"/>
                <w:szCs w:val="1"/>
                <w:color w:val="auto"/>
              </w:rPr>
            </w:pPr>
          </w:p>
        </w:tc>
      </w:tr>
      <w:tr>
        <w:trPr>
          <w:trHeight w:val="162"/>
        </w:trPr>
        <w:tc>
          <w:tcPr>
            <w:tcW w:w="3180" w:type="dxa"/>
            <w:vAlign w:val="bottom"/>
            <w:shd w:val="clear" w:color="auto" w:fill="EAEFF9"/>
          </w:tcPr>
          <w:p>
            <w:pPr>
              <w:ind w:left="80"/>
              <w:spacing w:after="0"/>
              <w:rPr>
                <w:sz w:val="20"/>
                <w:szCs w:val="20"/>
                <w:color w:val="auto"/>
              </w:rPr>
            </w:pPr>
            <w:r>
              <w:rPr>
                <w:rFonts w:ascii="Arial" w:cs="Arial" w:eastAsia="Arial" w:hAnsi="Arial"/>
                <w:sz w:val="14"/>
                <w:szCs w:val="14"/>
                <w:color w:val="auto"/>
              </w:rPr>
              <w:t>Executive Vice President,</w:t>
            </w:r>
          </w:p>
        </w:tc>
        <w:tc>
          <w:tcPr>
            <w:tcW w:w="160" w:type="dxa"/>
            <w:vAlign w:val="bottom"/>
            <w:shd w:val="clear" w:color="auto" w:fill="EAEFF9"/>
          </w:tcPr>
          <w:p>
            <w:pPr>
              <w:spacing w:after="0"/>
              <w:rPr>
                <w:sz w:val="14"/>
                <w:szCs w:val="14"/>
                <w:color w:val="auto"/>
              </w:rPr>
            </w:pPr>
          </w:p>
        </w:tc>
        <w:tc>
          <w:tcPr>
            <w:tcW w:w="600" w:type="dxa"/>
            <w:vAlign w:val="bottom"/>
            <w:vMerge w:val="continue"/>
            <w:shd w:val="clear" w:color="auto" w:fill="EAEFF9"/>
          </w:tcPr>
          <w:p>
            <w:pPr>
              <w:spacing w:after="0"/>
              <w:rPr>
                <w:sz w:val="14"/>
                <w:szCs w:val="14"/>
                <w:color w:val="auto"/>
              </w:rPr>
            </w:pPr>
          </w:p>
        </w:tc>
        <w:tc>
          <w:tcPr>
            <w:tcW w:w="1080" w:type="dxa"/>
            <w:vAlign w:val="bottom"/>
            <w:vMerge w:val="continue"/>
            <w:shd w:val="clear" w:color="auto" w:fill="EAEFF9"/>
          </w:tcPr>
          <w:p>
            <w:pPr>
              <w:spacing w:after="0"/>
              <w:rPr>
                <w:sz w:val="14"/>
                <w:szCs w:val="14"/>
                <w:color w:val="auto"/>
              </w:rPr>
            </w:pPr>
          </w:p>
        </w:tc>
        <w:tc>
          <w:tcPr>
            <w:tcW w:w="1180" w:type="dxa"/>
            <w:vAlign w:val="bottom"/>
            <w:vMerge w:val="continue"/>
            <w:shd w:val="clear" w:color="auto" w:fill="EAEFF9"/>
          </w:tcPr>
          <w:p>
            <w:pPr>
              <w:spacing w:after="0"/>
              <w:rPr>
                <w:sz w:val="14"/>
                <w:szCs w:val="14"/>
                <w:color w:val="auto"/>
              </w:rPr>
            </w:pPr>
          </w:p>
        </w:tc>
        <w:tc>
          <w:tcPr>
            <w:tcW w:w="1140" w:type="dxa"/>
            <w:vAlign w:val="bottom"/>
            <w:vMerge w:val="continue"/>
            <w:shd w:val="clear" w:color="auto" w:fill="EAEFF9"/>
          </w:tcPr>
          <w:p>
            <w:pPr>
              <w:spacing w:after="0"/>
              <w:rPr>
                <w:sz w:val="14"/>
                <w:szCs w:val="14"/>
                <w:color w:val="auto"/>
              </w:rPr>
            </w:pPr>
          </w:p>
        </w:tc>
        <w:tc>
          <w:tcPr>
            <w:tcW w:w="1220" w:type="dxa"/>
            <w:vAlign w:val="bottom"/>
            <w:vMerge w:val="continue"/>
            <w:shd w:val="clear" w:color="auto" w:fill="EAEFF9"/>
          </w:tcPr>
          <w:p>
            <w:pPr>
              <w:spacing w:after="0"/>
              <w:rPr>
                <w:sz w:val="14"/>
                <w:szCs w:val="14"/>
                <w:color w:val="auto"/>
              </w:rPr>
            </w:pPr>
          </w:p>
        </w:tc>
        <w:tc>
          <w:tcPr>
            <w:tcW w:w="1260" w:type="dxa"/>
            <w:vAlign w:val="bottom"/>
            <w:vMerge w:val="continue"/>
            <w:shd w:val="clear" w:color="auto" w:fill="EAEFF9"/>
          </w:tcPr>
          <w:p>
            <w:pPr>
              <w:spacing w:after="0"/>
              <w:rPr>
                <w:sz w:val="14"/>
                <w:szCs w:val="14"/>
                <w:color w:val="auto"/>
              </w:rPr>
            </w:pPr>
          </w:p>
        </w:tc>
        <w:tc>
          <w:tcPr>
            <w:tcW w:w="1200" w:type="dxa"/>
            <w:vAlign w:val="bottom"/>
            <w:vMerge w:val="continue"/>
            <w:shd w:val="clear" w:color="auto" w:fill="EAEF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shd w:val="clear" w:color="auto" w:fill="EAEFF9"/>
          </w:tcPr>
          <w:p>
            <w:pPr>
              <w:ind w:left="80"/>
              <w:spacing w:after="0"/>
              <w:rPr>
                <w:sz w:val="20"/>
                <w:szCs w:val="20"/>
                <w:color w:val="auto"/>
              </w:rPr>
            </w:pPr>
            <w:r>
              <w:rPr>
                <w:rFonts w:ascii="Arial" w:cs="Arial" w:eastAsia="Arial" w:hAnsi="Arial"/>
                <w:sz w:val="14"/>
                <w:szCs w:val="14"/>
                <w:color w:val="auto"/>
              </w:rPr>
              <w:t>General Counsel and Secretary</w:t>
            </w:r>
          </w:p>
        </w:tc>
        <w:tc>
          <w:tcPr>
            <w:tcW w:w="160" w:type="dxa"/>
            <w:vAlign w:val="bottom"/>
            <w:shd w:val="clear" w:color="auto" w:fill="EAEFF9"/>
          </w:tcPr>
          <w:p>
            <w:pPr>
              <w:spacing w:after="0"/>
              <w:rPr>
                <w:sz w:val="14"/>
                <w:szCs w:val="14"/>
                <w:color w:val="auto"/>
              </w:rPr>
            </w:pPr>
          </w:p>
        </w:tc>
        <w:tc>
          <w:tcPr>
            <w:tcW w:w="600" w:type="dxa"/>
            <w:vAlign w:val="bottom"/>
            <w:vMerge w:val="restart"/>
            <w:shd w:val="clear" w:color="auto" w:fill="EAEFF9"/>
          </w:tcPr>
          <w:p>
            <w:pPr>
              <w:jc w:val="right"/>
              <w:ind w:right="88"/>
              <w:spacing w:after="0"/>
              <w:rPr>
                <w:sz w:val="20"/>
                <w:szCs w:val="20"/>
                <w:color w:val="auto"/>
              </w:rPr>
            </w:pPr>
            <w:r>
              <w:rPr>
                <w:rFonts w:ascii="Arial" w:cs="Arial" w:eastAsia="Arial" w:hAnsi="Arial"/>
                <w:sz w:val="14"/>
                <w:szCs w:val="14"/>
                <w:color w:val="auto"/>
              </w:rPr>
              <w:t>2019</w:t>
            </w:r>
          </w:p>
        </w:tc>
        <w:tc>
          <w:tcPr>
            <w:tcW w:w="10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$655,000</w:t>
            </w:r>
          </w:p>
        </w:tc>
        <w:tc>
          <w:tcPr>
            <w:tcW w:w="118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$1,310,111</w:t>
            </w:r>
          </w:p>
        </w:tc>
        <w:tc>
          <w:tcPr>
            <w:tcW w:w="114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$560,000</w:t>
            </w:r>
          </w:p>
        </w:tc>
        <w:tc>
          <w:tcPr>
            <w:tcW w:w="1260" w:type="dxa"/>
            <w:vAlign w:val="bottom"/>
            <w:vMerge w:val="restart"/>
            <w:shd w:val="clear" w:color="auto" w:fill="EAEFF9"/>
          </w:tcPr>
          <w:p>
            <w:pPr>
              <w:jc w:val="center"/>
              <w:spacing w:after="0"/>
              <w:rPr>
                <w:sz w:val="20"/>
                <w:szCs w:val="20"/>
                <w:color w:val="auto"/>
              </w:rPr>
            </w:pPr>
            <w:r>
              <w:rPr>
                <w:rFonts w:ascii="Arial" w:cs="Arial" w:eastAsia="Arial" w:hAnsi="Arial"/>
                <w:sz w:val="14"/>
                <w:szCs w:val="14"/>
                <w:color w:val="auto"/>
              </w:rPr>
              <w:t>$67,184</w:t>
            </w:r>
          </w:p>
        </w:tc>
        <w:tc>
          <w:tcPr>
            <w:tcW w:w="1200" w:type="dxa"/>
            <w:vAlign w:val="bottom"/>
            <w:vMerge w:val="restart"/>
            <w:shd w:val="clear" w:color="auto" w:fill="EAEFF9"/>
          </w:tcPr>
          <w:p>
            <w:pPr>
              <w:jc w:val="center"/>
              <w:ind w:left="8"/>
              <w:spacing w:after="0"/>
              <w:rPr>
                <w:sz w:val="20"/>
                <w:szCs w:val="20"/>
                <w:color w:val="auto"/>
              </w:rPr>
            </w:pPr>
            <w:r>
              <w:rPr>
                <w:rFonts w:ascii="Arial" w:cs="Arial" w:eastAsia="Arial" w:hAnsi="Arial"/>
                <w:sz w:val="14"/>
                <w:szCs w:val="14"/>
                <w:color w:val="auto"/>
              </w:rPr>
              <w:t>$2,592,295</w:t>
            </w:r>
          </w:p>
        </w:tc>
        <w:tc>
          <w:tcPr>
            <w:tcW w:w="0" w:type="dxa"/>
            <w:vAlign w:val="bottom"/>
          </w:tcPr>
          <w:p>
            <w:pPr>
              <w:spacing w:after="0"/>
              <w:rPr>
                <w:sz w:val="1"/>
                <w:szCs w:val="1"/>
                <w:color w:val="auto"/>
              </w:rPr>
            </w:pPr>
          </w:p>
        </w:tc>
      </w:tr>
      <w:tr>
        <w:trPr>
          <w:trHeight w:val="68"/>
        </w:trPr>
        <w:tc>
          <w:tcPr>
            <w:tcW w:w="3180" w:type="dxa"/>
            <w:vAlign w:val="bottom"/>
            <w:shd w:val="clear" w:color="auto" w:fill="EAEFF9"/>
          </w:tcPr>
          <w:p>
            <w:pPr>
              <w:spacing w:after="0"/>
              <w:rPr>
                <w:sz w:val="5"/>
                <w:szCs w:val="5"/>
                <w:color w:val="auto"/>
              </w:rPr>
            </w:pPr>
          </w:p>
        </w:tc>
        <w:tc>
          <w:tcPr>
            <w:tcW w:w="160" w:type="dxa"/>
            <w:vAlign w:val="bottom"/>
            <w:shd w:val="clear" w:color="auto" w:fill="EAEFF9"/>
          </w:tcPr>
          <w:p>
            <w:pPr>
              <w:spacing w:after="0"/>
              <w:rPr>
                <w:sz w:val="5"/>
                <w:szCs w:val="5"/>
                <w:color w:val="auto"/>
              </w:rPr>
            </w:pPr>
          </w:p>
        </w:tc>
        <w:tc>
          <w:tcPr>
            <w:tcW w:w="600" w:type="dxa"/>
            <w:vAlign w:val="bottom"/>
            <w:vMerge w:val="continue"/>
            <w:shd w:val="clear" w:color="auto" w:fill="EAEFF9"/>
          </w:tcPr>
          <w:p>
            <w:pPr>
              <w:spacing w:after="0"/>
              <w:rPr>
                <w:sz w:val="5"/>
                <w:szCs w:val="5"/>
                <w:color w:val="auto"/>
              </w:rPr>
            </w:pPr>
          </w:p>
        </w:tc>
        <w:tc>
          <w:tcPr>
            <w:tcW w:w="1080" w:type="dxa"/>
            <w:vAlign w:val="bottom"/>
            <w:vMerge w:val="continue"/>
            <w:shd w:val="clear" w:color="auto" w:fill="EAEFF9"/>
          </w:tcPr>
          <w:p>
            <w:pPr>
              <w:spacing w:after="0"/>
              <w:rPr>
                <w:sz w:val="5"/>
                <w:szCs w:val="5"/>
                <w:color w:val="auto"/>
              </w:rPr>
            </w:pPr>
          </w:p>
        </w:tc>
        <w:tc>
          <w:tcPr>
            <w:tcW w:w="1180" w:type="dxa"/>
            <w:vAlign w:val="bottom"/>
            <w:vMerge w:val="continue"/>
            <w:shd w:val="clear" w:color="auto" w:fill="EAEFF9"/>
          </w:tcPr>
          <w:p>
            <w:pPr>
              <w:spacing w:after="0"/>
              <w:rPr>
                <w:sz w:val="5"/>
                <w:szCs w:val="5"/>
                <w:color w:val="auto"/>
              </w:rPr>
            </w:pPr>
          </w:p>
        </w:tc>
        <w:tc>
          <w:tcPr>
            <w:tcW w:w="1140" w:type="dxa"/>
            <w:vAlign w:val="bottom"/>
            <w:vMerge w:val="continue"/>
            <w:shd w:val="clear" w:color="auto" w:fill="EAEFF9"/>
          </w:tcPr>
          <w:p>
            <w:pPr>
              <w:spacing w:after="0"/>
              <w:rPr>
                <w:sz w:val="5"/>
                <w:szCs w:val="5"/>
                <w:color w:val="auto"/>
              </w:rPr>
            </w:pPr>
          </w:p>
        </w:tc>
        <w:tc>
          <w:tcPr>
            <w:tcW w:w="1220" w:type="dxa"/>
            <w:vAlign w:val="bottom"/>
            <w:vMerge w:val="continue"/>
            <w:shd w:val="clear" w:color="auto" w:fill="EAEFF9"/>
          </w:tcPr>
          <w:p>
            <w:pPr>
              <w:spacing w:after="0"/>
              <w:rPr>
                <w:sz w:val="5"/>
                <w:szCs w:val="5"/>
                <w:color w:val="auto"/>
              </w:rPr>
            </w:pPr>
          </w:p>
        </w:tc>
        <w:tc>
          <w:tcPr>
            <w:tcW w:w="1260" w:type="dxa"/>
            <w:vAlign w:val="bottom"/>
            <w:vMerge w:val="continue"/>
            <w:shd w:val="clear" w:color="auto" w:fill="EAEFF9"/>
          </w:tcPr>
          <w:p>
            <w:pPr>
              <w:spacing w:after="0"/>
              <w:rPr>
                <w:sz w:val="5"/>
                <w:szCs w:val="5"/>
                <w:color w:val="auto"/>
              </w:rPr>
            </w:pPr>
          </w:p>
        </w:tc>
        <w:tc>
          <w:tcPr>
            <w:tcW w:w="1200" w:type="dxa"/>
            <w:vAlign w:val="bottom"/>
            <w:vMerge w:val="continue"/>
            <w:shd w:val="clear" w:color="auto" w:fill="EAEFF9"/>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180" w:type="dxa"/>
            <w:vAlign w:val="bottom"/>
            <w:shd w:val="clear" w:color="auto" w:fill="EAEFF9"/>
          </w:tcPr>
          <w:p>
            <w:pPr>
              <w:spacing w:after="0"/>
              <w:rPr>
                <w:sz w:val="4"/>
                <w:szCs w:val="4"/>
                <w:color w:val="auto"/>
              </w:rPr>
            </w:pPr>
          </w:p>
        </w:tc>
        <w:tc>
          <w:tcPr>
            <w:tcW w:w="160" w:type="dxa"/>
            <w:vAlign w:val="bottom"/>
            <w:shd w:val="clear" w:color="auto" w:fill="EAEFF9"/>
          </w:tcPr>
          <w:p>
            <w:pPr>
              <w:spacing w:after="0"/>
              <w:rPr>
                <w:sz w:val="4"/>
                <w:szCs w:val="4"/>
                <w:color w:val="auto"/>
              </w:rPr>
            </w:pPr>
          </w:p>
        </w:tc>
        <w:tc>
          <w:tcPr>
            <w:tcW w:w="600" w:type="dxa"/>
            <w:vAlign w:val="bottom"/>
            <w:shd w:val="clear" w:color="auto" w:fill="EAEFF9"/>
          </w:tcPr>
          <w:p>
            <w:pPr>
              <w:spacing w:after="0"/>
              <w:rPr>
                <w:sz w:val="4"/>
                <w:szCs w:val="4"/>
                <w:color w:val="auto"/>
              </w:rPr>
            </w:pPr>
          </w:p>
        </w:tc>
        <w:tc>
          <w:tcPr>
            <w:tcW w:w="1080" w:type="dxa"/>
            <w:vAlign w:val="bottom"/>
            <w:shd w:val="clear" w:color="auto" w:fill="EAEFF9"/>
          </w:tcPr>
          <w:p>
            <w:pPr>
              <w:spacing w:after="0"/>
              <w:rPr>
                <w:sz w:val="4"/>
                <w:szCs w:val="4"/>
                <w:color w:val="auto"/>
              </w:rPr>
            </w:pPr>
          </w:p>
        </w:tc>
        <w:tc>
          <w:tcPr>
            <w:tcW w:w="1180" w:type="dxa"/>
            <w:vAlign w:val="bottom"/>
            <w:shd w:val="clear" w:color="auto" w:fill="EAEFF9"/>
          </w:tcPr>
          <w:p>
            <w:pPr>
              <w:spacing w:after="0"/>
              <w:rPr>
                <w:sz w:val="4"/>
                <w:szCs w:val="4"/>
                <w:color w:val="auto"/>
              </w:rPr>
            </w:pPr>
          </w:p>
        </w:tc>
        <w:tc>
          <w:tcPr>
            <w:tcW w:w="1140" w:type="dxa"/>
            <w:vAlign w:val="bottom"/>
            <w:shd w:val="clear" w:color="auto" w:fill="EAEFF9"/>
          </w:tcPr>
          <w:p>
            <w:pPr>
              <w:spacing w:after="0"/>
              <w:rPr>
                <w:sz w:val="4"/>
                <w:szCs w:val="4"/>
                <w:color w:val="auto"/>
              </w:rPr>
            </w:pPr>
          </w:p>
        </w:tc>
        <w:tc>
          <w:tcPr>
            <w:tcW w:w="1220" w:type="dxa"/>
            <w:vAlign w:val="bottom"/>
            <w:shd w:val="clear" w:color="auto" w:fill="EAEFF9"/>
          </w:tcPr>
          <w:p>
            <w:pPr>
              <w:spacing w:after="0"/>
              <w:rPr>
                <w:sz w:val="4"/>
                <w:szCs w:val="4"/>
                <w:color w:val="auto"/>
              </w:rPr>
            </w:pPr>
          </w:p>
        </w:tc>
        <w:tc>
          <w:tcPr>
            <w:tcW w:w="1260" w:type="dxa"/>
            <w:vAlign w:val="bottom"/>
            <w:shd w:val="clear" w:color="auto" w:fill="EAEFF9"/>
          </w:tcPr>
          <w:p>
            <w:pPr>
              <w:spacing w:after="0"/>
              <w:rPr>
                <w:sz w:val="4"/>
                <w:szCs w:val="4"/>
                <w:color w:val="auto"/>
              </w:rPr>
            </w:pPr>
          </w:p>
        </w:tc>
        <w:tc>
          <w:tcPr>
            <w:tcW w:w="1200" w:type="dxa"/>
            <w:vAlign w:val="bottom"/>
            <w:shd w:val="clear" w:color="auto" w:fill="EAEFF9"/>
          </w:tcPr>
          <w:p>
            <w:pPr>
              <w:spacing w:after="0"/>
              <w:rPr>
                <w:sz w:val="4"/>
                <w:szCs w:val="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40" w:hanging="4"/>
        <w:spacing w:after="0" w:line="225" w:lineRule="auto"/>
        <w:tabs>
          <w:tab w:leader="none" w:pos="309"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amounts set forth in this column reflects each Named Executive Officer’s annual base salary approved by the Compensation Committee. On January 1, 2021, each NEO entered into amendments to their respective employment agreement to temporarily reduce the annual base salary compensation by 20% for the first three months of 2021. As result, the 2021 annual base salary was reduced to $1,900,000, $1,140,000 and $665,000 for Mr. Maddox, Mr. Billings and Ms. Whittemore, respectively.</w:t>
      </w:r>
    </w:p>
    <w:p>
      <w:pPr>
        <w:spacing w:after="0" w:line="92" w:lineRule="exact"/>
        <w:rPr>
          <w:rFonts w:ascii="Arial" w:cs="Arial" w:eastAsia="Arial" w:hAnsi="Arial"/>
          <w:sz w:val="13"/>
          <w:szCs w:val="13"/>
          <w:color w:val="auto"/>
        </w:rPr>
      </w:pPr>
    </w:p>
    <w:p>
      <w:pPr>
        <w:ind w:left="120" w:right="120" w:hanging="4"/>
        <w:spacing w:after="0" w:line="222" w:lineRule="auto"/>
        <w:tabs>
          <w:tab w:leader="none" w:pos="309" w:val="left"/>
        </w:tabs>
        <w:numPr>
          <w:ilvl w:val="0"/>
          <w:numId w:val="44"/>
        </w:numPr>
        <w:rPr>
          <w:rFonts w:ascii="Arial" w:cs="Arial" w:eastAsia="Arial" w:hAnsi="Arial"/>
          <w:sz w:val="13"/>
          <w:szCs w:val="13"/>
          <w:color w:val="auto"/>
        </w:rPr>
      </w:pPr>
      <w:r>
        <w:rPr>
          <w:rFonts w:ascii="Arial" w:cs="Arial" w:eastAsia="Arial" w:hAnsi="Arial"/>
          <w:sz w:val="13"/>
          <w:szCs w:val="13"/>
          <w:color w:val="auto"/>
        </w:rPr>
        <w:t>Stock awards granted as a component of the 2021, 2020 and 2019 annual incentive awards are reported in this column as 2021, 2020 and 2019 compensation, respectively, to reflect the applicable service period for such awards; however, stock grants for 2021, 2020 and 2019 were approved by the Compensation Committee in January of the following calendar year. See annual incentive award payouts as described in “Compensation Discussion and Analysis-How We Designed Incentives for 2021 Annual incentive payout” for a description of the 2021 annual incentive awards. The amounts reported in 2021 reflect a portion from restricted stock grants which are not related to the annual incentive awards and were reported in the year of grant. Except as otherwise noted, certain grants in this column vest based on specified performance criteria and are reflected in this column at 100% of the aggregate grant date fair value.</w:t>
      </w:r>
    </w:p>
    <w:p>
      <w:pPr>
        <w:spacing w:after="0" w:line="91" w:lineRule="exact"/>
        <w:rPr>
          <w:rFonts w:ascii="Arial" w:cs="Arial" w:eastAsia="Arial" w:hAnsi="Arial"/>
          <w:sz w:val="13"/>
          <w:szCs w:val="13"/>
          <w:color w:val="auto"/>
        </w:rPr>
      </w:pPr>
    </w:p>
    <w:p>
      <w:pPr>
        <w:ind w:left="120" w:right="20" w:hanging="4"/>
        <w:spacing w:after="0" w:line="223" w:lineRule="auto"/>
        <w:tabs>
          <w:tab w:leader="none" w:pos="309"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amounts set forth in this column reflect the aggregate grant date fair value of stock awards computed in accordance with FASB ASC Topic 718. Performance-based restricted share awards in this column are reflected based on the probable outcome of such conditions as of the applicable grant date in accordance with accounting standards for stock-based compensation. Except as otherwise described in the footnotes to this table, all performance-based restricted share awards were deemed probable of vesting on the grant date. See our Annual Report on Form 10-K for the year ended December 31, 2021, Item 8, Note 12 -“Stock-Based Compensation” to our Consolidated Financial Statements for assumptions used in computing fair value.</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amounts set forth in this column represent stock options of a subsidiary, granted to Messrs. Maddox and Billings and Ms. Whittemore in 2020.</w:t>
      </w:r>
    </w:p>
    <w:p>
      <w:pPr>
        <w:spacing w:after="0" w:line="93" w:lineRule="exact"/>
        <w:rPr>
          <w:rFonts w:ascii="Arial" w:cs="Arial" w:eastAsia="Arial" w:hAnsi="Arial"/>
          <w:sz w:val="13"/>
          <w:szCs w:val="13"/>
          <w:color w:val="auto"/>
        </w:rPr>
      </w:pPr>
    </w:p>
    <w:p>
      <w:pPr>
        <w:ind w:left="120" w:right="60" w:hanging="4"/>
        <w:spacing w:after="0" w:line="230" w:lineRule="auto"/>
        <w:tabs>
          <w:tab w:leader="none" w:pos="309"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described above under “Compensation Discussion and Analysis-How We Designed Incentives for 2021 Annual incentive payout,” in January 2022, the Compensation Committee exercised its discretion to pay 50% of the actual earned annual incentive for all NEO’s in stock.</w:t>
      </w:r>
    </w:p>
    <w:p>
      <w:pPr>
        <w:spacing w:after="0" w:line="76" w:lineRule="exact"/>
        <w:rPr>
          <w:rFonts w:ascii="Arial" w:cs="Arial" w:eastAsia="Arial" w:hAnsi="Arial"/>
          <w:sz w:val="13"/>
          <w:szCs w:val="13"/>
          <w:color w:val="auto"/>
        </w:rPr>
      </w:pPr>
    </w:p>
    <w:p>
      <w:pPr>
        <w:ind w:left="300" w:hanging="184"/>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following amounts for 2021 are included in “All Other Compensation” for Mr. Maddox:</w:t>
      </w:r>
    </w:p>
    <w:p>
      <w:pPr>
        <w:ind w:left="260" w:hanging="144"/>
        <w:spacing w:after="0" w:line="216" w:lineRule="auto"/>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insurance premiums and benefits including executive life and medical insurance of $18,980;</w:t>
      </w:r>
    </w:p>
    <w:p>
      <w:pPr>
        <w:ind w:left="300" w:hanging="184"/>
        <w:spacing w:after="0" w:line="216" w:lineRule="auto"/>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reimbursement of taxes related to work performed in Massachusetts of $865; and</w:t>
      </w:r>
    </w:p>
    <w:p>
      <w:pPr>
        <w:ind w:left="120" w:right="3580" w:hanging="4"/>
        <w:spacing w:after="0" w:line="216" w:lineRule="auto"/>
        <w:tabs>
          <w:tab w:leader="none" w:pos="323"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matching contributions made under the Company’s §401(k) Plan, which is generally available to our eligible employees, of $8,700. The following amounts for 2021 are included in “All Other Compensation” for Mr. Billings:</w:t>
      </w:r>
    </w:p>
    <w:p>
      <w:pPr>
        <w:ind w:left="260" w:hanging="144"/>
        <w:spacing w:after="0" w:line="216" w:lineRule="auto"/>
        <w:tabs>
          <w:tab w:leader="none" w:pos="2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insurance premiums and benefits including executive life and medical insurance of $1,962;</w:t>
      </w:r>
    </w:p>
    <w:p>
      <w:pPr>
        <w:ind w:left="300" w:hanging="184"/>
        <w:spacing w:after="0" w:line="216" w:lineRule="auto"/>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reimbursement of taxes related to work performed in Massachusetts of $466; and</w:t>
      </w:r>
    </w:p>
    <w:p>
      <w:pPr>
        <w:ind w:left="320" w:hanging="204"/>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matching contributions made under the Company’s §401(k) Plan, which is generally available to our eligible employees, of $8,700.</w:t>
      </w:r>
    </w:p>
    <w:p>
      <w:pPr>
        <w:spacing w:after="0" w:line="144" w:lineRule="exact"/>
        <w:rPr>
          <w:rFonts w:ascii="Arial" w:cs="Arial" w:eastAsia="Arial" w:hAnsi="Arial"/>
          <w:sz w:val="13"/>
          <w:szCs w:val="13"/>
          <w:color w:val="auto"/>
        </w:rPr>
      </w:pPr>
    </w:p>
    <w:p>
      <w:pPr>
        <w:ind w:left="5780" w:hanging="160"/>
        <w:spacing w:after="0"/>
        <w:tabs>
          <w:tab w:leader="none" w:pos="57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47 //</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amounts for 2021 are included in “All Other Compensation” for Ms. Whittemore:</w:t>
      </w:r>
    </w:p>
    <w:p>
      <w:pPr>
        <w:ind w:left="260" w:hanging="144"/>
        <w:spacing w:after="0" w:line="216" w:lineRule="auto"/>
        <w:tabs>
          <w:tab w:leader="none" w:pos="2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insurance premiums and benefits including executive life and medical insurance of $10,328;</w:t>
      </w:r>
    </w:p>
    <w:p>
      <w:pPr>
        <w:ind w:left="300" w:hanging="184"/>
        <w:spacing w:after="0" w:line="216" w:lineRule="auto"/>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reimbursement of taxes related to work performed in Massachusetts of $290; and</w:t>
      </w:r>
    </w:p>
    <w:p>
      <w:pPr>
        <w:ind w:left="320" w:hanging="204"/>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matching contributions made under the Company’s §401(k) Plan, which is generally available to our eligible employees, of $8,700.</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31"/>
          <w:szCs w:val="31"/>
          <w:color w:val="auto"/>
        </w:rPr>
        <w:t>Discussion of summary compensation table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2021, each of the NEOs received a base salary in accordance with the terms of his or her employment agreement, as approved by the</w:t>
      </w:r>
    </w:p>
    <w:p>
      <w:pPr>
        <w:ind w:left="120"/>
        <w:spacing w:after="0"/>
        <w:rPr>
          <w:sz w:val="20"/>
          <w:szCs w:val="20"/>
          <w:color w:val="auto"/>
        </w:rPr>
      </w:pPr>
      <w:r>
        <w:rPr>
          <w:rFonts w:ascii="Arial" w:cs="Arial" w:eastAsia="Arial" w:hAnsi="Arial"/>
          <w:sz w:val="18"/>
          <w:szCs w:val="18"/>
          <w:color w:val="auto"/>
        </w:rPr>
        <w:t>Compensation Committee. Key terms of the agreements, as in effect on December 31, 2021, were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68"/>
        </w:trPr>
        <w:tc>
          <w:tcPr>
            <w:tcW w:w="7040" w:type="dxa"/>
            <w:vAlign w:val="bottom"/>
            <w:shd w:val="clear" w:color="auto" w:fill="FCFCF7"/>
          </w:tcPr>
          <w:p>
            <w:pPr>
              <w:spacing w:after="0"/>
              <w:rPr>
                <w:sz w:val="5"/>
                <w:szCs w:val="5"/>
                <w:color w:val="auto"/>
              </w:rPr>
            </w:pPr>
          </w:p>
        </w:tc>
        <w:tc>
          <w:tcPr>
            <w:tcW w:w="1500" w:type="dxa"/>
            <w:vAlign w:val="bottom"/>
            <w:shd w:val="clear" w:color="auto" w:fill="FCFCF7"/>
          </w:tcPr>
          <w:p>
            <w:pPr>
              <w:spacing w:after="0"/>
              <w:rPr>
                <w:sz w:val="5"/>
                <w:szCs w:val="5"/>
                <w:color w:val="auto"/>
              </w:rPr>
            </w:pPr>
          </w:p>
        </w:tc>
        <w:tc>
          <w:tcPr>
            <w:tcW w:w="780" w:type="dxa"/>
            <w:vAlign w:val="bottom"/>
            <w:shd w:val="clear" w:color="auto" w:fill="FCFCF7"/>
          </w:tcPr>
          <w:p>
            <w:pPr>
              <w:spacing w:after="0"/>
              <w:rPr>
                <w:sz w:val="5"/>
                <w:szCs w:val="5"/>
                <w:color w:val="auto"/>
              </w:rPr>
            </w:pPr>
          </w:p>
        </w:tc>
        <w:tc>
          <w:tcPr>
            <w:tcW w:w="500" w:type="dxa"/>
            <w:vAlign w:val="bottom"/>
            <w:shd w:val="clear" w:color="auto" w:fill="FCFCF7"/>
          </w:tcPr>
          <w:p>
            <w:pPr>
              <w:spacing w:after="0"/>
              <w:rPr>
                <w:sz w:val="5"/>
                <w:szCs w:val="5"/>
                <w:color w:val="auto"/>
              </w:rPr>
            </w:pPr>
          </w:p>
        </w:tc>
        <w:tc>
          <w:tcPr>
            <w:tcW w:w="1200" w:type="dxa"/>
            <w:vAlign w:val="bottom"/>
            <w:shd w:val="clear" w:color="auto" w:fill="FCFCF7"/>
          </w:tcPr>
          <w:p>
            <w:pPr>
              <w:spacing w:after="0"/>
              <w:rPr>
                <w:sz w:val="5"/>
                <w:szCs w:val="5"/>
                <w:color w:val="auto"/>
              </w:rPr>
            </w:pPr>
          </w:p>
        </w:tc>
      </w:tr>
      <w:tr>
        <w:trPr>
          <w:trHeight w:val="216"/>
        </w:trPr>
        <w:tc>
          <w:tcPr>
            <w:tcW w:w="7040" w:type="dxa"/>
            <w:vAlign w:val="bottom"/>
            <w:shd w:val="clear" w:color="auto" w:fill="E2E2D8"/>
          </w:tcPr>
          <w:p>
            <w:pPr>
              <w:ind w:left="60"/>
              <w:spacing w:after="0"/>
              <w:rPr>
                <w:sz w:val="20"/>
                <w:szCs w:val="20"/>
                <w:color w:val="auto"/>
              </w:rPr>
            </w:pPr>
            <w:r>
              <w:rPr>
                <w:rFonts w:ascii="Arial" w:cs="Arial" w:eastAsia="Arial" w:hAnsi="Arial"/>
                <w:sz w:val="13"/>
                <w:szCs w:val="13"/>
                <w:b w:val="1"/>
                <w:bCs w:val="1"/>
                <w:color w:val="auto"/>
              </w:rPr>
              <w:t>NAME EXECUTIVE OFFICER</w:t>
            </w:r>
          </w:p>
        </w:tc>
        <w:tc>
          <w:tcPr>
            <w:tcW w:w="2280" w:type="dxa"/>
            <w:vAlign w:val="bottom"/>
            <w:gridSpan w:val="2"/>
            <w:shd w:val="clear" w:color="auto" w:fill="E2E2D8"/>
          </w:tcPr>
          <w:p>
            <w:pPr>
              <w:jc w:val="right"/>
              <w:ind w:right="368"/>
              <w:spacing w:after="0"/>
              <w:rPr>
                <w:sz w:val="20"/>
                <w:szCs w:val="20"/>
                <w:color w:val="auto"/>
              </w:rPr>
            </w:pPr>
            <w:r>
              <w:rPr>
                <w:rFonts w:ascii="Arial" w:cs="Arial" w:eastAsia="Arial" w:hAnsi="Arial"/>
                <w:sz w:val="13"/>
                <w:szCs w:val="13"/>
                <w:b w:val="1"/>
                <w:bCs w:val="1"/>
                <w:color w:val="auto"/>
              </w:rPr>
              <w:t>CONTRACT EXPIRATION</w:t>
            </w:r>
          </w:p>
        </w:tc>
        <w:tc>
          <w:tcPr>
            <w:tcW w:w="500" w:type="dxa"/>
            <w:vAlign w:val="bottom"/>
            <w:shd w:val="clear" w:color="auto" w:fill="E2E2D8"/>
          </w:tcPr>
          <w:p>
            <w:pPr>
              <w:spacing w:after="0"/>
              <w:rPr>
                <w:sz w:val="18"/>
                <w:szCs w:val="18"/>
                <w:color w:val="auto"/>
              </w:rPr>
            </w:pPr>
          </w:p>
        </w:tc>
        <w:tc>
          <w:tcPr>
            <w:tcW w:w="1200" w:type="dxa"/>
            <w:vAlign w:val="bottom"/>
            <w:shd w:val="clear" w:color="auto" w:fill="E2E2D8"/>
          </w:tcPr>
          <w:p>
            <w:pPr>
              <w:jc w:val="right"/>
              <w:ind w:right="672"/>
              <w:spacing w:after="0"/>
              <w:rPr>
                <w:sz w:val="20"/>
                <w:szCs w:val="20"/>
                <w:color w:val="auto"/>
              </w:rPr>
            </w:pPr>
            <w:r>
              <w:rPr>
                <w:rFonts w:ascii="Arial" w:cs="Arial" w:eastAsia="Arial" w:hAnsi="Arial"/>
                <w:sz w:val="13"/>
                <w:szCs w:val="13"/>
                <w:b w:val="1"/>
                <w:bCs w:val="1"/>
                <w:color w:val="auto"/>
              </w:rPr>
              <w:t>BASE</w:t>
            </w:r>
          </w:p>
        </w:tc>
      </w:tr>
      <w:tr>
        <w:trPr>
          <w:trHeight w:val="169"/>
        </w:trPr>
        <w:tc>
          <w:tcPr>
            <w:tcW w:w="7040" w:type="dxa"/>
            <w:vAlign w:val="bottom"/>
            <w:tcBorders>
              <w:bottom w:val="single" w:sz="8" w:color="E2E2D8"/>
            </w:tcBorders>
            <w:shd w:val="clear" w:color="auto" w:fill="E2E2D8"/>
          </w:tcPr>
          <w:p>
            <w:pPr>
              <w:spacing w:after="0"/>
              <w:rPr>
                <w:sz w:val="14"/>
                <w:szCs w:val="14"/>
                <w:color w:val="auto"/>
              </w:rPr>
            </w:pPr>
          </w:p>
        </w:tc>
        <w:tc>
          <w:tcPr>
            <w:tcW w:w="1500" w:type="dxa"/>
            <w:vAlign w:val="bottom"/>
            <w:tcBorders>
              <w:bottom w:val="single" w:sz="8" w:color="E2E2D8"/>
            </w:tcBorders>
            <w:shd w:val="clear" w:color="auto" w:fill="E2E2D8"/>
          </w:tcPr>
          <w:p>
            <w:pPr>
              <w:spacing w:after="0"/>
              <w:rPr>
                <w:sz w:val="14"/>
                <w:szCs w:val="14"/>
                <w:color w:val="auto"/>
              </w:rPr>
            </w:pPr>
          </w:p>
        </w:tc>
        <w:tc>
          <w:tcPr>
            <w:tcW w:w="780" w:type="dxa"/>
            <w:vAlign w:val="bottom"/>
            <w:tcBorders>
              <w:bottom w:val="single" w:sz="8" w:color="E2E2D8"/>
            </w:tcBorders>
            <w:shd w:val="clear" w:color="auto" w:fill="E2E2D8"/>
          </w:tcPr>
          <w:p>
            <w:pPr>
              <w:spacing w:after="0"/>
              <w:rPr>
                <w:sz w:val="14"/>
                <w:szCs w:val="14"/>
                <w:color w:val="auto"/>
              </w:rPr>
            </w:pPr>
          </w:p>
        </w:tc>
        <w:tc>
          <w:tcPr>
            <w:tcW w:w="500" w:type="dxa"/>
            <w:vAlign w:val="bottom"/>
            <w:tcBorders>
              <w:bottom w:val="single" w:sz="8" w:color="E2E2D8"/>
            </w:tcBorders>
            <w:shd w:val="clear" w:color="auto" w:fill="E2E2D8"/>
          </w:tcPr>
          <w:p>
            <w:pPr>
              <w:spacing w:after="0"/>
              <w:rPr>
                <w:sz w:val="14"/>
                <w:szCs w:val="14"/>
                <w:color w:val="auto"/>
              </w:rPr>
            </w:pPr>
          </w:p>
        </w:tc>
        <w:tc>
          <w:tcPr>
            <w:tcW w:w="1200" w:type="dxa"/>
            <w:vAlign w:val="bottom"/>
            <w:tcBorders>
              <w:bottom w:val="single" w:sz="8" w:color="E2E2D8"/>
            </w:tcBorders>
            <w:shd w:val="clear" w:color="auto" w:fill="E2E2D8"/>
          </w:tcPr>
          <w:p>
            <w:pPr>
              <w:jc w:val="right"/>
              <w:ind w:right="592"/>
              <w:spacing w:after="0"/>
              <w:rPr>
                <w:sz w:val="20"/>
                <w:szCs w:val="20"/>
                <w:color w:val="auto"/>
              </w:rPr>
            </w:pPr>
            <w:r>
              <w:rPr>
                <w:rFonts w:ascii="Arial" w:cs="Arial" w:eastAsia="Arial" w:hAnsi="Arial"/>
                <w:sz w:val="13"/>
                <w:szCs w:val="13"/>
                <w:b w:val="1"/>
                <w:bCs w:val="1"/>
                <w:color w:val="auto"/>
                <w:w w:val="97"/>
              </w:rPr>
              <w:t>SALARY</w:t>
            </w:r>
          </w:p>
        </w:tc>
      </w:tr>
      <w:tr>
        <w:trPr>
          <w:trHeight w:val="277"/>
        </w:trPr>
        <w:tc>
          <w:tcPr>
            <w:tcW w:w="7040" w:type="dxa"/>
            <w:vAlign w:val="bottom"/>
            <w:tcBorders>
              <w:bottom w:val="single" w:sz="8" w:color="EAEFF9"/>
            </w:tcBorders>
            <w:shd w:val="clear" w:color="auto" w:fill="EAEFF9"/>
          </w:tcPr>
          <w:p>
            <w:pPr>
              <w:ind w:left="60"/>
              <w:spacing w:after="0"/>
              <w:rPr>
                <w:sz w:val="20"/>
                <w:szCs w:val="20"/>
                <w:color w:val="auto"/>
              </w:rPr>
            </w:pPr>
            <w:r>
              <w:rPr>
                <w:rFonts w:ascii="Arial" w:cs="Arial" w:eastAsia="Arial" w:hAnsi="Arial"/>
                <w:sz w:val="13"/>
                <w:szCs w:val="13"/>
                <w:b w:val="1"/>
                <w:bCs w:val="1"/>
                <w:color w:val="auto"/>
              </w:rPr>
              <w:t>MATT MADDOX (1)</w:t>
            </w:r>
          </w:p>
        </w:tc>
        <w:tc>
          <w:tcPr>
            <w:tcW w:w="2280" w:type="dxa"/>
            <w:vAlign w:val="bottom"/>
            <w:tcBorders>
              <w:bottom w:val="single" w:sz="8" w:color="EAEFF9"/>
            </w:tcBorders>
            <w:gridSpan w:val="2"/>
            <w:shd w:val="clear" w:color="auto" w:fill="EAEFF9"/>
          </w:tcPr>
          <w:p>
            <w:pPr>
              <w:jc w:val="right"/>
              <w:ind w:right="368"/>
              <w:spacing w:after="0"/>
              <w:rPr>
                <w:sz w:val="20"/>
                <w:szCs w:val="20"/>
                <w:color w:val="auto"/>
              </w:rPr>
            </w:pPr>
            <w:r>
              <w:rPr>
                <w:rFonts w:ascii="Arial" w:cs="Arial" w:eastAsia="Arial" w:hAnsi="Arial"/>
                <w:sz w:val="14"/>
                <w:szCs w:val="14"/>
                <w:color w:val="auto"/>
              </w:rPr>
              <w:t>January 31, 2022</w:t>
            </w:r>
          </w:p>
        </w:tc>
        <w:tc>
          <w:tcPr>
            <w:tcW w:w="500" w:type="dxa"/>
            <w:vAlign w:val="bottom"/>
            <w:tcBorders>
              <w:bottom w:val="single" w:sz="8" w:color="EAEFF9"/>
            </w:tcBorders>
            <w:shd w:val="clear" w:color="auto" w:fill="EAEFF9"/>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AEFF9"/>
            </w:tcBorders>
            <w:shd w:val="clear" w:color="auto" w:fill="EAEFF9"/>
          </w:tcPr>
          <w:p>
            <w:pPr>
              <w:jc w:val="right"/>
              <w:ind w:right="472"/>
              <w:spacing w:after="0"/>
              <w:rPr>
                <w:sz w:val="20"/>
                <w:szCs w:val="20"/>
                <w:color w:val="auto"/>
              </w:rPr>
            </w:pPr>
            <w:r>
              <w:rPr>
                <w:rFonts w:ascii="Arial" w:cs="Arial" w:eastAsia="Arial" w:hAnsi="Arial"/>
                <w:sz w:val="14"/>
                <w:szCs w:val="14"/>
                <w:color w:val="auto"/>
              </w:rPr>
              <w:t>2,000,000</w:t>
            </w:r>
          </w:p>
        </w:tc>
      </w:tr>
      <w:tr>
        <w:trPr>
          <w:trHeight w:val="277"/>
        </w:trPr>
        <w:tc>
          <w:tcPr>
            <w:tcW w:w="7040" w:type="dxa"/>
            <w:vAlign w:val="bottom"/>
            <w:tcBorders>
              <w:bottom w:val="single" w:sz="8" w:color="E2E2D8"/>
            </w:tcBorders>
            <w:shd w:val="clear" w:color="auto" w:fill="E2E2D8"/>
          </w:tcPr>
          <w:p>
            <w:pPr>
              <w:ind w:left="60"/>
              <w:spacing w:after="0"/>
              <w:rPr>
                <w:sz w:val="20"/>
                <w:szCs w:val="20"/>
                <w:color w:val="auto"/>
              </w:rPr>
            </w:pPr>
            <w:r>
              <w:rPr>
                <w:rFonts w:ascii="Arial" w:cs="Arial" w:eastAsia="Arial" w:hAnsi="Arial"/>
                <w:sz w:val="13"/>
                <w:szCs w:val="13"/>
                <w:b w:val="1"/>
                <w:bCs w:val="1"/>
                <w:color w:val="auto"/>
              </w:rPr>
              <w:t>CRAIG BILLINGS (2)</w:t>
            </w:r>
          </w:p>
        </w:tc>
        <w:tc>
          <w:tcPr>
            <w:tcW w:w="1500" w:type="dxa"/>
            <w:vAlign w:val="bottom"/>
            <w:tcBorders>
              <w:bottom w:val="single" w:sz="8" w:color="E2E2D8"/>
            </w:tcBorders>
            <w:shd w:val="clear" w:color="auto" w:fill="E2E2D8"/>
          </w:tcPr>
          <w:p>
            <w:pPr>
              <w:jc w:val="right"/>
              <w:spacing w:after="0"/>
              <w:rPr>
                <w:sz w:val="20"/>
                <w:szCs w:val="20"/>
                <w:color w:val="auto"/>
              </w:rPr>
            </w:pPr>
            <w:r>
              <w:rPr>
                <w:rFonts w:ascii="Arial" w:cs="Arial" w:eastAsia="Arial" w:hAnsi="Arial"/>
                <w:sz w:val="14"/>
                <w:szCs w:val="14"/>
                <w:color w:val="auto"/>
              </w:rPr>
              <w:t>February 15,</w:t>
            </w:r>
          </w:p>
        </w:tc>
        <w:tc>
          <w:tcPr>
            <w:tcW w:w="780" w:type="dxa"/>
            <w:vAlign w:val="bottom"/>
            <w:tcBorders>
              <w:bottom w:val="single" w:sz="8" w:color="E2E2D8"/>
            </w:tcBorders>
            <w:shd w:val="clear" w:color="auto" w:fill="E2E2D8"/>
          </w:tcPr>
          <w:p>
            <w:pPr>
              <w:jc w:val="right"/>
              <w:ind w:right="368"/>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E2E2D8"/>
            </w:tcBorders>
            <w:shd w:val="clear" w:color="auto" w:fill="E2E2D8"/>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2E2D8"/>
            </w:tcBorders>
            <w:shd w:val="clear" w:color="auto" w:fill="E2E2D8"/>
          </w:tcPr>
          <w:p>
            <w:pPr>
              <w:jc w:val="right"/>
              <w:ind w:right="472"/>
              <w:spacing w:after="0"/>
              <w:rPr>
                <w:sz w:val="20"/>
                <w:szCs w:val="20"/>
                <w:color w:val="auto"/>
              </w:rPr>
            </w:pPr>
            <w:r>
              <w:rPr>
                <w:rFonts w:ascii="Arial" w:cs="Arial" w:eastAsia="Arial" w:hAnsi="Arial"/>
                <w:sz w:val="14"/>
                <w:szCs w:val="14"/>
                <w:color w:val="auto"/>
              </w:rPr>
              <w:t>1,200,000</w:t>
            </w:r>
          </w:p>
        </w:tc>
      </w:tr>
      <w:tr>
        <w:trPr>
          <w:trHeight w:val="244"/>
        </w:trPr>
        <w:tc>
          <w:tcPr>
            <w:tcW w:w="7040" w:type="dxa"/>
            <w:vAlign w:val="bottom"/>
            <w:shd w:val="clear" w:color="auto" w:fill="EAEFF9"/>
          </w:tcPr>
          <w:p>
            <w:pPr>
              <w:ind w:left="60"/>
              <w:spacing w:after="0"/>
              <w:rPr>
                <w:sz w:val="20"/>
                <w:szCs w:val="20"/>
                <w:color w:val="auto"/>
              </w:rPr>
            </w:pPr>
            <w:r>
              <w:rPr>
                <w:rFonts w:ascii="Arial" w:cs="Arial" w:eastAsia="Arial" w:hAnsi="Arial"/>
                <w:sz w:val="13"/>
                <w:szCs w:val="13"/>
                <w:b w:val="1"/>
                <w:bCs w:val="1"/>
                <w:color w:val="auto"/>
              </w:rPr>
              <w:t>ELLEN F. WHITTEMORE (3)</w:t>
            </w:r>
          </w:p>
        </w:tc>
        <w:tc>
          <w:tcPr>
            <w:tcW w:w="1500" w:type="dxa"/>
            <w:vAlign w:val="bottom"/>
            <w:shd w:val="clear" w:color="auto" w:fill="EAEFF9"/>
          </w:tcPr>
          <w:p>
            <w:pPr>
              <w:jc w:val="right"/>
              <w:spacing w:after="0"/>
              <w:rPr>
                <w:sz w:val="20"/>
                <w:szCs w:val="20"/>
                <w:color w:val="auto"/>
              </w:rPr>
            </w:pPr>
            <w:r>
              <w:rPr>
                <w:rFonts w:ascii="Arial" w:cs="Arial" w:eastAsia="Arial" w:hAnsi="Arial"/>
                <w:sz w:val="14"/>
                <w:szCs w:val="14"/>
                <w:color w:val="auto"/>
              </w:rPr>
              <w:t>July 16,</w:t>
            </w:r>
          </w:p>
        </w:tc>
        <w:tc>
          <w:tcPr>
            <w:tcW w:w="780" w:type="dxa"/>
            <w:vAlign w:val="bottom"/>
            <w:shd w:val="clear" w:color="auto" w:fill="EAEFF9"/>
          </w:tcPr>
          <w:p>
            <w:pPr>
              <w:jc w:val="right"/>
              <w:ind w:right="368"/>
              <w:spacing w:after="0"/>
              <w:rPr>
                <w:sz w:val="20"/>
                <w:szCs w:val="20"/>
                <w:color w:val="auto"/>
              </w:rPr>
            </w:pPr>
            <w:r>
              <w:rPr>
                <w:rFonts w:ascii="Arial" w:cs="Arial" w:eastAsia="Arial" w:hAnsi="Arial"/>
                <w:sz w:val="14"/>
                <w:szCs w:val="14"/>
                <w:color w:val="auto"/>
              </w:rPr>
              <w:t>2022</w:t>
            </w:r>
          </w:p>
        </w:tc>
        <w:tc>
          <w:tcPr>
            <w:tcW w:w="500" w:type="dxa"/>
            <w:vAlign w:val="bottom"/>
            <w:shd w:val="clear" w:color="auto" w:fill="EAEFF9"/>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AEFF9"/>
          </w:tcPr>
          <w:p>
            <w:pPr>
              <w:jc w:val="right"/>
              <w:ind w:right="472"/>
              <w:spacing w:after="0"/>
              <w:rPr>
                <w:sz w:val="20"/>
                <w:szCs w:val="20"/>
                <w:color w:val="auto"/>
              </w:rPr>
            </w:pPr>
            <w:r>
              <w:rPr>
                <w:rFonts w:ascii="Arial" w:cs="Arial" w:eastAsia="Arial" w:hAnsi="Arial"/>
                <w:sz w:val="14"/>
                <w:szCs w:val="14"/>
                <w:color w:val="auto"/>
              </w:rPr>
              <w:t>700,000</w:t>
            </w:r>
          </w:p>
        </w:tc>
      </w:tr>
      <w:tr>
        <w:trPr>
          <w:trHeight w:val="53"/>
        </w:trPr>
        <w:tc>
          <w:tcPr>
            <w:tcW w:w="7040" w:type="dxa"/>
            <w:vAlign w:val="bottom"/>
            <w:shd w:val="clear" w:color="auto" w:fill="EAEFF9"/>
          </w:tcPr>
          <w:p>
            <w:pPr>
              <w:spacing w:after="0"/>
              <w:rPr>
                <w:sz w:val="4"/>
                <w:szCs w:val="4"/>
                <w:color w:val="auto"/>
              </w:rPr>
            </w:pPr>
          </w:p>
        </w:tc>
        <w:tc>
          <w:tcPr>
            <w:tcW w:w="1500" w:type="dxa"/>
            <w:vAlign w:val="bottom"/>
            <w:shd w:val="clear" w:color="auto" w:fill="EAEFF9"/>
          </w:tcPr>
          <w:p>
            <w:pPr>
              <w:spacing w:after="0"/>
              <w:rPr>
                <w:sz w:val="4"/>
                <w:szCs w:val="4"/>
                <w:color w:val="auto"/>
              </w:rPr>
            </w:pPr>
          </w:p>
        </w:tc>
        <w:tc>
          <w:tcPr>
            <w:tcW w:w="780" w:type="dxa"/>
            <w:vAlign w:val="bottom"/>
            <w:shd w:val="clear" w:color="auto" w:fill="EAEFF9"/>
          </w:tcPr>
          <w:p>
            <w:pPr>
              <w:spacing w:after="0"/>
              <w:rPr>
                <w:sz w:val="4"/>
                <w:szCs w:val="4"/>
                <w:color w:val="auto"/>
              </w:rPr>
            </w:pPr>
          </w:p>
        </w:tc>
        <w:tc>
          <w:tcPr>
            <w:tcW w:w="500" w:type="dxa"/>
            <w:vAlign w:val="bottom"/>
            <w:shd w:val="clear" w:color="auto" w:fill="EAEFF9"/>
          </w:tcPr>
          <w:p>
            <w:pPr>
              <w:spacing w:after="0"/>
              <w:rPr>
                <w:sz w:val="4"/>
                <w:szCs w:val="4"/>
                <w:color w:val="auto"/>
              </w:rPr>
            </w:pPr>
          </w:p>
        </w:tc>
        <w:tc>
          <w:tcPr>
            <w:tcW w:w="1200" w:type="dxa"/>
            <w:vAlign w:val="bottom"/>
            <w:shd w:val="clear" w:color="auto" w:fill="EAEFF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-822325</wp:posOffset>
            </wp:positionV>
            <wp:extent cx="6995160" cy="8229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2960"/>
                    </a:xfrm>
                    <a:prstGeom prst="rect">
                      <a:avLst/>
                    </a:prstGeom>
                    <a:noFill/>
                  </pic:spPr>
                </pic:pic>
              </a:graphicData>
            </a:graphic>
          </wp:anchor>
        </w:drawing>
      </w:r>
    </w:p>
    <w:p>
      <w:pPr>
        <w:spacing w:after="0" w:line="82" w:lineRule="exact"/>
        <w:rPr>
          <w:sz w:val="20"/>
          <w:szCs w:val="20"/>
          <w:color w:val="auto"/>
        </w:rPr>
      </w:pPr>
    </w:p>
    <w:p>
      <w:pPr>
        <w:ind w:left="120" w:right="80" w:hanging="4"/>
        <w:spacing w:after="0" w:line="223" w:lineRule="auto"/>
        <w:tabs>
          <w:tab w:leader="none" w:pos="309"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November 9, 2021, the Company entered into an agreement with Mr. Maddox (the “Maddox Agreement”) to finalize the term of his transition and departure. The Maddox Agreement terminates Mr. Maddox’s existing employment agreement with the Company as of January 31, 2022 and provides that through January 31, 2022, Mr. Maddox will continue to serve as a Director and as the CEO of the Company, and he will continue to receive compensation per the terms of his existing employment agreement. In addition, Mr. Maddox will continue to serve as a non-executive director of Wynn Macau, Limited and Wynn Interactive, Limited through December 31, 2022.</w:t>
      </w:r>
    </w:p>
    <w:p>
      <w:pPr>
        <w:spacing w:after="0" w:line="92" w:lineRule="exact"/>
        <w:rPr>
          <w:rFonts w:ascii="Arial" w:cs="Arial" w:eastAsia="Arial" w:hAnsi="Arial"/>
          <w:sz w:val="13"/>
          <w:szCs w:val="13"/>
          <w:color w:val="auto"/>
        </w:rPr>
      </w:pPr>
    </w:p>
    <w:p>
      <w:pPr>
        <w:ind w:left="120" w:right="220" w:hanging="4"/>
        <w:spacing w:after="0" w:line="230" w:lineRule="auto"/>
        <w:tabs>
          <w:tab w:leader="none" w:pos="309"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November 9, 2021, the Company entered into an agreement with Mr. Billings (the “Billings Agreement”). Mr. Billings will become CEO of the Company and a member of the Board effective February 1, 2022, at which time Mr. Billings’ base salary will increase to $1.8 million per year.</w:t>
      </w:r>
    </w:p>
    <w:p>
      <w:pPr>
        <w:spacing w:after="0" w:line="91" w:lineRule="exact"/>
        <w:rPr>
          <w:rFonts w:ascii="Arial" w:cs="Arial" w:eastAsia="Arial" w:hAnsi="Arial"/>
          <w:sz w:val="13"/>
          <w:szCs w:val="13"/>
          <w:color w:val="auto"/>
        </w:rPr>
      </w:pPr>
    </w:p>
    <w:p>
      <w:pPr>
        <w:ind w:left="120" w:right="700" w:hanging="4"/>
        <w:spacing w:after="0" w:line="230" w:lineRule="auto"/>
        <w:tabs>
          <w:tab w:leader="none" w:pos="309"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January 12, 2022, the Company entered into an agreement with Ms. Whittemore (the “Whittemore Agreement”). The Whittemore Agreement extends the term of Ms. Whittemore’s employment to January 31, 2025 and provides for a base salary of $900,000 per year.</w:t>
      </w:r>
    </w:p>
    <w:p>
      <w:pPr>
        <w:spacing w:after="0" w:line="20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Each of the employment agreements provides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3"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48 //</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2021 Grants of plan-based awards table</w:t>
      </w:r>
    </w:p>
    <w:p>
      <w:pPr>
        <w:spacing w:after="0" w:line="2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Omnibus Plan rewards management for creation of superior return to shareholders, measured by the operating performance of our resorts. The amounts shown in the table below reflect potential payments and/or values of the awards, as required under Regulation S-K. Actual payouts are reflected in the “Stock Awards” and “Non-Equity Incentive Plan Compensation” columns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147955</wp:posOffset>
            </wp:positionV>
            <wp:extent cx="3360420" cy="19716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0420" cy="1971675"/>
                    </a:xfrm>
                    <a:prstGeom prst="rect">
                      <a:avLst/>
                    </a:prstGeom>
                    <a:noFill/>
                  </pic:spPr>
                </pic:pic>
              </a:graphicData>
            </a:graphic>
          </wp:anchor>
        </w:drawing>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45"/>
        </w:trPr>
        <w:tc>
          <w:tcPr>
            <w:tcW w:w="5720" w:type="dxa"/>
            <w:vAlign w:val="bottom"/>
            <w:shd w:val="clear" w:color="auto" w:fill="E2E2D8"/>
          </w:tcPr>
          <w:p>
            <w:pPr>
              <w:spacing w:after="0"/>
              <w:rPr>
                <w:sz w:val="12"/>
                <w:szCs w:val="12"/>
                <w:color w:val="auto"/>
              </w:rPr>
            </w:pPr>
          </w:p>
        </w:tc>
        <w:tc>
          <w:tcPr>
            <w:tcW w:w="860" w:type="dxa"/>
            <w:vAlign w:val="bottom"/>
            <w:shd w:val="clear" w:color="auto" w:fill="E2E2D8"/>
          </w:tcPr>
          <w:p>
            <w:pPr>
              <w:spacing w:after="0"/>
              <w:rPr>
                <w:sz w:val="12"/>
                <w:szCs w:val="12"/>
                <w:color w:val="auto"/>
              </w:rPr>
            </w:pPr>
          </w:p>
        </w:tc>
        <w:tc>
          <w:tcPr>
            <w:tcW w:w="40" w:type="dxa"/>
            <w:vAlign w:val="bottom"/>
            <w:shd w:val="clear" w:color="auto" w:fill="E2E2D8"/>
          </w:tcPr>
          <w:p>
            <w:pPr>
              <w:spacing w:after="0"/>
              <w:rPr>
                <w:sz w:val="12"/>
                <w:szCs w:val="12"/>
                <w:color w:val="auto"/>
              </w:rPr>
            </w:pPr>
          </w:p>
        </w:tc>
        <w:tc>
          <w:tcPr>
            <w:tcW w:w="2620" w:type="dxa"/>
            <w:vAlign w:val="bottom"/>
            <w:gridSpan w:val="3"/>
            <w:vMerge w:val="restart"/>
            <w:shd w:val="clear" w:color="auto" w:fill="E2E2D8"/>
          </w:tcPr>
          <w:p>
            <w:pPr>
              <w:jc w:val="center"/>
              <w:ind w:right="46"/>
              <w:spacing w:after="0"/>
              <w:rPr>
                <w:sz w:val="20"/>
                <w:szCs w:val="20"/>
                <w:color w:val="auto"/>
              </w:rPr>
            </w:pPr>
            <w:r>
              <w:rPr>
                <w:rFonts w:ascii="Arial" w:cs="Arial" w:eastAsia="Arial" w:hAnsi="Arial"/>
                <w:sz w:val="11"/>
                <w:szCs w:val="11"/>
                <w:color w:val="auto"/>
                <w:w w:val="96"/>
              </w:rPr>
              <w:t>ESTIMATED FUTURE PAYOUTS</w:t>
            </w:r>
          </w:p>
        </w:tc>
        <w:tc>
          <w:tcPr>
            <w:tcW w:w="780" w:type="dxa"/>
            <w:vAlign w:val="bottom"/>
            <w:shd w:val="clear" w:color="auto" w:fill="E2E2D8"/>
          </w:tcPr>
          <w:p>
            <w:pPr>
              <w:jc w:val="center"/>
              <w:spacing w:after="0"/>
              <w:rPr>
                <w:sz w:val="20"/>
                <w:szCs w:val="20"/>
                <w:color w:val="auto"/>
              </w:rPr>
            </w:pPr>
            <w:r>
              <w:rPr>
                <w:rFonts w:ascii="Arial" w:cs="Arial" w:eastAsia="Arial" w:hAnsi="Arial"/>
                <w:sz w:val="11"/>
                <w:szCs w:val="11"/>
                <w:color w:val="auto"/>
                <w:w w:val="98"/>
              </w:rPr>
              <w:t>ALL OTHER</w:t>
            </w:r>
          </w:p>
        </w:tc>
        <w:tc>
          <w:tcPr>
            <w:tcW w:w="1000" w:type="dxa"/>
            <w:vAlign w:val="bottom"/>
            <w:shd w:val="clear" w:color="auto" w:fill="E2E2D8"/>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720" w:type="dxa"/>
            <w:vAlign w:val="bottom"/>
            <w:shd w:val="clear" w:color="auto" w:fill="E2E2D8"/>
          </w:tcPr>
          <w:p>
            <w:pPr>
              <w:spacing w:after="0"/>
              <w:rPr>
                <w:sz w:val="5"/>
                <w:szCs w:val="5"/>
                <w:color w:val="auto"/>
              </w:rPr>
            </w:pPr>
          </w:p>
        </w:tc>
        <w:tc>
          <w:tcPr>
            <w:tcW w:w="860" w:type="dxa"/>
            <w:vAlign w:val="bottom"/>
            <w:shd w:val="clear" w:color="auto" w:fill="E2E2D8"/>
          </w:tcPr>
          <w:p>
            <w:pPr>
              <w:spacing w:after="0"/>
              <w:rPr>
                <w:sz w:val="5"/>
                <w:szCs w:val="5"/>
                <w:color w:val="auto"/>
              </w:rPr>
            </w:pPr>
          </w:p>
        </w:tc>
        <w:tc>
          <w:tcPr>
            <w:tcW w:w="40" w:type="dxa"/>
            <w:vAlign w:val="bottom"/>
            <w:shd w:val="clear" w:color="auto" w:fill="E2E2D8"/>
          </w:tcPr>
          <w:p>
            <w:pPr>
              <w:spacing w:after="0"/>
              <w:rPr>
                <w:sz w:val="5"/>
                <w:szCs w:val="5"/>
                <w:color w:val="auto"/>
              </w:rPr>
            </w:pPr>
          </w:p>
        </w:tc>
        <w:tc>
          <w:tcPr>
            <w:tcW w:w="2620" w:type="dxa"/>
            <w:vAlign w:val="bottom"/>
            <w:gridSpan w:val="3"/>
            <w:vMerge w:val="continue"/>
            <w:shd w:val="clear" w:color="auto" w:fill="E2E2D8"/>
          </w:tcPr>
          <w:p>
            <w:pPr>
              <w:spacing w:after="0"/>
              <w:rPr>
                <w:sz w:val="5"/>
                <w:szCs w:val="5"/>
                <w:color w:val="auto"/>
              </w:rPr>
            </w:pPr>
          </w:p>
        </w:tc>
        <w:tc>
          <w:tcPr>
            <w:tcW w:w="78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4"/>
              </w:rPr>
              <w:t>STOCK</w:t>
            </w:r>
          </w:p>
        </w:tc>
        <w:tc>
          <w:tcPr>
            <w:tcW w:w="10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5"/>
              </w:rPr>
              <w:t>GRANT DATE</w:t>
            </w:r>
          </w:p>
        </w:tc>
        <w:tc>
          <w:tcPr>
            <w:tcW w:w="0" w:type="dxa"/>
            <w:vAlign w:val="bottom"/>
          </w:tcPr>
          <w:p>
            <w:pPr>
              <w:spacing w:after="0"/>
              <w:rPr>
                <w:sz w:val="1"/>
                <w:szCs w:val="1"/>
                <w:color w:val="auto"/>
              </w:rPr>
            </w:pPr>
          </w:p>
        </w:tc>
      </w:tr>
      <w:tr>
        <w:trPr>
          <w:trHeight w:val="54"/>
        </w:trPr>
        <w:tc>
          <w:tcPr>
            <w:tcW w:w="5720" w:type="dxa"/>
            <w:vAlign w:val="bottom"/>
            <w:shd w:val="clear" w:color="auto" w:fill="E2E2D8"/>
          </w:tcPr>
          <w:p>
            <w:pPr>
              <w:spacing w:after="0"/>
              <w:rPr>
                <w:sz w:val="4"/>
                <w:szCs w:val="4"/>
                <w:color w:val="auto"/>
              </w:rPr>
            </w:pPr>
          </w:p>
        </w:tc>
        <w:tc>
          <w:tcPr>
            <w:tcW w:w="860" w:type="dxa"/>
            <w:vAlign w:val="bottom"/>
            <w:shd w:val="clear" w:color="auto" w:fill="E2E2D8"/>
          </w:tcPr>
          <w:p>
            <w:pPr>
              <w:spacing w:after="0"/>
              <w:rPr>
                <w:sz w:val="4"/>
                <w:szCs w:val="4"/>
                <w:color w:val="auto"/>
              </w:rPr>
            </w:pPr>
          </w:p>
        </w:tc>
        <w:tc>
          <w:tcPr>
            <w:tcW w:w="40" w:type="dxa"/>
            <w:vAlign w:val="bottom"/>
            <w:shd w:val="clear" w:color="auto" w:fill="E2E2D8"/>
          </w:tcPr>
          <w:p>
            <w:pPr>
              <w:spacing w:after="0"/>
              <w:rPr>
                <w:sz w:val="4"/>
                <w:szCs w:val="4"/>
                <w:color w:val="auto"/>
              </w:rPr>
            </w:pPr>
          </w:p>
        </w:tc>
        <w:tc>
          <w:tcPr>
            <w:tcW w:w="2620" w:type="dxa"/>
            <w:vAlign w:val="bottom"/>
            <w:gridSpan w:val="3"/>
            <w:vMerge w:val="restart"/>
            <w:shd w:val="clear" w:color="auto" w:fill="E2E2D8"/>
          </w:tcPr>
          <w:p>
            <w:pPr>
              <w:jc w:val="center"/>
              <w:ind w:right="46"/>
              <w:spacing w:after="0" w:line="122" w:lineRule="exact"/>
              <w:rPr>
                <w:sz w:val="20"/>
                <w:szCs w:val="20"/>
                <w:color w:val="auto"/>
              </w:rPr>
            </w:pPr>
            <w:r>
              <w:rPr>
                <w:rFonts w:ascii="Arial" w:cs="Arial" w:eastAsia="Arial" w:hAnsi="Arial"/>
                <w:sz w:val="11"/>
                <w:szCs w:val="11"/>
                <w:color w:val="auto"/>
                <w:w w:val="97"/>
              </w:rPr>
              <w:t>UNDER NON-EQUITY INCENTIVE PLAN</w:t>
            </w:r>
          </w:p>
        </w:tc>
        <w:tc>
          <w:tcPr>
            <w:tcW w:w="780" w:type="dxa"/>
            <w:vAlign w:val="bottom"/>
            <w:vMerge w:val="continue"/>
            <w:shd w:val="clear" w:color="auto" w:fill="E2E2D8"/>
          </w:tcPr>
          <w:p>
            <w:pPr>
              <w:spacing w:after="0"/>
              <w:rPr>
                <w:sz w:val="4"/>
                <w:szCs w:val="4"/>
                <w:color w:val="auto"/>
              </w:rPr>
            </w:pPr>
          </w:p>
        </w:tc>
        <w:tc>
          <w:tcPr>
            <w:tcW w:w="1000" w:type="dxa"/>
            <w:vAlign w:val="bottom"/>
            <w:vMerge w:val="continue"/>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720" w:type="dxa"/>
            <w:vAlign w:val="bottom"/>
            <w:shd w:val="clear" w:color="auto" w:fill="E2E2D8"/>
          </w:tcPr>
          <w:p>
            <w:pPr>
              <w:spacing w:after="0"/>
              <w:rPr>
                <w:sz w:val="5"/>
                <w:szCs w:val="5"/>
                <w:color w:val="auto"/>
              </w:rPr>
            </w:pPr>
          </w:p>
        </w:tc>
        <w:tc>
          <w:tcPr>
            <w:tcW w:w="860" w:type="dxa"/>
            <w:vAlign w:val="bottom"/>
            <w:shd w:val="clear" w:color="auto" w:fill="E2E2D8"/>
          </w:tcPr>
          <w:p>
            <w:pPr>
              <w:spacing w:after="0"/>
              <w:rPr>
                <w:sz w:val="5"/>
                <w:szCs w:val="5"/>
                <w:color w:val="auto"/>
              </w:rPr>
            </w:pPr>
          </w:p>
        </w:tc>
        <w:tc>
          <w:tcPr>
            <w:tcW w:w="40" w:type="dxa"/>
            <w:vAlign w:val="bottom"/>
            <w:shd w:val="clear" w:color="auto" w:fill="E2E2D8"/>
          </w:tcPr>
          <w:p>
            <w:pPr>
              <w:spacing w:after="0"/>
              <w:rPr>
                <w:sz w:val="5"/>
                <w:szCs w:val="5"/>
                <w:color w:val="auto"/>
              </w:rPr>
            </w:pPr>
          </w:p>
        </w:tc>
        <w:tc>
          <w:tcPr>
            <w:tcW w:w="2620" w:type="dxa"/>
            <w:vAlign w:val="bottom"/>
            <w:gridSpan w:val="3"/>
            <w:vMerge w:val="continue"/>
            <w:shd w:val="clear" w:color="auto" w:fill="E2E2D8"/>
          </w:tcPr>
          <w:p>
            <w:pPr>
              <w:spacing w:after="0"/>
              <w:rPr>
                <w:sz w:val="5"/>
                <w:szCs w:val="5"/>
                <w:color w:val="auto"/>
              </w:rPr>
            </w:pPr>
          </w:p>
        </w:tc>
        <w:tc>
          <w:tcPr>
            <w:tcW w:w="78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3"/>
              </w:rPr>
              <w:t>AWARDS:</w:t>
            </w:r>
          </w:p>
        </w:tc>
        <w:tc>
          <w:tcPr>
            <w:tcW w:w="10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6"/>
              </w:rPr>
              <w:t>FAIR VALUE</w:t>
            </w:r>
          </w:p>
        </w:tc>
        <w:tc>
          <w:tcPr>
            <w:tcW w:w="0" w:type="dxa"/>
            <w:vAlign w:val="bottom"/>
          </w:tcPr>
          <w:p>
            <w:pPr>
              <w:spacing w:after="0"/>
              <w:rPr>
                <w:sz w:val="1"/>
                <w:szCs w:val="1"/>
                <w:color w:val="auto"/>
              </w:rPr>
            </w:pPr>
          </w:p>
        </w:tc>
      </w:tr>
      <w:tr>
        <w:trPr>
          <w:trHeight w:val="54"/>
        </w:trPr>
        <w:tc>
          <w:tcPr>
            <w:tcW w:w="5720" w:type="dxa"/>
            <w:vAlign w:val="bottom"/>
            <w:shd w:val="clear" w:color="auto" w:fill="E2E2D8"/>
          </w:tcPr>
          <w:p>
            <w:pPr>
              <w:spacing w:after="0"/>
              <w:rPr>
                <w:sz w:val="4"/>
                <w:szCs w:val="4"/>
                <w:color w:val="auto"/>
              </w:rPr>
            </w:pPr>
          </w:p>
        </w:tc>
        <w:tc>
          <w:tcPr>
            <w:tcW w:w="860" w:type="dxa"/>
            <w:vAlign w:val="bottom"/>
            <w:shd w:val="clear" w:color="auto" w:fill="E2E2D8"/>
          </w:tcPr>
          <w:p>
            <w:pPr>
              <w:spacing w:after="0"/>
              <w:rPr>
                <w:sz w:val="4"/>
                <w:szCs w:val="4"/>
                <w:color w:val="auto"/>
              </w:rPr>
            </w:pPr>
          </w:p>
        </w:tc>
        <w:tc>
          <w:tcPr>
            <w:tcW w:w="40" w:type="dxa"/>
            <w:vAlign w:val="bottom"/>
            <w:shd w:val="clear" w:color="auto" w:fill="E2E2D8"/>
          </w:tcPr>
          <w:p>
            <w:pPr>
              <w:spacing w:after="0"/>
              <w:rPr>
                <w:sz w:val="4"/>
                <w:szCs w:val="4"/>
                <w:color w:val="auto"/>
              </w:rPr>
            </w:pPr>
          </w:p>
        </w:tc>
        <w:tc>
          <w:tcPr>
            <w:tcW w:w="780" w:type="dxa"/>
            <w:vAlign w:val="bottom"/>
            <w:shd w:val="clear" w:color="auto" w:fill="E2E2D8"/>
          </w:tcPr>
          <w:p>
            <w:pPr>
              <w:spacing w:after="0"/>
              <w:rPr>
                <w:sz w:val="4"/>
                <w:szCs w:val="4"/>
                <w:color w:val="auto"/>
              </w:rPr>
            </w:pPr>
          </w:p>
        </w:tc>
        <w:tc>
          <w:tcPr>
            <w:tcW w:w="1000" w:type="dxa"/>
            <w:vAlign w:val="bottom"/>
            <w:vMerge w:val="restart"/>
            <w:shd w:val="clear" w:color="auto" w:fill="E2E2D8"/>
          </w:tcPr>
          <w:p>
            <w:pPr>
              <w:jc w:val="center"/>
              <w:spacing w:after="0"/>
              <w:rPr>
                <w:sz w:val="20"/>
                <w:szCs w:val="20"/>
                <w:color w:val="auto"/>
              </w:rPr>
            </w:pPr>
            <w:r>
              <w:rPr>
                <w:rFonts w:ascii="Arial" w:cs="Arial" w:eastAsia="Arial" w:hAnsi="Arial"/>
                <w:sz w:val="11"/>
                <w:szCs w:val="11"/>
                <w:color w:val="auto"/>
                <w:w w:val="98"/>
              </w:rPr>
              <w:t>AWARDS ($) (1)</w:t>
            </w:r>
          </w:p>
        </w:tc>
        <w:tc>
          <w:tcPr>
            <w:tcW w:w="840" w:type="dxa"/>
            <w:vAlign w:val="bottom"/>
            <w:shd w:val="clear" w:color="auto" w:fill="E2E2D8"/>
          </w:tcPr>
          <w:p>
            <w:pPr>
              <w:spacing w:after="0"/>
              <w:rPr>
                <w:sz w:val="4"/>
                <w:szCs w:val="4"/>
                <w:color w:val="auto"/>
              </w:rPr>
            </w:pPr>
          </w:p>
        </w:tc>
        <w:tc>
          <w:tcPr>
            <w:tcW w:w="780" w:type="dxa"/>
            <w:vAlign w:val="bottom"/>
            <w:vMerge w:val="continue"/>
            <w:shd w:val="clear" w:color="auto" w:fill="E2E2D8"/>
          </w:tcPr>
          <w:p>
            <w:pPr>
              <w:spacing w:after="0"/>
              <w:rPr>
                <w:sz w:val="4"/>
                <w:szCs w:val="4"/>
                <w:color w:val="auto"/>
              </w:rPr>
            </w:pPr>
          </w:p>
        </w:tc>
        <w:tc>
          <w:tcPr>
            <w:tcW w:w="1000" w:type="dxa"/>
            <w:vAlign w:val="bottom"/>
            <w:vMerge w:val="continue"/>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5720" w:type="dxa"/>
            <w:vAlign w:val="bottom"/>
            <w:vMerge w:val="restart"/>
            <w:shd w:val="clear" w:color="auto" w:fill="E2E2D8"/>
          </w:tcPr>
          <w:p>
            <w:pPr>
              <w:ind w:left="60"/>
              <w:spacing w:after="0" w:line="125" w:lineRule="exact"/>
              <w:rPr>
                <w:sz w:val="20"/>
                <w:szCs w:val="20"/>
                <w:color w:val="auto"/>
              </w:rPr>
            </w:pPr>
            <w:r>
              <w:rPr>
                <w:rFonts w:ascii="Arial" w:cs="Arial" w:eastAsia="Arial" w:hAnsi="Arial"/>
                <w:sz w:val="11"/>
                <w:szCs w:val="11"/>
                <w:b w:val="1"/>
                <w:bCs w:val="1"/>
                <w:color w:val="auto"/>
              </w:rPr>
              <w:t>NAMED EXECUTIVE OFFICER</w:t>
            </w:r>
          </w:p>
        </w:tc>
        <w:tc>
          <w:tcPr>
            <w:tcW w:w="860" w:type="dxa"/>
            <w:vAlign w:val="bottom"/>
            <w:vMerge w:val="restart"/>
            <w:shd w:val="clear" w:color="auto" w:fill="E2E2D8"/>
          </w:tcPr>
          <w:p>
            <w:pPr>
              <w:ind w:left="60"/>
              <w:spacing w:after="0" w:line="125" w:lineRule="exact"/>
              <w:rPr>
                <w:sz w:val="20"/>
                <w:szCs w:val="20"/>
                <w:color w:val="auto"/>
              </w:rPr>
            </w:pPr>
            <w:r>
              <w:rPr>
                <w:rFonts w:ascii="Arial" w:cs="Arial" w:eastAsia="Arial" w:hAnsi="Arial"/>
                <w:sz w:val="11"/>
                <w:szCs w:val="11"/>
                <w:color w:val="auto"/>
              </w:rPr>
              <w:t>GRANT DATE</w:t>
            </w:r>
          </w:p>
        </w:tc>
        <w:tc>
          <w:tcPr>
            <w:tcW w:w="40" w:type="dxa"/>
            <w:vAlign w:val="bottom"/>
            <w:shd w:val="clear" w:color="auto" w:fill="E2E2D8"/>
          </w:tcPr>
          <w:p>
            <w:pPr>
              <w:spacing w:after="0"/>
              <w:rPr>
                <w:sz w:val="6"/>
                <w:szCs w:val="6"/>
                <w:color w:val="auto"/>
              </w:rPr>
            </w:pPr>
          </w:p>
        </w:tc>
        <w:tc>
          <w:tcPr>
            <w:tcW w:w="780" w:type="dxa"/>
            <w:vAlign w:val="bottom"/>
            <w:shd w:val="clear" w:color="auto" w:fill="E2E2D8"/>
          </w:tcPr>
          <w:p>
            <w:pPr>
              <w:spacing w:after="0"/>
              <w:rPr>
                <w:sz w:val="6"/>
                <w:szCs w:val="6"/>
                <w:color w:val="auto"/>
              </w:rPr>
            </w:pPr>
          </w:p>
        </w:tc>
        <w:tc>
          <w:tcPr>
            <w:tcW w:w="1000" w:type="dxa"/>
            <w:vAlign w:val="bottom"/>
            <w:vMerge w:val="continue"/>
            <w:shd w:val="clear" w:color="auto" w:fill="E2E2D8"/>
          </w:tcPr>
          <w:p>
            <w:pPr>
              <w:spacing w:after="0"/>
              <w:rPr>
                <w:sz w:val="6"/>
                <w:szCs w:val="6"/>
                <w:color w:val="auto"/>
              </w:rPr>
            </w:pPr>
          </w:p>
        </w:tc>
        <w:tc>
          <w:tcPr>
            <w:tcW w:w="840" w:type="dxa"/>
            <w:vAlign w:val="bottom"/>
            <w:shd w:val="clear" w:color="auto" w:fill="E2E2D8"/>
          </w:tcPr>
          <w:p>
            <w:pPr>
              <w:spacing w:after="0"/>
              <w:rPr>
                <w:sz w:val="6"/>
                <w:szCs w:val="6"/>
                <w:color w:val="auto"/>
              </w:rPr>
            </w:pPr>
          </w:p>
        </w:tc>
        <w:tc>
          <w:tcPr>
            <w:tcW w:w="780" w:type="dxa"/>
            <w:vAlign w:val="bottom"/>
            <w:vMerge w:val="restart"/>
            <w:shd w:val="clear" w:color="auto" w:fill="E2E2D8"/>
          </w:tcPr>
          <w:p>
            <w:pPr>
              <w:jc w:val="center"/>
              <w:spacing w:after="0" w:line="125" w:lineRule="exact"/>
              <w:rPr>
                <w:sz w:val="20"/>
                <w:szCs w:val="20"/>
                <w:color w:val="auto"/>
              </w:rPr>
            </w:pPr>
            <w:r>
              <w:rPr>
                <w:rFonts w:ascii="Arial" w:cs="Arial" w:eastAsia="Arial" w:hAnsi="Arial"/>
                <w:sz w:val="11"/>
                <w:szCs w:val="11"/>
                <w:color w:val="auto"/>
                <w:w w:val="96"/>
              </w:rPr>
              <w:t>NUMBER OF</w:t>
            </w:r>
          </w:p>
        </w:tc>
        <w:tc>
          <w:tcPr>
            <w:tcW w:w="1000" w:type="dxa"/>
            <w:vAlign w:val="bottom"/>
            <w:vMerge w:val="restart"/>
            <w:shd w:val="clear" w:color="auto" w:fill="E2E2D8"/>
          </w:tcPr>
          <w:p>
            <w:pPr>
              <w:jc w:val="center"/>
              <w:spacing w:after="0" w:line="125" w:lineRule="exact"/>
              <w:rPr>
                <w:sz w:val="20"/>
                <w:szCs w:val="20"/>
                <w:color w:val="auto"/>
              </w:rPr>
            </w:pPr>
            <w:r>
              <w:rPr>
                <w:rFonts w:ascii="Arial" w:cs="Arial" w:eastAsia="Arial" w:hAnsi="Arial"/>
                <w:sz w:val="11"/>
                <w:szCs w:val="11"/>
                <w:color w:val="auto"/>
                <w:w w:val="95"/>
              </w:rPr>
              <w:t>OF STOCK</w:t>
            </w:r>
          </w:p>
        </w:tc>
        <w:tc>
          <w:tcPr>
            <w:tcW w:w="0" w:type="dxa"/>
            <w:vAlign w:val="bottom"/>
          </w:tcPr>
          <w:p>
            <w:pPr>
              <w:spacing w:after="0"/>
              <w:rPr>
                <w:sz w:val="1"/>
                <w:szCs w:val="1"/>
                <w:color w:val="auto"/>
              </w:rPr>
            </w:pPr>
          </w:p>
        </w:tc>
      </w:tr>
      <w:tr>
        <w:trPr>
          <w:trHeight w:val="49"/>
        </w:trPr>
        <w:tc>
          <w:tcPr>
            <w:tcW w:w="5720" w:type="dxa"/>
            <w:vAlign w:val="bottom"/>
            <w:vMerge w:val="continue"/>
            <w:shd w:val="clear" w:color="auto" w:fill="E2E2D8"/>
          </w:tcPr>
          <w:p>
            <w:pPr>
              <w:spacing w:after="0"/>
              <w:rPr>
                <w:sz w:val="4"/>
                <w:szCs w:val="4"/>
                <w:color w:val="auto"/>
              </w:rPr>
            </w:pPr>
          </w:p>
        </w:tc>
        <w:tc>
          <w:tcPr>
            <w:tcW w:w="860" w:type="dxa"/>
            <w:vAlign w:val="bottom"/>
            <w:vMerge w:val="continue"/>
            <w:shd w:val="clear" w:color="auto" w:fill="E2E2D8"/>
          </w:tcPr>
          <w:p>
            <w:pPr>
              <w:spacing w:after="0"/>
              <w:rPr>
                <w:sz w:val="4"/>
                <w:szCs w:val="4"/>
                <w:color w:val="auto"/>
              </w:rPr>
            </w:pPr>
          </w:p>
        </w:tc>
        <w:tc>
          <w:tcPr>
            <w:tcW w:w="40" w:type="dxa"/>
            <w:vAlign w:val="bottom"/>
            <w:shd w:val="clear" w:color="auto" w:fill="E2E2D8"/>
          </w:tcPr>
          <w:p>
            <w:pPr>
              <w:spacing w:after="0"/>
              <w:rPr>
                <w:sz w:val="4"/>
                <w:szCs w:val="4"/>
                <w:color w:val="auto"/>
              </w:rPr>
            </w:pPr>
          </w:p>
        </w:tc>
        <w:tc>
          <w:tcPr>
            <w:tcW w:w="780" w:type="dxa"/>
            <w:vAlign w:val="bottom"/>
            <w:shd w:val="clear" w:color="auto" w:fill="E2E2D8"/>
          </w:tcPr>
          <w:p>
            <w:pPr>
              <w:spacing w:after="0"/>
              <w:rPr>
                <w:sz w:val="4"/>
                <w:szCs w:val="4"/>
                <w:color w:val="auto"/>
              </w:rPr>
            </w:pPr>
          </w:p>
        </w:tc>
        <w:tc>
          <w:tcPr>
            <w:tcW w:w="1000" w:type="dxa"/>
            <w:vAlign w:val="bottom"/>
            <w:shd w:val="clear" w:color="auto" w:fill="E2E2D8"/>
          </w:tcPr>
          <w:p>
            <w:pPr>
              <w:spacing w:after="0"/>
              <w:rPr>
                <w:sz w:val="4"/>
                <w:szCs w:val="4"/>
                <w:color w:val="auto"/>
              </w:rPr>
            </w:pPr>
          </w:p>
        </w:tc>
        <w:tc>
          <w:tcPr>
            <w:tcW w:w="840" w:type="dxa"/>
            <w:vAlign w:val="bottom"/>
            <w:shd w:val="clear" w:color="auto" w:fill="E2E2D8"/>
          </w:tcPr>
          <w:p>
            <w:pPr>
              <w:spacing w:after="0"/>
              <w:rPr>
                <w:sz w:val="4"/>
                <w:szCs w:val="4"/>
                <w:color w:val="auto"/>
              </w:rPr>
            </w:pPr>
          </w:p>
        </w:tc>
        <w:tc>
          <w:tcPr>
            <w:tcW w:w="780" w:type="dxa"/>
            <w:vAlign w:val="bottom"/>
            <w:vMerge w:val="continue"/>
            <w:shd w:val="clear" w:color="auto" w:fill="E2E2D8"/>
          </w:tcPr>
          <w:p>
            <w:pPr>
              <w:spacing w:after="0"/>
              <w:rPr>
                <w:sz w:val="4"/>
                <w:szCs w:val="4"/>
                <w:color w:val="auto"/>
              </w:rPr>
            </w:pPr>
          </w:p>
        </w:tc>
        <w:tc>
          <w:tcPr>
            <w:tcW w:w="1000" w:type="dxa"/>
            <w:vAlign w:val="bottom"/>
            <w:vMerge w:val="continue"/>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5720" w:type="dxa"/>
            <w:vAlign w:val="bottom"/>
            <w:shd w:val="clear" w:color="auto" w:fill="E2E2D8"/>
          </w:tcPr>
          <w:p>
            <w:pPr>
              <w:spacing w:after="0"/>
              <w:rPr>
                <w:sz w:val="10"/>
                <w:szCs w:val="10"/>
                <w:color w:val="auto"/>
              </w:rPr>
            </w:pPr>
          </w:p>
        </w:tc>
        <w:tc>
          <w:tcPr>
            <w:tcW w:w="860" w:type="dxa"/>
            <w:vAlign w:val="bottom"/>
            <w:shd w:val="clear" w:color="auto" w:fill="E2E2D8"/>
          </w:tcPr>
          <w:p>
            <w:pPr>
              <w:spacing w:after="0"/>
              <w:rPr>
                <w:sz w:val="10"/>
                <w:szCs w:val="10"/>
                <w:color w:val="auto"/>
              </w:rPr>
            </w:pPr>
          </w:p>
        </w:tc>
        <w:tc>
          <w:tcPr>
            <w:tcW w:w="40" w:type="dxa"/>
            <w:vAlign w:val="bottom"/>
            <w:shd w:val="clear" w:color="auto" w:fill="E2E2D8"/>
          </w:tcPr>
          <w:p>
            <w:pPr>
              <w:spacing w:after="0"/>
              <w:rPr>
                <w:sz w:val="10"/>
                <w:szCs w:val="10"/>
                <w:color w:val="auto"/>
              </w:rPr>
            </w:pPr>
          </w:p>
        </w:tc>
        <w:tc>
          <w:tcPr>
            <w:tcW w:w="780" w:type="dxa"/>
            <w:vAlign w:val="bottom"/>
            <w:vMerge w:val="restart"/>
            <w:shd w:val="clear" w:color="auto" w:fill="E2E2D8"/>
          </w:tcPr>
          <w:p>
            <w:pPr>
              <w:jc w:val="center"/>
              <w:spacing w:after="0"/>
              <w:rPr>
                <w:sz w:val="20"/>
                <w:szCs w:val="20"/>
                <w:color w:val="auto"/>
              </w:rPr>
            </w:pPr>
            <w:r>
              <w:rPr>
                <w:rFonts w:ascii="Arial" w:cs="Arial" w:eastAsia="Arial" w:hAnsi="Arial"/>
                <w:sz w:val="11"/>
                <w:szCs w:val="11"/>
                <w:color w:val="auto"/>
                <w:w w:val="97"/>
              </w:rPr>
              <w:t>THRESHOLD</w:t>
            </w:r>
          </w:p>
        </w:tc>
        <w:tc>
          <w:tcPr>
            <w:tcW w:w="1000" w:type="dxa"/>
            <w:vAlign w:val="bottom"/>
            <w:vMerge w:val="restart"/>
            <w:shd w:val="clear" w:color="auto" w:fill="E2E2D8"/>
          </w:tcPr>
          <w:p>
            <w:pPr>
              <w:jc w:val="center"/>
              <w:spacing w:after="0"/>
              <w:rPr>
                <w:sz w:val="20"/>
                <w:szCs w:val="20"/>
                <w:color w:val="auto"/>
              </w:rPr>
            </w:pPr>
            <w:r>
              <w:rPr>
                <w:rFonts w:ascii="Arial" w:cs="Arial" w:eastAsia="Arial" w:hAnsi="Arial"/>
                <w:sz w:val="11"/>
                <w:szCs w:val="11"/>
                <w:color w:val="auto"/>
                <w:w w:val="98"/>
              </w:rPr>
              <w:t>TARGET</w:t>
            </w:r>
          </w:p>
        </w:tc>
        <w:tc>
          <w:tcPr>
            <w:tcW w:w="840" w:type="dxa"/>
            <w:vAlign w:val="bottom"/>
            <w:vMerge w:val="restart"/>
            <w:shd w:val="clear" w:color="auto" w:fill="E2E2D8"/>
          </w:tcPr>
          <w:p>
            <w:pPr>
              <w:jc w:val="center"/>
              <w:ind w:right="26"/>
              <w:spacing w:after="0"/>
              <w:rPr>
                <w:sz w:val="20"/>
                <w:szCs w:val="20"/>
                <w:color w:val="auto"/>
              </w:rPr>
            </w:pPr>
            <w:r>
              <w:rPr>
                <w:rFonts w:ascii="Arial" w:cs="Arial" w:eastAsia="Arial" w:hAnsi="Arial"/>
                <w:sz w:val="11"/>
                <w:szCs w:val="11"/>
                <w:color w:val="auto"/>
                <w:w w:val="97"/>
              </w:rPr>
              <w:t>MAXIMUM</w:t>
            </w:r>
          </w:p>
        </w:tc>
        <w:tc>
          <w:tcPr>
            <w:tcW w:w="780" w:type="dxa"/>
            <w:vAlign w:val="bottom"/>
            <w:shd w:val="clear" w:color="auto" w:fill="E2E2D8"/>
          </w:tcPr>
          <w:p>
            <w:pPr>
              <w:jc w:val="center"/>
              <w:spacing w:after="0" w:line="119" w:lineRule="exact"/>
              <w:rPr>
                <w:sz w:val="20"/>
                <w:szCs w:val="20"/>
                <w:color w:val="auto"/>
              </w:rPr>
            </w:pPr>
            <w:r>
              <w:rPr>
                <w:rFonts w:ascii="Arial" w:cs="Arial" w:eastAsia="Arial" w:hAnsi="Arial"/>
                <w:sz w:val="11"/>
                <w:szCs w:val="11"/>
                <w:color w:val="auto"/>
              </w:rPr>
              <w:t>SHARES OF</w:t>
            </w:r>
          </w:p>
        </w:tc>
        <w:tc>
          <w:tcPr>
            <w:tcW w:w="1000" w:type="dxa"/>
            <w:vAlign w:val="bottom"/>
            <w:shd w:val="clear" w:color="auto" w:fill="E2E2D8"/>
          </w:tcPr>
          <w:p>
            <w:pPr>
              <w:jc w:val="center"/>
              <w:spacing w:after="0" w:line="119" w:lineRule="exact"/>
              <w:rPr>
                <w:sz w:val="20"/>
                <w:szCs w:val="20"/>
                <w:color w:val="auto"/>
              </w:rPr>
            </w:pPr>
            <w:r>
              <w:rPr>
                <w:rFonts w:ascii="Arial" w:cs="Arial" w:eastAsia="Arial" w:hAnsi="Arial"/>
                <w:sz w:val="11"/>
                <w:szCs w:val="11"/>
                <w:color w:val="auto"/>
                <w:w w:val="99"/>
              </w:rPr>
              <w:t>AND OPTION</w:t>
            </w:r>
          </w:p>
        </w:tc>
        <w:tc>
          <w:tcPr>
            <w:tcW w:w="0" w:type="dxa"/>
            <w:vAlign w:val="bottom"/>
          </w:tcPr>
          <w:p>
            <w:pPr>
              <w:spacing w:after="0"/>
              <w:rPr>
                <w:sz w:val="1"/>
                <w:szCs w:val="1"/>
                <w:color w:val="auto"/>
              </w:rPr>
            </w:pPr>
          </w:p>
        </w:tc>
      </w:tr>
      <w:tr>
        <w:trPr>
          <w:trHeight w:val="111"/>
        </w:trPr>
        <w:tc>
          <w:tcPr>
            <w:tcW w:w="5720" w:type="dxa"/>
            <w:vAlign w:val="bottom"/>
            <w:shd w:val="clear" w:color="auto" w:fill="E2E2D8"/>
          </w:tcPr>
          <w:p>
            <w:pPr>
              <w:spacing w:after="0"/>
              <w:rPr>
                <w:sz w:val="9"/>
                <w:szCs w:val="9"/>
                <w:color w:val="auto"/>
              </w:rPr>
            </w:pPr>
          </w:p>
        </w:tc>
        <w:tc>
          <w:tcPr>
            <w:tcW w:w="860" w:type="dxa"/>
            <w:vAlign w:val="bottom"/>
            <w:shd w:val="clear" w:color="auto" w:fill="E2E2D8"/>
          </w:tcPr>
          <w:p>
            <w:pPr>
              <w:spacing w:after="0"/>
              <w:rPr>
                <w:sz w:val="9"/>
                <w:szCs w:val="9"/>
                <w:color w:val="auto"/>
              </w:rPr>
            </w:pPr>
          </w:p>
        </w:tc>
        <w:tc>
          <w:tcPr>
            <w:tcW w:w="40" w:type="dxa"/>
            <w:vAlign w:val="bottom"/>
            <w:shd w:val="clear" w:color="auto" w:fill="E2E2D8"/>
          </w:tcPr>
          <w:p>
            <w:pPr>
              <w:spacing w:after="0"/>
              <w:rPr>
                <w:sz w:val="9"/>
                <w:szCs w:val="9"/>
                <w:color w:val="auto"/>
              </w:rPr>
            </w:pPr>
          </w:p>
        </w:tc>
        <w:tc>
          <w:tcPr>
            <w:tcW w:w="780" w:type="dxa"/>
            <w:vAlign w:val="bottom"/>
            <w:vMerge w:val="continue"/>
            <w:shd w:val="clear" w:color="auto" w:fill="E2E2D8"/>
          </w:tcPr>
          <w:p>
            <w:pPr>
              <w:spacing w:after="0"/>
              <w:rPr>
                <w:sz w:val="9"/>
                <w:szCs w:val="9"/>
                <w:color w:val="auto"/>
              </w:rPr>
            </w:pPr>
          </w:p>
        </w:tc>
        <w:tc>
          <w:tcPr>
            <w:tcW w:w="1000" w:type="dxa"/>
            <w:vAlign w:val="bottom"/>
            <w:vMerge w:val="continue"/>
            <w:shd w:val="clear" w:color="auto" w:fill="E2E2D8"/>
          </w:tcPr>
          <w:p>
            <w:pPr>
              <w:spacing w:after="0"/>
              <w:rPr>
                <w:sz w:val="9"/>
                <w:szCs w:val="9"/>
                <w:color w:val="auto"/>
              </w:rPr>
            </w:pPr>
          </w:p>
        </w:tc>
        <w:tc>
          <w:tcPr>
            <w:tcW w:w="840" w:type="dxa"/>
            <w:vAlign w:val="bottom"/>
            <w:vMerge w:val="continue"/>
            <w:shd w:val="clear" w:color="auto" w:fill="E2E2D8"/>
          </w:tcPr>
          <w:p>
            <w:pPr>
              <w:spacing w:after="0"/>
              <w:rPr>
                <w:sz w:val="9"/>
                <w:szCs w:val="9"/>
                <w:color w:val="auto"/>
              </w:rPr>
            </w:pPr>
          </w:p>
        </w:tc>
        <w:tc>
          <w:tcPr>
            <w:tcW w:w="780" w:type="dxa"/>
            <w:vAlign w:val="bottom"/>
            <w:shd w:val="clear" w:color="auto" w:fill="E2E2D8"/>
          </w:tcPr>
          <w:p>
            <w:pPr>
              <w:jc w:val="center"/>
              <w:spacing w:after="0" w:line="112" w:lineRule="exact"/>
              <w:rPr>
                <w:sz w:val="20"/>
                <w:szCs w:val="20"/>
                <w:color w:val="auto"/>
              </w:rPr>
            </w:pPr>
            <w:r>
              <w:rPr>
                <w:rFonts w:ascii="Arial" w:cs="Arial" w:eastAsia="Arial" w:hAnsi="Arial"/>
                <w:sz w:val="11"/>
                <w:szCs w:val="11"/>
                <w:color w:val="auto"/>
                <w:w w:val="97"/>
              </w:rPr>
              <w:t>STOCK OR</w:t>
            </w:r>
          </w:p>
        </w:tc>
        <w:tc>
          <w:tcPr>
            <w:tcW w:w="1000" w:type="dxa"/>
            <w:vAlign w:val="bottom"/>
            <w:shd w:val="clear" w:color="auto" w:fill="E2E2D8"/>
          </w:tcPr>
          <w:p>
            <w:pPr>
              <w:jc w:val="center"/>
              <w:spacing w:after="0" w:line="112" w:lineRule="exact"/>
              <w:rPr>
                <w:sz w:val="20"/>
                <w:szCs w:val="20"/>
                <w:color w:val="auto"/>
              </w:rPr>
            </w:pPr>
            <w:r>
              <w:rPr>
                <w:rFonts w:ascii="Arial" w:cs="Arial" w:eastAsia="Arial" w:hAnsi="Arial"/>
                <w:sz w:val="11"/>
                <w:szCs w:val="11"/>
                <w:color w:val="auto"/>
                <w:w w:val="95"/>
              </w:rPr>
              <w:t>AWARDS ($) (2)</w:t>
            </w:r>
          </w:p>
        </w:tc>
        <w:tc>
          <w:tcPr>
            <w:tcW w:w="0" w:type="dxa"/>
            <w:vAlign w:val="bottom"/>
          </w:tcPr>
          <w:p>
            <w:pPr>
              <w:spacing w:after="0"/>
              <w:rPr>
                <w:sz w:val="1"/>
                <w:szCs w:val="1"/>
                <w:color w:val="auto"/>
              </w:rPr>
            </w:pPr>
          </w:p>
        </w:tc>
      </w:tr>
      <w:tr>
        <w:trPr>
          <w:trHeight w:val="140"/>
        </w:trPr>
        <w:tc>
          <w:tcPr>
            <w:tcW w:w="5720" w:type="dxa"/>
            <w:vAlign w:val="bottom"/>
            <w:shd w:val="clear" w:color="auto" w:fill="E2E2D8"/>
          </w:tcPr>
          <w:p>
            <w:pPr>
              <w:spacing w:after="0"/>
              <w:rPr>
                <w:sz w:val="12"/>
                <w:szCs w:val="12"/>
                <w:color w:val="auto"/>
              </w:rPr>
            </w:pPr>
          </w:p>
        </w:tc>
        <w:tc>
          <w:tcPr>
            <w:tcW w:w="900" w:type="dxa"/>
            <w:vAlign w:val="bottom"/>
            <w:gridSpan w:val="2"/>
            <w:shd w:val="clear" w:color="auto" w:fill="E2E2D8"/>
          </w:tcPr>
          <w:p>
            <w:pPr>
              <w:spacing w:after="0"/>
              <w:rPr>
                <w:sz w:val="12"/>
                <w:szCs w:val="12"/>
                <w:color w:val="auto"/>
              </w:rPr>
            </w:pPr>
          </w:p>
        </w:tc>
        <w:tc>
          <w:tcPr>
            <w:tcW w:w="780" w:type="dxa"/>
            <w:vAlign w:val="bottom"/>
            <w:shd w:val="clear" w:color="auto" w:fill="E2E2D8"/>
          </w:tcPr>
          <w:p>
            <w:pPr>
              <w:jc w:val="right"/>
              <w:ind w:right="206"/>
              <w:spacing w:after="0"/>
              <w:rPr>
                <w:sz w:val="20"/>
                <w:szCs w:val="20"/>
                <w:color w:val="auto"/>
              </w:rPr>
            </w:pPr>
            <w:r>
              <w:rPr>
                <w:rFonts w:ascii="Arial" w:cs="Arial" w:eastAsia="Arial" w:hAnsi="Arial"/>
                <w:sz w:val="11"/>
                <w:szCs w:val="11"/>
                <w:color w:val="auto"/>
              </w:rPr>
              <w:t>($) (3)</w:t>
            </w:r>
          </w:p>
        </w:tc>
        <w:tc>
          <w:tcPr>
            <w:tcW w:w="1000" w:type="dxa"/>
            <w:vAlign w:val="bottom"/>
            <w:shd w:val="clear" w:color="auto" w:fill="E2E2D8"/>
          </w:tcPr>
          <w:p>
            <w:pPr>
              <w:jc w:val="center"/>
              <w:spacing w:after="0"/>
              <w:rPr>
                <w:sz w:val="20"/>
                <w:szCs w:val="20"/>
                <w:color w:val="auto"/>
              </w:rPr>
            </w:pPr>
            <w:r>
              <w:rPr>
                <w:rFonts w:ascii="Arial" w:cs="Arial" w:eastAsia="Arial" w:hAnsi="Arial"/>
                <w:sz w:val="11"/>
                <w:szCs w:val="11"/>
                <w:color w:val="auto"/>
                <w:w w:val="93"/>
              </w:rPr>
              <w:t>($) (4)</w:t>
            </w:r>
          </w:p>
        </w:tc>
        <w:tc>
          <w:tcPr>
            <w:tcW w:w="840" w:type="dxa"/>
            <w:vAlign w:val="bottom"/>
            <w:shd w:val="clear" w:color="auto" w:fill="E2E2D8"/>
          </w:tcPr>
          <w:p>
            <w:pPr>
              <w:jc w:val="right"/>
              <w:ind w:right="266"/>
              <w:spacing w:after="0"/>
              <w:rPr>
                <w:sz w:val="20"/>
                <w:szCs w:val="20"/>
                <w:color w:val="auto"/>
              </w:rPr>
            </w:pPr>
            <w:r>
              <w:rPr>
                <w:rFonts w:ascii="Arial" w:cs="Arial" w:eastAsia="Arial" w:hAnsi="Arial"/>
                <w:sz w:val="11"/>
                <w:szCs w:val="11"/>
                <w:color w:val="auto"/>
              </w:rPr>
              <w:t>($) (5)</w:t>
            </w:r>
          </w:p>
        </w:tc>
        <w:tc>
          <w:tcPr>
            <w:tcW w:w="780" w:type="dxa"/>
            <w:vAlign w:val="bottom"/>
            <w:shd w:val="clear" w:color="auto" w:fill="E2E2D8"/>
          </w:tcPr>
          <w:p>
            <w:pPr>
              <w:jc w:val="center"/>
              <w:spacing w:after="0"/>
              <w:rPr>
                <w:sz w:val="20"/>
                <w:szCs w:val="20"/>
                <w:color w:val="auto"/>
              </w:rPr>
            </w:pPr>
            <w:r>
              <w:rPr>
                <w:rFonts w:ascii="Arial" w:cs="Arial" w:eastAsia="Arial" w:hAnsi="Arial"/>
                <w:sz w:val="11"/>
                <w:szCs w:val="11"/>
                <w:color w:val="auto"/>
                <w:w w:val="96"/>
              </w:rPr>
              <w:t>UNITS (#)</w:t>
            </w:r>
          </w:p>
        </w:tc>
        <w:tc>
          <w:tcPr>
            <w:tcW w:w="1000" w:type="dxa"/>
            <w:vAlign w:val="bottom"/>
            <w:shd w:val="clear" w:color="auto" w:fill="E2E2D8"/>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5720" w:type="dxa"/>
            <w:vAlign w:val="bottom"/>
            <w:shd w:val="clear" w:color="auto" w:fill="E2E2D8"/>
          </w:tcPr>
          <w:p>
            <w:pPr>
              <w:spacing w:after="0"/>
              <w:rPr>
                <w:sz w:val="4"/>
                <w:szCs w:val="4"/>
                <w:color w:val="auto"/>
              </w:rPr>
            </w:pPr>
          </w:p>
        </w:tc>
        <w:tc>
          <w:tcPr>
            <w:tcW w:w="860" w:type="dxa"/>
            <w:vAlign w:val="bottom"/>
            <w:shd w:val="clear" w:color="auto" w:fill="E2E2D8"/>
          </w:tcPr>
          <w:p>
            <w:pPr>
              <w:spacing w:after="0"/>
              <w:rPr>
                <w:sz w:val="4"/>
                <w:szCs w:val="4"/>
                <w:color w:val="auto"/>
              </w:rPr>
            </w:pPr>
          </w:p>
        </w:tc>
        <w:tc>
          <w:tcPr>
            <w:tcW w:w="40" w:type="dxa"/>
            <w:vAlign w:val="bottom"/>
            <w:shd w:val="clear" w:color="auto" w:fill="E2E2D8"/>
          </w:tcPr>
          <w:p>
            <w:pPr>
              <w:spacing w:after="0"/>
              <w:rPr>
                <w:sz w:val="4"/>
                <w:szCs w:val="4"/>
                <w:color w:val="auto"/>
              </w:rPr>
            </w:pPr>
          </w:p>
        </w:tc>
        <w:tc>
          <w:tcPr>
            <w:tcW w:w="780" w:type="dxa"/>
            <w:vAlign w:val="bottom"/>
            <w:shd w:val="clear" w:color="auto" w:fill="E2E2D8"/>
          </w:tcPr>
          <w:p>
            <w:pPr>
              <w:spacing w:after="0"/>
              <w:rPr>
                <w:sz w:val="4"/>
                <w:szCs w:val="4"/>
                <w:color w:val="auto"/>
              </w:rPr>
            </w:pPr>
          </w:p>
        </w:tc>
        <w:tc>
          <w:tcPr>
            <w:tcW w:w="1000" w:type="dxa"/>
            <w:vAlign w:val="bottom"/>
            <w:shd w:val="clear" w:color="auto" w:fill="E2E2D8"/>
          </w:tcPr>
          <w:p>
            <w:pPr>
              <w:spacing w:after="0"/>
              <w:rPr>
                <w:sz w:val="4"/>
                <w:szCs w:val="4"/>
                <w:color w:val="auto"/>
              </w:rPr>
            </w:pPr>
          </w:p>
        </w:tc>
        <w:tc>
          <w:tcPr>
            <w:tcW w:w="840" w:type="dxa"/>
            <w:vAlign w:val="bottom"/>
            <w:shd w:val="clear" w:color="auto" w:fill="E2E2D8"/>
          </w:tcPr>
          <w:p>
            <w:pPr>
              <w:spacing w:after="0"/>
              <w:rPr>
                <w:sz w:val="4"/>
                <w:szCs w:val="4"/>
                <w:color w:val="auto"/>
              </w:rPr>
            </w:pPr>
          </w:p>
        </w:tc>
        <w:tc>
          <w:tcPr>
            <w:tcW w:w="780" w:type="dxa"/>
            <w:vAlign w:val="bottom"/>
            <w:shd w:val="clear" w:color="auto" w:fill="E2E2D8"/>
          </w:tcPr>
          <w:p>
            <w:pPr>
              <w:spacing w:after="0"/>
              <w:rPr>
                <w:sz w:val="4"/>
                <w:szCs w:val="4"/>
                <w:color w:val="auto"/>
              </w:rPr>
            </w:pPr>
          </w:p>
        </w:tc>
        <w:tc>
          <w:tcPr>
            <w:tcW w:w="1000" w:type="dxa"/>
            <w:vAlign w:val="bottom"/>
            <w:shd w:val="clear" w:color="auto" w:fill="E2E2D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5720" w:type="dxa"/>
            <w:vAlign w:val="bottom"/>
            <w:vMerge w:val="restart"/>
            <w:shd w:val="clear" w:color="auto" w:fill="EAEFF9"/>
          </w:tcPr>
          <w:p>
            <w:pPr>
              <w:ind w:left="60"/>
              <w:spacing w:after="0"/>
              <w:rPr>
                <w:sz w:val="20"/>
                <w:szCs w:val="20"/>
                <w:color w:val="auto"/>
              </w:rPr>
            </w:pPr>
            <w:r>
              <w:rPr>
                <w:rFonts w:ascii="Arial" w:cs="Arial" w:eastAsia="Arial" w:hAnsi="Arial"/>
                <w:sz w:val="13"/>
                <w:szCs w:val="13"/>
                <w:b w:val="1"/>
                <w:bCs w:val="1"/>
                <w:color w:val="auto"/>
              </w:rPr>
              <w:t>MATT MADDOX</w:t>
            </w:r>
          </w:p>
        </w:tc>
        <w:tc>
          <w:tcPr>
            <w:tcW w:w="60" w:type="dxa"/>
            <w:vAlign w:val="bottom"/>
            <w:shd w:val="clear" w:color="auto" w:fill="EAEFF9"/>
          </w:tcPr>
          <w:p>
            <w:pPr>
              <w:spacing w:after="0"/>
              <w:rPr>
                <w:sz w:val="19"/>
                <w:szCs w:val="19"/>
                <w:color w:val="auto"/>
              </w:rPr>
            </w:pPr>
          </w:p>
        </w:tc>
        <w:tc>
          <w:tcPr>
            <w:tcW w:w="760" w:type="dxa"/>
            <w:vAlign w:val="bottom"/>
            <w:shd w:val="clear" w:color="auto" w:fill="EAEFF9"/>
          </w:tcPr>
          <w:p>
            <w:pPr>
              <w:jc w:val="right"/>
              <w:ind w:right="8"/>
              <w:spacing w:after="0"/>
              <w:rPr>
                <w:sz w:val="20"/>
                <w:szCs w:val="20"/>
                <w:color w:val="auto"/>
              </w:rPr>
            </w:pPr>
            <w:r>
              <w:rPr>
                <w:rFonts w:ascii="Arial" w:cs="Arial" w:eastAsia="Arial" w:hAnsi="Arial"/>
                <w:sz w:val="14"/>
                <w:szCs w:val="14"/>
                <w:color w:val="auto"/>
              </w:rPr>
              <w:t>N/A</w:t>
            </w:r>
          </w:p>
        </w:tc>
        <w:tc>
          <w:tcPr>
            <w:tcW w:w="900" w:type="dxa"/>
            <w:vAlign w:val="bottom"/>
            <w:shd w:val="clear" w:color="auto" w:fill="EAEFF9"/>
          </w:tcPr>
          <w:p>
            <w:pPr>
              <w:jc w:val="right"/>
              <w:ind w:right="8"/>
              <w:spacing w:after="0"/>
              <w:rPr>
                <w:sz w:val="20"/>
                <w:szCs w:val="20"/>
                <w:color w:val="auto"/>
              </w:rPr>
            </w:pPr>
            <w:r>
              <w:rPr>
                <w:rFonts w:ascii="Arial" w:cs="Arial" w:eastAsia="Arial" w:hAnsi="Arial"/>
                <w:sz w:val="14"/>
                <w:szCs w:val="14"/>
                <w:color w:val="auto"/>
              </w:rPr>
              <w:t>$4,000,000</w:t>
            </w:r>
          </w:p>
        </w:tc>
        <w:tc>
          <w:tcPr>
            <w:tcW w:w="880" w:type="dxa"/>
            <w:vAlign w:val="bottom"/>
            <w:shd w:val="clear" w:color="auto" w:fill="EAEFF9"/>
          </w:tcPr>
          <w:p>
            <w:pPr>
              <w:jc w:val="right"/>
              <w:ind w:right="8"/>
              <w:spacing w:after="0"/>
              <w:rPr>
                <w:sz w:val="20"/>
                <w:szCs w:val="20"/>
                <w:color w:val="auto"/>
              </w:rPr>
            </w:pPr>
            <w:r>
              <w:rPr>
                <w:rFonts w:ascii="Arial" w:cs="Arial" w:eastAsia="Arial" w:hAnsi="Arial"/>
                <w:sz w:val="14"/>
                <w:szCs w:val="14"/>
                <w:color w:val="auto"/>
              </w:rPr>
              <w:t>$5,000,000</w:t>
            </w:r>
          </w:p>
        </w:tc>
        <w:tc>
          <w:tcPr>
            <w:tcW w:w="920" w:type="dxa"/>
            <w:vAlign w:val="bottom"/>
            <w:shd w:val="clear" w:color="auto" w:fill="EAEFF9"/>
          </w:tcPr>
          <w:p>
            <w:pPr>
              <w:jc w:val="right"/>
              <w:ind w:right="28"/>
              <w:spacing w:after="0"/>
              <w:rPr>
                <w:sz w:val="20"/>
                <w:szCs w:val="20"/>
                <w:color w:val="auto"/>
              </w:rPr>
            </w:pPr>
            <w:r>
              <w:rPr>
                <w:rFonts w:ascii="Arial" w:cs="Arial" w:eastAsia="Arial" w:hAnsi="Arial"/>
                <w:sz w:val="14"/>
                <w:szCs w:val="14"/>
                <w:color w:val="auto"/>
              </w:rPr>
              <w:t>$6,000,000</w:t>
            </w:r>
          </w:p>
        </w:tc>
        <w:tc>
          <w:tcPr>
            <w:tcW w:w="780" w:type="dxa"/>
            <w:vAlign w:val="bottom"/>
            <w:shd w:val="clear" w:color="auto" w:fill="EAEFF9"/>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9"/>
          </w:tcPr>
          <w:p>
            <w:pPr>
              <w:spacing w:after="0"/>
              <w:rPr>
                <w:sz w:val="19"/>
                <w:szCs w:val="19"/>
                <w:color w:val="auto"/>
              </w:rPr>
            </w:pPr>
          </w:p>
        </w:tc>
        <w:tc>
          <w:tcPr>
            <w:tcW w:w="800" w:type="dxa"/>
            <w:vAlign w:val="bottom"/>
            <w:shd w:val="clear" w:color="auto" w:fill="EAEFF9"/>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5720" w:type="dxa"/>
            <w:vAlign w:val="bottom"/>
            <w:vMerge w:val="continue"/>
            <w:shd w:val="clear" w:color="auto" w:fill="EAEFF9"/>
          </w:tcPr>
          <w:p>
            <w:pPr>
              <w:spacing w:after="0"/>
              <w:rPr>
                <w:sz w:val="11"/>
                <w:szCs w:val="11"/>
                <w:color w:val="auto"/>
              </w:rPr>
            </w:pPr>
          </w:p>
        </w:tc>
        <w:tc>
          <w:tcPr>
            <w:tcW w:w="60" w:type="dxa"/>
            <w:vAlign w:val="bottom"/>
            <w:shd w:val="clear" w:color="auto" w:fill="EAEFF9"/>
          </w:tcPr>
          <w:p>
            <w:pPr>
              <w:spacing w:after="0"/>
              <w:rPr>
                <w:sz w:val="11"/>
                <w:szCs w:val="11"/>
                <w:color w:val="auto"/>
              </w:rPr>
            </w:pPr>
          </w:p>
        </w:tc>
        <w:tc>
          <w:tcPr>
            <w:tcW w:w="760" w:type="dxa"/>
            <w:vAlign w:val="bottom"/>
            <w:vMerge w:val="restart"/>
            <w:shd w:val="clear" w:color="auto" w:fill="EAEFF9"/>
          </w:tcPr>
          <w:p>
            <w:pPr>
              <w:jc w:val="right"/>
              <w:ind w:right="8"/>
              <w:spacing w:after="0"/>
              <w:rPr>
                <w:sz w:val="20"/>
                <w:szCs w:val="20"/>
                <w:color w:val="auto"/>
              </w:rPr>
            </w:pPr>
            <w:r>
              <w:rPr>
                <w:rFonts w:ascii="Arial" w:cs="Arial" w:eastAsia="Arial" w:hAnsi="Arial"/>
                <w:sz w:val="14"/>
                <w:szCs w:val="14"/>
                <w:color w:val="auto"/>
              </w:rPr>
              <w:t>1/11/2021</w:t>
            </w:r>
          </w:p>
        </w:tc>
        <w:tc>
          <w:tcPr>
            <w:tcW w:w="900" w:type="dxa"/>
            <w:vAlign w:val="bottom"/>
            <w:vMerge w:val="restart"/>
            <w:shd w:val="clear" w:color="auto" w:fill="EAEFF9"/>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AEFF9"/>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AEFF9"/>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AEFF9"/>
          </w:tcPr>
          <w:p>
            <w:pPr>
              <w:jc w:val="right"/>
              <w:ind w:right="8"/>
              <w:spacing w:after="0"/>
              <w:rPr>
                <w:sz w:val="20"/>
                <w:szCs w:val="20"/>
                <w:color w:val="auto"/>
              </w:rPr>
            </w:pPr>
            <w:r>
              <w:rPr>
                <w:rFonts w:ascii="Arial" w:cs="Arial" w:eastAsia="Arial" w:hAnsi="Arial"/>
                <w:sz w:val="14"/>
                <w:szCs w:val="14"/>
                <w:color w:val="auto"/>
              </w:rPr>
              <w:t>55,542</w:t>
            </w:r>
            <w:r>
              <w:rPr>
                <w:rFonts w:ascii="Arial" w:cs="Arial" w:eastAsia="Arial" w:hAnsi="Arial"/>
                <w:sz w:val="24"/>
                <w:szCs w:val="24"/>
                <w:color w:val="auto"/>
                <w:vertAlign w:val="superscript"/>
              </w:rPr>
              <w:t>(6)</w:t>
            </w:r>
          </w:p>
        </w:tc>
        <w:tc>
          <w:tcPr>
            <w:tcW w:w="200" w:type="dxa"/>
            <w:vAlign w:val="bottom"/>
            <w:vMerge w:val="restart"/>
            <w:shd w:val="clear" w:color="auto" w:fill="EAEFF9"/>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AEFF9"/>
          </w:tcPr>
          <w:p>
            <w:pPr>
              <w:jc w:val="right"/>
              <w:ind w:right="48"/>
              <w:spacing w:after="0"/>
              <w:rPr>
                <w:sz w:val="20"/>
                <w:szCs w:val="20"/>
                <w:color w:val="auto"/>
              </w:rPr>
            </w:pPr>
            <w:r>
              <w:rPr>
                <w:rFonts w:ascii="Arial" w:cs="Arial" w:eastAsia="Arial" w:hAnsi="Arial"/>
                <w:sz w:val="14"/>
                <w:szCs w:val="14"/>
                <w:color w:val="auto"/>
              </w:rPr>
              <w:t>6,000,202</w:t>
            </w:r>
          </w:p>
        </w:tc>
        <w:tc>
          <w:tcPr>
            <w:tcW w:w="0" w:type="dxa"/>
            <w:vAlign w:val="bottom"/>
          </w:tcPr>
          <w:p>
            <w:pPr>
              <w:spacing w:after="0"/>
              <w:rPr>
                <w:sz w:val="1"/>
                <w:szCs w:val="1"/>
                <w:color w:val="auto"/>
              </w:rPr>
            </w:pPr>
          </w:p>
        </w:tc>
      </w:tr>
      <w:tr>
        <w:trPr>
          <w:trHeight w:val="232"/>
        </w:trPr>
        <w:tc>
          <w:tcPr>
            <w:tcW w:w="5720" w:type="dxa"/>
            <w:vAlign w:val="bottom"/>
            <w:shd w:val="clear" w:color="auto" w:fill="EAEFF9"/>
          </w:tcPr>
          <w:p>
            <w:pPr>
              <w:spacing w:after="0"/>
              <w:rPr>
                <w:sz w:val="20"/>
                <w:szCs w:val="20"/>
                <w:color w:val="auto"/>
              </w:rPr>
            </w:pPr>
          </w:p>
        </w:tc>
        <w:tc>
          <w:tcPr>
            <w:tcW w:w="60" w:type="dxa"/>
            <w:vAlign w:val="bottom"/>
            <w:shd w:val="clear" w:color="auto" w:fill="EAEFF9"/>
          </w:tcPr>
          <w:p>
            <w:pPr>
              <w:spacing w:after="0"/>
              <w:rPr>
                <w:sz w:val="20"/>
                <w:szCs w:val="20"/>
                <w:color w:val="auto"/>
              </w:rPr>
            </w:pPr>
          </w:p>
        </w:tc>
        <w:tc>
          <w:tcPr>
            <w:tcW w:w="760" w:type="dxa"/>
            <w:vAlign w:val="bottom"/>
            <w:vMerge w:val="continue"/>
            <w:shd w:val="clear" w:color="auto" w:fill="EAEFF9"/>
          </w:tcPr>
          <w:p>
            <w:pPr>
              <w:spacing w:after="0"/>
              <w:rPr>
                <w:sz w:val="20"/>
                <w:szCs w:val="20"/>
                <w:color w:val="auto"/>
              </w:rPr>
            </w:pPr>
          </w:p>
        </w:tc>
        <w:tc>
          <w:tcPr>
            <w:tcW w:w="900" w:type="dxa"/>
            <w:vAlign w:val="bottom"/>
            <w:vMerge w:val="continue"/>
            <w:shd w:val="clear" w:color="auto" w:fill="EAEFF9"/>
          </w:tcPr>
          <w:p>
            <w:pPr>
              <w:spacing w:after="0"/>
              <w:rPr>
                <w:sz w:val="20"/>
                <w:szCs w:val="20"/>
                <w:color w:val="auto"/>
              </w:rPr>
            </w:pPr>
          </w:p>
        </w:tc>
        <w:tc>
          <w:tcPr>
            <w:tcW w:w="880" w:type="dxa"/>
            <w:vAlign w:val="bottom"/>
            <w:vMerge w:val="continue"/>
            <w:shd w:val="clear" w:color="auto" w:fill="EAEFF9"/>
          </w:tcPr>
          <w:p>
            <w:pPr>
              <w:spacing w:after="0"/>
              <w:rPr>
                <w:sz w:val="20"/>
                <w:szCs w:val="20"/>
                <w:color w:val="auto"/>
              </w:rPr>
            </w:pPr>
          </w:p>
        </w:tc>
        <w:tc>
          <w:tcPr>
            <w:tcW w:w="920" w:type="dxa"/>
            <w:vAlign w:val="bottom"/>
            <w:vMerge w:val="continue"/>
            <w:shd w:val="clear" w:color="auto" w:fill="EAEFF9"/>
          </w:tcPr>
          <w:p>
            <w:pPr>
              <w:spacing w:after="0"/>
              <w:rPr>
                <w:sz w:val="20"/>
                <w:szCs w:val="20"/>
                <w:color w:val="auto"/>
              </w:rPr>
            </w:pPr>
          </w:p>
        </w:tc>
        <w:tc>
          <w:tcPr>
            <w:tcW w:w="780" w:type="dxa"/>
            <w:vAlign w:val="bottom"/>
            <w:vMerge w:val="continue"/>
            <w:shd w:val="clear" w:color="auto" w:fill="EAEFF9"/>
          </w:tcPr>
          <w:p>
            <w:pPr>
              <w:spacing w:after="0"/>
              <w:rPr>
                <w:sz w:val="20"/>
                <w:szCs w:val="20"/>
                <w:color w:val="auto"/>
              </w:rPr>
            </w:pPr>
          </w:p>
        </w:tc>
        <w:tc>
          <w:tcPr>
            <w:tcW w:w="200" w:type="dxa"/>
            <w:vAlign w:val="bottom"/>
            <w:vMerge w:val="continue"/>
            <w:shd w:val="clear" w:color="auto" w:fill="EAEFF9"/>
          </w:tcPr>
          <w:p>
            <w:pPr>
              <w:spacing w:after="0"/>
              <w:rPr>
                <w:sz w:val="20"/>
                <w:szCs w:val="20"/>
                <w:color w:val="auto"/>
              </w:rPr>
            </w:pPr>
          </w:p>
        </w:tc>
        <w:tc>
          <w:tcPr>
            <w:tcW w:w="800" w:type="dxa"/>
            <w:vAlign w:val="bottom"/>
            <w:vMerge w:val="continue"/>
            <w:shd w:val="clear" w:color="auto" w:fill="EAEFF9"/>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20" w:type="dxa"/>
            <w:vAlign w:val="bottom"/>
            <w:shd w:val="clear" w:color="auto" w:fill="E2E2D8"/>
          </w:tcPr>
          <w:p>
            <w:pPr>
              <w:spacing w:after="0"/>
              <w:rPr>
                <w:sz w:val="22"/>
                <w:szCs w:val="22"/>
                <w:color w:val="auto"/>
              </w:rPr>
            </w:pPr>
          </w:p>
        </w:tc>
        <w:tc>
          <w:tcPr>
            <w:tcW w:w="60" w:type="dxa"/>
            <w:vAlign w:val="bottom"/>
            <w:shd w:val="clear" w:color="auto" w:fill="E2E2D8"/>
          </w:tcPr>
          <w:p>
            <w:pPr>
              <w:spacing w:after="0"/>
              <w:rPr>
                <w:sz w:val="22"/>
                <w:szCs w:val="22"/>
                <w:color w:val="auto"/>
              </w:rPr>
            </w:pPr>
          </w:p>
        </w:tc>
        <w:tc>
          <w:tcPr>
            <w:tcW w:w="76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N/A</w:t>
            </w:r>
          </w:p>
        </w:tc>
        <w:tc>
          <w:tcPr>
            <w:tcW w:w="90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$1,920,000</w:t>
            </w:r>
          </w:p>
        </w:tc>
        <w:tc>
          <w:tcPr>
            <w:tcW w:w="88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$2,400,000</w:t>
            </w:r>
          </w:p>
        </w:tc>
        <w:tc>
          <w:tcPr>
            <w:tcW w:w="920" w:type="dxa"/>
            <w:vAlign w:val="bottom"/>
            <w:shd w:val="clear" w:color="auto" w:fill="E2E2D8"/>
          </w:tcPr>
          <w:p>
            <w:pPr>
              <w:jc w:val="right"/>
              <w:ind w:right="28"/>
              <w:spacing w:after="0"/>
              <w:rPr>
                <w:sz w:val="20"/>
                <w:szCs w:val="20"/>
                <w:color w:val="auto"/>
              </w:rPr>
            </w:pPr>
            <w:r>
              <w:rPr>
                <w:rFonts w:ascii="Arial" w:cs="Arial" w:eastAsia="Arial" w:hAnsi="Arial"/>
                <w:sz w:val="14"/>
                <w:szCs w:val="14"/>
                <w:color w:val="auto"/>
              </w:rPr>
              <w:t>$2,880,000</w:t>
            </w:r>
          </w:p>
        </w:tc>
        <w:tc>
          <w:tcPr>
            <w:tcW w:w="780" w:type="dxa"/>
            <w:vAlign w:val="bottom"/>
            <w:shd w:val="clear" w:color="auto" w:fill="E2E2D8"/>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E2E2D8"/>
          </w:tcPr>
          <w:p>
            <w:pPr>
              <w:spacing w:after="0"/>
              <w:rPr>
                <w:sz w:val="22"/>
                <w:szCs w:val="22"/>
                <w:color w:val="auto"/>
              </w:rPr>
            </w:pPr>
          </w:p>
        </w:tc>
        <w:tc>
          <w:tcPr>
            <w:tcW w:w="800" w:type="dxa"/>
            <w:vAlign w:val="bottom"/>
            <w:shd w:val="clear" w:color="auto" w:fill="E2E2D8"/>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3"/>
        </w:trPr>
        <w:tc>
          <w:tcPr>
            <w:tcW w:w="5720" w:type="dxa"/>
            <w:vAlign w:val="bottom"/>
            <w:shd w:val="clear" w:color="auto" w:fill="E2E2D8"/>
          </w:tcPr>
          <w:p>
            <w:pPr>
              <w:ind w:left="60"/>
              <w:spacing w:after="0"/>
              <w:rPr>
                <w:sz w:val="20"/>
                <w:szCs w:val="20"/>
                <w:color w:val="auto"/>
              </w:rPr>
            </w:pPr>
            <w:r>
              <w:rPr>
                <w:rFonts w:ascii="Arial" w:cs="Arial" w:eastAsia="Arial" w:hAnsi="Arial"/>
                <w:sz w:val="13"/>
                <w:szCs w:val="13"/>
                <w:b w:val="1"/>
                <w:bCs w:val="1"/>
                <w:color w:val="auto"/>
              </w:rPr>
              <w:t>CRAIG BILLINGS</w:t>
            </w:r>
          </w:p>
        </w:tc>
        <w:tc>
          <w:tcPr>
            <w:tcW w:w="60" w:type="dxa"/>
            <w:vAlign w:val="bottom"/>
            <w:shd w:val="clear" w:color="auto" w:fill="E2E2D8"/>
          </w:tcPr>
          <w:p>
            <w:pPr>
              <w:spacing w:after="0"/>
              <w:rPr>
                <w:sz w:val="24"/>
                <w:szCs w:val="24"/>
                <w:color w:val="auto"/>
              </w:rPr>
            </w:pPr>
          </w:p>
        </w:tc>
        <w:tc>
          <w:tcPr>
            <w:tcW w:w="76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1/11/2021</w:t>
            </w:r>
          </w:p>
        </w:tc>
        <w:tc>
          <w:tcPr>
            <w:tcW w:w="900" w:type="dxa"/>
            <w:vAlign w:val="bottom"/>
            <w:shd w:val="clear" w:color="auto" w:fill="E2E2D8"/>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2E2D8"/>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E2E2D8"/>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20,366</w:t>
            </w:r>
            <w:r>
              <w:rPr>
                <w:rFonts w:ascii="Arial" w:cs="Arial" w:eastAsia="Arial" w:hAnsi="Arial"/>
                <w:sz w:val="24"/>
                <w:szCs w:val="24"/>
                <w:color w:val="auto"/>
                <w:vertAlign w:val="superscript"/>
              </w:rPr>
              <w:t>(7)</w:t>
            </w:r>
          </w:p>
        </w:tc>
        <w:tc>
          <w:tcPr>
            <w:tcW w:w="200" w:type="dxa"/>
            <w:vAlign w:val="bottom"/>
            <w:shd w:val="clear" w:color="auto" w:fill="E2E2D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2E2D8"/>
          </w:tcPr>
          <w:p>
            <w:pPr>
              <w:jc w:val="right"/>
              <w:ind w:right="48"/>
              <w:spacing w:after="0"/>
              <w:rPr>
                <w:sz w:val="20"/>
                <w:szCs w:val="20"/>
                <w:color w:val="auto"/>
              </w:rPr>
            </w:pPr>
            <w:r>
              <w:rPr>
                <w:rFonts w:ascii="Arial" w:cs="Arial" w:eastAsia="Arial" w:hAnsi="Arial"/>
                <w:sz w:val="14"/>
                <w:szCs w:val="14"/>
                <w:color w:val="auto"/>
              </w:rPr>
              <w:t>2,200,139</w:t>
            </w:r>
          </w:p>
        </w:tc>
        <w:tc>
          <w:tcPr>
            <w:tcW w:w="0" w:type="dxa"/>
            <w:vAlign w:val="bottom"/>
          </w:tcPr>
          <w:p>
            <w:pPr>
              <w:spacing w:after="0"/>
              <w:rPr>
                <w:sz w:val="1"/>
                <w:szCs w:val="1"/>
                <w:color w:val="auto"/>
              </w:rPr>
            </w:pPr>
          </w:p>
        </w:tc>
      </w:tr>
      <w:tr>
        <w:trPr>
          <w:trHeight w:val="310"/>
        </w:trPr>
        <w:tc>
          <w:tcPr>
            <w:tcW w:w="5720" w:type="dxa"/>
            <w:vAlign w:val="bottom"/>
            <w:shd w:val="clear" w:color="auto" w:fill="E2E2D8"/>
          </w:tcPr>
          <w:p>
            <w:pPr>
              <w:spacing w:after="0"/>
              <w:rPr>
                <w:sz w:val="24"/>
                <w:szCs w:val="24"/>
                <w:color w:val="auto"/>
              </w:rPr>
            </w:pPr>
          </w:p>
        </w:tc>
        <w:tc>
          <w:tcPr>
            <w:tcW w:w="60" w:type="dxa"/>
            <w:vAlign w:val="bottom"/>
            <w:shd w:val="clear" w:color="auto" w:fill="E2E2D8"/>
          </w:tcPr>
          <w:p>
            <w:pPr>
              <w:spacing w:after="0"/>
              <w:rPr>
                <w:sz w:val="24"/>
                <w:szCs w:val="24"/>
                <w:color w:val="auto"/>
              </w:rPr>
            </w:pPr>
          </w:p>
        </w:tc>
        <w:tc>
          <w:tcPr>
            <w:tcW w:w="76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11/9/2021</w:t>
            </w:r>
          </w:p>
        </w:tc>
        <w:tc>
          <w:tcPr>
            <w:tcW w:w="900" w:type="dxa"/>
            <w:vAlign w:val="bottom"/>
            <w:shd w:val="clear" w:color="auto" w:fill="E2E2D8"/>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2E2D8"/>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E2E2D8"/>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2D8"/>
          </w:tcPr>
          <w:p>
            <w:pPr>
              <w:jc w:val="right"/>
              <w:ind w:right="8"/>
              <w:spacing w:after="0"/>
              <w:rPr>
                <w:sz w:val="20"/>
                <w:szCs w:val="20"/>
                <w:color w:val="auto"/>
              </w:rPr>
            </w:pPr>
            <w:r>
              <w:rPr>
                <w:rFonts w:ascii="Arial" w:cs="Arial" w:eastAsia="Arial" w:hAnsi="Arial"/>
                <w:sz w:val="14"/>
                <w:szCs w:val="14"/>
                <w:color w:val="auto"/>
              </w:rPr>
              <w:t>52,715</w:t>
            </w:r>
            <w:r>
              <w:rPr>
                <w:rFonts w:ascii="Arial" w:cs="Arial" w:eastAsia="Arial" w:hAnsi="Arial"/>
                <w:sz w:val="24"/>
                <w:szCs w:val="24"/>
                <w:color w:val="auto"/>
                <w:vertAlign w:val="superscript"/>
              </w:rPr>
              <w:t>(8)</w:t>
            </w:r>
          </w:p>
        </w:tc>
        <w:tc>
          <w:tcPr>
            <w:tcW w:w="200" w:type="dxa"/>
            <w:vAlign w:val="bottom"/>
            <w:shd w:val="clear" w:color="auto" w:fill="E2E2D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2E2D8"/>
          </w:tcPr>
          <w:p>
            <w:pPr>
              <w:jc w:val="right"/>
              <w:ind w:right="48"/>
              <w:spacing w:after="0"/>
              <w:rPr>
                <w:sz w:val="20"/>
                <w:szCs w:val="20"/>
                <w:color w:val="auto"/>
              </w:rPr>
            </w:pPr>
            <w:r>
              <w:rPr>
                <w:rFonts w:ascii="Arial" w:cs="Arial" w:eastAsia="Arial" w:hAnsi="Arial"/>
                <w:sz w:val="14"/>
                <w:szCs w:val="14"/>
                <w:color w:val="auto"/>
              </w:rPr>
              <w:t>4,961,536</w:t>
            </w:r>
          </w:p>
        </w:tc>
        <w:tc>
          <w:tcPr>
            <w:tcW w:w="0" w:type="dxa"/>
            <w:vAlign w:val="bottom"/>
          </w:tcPr>
          <w:p>
            <w:pPr>
              <w:spacing w:after="0"/>
              <w:rPr>
                <w:sz w:val="1"/>
                <w:szCs w:val="1"/>
                <w:color w:val="auto"/>
              </w:rPr>
            </w:pPr>
          </w:p>
        </w:tc>
      </w:tr>
      <w:tr>
        <w:trPr>
          <w:trHeight w:val="258"/>
        </w:trPr>
        <w:tc>
          <w:tcPr>
            <w:tcW w:w="5720" w:type="dxa"/>
            <w:vAlign w:val="bottom"/>
            <w:vMerge w:val="restart"/>
            <w:shd w:val="clear" w:color="auto" w:fill="EAEFF9"/>
          </w:tcPr>
          <w:p>
            <w:pPr>
              <w:ind w:left="60"/>
              <w:spacing w:after="0"/>
              <w:rPr>
                <w:sz w:val="20"/>
                <w:szCs w:val="20"/>
                <w:color w:val="auto"/>
              </w:rPr>
            </w:pPr>
            <w:r>
              <w:rPr>
                <w:rFonts w:ascii="Arial" w:cs="Arial" w:eastAsia="Arial" w:hAnsi="Arial"/>
                <w:sz w:val="13"/>
                <w:szCs w:val="13"/>
                <w:b w:val="1"/>
                <w:bCs w:val="1"/>
                <w:color w:val="auto"/>
              </w:rPr>
              <w:t>ELLEN F. WHITTEMORE</w:t>
            </w:r>
          </w:p>
        </w:tc>
        <w:tc>
          <w:tcPr>
            <w:tcW w:w="60" w:type="dxa"/>
            <w:vAlign w:val="bottom"/>
            <w:shd w:val="clear" w:color="auto" w:fill="EAEFF9"/>
          </w:tcPr>
          <w:p>
            <w:pPr>
              <w:spacing w:after="0"/>
              <w:rPr>
                <w:sz w:val="22"/>
                <w:szCs w:val="22"/>
                <w:color w:val="auto"/>
              </w:rPr>
            </w:pPr>
          </w:p>
        </w:tc>
        <w:tc>
          <w:tcPr>
            <w:tcW w:w="760" w:type="dxa"/>
            <w:vAlign w:val="bottom"/>
            <w:shd w:val="clear" w:color="auto" w:fill="EAEFF9"/>
          </w:tcPr>
          <w:p>
            <w:pPr>
              <w:jc w:val="right"/>
              <w:ind w:right="8"/>
              <w:spacing w:after="0"/>
              <w:rPr>
                <w:sz w:val="20"/>
                <w:szCs w:val="20"/>
                <w:color w:val="auto"/>
              </w:rPr>
            </w:pPr>
            <w:r>
              <w:rPr>
                <w:rFonts w:ascii="Arial" w:cs="Arial" w:eastAsia="Arial" w:hAnsi="Arial"/>
                <w:sz w:val="14"/>
                <w:szCs w:val="14"/>
                <w:color w:val="auto"/>
              </w:rPr>
              <w:t>N/A</w:t>
            </w:r>
          </w:p>
        </w:tc>
        <w:tc>
          <w:tcPr>
            <w:tcW w:w="900" w:type="dxa"/>
            <w:vAlign w:val="bottom"/>
            <w:shd w:val="clear" w:color="auto" w:fill="EAEFF9"/>
          </w:tcPr>
          <w:p>
            <w:pPr>
              <w:jc w:val="right"/>
              <w:ind w:right="8"/>
              <w:spacing w:after="0"/>
              <w:rPr>
                <w:sz w:val="20"/>
                <w:szCs w:val="20"/>
                <w:color w:val="auto"/>
              </w:rPr>
            </w:pPr>
            <w:r>
              <w:rPr>
                <w:rFonts w:ascii="Arial" w:cs="Arial" w:eastAsia="Arial" w:hAnsi="Arial"/>
                <w:sz w:val="14"/>
                <w:szCs w:val="14"/>
                <w:color w:val="auto"/>
              </w:rPr>
              <w:t>$1,120,000</w:t>
            </w:r>
          </w:p>
        </w:tc>
        <w:tc>
          <w:tcPr>
            <w:tcW w:w="880" w:type="dxa"/>
            <w:vAlign w:val="bottom"/>
            <w:shd w:val="clear" w:color="auto" w:fill="EAEFF9"/>
          </w:tcPr>
          <w:p>
            <w:pPr>
              <w:jc w:val="right"/>
              <w:ind w:right="8"/>
              <w:spacing w:after="0"/>
              <w:rPr>
                <w:sz w:val="20"/>
                <w:szCs w:val="20"/>
                <w:color w:val="auto"/>
              </w:rPr>
            </w:pPr>
            <w:r>
              <w:rPr>
                <w:rFonts w:ascii="Arial" w:cs="Arial" w:eastAsia="Arial" w:hAnsi="Arial"/>
                <w:sz w:val="14"/>
                <w:szCs w:val="14"/>
                <w:color w:val="auto"/>
              </w:rPr>
              <w:t>$1,400,000</w:t>
            </w:r>
          </w:p>
        </w:tc>
        <w:tc>
          <w:tcPr>
            <w:tcW w:w="920" w:type="dxa"/>
            <w:vAlign w:val="bottom"/>
            <w:shd w:val="clear" w:color="auto" w:fill="EAEFF9"/>
          </w:tcPr>
          <w:p>
            <w:pPr>
              <w:jc w:val="right"/>
              <w:ind w:right="28"/>
              <w:spacing w:after="0"/>
              <w:rPr>
                <w:sz w:val="20"/>
                <w:szCs w:val="20"/>
                <w:color w:val="auto"/>
              </w:rPr>
            </w:pPr>
            <w:r>
              <w:rPr>
                <w:rFonts w:ascii="Arial" w:cs="Arial" w:eastAsia="Arial" w:hAnsi="Arial"/>
                <w:sz w:val="14"/>
                <w:szCs w:val="14"/>
                <w:color w:val="auto"/>
              </w:rPr>
              <w:t>$1,680,000</w:t>
            </w:r>
          </w:p>
        </w:tc>
        <w:tc>
          <w:tcPr>
            <w:tcW w:w="780" w:type="dxa"/>
            <w:vAlign w:val="bottom"/>
            <w:shd w:val="clear" w:color="auto" w:fill="EAEFF9"/>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9"/>
          </w:tcPr>
          <w:p>
            <w:pPr>
              <w:spacing w:after="0"/>
              <w:rPr>
                <w:sz w:val="22"/>
                <w:szCs w:val="22"/>
                <w:color w:val="auto"/>
              </w:rPr>
            </w:pPr>
          </w:p>
        </w:tc>
        <w:tc>
          <w:tcPr>
            <w:tcW w:w="800" w:type="dxa"/>
            <w:vAlign w:val="bottom"/>
            <w:shd w:val="clear" w:color="auto" w:fill="EAEFF9"/>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5720" w:type="dxa"/>
            <w:vAlign w:val="bottom"/>
            <w:vMerge w:val="continue"/>
            <w:shd w:val="clear" w:color="auto" w:fill="EAEFF9"/>
          </w:tcPr>
          <w:p>
            <w:pPr>
              <w:spacing w:after="0"/>
              <w:rPr>
                <w:sz w:val="11"/>
                <w:szCs w:val="11"/>
                <w:color w:val="auto"/>
              </w:rPr>
            </w:pPr>
          </w:p>
        </w:tc>
        <w:tc>
          <w:tcPr>
            <w:tcW w:w="60" w:type="dxa"/>
            <w:vAlign w:val="bottom"/>
            <w:shd w:val="clear" w:color="auto" w:fill="EAEFF9"/>
          </w:tcPr>
          <w:p>
            <w:pPr>
              <w:spacing w:after="0"/>
              <w:rPr>
                <w:sz w:val="11"/>
                <w:szCs w:val="11"/>
                <w:color w:val="auto"/>
              </w:rPr>
            </w:pPr>
          </w:p>
        </w:tc>
        <w:tc>
          <w:tcPr>
            <w:tcW w:w="760" w:type="dxa"/>
            <w:vAlign w:val="bottom"/>
            <w:vMerge w:val="restart"/>
            <w:shd w:val="clear" w:color="auto" w:fill="EAEFF9"/>
          </w:tcPr>
          <w:p>
            <w:pPr>
              <w:jc w:val="right"/>
              <w:ind w:right="8"/>
              <w:spacing w:after="0"/>
              <w:rPr>
                <w:sz w:val="20"/>
                <w:szCs w:val="20"/>
                <w:color w:val="auto"/>
              </w:rPr>
            </w:pPr>
            <w:r>
              <w:rPr>
                <w:rFonts w:ascii="Arial" w:cs="Arial" w:eastAsia="Arial" w:hAnsi="Arial"/>
                <w:sz w:val="14"/>
                <w:szCs w:val="14"/>
                <w:color w:val="auto"/>
              </w:rPr>
              <w:t>1/11/2021</w:t>
            </w:r>
          </w:p>
        </w:tc>
        <w:tc>
          <w:tcPr>
            <w:tcW w:w="900" w:type="dxa"/>
            <w:vAlign w:val="bottom"/>
            <w:vMerge w:val="restart"/>
            <w:shd w:val="clear" w:color="auto" w:fill="EAEFF9"/>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AEFF9"/>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AEFF9"/>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AEFF9"/>
          </w:tcPr>
          <w:p>
            <w:pPr>
              <w:jc w:val="right"/>
              <w:ind w:right="8"/>
              <w:spacing w:after="0"/>
              <w:rPr>
                <w:sz w:val="20"/>
                <w:szCs w:val="20"/>
                <w:color w:val="auto"/>
              </w:rPr>
            </w:pPr>
            <w:r>
              <w:rPr>
                <w:rFonts w:ascii="Arial" w:cs="Arial" w:eastAsia="Arial" w:hAnsi="Arial"/>
                <w:sz w:val="14"/>
                <w:szCs w:val="14"/>
                <w:color w:val="auto"/>
              </w:rPr>
              <w:t>9,952</w:t>
            </w:r>
            <w:r>
              <w:rPr>
                <w:rFonts w:ascii="Arial" w:cs="Arial" w:eastAsia="Arial" w:hAnsi="Arial"/>
                <w:sz w:val="24"/>
                <w:szCs w:val="24"/>
                <w:color w:val="auto"/>
                <w:vertAlign w:val="superscript"/>
              </w:rPr>
              <w:t>(7)</w:t>
            </w:r>
          </w:p>
        </w:tc>
        <w:tc>
          <w:tcPr>
            <w:tcW w:w="200" w:type="dxa"/>
            <w:vAlign w:val="bottom"/>
            <w:vMerge w:val="restart"/>
            <w:shd w:val="clear" w:color="auto" w:fill="EAEFF9"/>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AEFF9"/>
          </w:tcPr>
          <w:p>
            <w:pPr>
              <w:jc w:val="right"/>
              <w:ind w:right="48"/>
              <w:spacing w:after="0"/>
              <w:rPr>
                <w:sz w:val="20"/>
                <w:szCs w:val="20"/>
                <w:color w:val="auto"/>
              </w:rPr>
            </w:pPr>
            <w:r>
              <w:rPr>
                <w:rFonts w:ascii="Arial" w:cs="Arial" w:eastAsia="Arial" w:hAnsi="Arial"/>
                <w:sz w:val="14"/>
                <w:szCs w:val="14"/>
                <w:color w:val="auto"/>
              </w:rPr>
              <w:t>1,075,115</w:t>
            </w:r>
          </w:p>
        </w:tc>
        <w:tc>
          <w:tcPr>
            <w:tcW w:w="0" w:type="dxa"/>
            <w:vAlign w:val="bottom"/>
          </w:tcPr>
          <w:p>
            <w:pPr>
              <w:spacing w:after="0"/>
              <w:rPr>
                <w:sz w:val="1"/>
                <w:szCs w:val="1"/>
                <w:color w:val="auto"/>
              </w:rPr>
            </w:pPr>
          </w:p>
        </w:tc>
      </w:tr>
      <w:tr>
        <w:trPr>
          <w:trHeight w:val="232"/>
        </w:trPr>
        <w:tc>
          <w:tcPr>
            <w:tcW w:w="5720" w:type="dxa"/>
            <w:vAlign w:val="bottom"/>
            <w:shd w:val="clear" w:color="auto" w:fill="EAEFF9"/>
          </w:tcPr>
          <w:p>
            <w:pPr>
              <w:spacing w:after="0"/>
              <w:rPr>
                <w:sz w:val="20"/>
                <w:szCs w:val="20"/>
                <w:color w:val="auto"/>
              </w:rPr>
            </w:pPr>
          </w:p>
        </w:tc>
        <w:tc>
          <w:tcPr>
            <w:tcW w:w="60" w:type="dxa"/>
            <w:vAlign w:val="bottom"/>
            <w:shd w:val="clear" w:color="auto" w:fill="EAEFF9"/>
          </w:tcPr>
          <w:p>
            <w:pPr>
              <w:spacing w:after="0"/>
              <w:rPr>
                <w:sz w:val="20"/>
                <w:szCs w:val="20"/>
                <w:color w:val="auto"/>
              </w:rPr>
            </w:pPr>
          </w:p>
        </w:tc>
        <w:tc>
          <w:tcPr>
            <w:tcW w:w="760" w:type="dxa"/>
            <w:vAlign w:val="bottom"/>
            <w:vMerge w:val="continue"/>
            <w:shd w:val="clear" w:color="auto" w:fill="EAEFF9"/>
          </w:tcPr>
          <w:p>
            <w:pPr>
              <w:spacing w:after="0"/>
              <w:rPr>
                <w:sz w:val="20"/>
                <w:szCs w:val="20"/>
                <w:color w:val="auto"/>
              </w:rPr>
            </w:pPr>
          </w:p>
        </w:tc>
        <w:tc>
          <w:tcPr>
            <w:tcW w:w="900" w:type="dxa"/>
            <w:vAlign w:val="bottom"/>
            <w:vMerge w:val="continue"/>
            <w:shd w:val="clear" w:color="auto" w:fill="EAEFF9"/>
          </w:tcPr>
          <w:p>
            <w:pPr>
              <w:spacing w:after="0"/>
              <w:rPr>
                <w:sz w:val="20"/>
                <w:szCs w:val="20"/>
                <w:color w:val="auto"/>
              </w:rPr>
            </w:pPr>
          </w:p>
        </w:tc>
        <w:tc>
          <w:tcPr>
            <w:tcW w:w="880" w:type="dxa"/>
            <w:vAlign w:val="bottom"/>
            <w:vMerge w:val="continue"/>
            <w:shd w:val="clear" w:color="auto" w:fill="EAEFF9"/>
          </w:tcPr>
          <w:p>
            <w:pPr>
              <w:spacing w:after="0"/>
              <w:rPr>
                <w:sz w:val="20"/>
                <w:szCs w:val="20"/>
                <w:color w:val="auto"/>
              </w:rPr>
            </w:pPr>
          </w:p>
        </w:tc>
        <w:tc>
          <w:tcPr>
            <w:tcW w:w="920" w:type="dxa"/>
            <w:vAlign w:val="bottom"/>
            <w:vMerge w:val="continue"/>
            <w:shd w:val="clear" w:color="auto" w:fill="EAEFF9"/>
          </w:tcPr>
          <w:p>
            <w:pPr>
              <w:spacing w:after="0"/>
              <w:rPr>
                <w:sz w:val="20"/>
                <w:szCs w:val="20"/>
                <w:color w:val="auto"/>
              </w:rPr>
            </w:pPr>
          </w:p>
        </w:tc>
        <w:tc>
          <w:tcPr>
            <w:tcW w:w="780" w:type="dxa"/>
            <w:vAlign w:val="bottom"/>
            <w:vMerge w:val="continue"/>
            <w:shd w:val="clear" w:color="auto" w:fill="EAEFF9"/>
          </w:tcPr>
          <w:p>
            <w:pPr>
              <w:spacing w:after="0"/>
              <w:rPr>
                <w:sz w:val="20"/>
                <w:szCs w:val="20"/>
                <w:color w:val="auto"/>
              </w:rPr>
            </w:pPr>
          </w:p>
        </w:tc>
        <w:tc>
          <w:tcPr>
            <w:tcW w:w="200" w:type="dxa"/>
            <w:vAlign w:val="bottom"/>
            <w:vMerge w:val="continue"/>
            <w:shd w:val="clear" w:color="auto" w:fill="EAEFF9"/>
          </w:tcPr>
          <w:p>
            <w:pPr>
              <w:spacing w:after="0"/>
              <w:rPr>
                <w:sz w:val="20"/>
                <w:szCs w:val="20"/>
                <w:color w:val="auto"/>
              </w:rPr>
            </w:pPr>
          </w:p>
        </w:tc>
        <w:tc>
          <w:tcPr>
            <w:tcW w:w="800" w:type="dxa"/>
            <w:vAlign w:val="bottom"/>
            <w:vMerge w:val="continue"/>
            <w:shd w:val="clear" w:color="auto" w:fill="EAEFF9"/>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120" w:right="20" w:hanging="4"/>
        <w:spacing w:after="0" w:line="234" w:lineRule="auto"/>
        <w:tabs>
          <w:tab w:leader="none" w:pos="309"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potential 2021 performance-based annual incentive awards that could have been earned for 2021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2021 performance criteria: (i) achievement of a 2021 Encore Boston Harbor Adjusted Property EBITDA goal, (ii) achievement of Macau operations mass table and slots GGR market share goal, (iii) achievement of Wynn Las Vegas GGR market share goal and</w:t>
      </w:r>
    </w:p>
    <w:p>
      <w:pPr>
        <w:spacing w:after="0" w:line="1" w:lineRule="exact"/>
        <w:rPr>
          <w:rFonts w:ascii="Arial" w:cs="Arial" w:eastAsia="Arial" w:hAnsi="Arial"/>
          <w:sz w:val="12"/>
          <w:szCs w:val="12"/>
          <w:color w:val="auto"/>
        </w:rPr>
      </w:pPr>
    </w:p>
    <w:p>
      <w:pPr>
        <w:ind w:left="120"/>
        <w:spacing w:after="0"/>
        <w:rPr>
          <w:rFonts w:ascii="Arial" w:cs="Arial" w:eastAsia="Arial" w:hAnsi="Arial"/>
          <w:sz w:val="12"/>
          <w:szCs w:val="12"/>
          <w:color w:val="auto"/>
        </w:rPr>
      </w:pPr>
      <w:r>
        <w:rPr>
          <w:rFonts w:ascii="Arial" w:cs="Arial" w:eastAsia="Arial" w:hAnsi="Arial"/>
          <w:sz w:val="13"/>
          <w:szCs w:val="13"/>
          <w:color w:val="auto"/>
        </w:rPr>
        <w:t>(iv) successfully capitalize Wynn Interactive. Actual payouts are described in “Compensation Discussion and Analysis-How We Designed Incentives for 2021 Annual incentive payout.”</w:t>
      </w:r>
    </w:p>
    <w:p>
      <w:pPr>
        <w:spacing w:after="0" w:line="93" w:lineRule="exact"/>
        <w:rPr>
          <w:rFonts w:ascii="Arial" w:cs="Arial" w:eastAsia="Arial" w:hAnsi="Arial"/>
          <w:sz w:val="12"/>
          <w:szCs w:val="12"/>
          <w:color w:val="auto"/>
        </w:rPr>
      </w:pPr>
    </w:p>
    <w:p>
      <w:pPr>
        <w:ind w:left="120" w:right="20" w:hanging="4"/>
        <w:spacing w:after="0" w:line="223" w:lineRule="auto"/>
        <w:tabs>
          <w:tab w:leader="none" w:pos="309"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amounts set forth in this column reflect the aggregate grant date fair value of stock awards computed in accordance with FASB ASC Topic 718. Performance-based restricted share awards in this column are reflected based on the probable outcome of such conditions as of the applicable grant date in accordance with accounting standards for stock-based compensation. Except as otherwise described in the footnotes to this table, all performance-based restricted share awards were deemed probable of vesting on the grant date. See our Annual Report on Form 10-K for the year ended December 31, 2021, Item 8, Note 12 -“Stock-Based Compensation” to our Consolidated Financial Statements for assumptions used in computing fair value.</w:t>
      </w:r>
    </w:p>
    <w:p>
      <w:pPr>
        <w:spacing w:after="0" w:line="77" w:lineRule="exact"/>
        <w:rPr>
          <w:rFonts w:ascii="Arial" w:cs="Arial" w:eastAsia="Arial" w:hAnsi="Arial"/>
          <w:sz w:val="13"/>
          <w:szCs w:val="13"/>
          <w:color w:val="auto"/>
        </w:rPr>
      </w:pPr>
    </w:p>
    <w:p>
      <w:pPr>
        <w:ind w:left="300" w:hanging="184"/>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Amounts in the Threshold column reflect potential awards for achievement of (i) 2021 Encore Boston Harbor Adjusted Property EBITDA greater than or equal to $130 million but less than</w:t>
      </w:r>
    </w:p>
    <w:p>
      <w:pPr>
        <w:ind w:left="120" w:right="180"/>
        <w:spacing w:after="0" w:line="234" w:lineRule="auto"/>
        <w:rPr>
          <w:sz w:val="20"/>
          <w:szCs w:val="20"/>
          <w:color w:val="auto"/>
        </w:rPr>
      </w:pPr>
      <w:r>
        <w:rPr>
          <w:rFonts w:ascii="Arial" w:cs="Arial" w:eastAsia="Arial" w:hAnsi="Arial"/>
          <w:sz w:val="12"/>
          <w:szCs w:val="12"/>
          <w:color w:val="auto"/>
        </w:rPr>
        <w:t>$140 million, (ii) Macau operations mass table and slots GGR market share above or equal to 10.5% but below 11.5%, (iii) Wynn Las Vegas GGR market share above or equal to 10.0% but below 12.0% and (iv) successfully capitalize Wynn Interactive. No awards would have been payable under if the (i) 2021 Encore Boston Harbor Adjusted Property EBITDA was below $130 million,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(ii) Macau operations mass table and slots GGR market share was below 10.5%, (iii) Wynn Las Vegas GGR market share was below 10.0% and (iv) Wynn Interactive is not successfully capitalized.</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(4) Amounts in the Target column reflect potential awards for achievement of (i) 2021 Encore Boston Harbor Adjusted Property EBITDA greater than or equal to $140 million but less than</w:t>
      </w:r>
    </w:p>
    <w:p>
      <w:pPr>
        <w:ind w:left="120" w:right="180"/>
        <w:spacing w:after="0" w:line="230" w:lineRule="auto"/>
        <w:rPr>
          <w:sz w:val="20"/>
          <w:szCs w:val="20"/>
          <w:color w:val="auto"/>
        </w:rPr>
      </w:pPr>
      <w:r>
        <w:rPr>
          <w:rFonts w:ascii="Arial" w:cs="Arial" w:eastAsia="Arial" w:hAnsi="Arial"/>
          <w:sz w:val="13"/>
          <w:szCs w:val="13"/>
          <w:color w:val="auto"/>
        </w:rPr>
        <w:t>$155 million, (ii) Macau operations mass table and slots GGR market share above or equal to 11.5% but below 13.0%, (iii) Wynn Las Vegas GGR market share above or equal to 12.0% but below 14.0% and (iv) Successfully capitalize Wynn Interactive.</w:t>
      </w:r>
    </w:p>
    <w:p>
      <w:pPr>
        <w:spacing w:after="0" w:line="91" w:lineRule="exact"/>
        <w:rPr>
          <w:sz w:val="20"/>
          <w:szCs w:val="20"/>
          <w:color w:val="auto"/>
        </w:rPr>
      </w:pPr>
    </w:p>
    <w:p>
      <w:pPr>
        <w:ind w:left="120" w:right="20" w:hanging="4"/>
        <w:spacing w:after="0" w:line="259" w:lineRule="auto"/>
        <w:tabs>
          <w:tab w:leader="none" w:pos="309"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in the Maximum column reflect potential awards for achievement of (i) 2021 Encore Boston Harbor Adjusted Property EBITDA greater than or equal to $155 million, (ii) Macau operations mass table and slots GGR market share above or equal to 13.0%, (iii) Wynn Las Vegas GGR market share above or equal to 14.0%, and (iv) Successfully capitalize Wynn Interactive.</w:t>
      </w:r>
    </w:p>
    <w:p>
      <w:pPr>
        <w:spacing w:after="0" w:line="80" w:lineRule="exact"/>
        <w:rPr>
          <w:rFonts w:ascii="Arial" w:cs="Arial" w:eastAsia="Arial" w:hAnsi="Arial"/>
          <w:sz w:val="12"/>
          <w:szCs w:val="12"/>
          <w:color w:val="auto"/>
        </w:rPr>
      </w:pPr>
    </w:p>
    <w:p>
      <w:pPr>
        <w:ind w:left="120" w:right="40" w:hanging="4"/>
        <w:spacing w:after="0" w:line="223" w:lineRule="auto"/>
        <w:tabs>
          <w:tab w:leader="none" w:pos="309" w:val="left"/>
        </w:tabs>
        <w:numPr>
          <w:ilvl w:val="0"/>
          <w:numId w:val="50"/>
        </w:numPr>
        <w:rPr>
          <w:rFonts w:ascii="Arial" w:cs="Arial" w:eastAsia="Arial" w:hAnsi="Arial"/>
          <w:sz w:val="13"/>
          <w:szCs w:val="13"/>
          <w:color w:val="auto"/>
        </w:rPr>
      </w:pPr>
      <w:r>
        <w:rPr>
          <w:rFonts w:ascii="Arial" w:cs="Arial" w:eastAsia="Arial" w:hAnsi="Arial"/>
          <w:sz w:val="13"/>
          <w:szCs w:val="13"/>
          <w:color w:val="auto"/>
        </w:rPr>
        <w:t>On January 11, 2021, Mr. Maddox was granted 55,542 shares of restricted stock, provided that 50% of the shares would vest ratably on each of the three anniversary dates from the date of the grant, subject to continued employment. The other 50% of the shares would vest ratably on February 28th of 2022, 2023 and 2024, which are subject to the achievement of pre-established property-level revenue performance goals and continued employment. On November 9, 2021, Mr. Maddox entered into a Transition Agreement, effective January 31, 2022, and as such, Mr. Maddox will receive pro-rata shares of 9,007 for his January 11, 2021 grant in connection with his transition and departure.</w:t>
      </w:r>
    </w:p>
    <w:p>
      <w:pPr>
        <w:spacing w:after="0" w:line="92" w:lineRule="exact"/>
        <w:rPr>
          <w:rFonts w:ascii="Arial" w:cs="Arial" w:eastAsia="Arial" w:hAnsi="Arial"/>
          <w:sz w:val="13"/>
          <w:szCs w:val="13"/>
          <w:color w:val="auto"/>
        </w:rPr>
      </w:pPr>
    </w:p>
    <w:p>
      <w:pPr>
        <w:jc w:val="both"/>
        <w:ind w:left="120" w:right="60" w:hanging="4"/>
        <w:spacing w:after="0" w:line="225" w:lineRule="auto"/>
        <w:tabs>
          <w:tab w:leader="none" w:pos="309" w:val="left"/>
        </w:tabs>
        <w:numPr>
          <w:ilvl w:val="0"/>
          <w:numId w:val="50"/>
        </w:numPr>
        <w:rPr>
          <w:rFonts w:ascii="Arial" w:cs="Arial" w:eastAsia="Arial" w:hAnsi="Arial"/>
          <w:sz w:val="13"/>
          <w:szCs w:val="13"/>
          <w:color w:val="auto"/>
        </w:rPr>
      </w:pPr>
      <w:r>
        <w:rPr>
          <w:rFonts w:ascii="Arial" w:cs="Arial" w:eastAsia="Arial" w:hAnsi="Arial"/>
          <w:sz w:val="13"/>
          <w:szCs w:val="13"/>
          <w:color w:val="auto"/>
        </w:rPr>
        <w:t>On January 11, 2021, Mr. Billings and Ms. Whittemore were granted 20,366 and 9,952 shares of restricted stock, respectively. The restricted stock awards provided that 50% of the shares would vest ratably on each of the three anniversary dates from the date of the grant, subject to continued employment. The other 50% of the shares would vest ratably on February 28th of 2022, 2023, and 2024, which are subject to the achievement of pre-established property-level revenue performance goals and continued employment.</w:t>
      </w:r>
    </w:p>
    <w:p>
      <w:pPr>
        <w:spacing w:after="0" w:line="92" w:lineRule="exact"/>
        <w:rPr>
          <w:rFonts w:ascii="Arial" w:cs="Arial" w:eastAsia="Arial" w:hAnsi="Arial"/>
          <w:sz w:val="13"/>
          <w:szCs w:val="13"/>
          <w:color w:val="auto"/>
        </w:rPr>
      </w:pPr>
    </w:p>
    <w:p>
      <w:pPr>
        <w:ind w:left="120" w:right="200" w:hanging="4"/>
        <w:spacing w:after="0" w:line="230" w:lineRule="auto"/>
        <w:tabs>
          <w:tab w:leader="none" w:pos="309"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 connection with an employment agreement executed on November 9, 2021, Mr. Billings received an initial grant of 52,715 shares of restricted stock with 1/3 of the shares vesting on each of the three anniversary dates from the date of the grant, subject to continued employment.</w:t>
      </w:r>
    </w:p>
    <w:p>
      <w:pPr>
        <w:spacing w:after="0" w:line="142" w:lineRule="exact"/>
        <w:rPr>
          <w:rFonts w:ascii="Arial" w:cs="Arial" w:eastAsia="Arial" w:hAnsi="Arial"/>
          <w:sz w:val="13"/>
          <w:szCs w:val="13"/>
          <w:color w:val="auto"/>
        </w:rPr>
      </w:pPr>
    </w:p>
    <w:p>
      <w:pPr>
        <w:ind w:left="5780" w:hanging="160"/>
        <w:spacing w:after="0"/>
        <w:tabs>
          <w:tab w:leader="none" w:pos="5780" w:val="left"/>
        </w:tabs>
        <w:numPr>
          <w:ilvl w:val="1"/>
          <w:numId w:val="50"/>
        </w:numPr>
        <w:rPr>
          <w:rFonts w:ascii="Arial" w:cs="Arial" w:eastAsia="Arial" w:hAnsi="Arial"/>
          <w:sz w:val="14"/>
          <w:szCs w:val="14"/>
          <w:color w:val="auto"/>
        </w:rPr>
      </w:pPr>
      <w:r>
        <w:rPr>
          <w:rFonts w:ascii="Arial" w:cs="Arial" w:eastAsia="Arial" w:hAnsi="Arial"/>
          <w:sz w:val="14"/>
          <w:szCs w:val="14"/>
          <w:color w:val="auto"/>
        </w:rPr>
        <w:t>49 //</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14833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483360"/>
                    </a:xfrm>
                    <a:prstGeom prst="rect">
                      <a:avLst/>
                    </a:prstGeom>
                    <a:noFill/>
                  </pic:spPr>
                </pic:pic>
              </a:graphicData>
            </a:graphic>
          </wp:anchor>
        </w:drawing>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5540" w:type="dxa"/>
            <w:vAlign w:val="bottom"/>
            <w:shd w:val="clear" w:color="auto" w:fill="E2E2D8"/>
          </w:tcPr>
          <w:p>
            <w:pPr>
              <w:spacing w:after="0"/>
              <w:rPr>
                <w:sz w:val="23"/>
                <w:szCs w:val="23"/>
                <w:color w:val="auto"/>
              </w:rPr>
            </w:pPr>
          </w:p>
        </w:tc>
        <w:tc>
          <w:tcPr>
            <w:tcW w:w="100" w:type="dxa"/>
            <w:vAlign w:val="bottom"/>
            <w:shd w:val="clear" w:color="auto" w:fill="E2E2D8"/>
          </w:tcPr>
          <w:p>
            <w:pPr>
              <w:spacing w:after="0"/>
              <w:rPr>
                <w:sz w:val="23"/>
                <w:szCs w:val="23"/>
                <w:color w:val="auto"/>
              </w:rPr>
            </w:pPr>
          </w:p>
        </w:tc>
        <w:tc>
          <w:tcPr>
            <w:tcW w:w="840" w:type="dxa"/>
            <w:vAlign w:val="bottom"/>
            <w:shd w:val="clear" w:color="auto" w:fill="E2E2D8"/>
          </w:tcPr>
          <w:p>
            <w:pPr>
              <w:spacing w:after="0"/>
              <w:rPr>
                <w:sz w:val="23"/>
                <w:szCs w:val="23"/>
                <w:color w:val="auto"/>
              </w:rPr>
            </w:pPr>
          </w:p>
        </w:tc>
        <w:tc>
          <w:tcPr>
            <w:tcW w:w="1680" w:type="dxa"/>
            <w:vAlign w:val="bottom"/>
            <w:gridSpan w:val="2"/>
            <w:shd w:val="clear" w:color="auto" w:fill="E2E2D8"/>
          </w:tcPr>
          <w:p>
            <w:pPr>
              <w:ind w:left="420"/>
              <w:spacing w:after="0"/>
              <w:rPr>
                <w:sz w:val="20"/>
                <w:szCs w:val="20"/>
                <w:color w:val="auto"/>
              </w:rPr>
            </w:pPr>
            <w:r>
              <w:rPr>
                <w:rFonts w:ascii="Arial" w:cs="Arial" w:eastAsia="Arial" w:hAnsi="Arial"/>
                <w:sz w:val="11"/>
                <w:szCs w:val="11"/>
                <w:b w:val="1"/>
                <w:bCs w:val="1"/>
                <w:color w:val="auto"/>
              </w:rPr>
              <w:t>OPTION AWARDS</w:t>
            </w:r>
          </w:p>
        </w:tc>
        <w:tc>
          <w:tcPr>
            <w:tcW w:w="1000" w:type="dxa"/>
            <w:vAlign w:val="bottom"/>
            <w:shd w:val="clear" w:color="auto" w:fill="E2E2D8"/>
          </w:tcPr>
          <w:p>
            <w:pPr>
              <w:spacing w:after="0"/>
              <w:rPr>
                <w:sz w:val="23"/>
                <w:szCs w:val="23"/>
                <w:color w:val="auto"/>
              </w:rPr>
            </w:pPr>
          </w:p>
        </w:tc>
        <w:tc>
          <w:tcPr>
            <w:tcW w:w="1860" w:type="dxa"/>
            <w:vAlign w:val="bottom"/>
            <w:gridSpan w:val="3"/>
            <w:shd w:val="clear" w:color="auto" w:fill="E2E2D8"/>
          </w:tcPr>
          <w:p>
            <w:pPr>
              <w:jc w:val="right"/>
              <w:ind w:right="459"/>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40"/>
        </w:trPr>
        <w:tc>
          <w:tcPr>
            <w:tcW w:w="5540" w:type="dxa"/>
            <w:vAlign w:val="bottom"/>
            <w:shd w:val="clear" w:color="auto" w:fill="E2E2D8"/>
          </w:tcPr>
          <w:p>
            <w:pPr>
              <w:spacing w:after="0"/>
              <w:rPr>
                <w:sz w:val="12"/>
                <w:szCs w:val="12"/>
                <w:color w:val="auto"/>
              </w:rPr>
            </w:pPr>
          </w:p>
        </w:tc>
        <w:tc>
          <w:tcPr>
            <w:tcW w:w="100" w:type="dxa"/>
            <w:vAlign w:val="bottom"/>
            <w:shd w:val="clear" w:color="auto" w:fill="E2E2D8"/>
          </w:tcPr>
          <w:p>
            <w:pPr>
              <w:spacing w:after="0"/>
              <w:rPr>
                <w:sz w:val="12"/>
                <w:szCs w:val="12"/>
                <w:color w:val="auto"/>
              </w:rPr>
            </w:pPr>
          </w:p>
        </w:tc>
        <w:tc>
          <w:tcPr>
            <w:tcW w:w="840" w:type="dxa"/>
            <w:vAlign w:val="bottom"/>
            <w:vMerge w:val="restart"/>
            <w:shd w:val="clear" w:color="auto" w:fill="E2E2D8"/>
          </w:tcPr>
          <w:p>
            <w:pPr>
              <w:jc w:val="center"/>
              <w:ind w:right="6"/>
              <w:spacing w:after="0"/>
              <w:rPr>
                <w:sz w:val="20"/>
                <w:szCs w:val="20"/>
                <w:color w:val="auto"/>
              </w:rPr>
            </w:pPr>
            <w:r>
              <w:rPr>
                <w:rFonts w:ascii="Arial" w:cs="Arial" w:eastAsia="Arial" w:hAnsi="Arial"/>
                <w:sz w:val="11"/>
                <w:szCs w:val="11"/>
                <w:color w:val="auto"/>
                <w:w w:val="99"/>
              </w:rPr>
              <w:t>NUMBER OF</w:t>
            </w:r>
          </w:p>
        </w:tc>
        <w:tc>
          <w:tcPr>
            <w:tcW w:w="1020" w:type="dxa"/>
            <w:vAlign w:val="bottom"/>
            <w:vMerge w:val="restart"/>
            <w:shd w:val="clear" w:color="auto" w:fill="E2E2D8"/>
          </w:tcPr>
          <w:p>
            <w:pPr>
              <w:jc w:val="center"/>
              <w:spacing w:after="0"/>
              <w:rPr>
                <w:sz w:val="20"/>
                <w:szCs w:val="20"/>
                <w:color w:val="auto"/>
              </w:rPr>
            </w:pPr>
            <w:r>
              <w:rPr>
                <w:rFonts w:ascii="Arial" w:cs="Arial" w:eastAsia="Arial" w:hAnsi="Arial"/>
                <w:sz w:val="11"/>
                <w:szCs w:val="11"/>
                <w:color w:val="auto"/>
                <w:w w:val="99"/>
              </w:rPr>
              <w:t>NUMBER OF</w:t>
            </w:r>
          </w:p>
        </w:tc>
        <w:tc>
          <w:tcPr>
            <w:tcW w:w="660" w:type="dxa"/>
            <w:vAlign w:val="bottom"/>
            <w:shd w:val="clear" w:color="auto" w:fill="E2E2D8"/>
          </w:tcPr>
          <w:p>
            <w:pPr>
              <w:spacing w:after="0"/>
              <w:rPr>
                <w:sz w:val="12"/>
                <w:szCs w:val="12"/>
                <w:color w:val="auto"/>
              </w:rPr>
            </w:pPr>
          </w:p>
        </w:tc>
        <w:tc>
          <w:tcPr>
            <w:tcW w:w="1000" w:type="dxa"/>
            <w:vAlign w:val="bottom"/>
            <w:shd w:val="clear" w:color="auto" w:fill="E2E2D8"/>
          </w:tcPr>
          <w:p>
            <w:pPr>
              <w:spacing w:after="0"/>
              <w:rPr>
                <w:sz w:val="12"/>
                <w:szCs w:val="12"/>
                <w:color w:val="auto"/>
              </w:rPr>
            </w:pPr>
          </w:p>
        </w:tc>
        <w:tc>
          <w:tcPr>
            <w:tcW w:w="860" w:type="dxa"/>
            <w:vAlign w:val="bottom"/>
            <w:shd w:val="clear" w:color="auto" w:fill="E2E2D8"/>
          </w:tcPr>
          <w:p>
            <w:pPr>
              <w:jc w:val="center"/>
              <w:spacing w:after="0"/>
              <w:rPr>
                <w:sz w:val="20"/>
                <w:szCs w:val="20"/>
                <w:color w:val="auto"/>
              </w:rPr>
            </w:pPr>
            <w:r>
              <w:rPr>
                <w:rFonts w:ascii="Arial" w:cs="Arial" w:eastAsia="Arial" w:hAnsi="Arial"/>
                <w:sz w:val="11"/>
                <w:szCs w:val="11"/>
                <w:color w:val="auto"/>
                <w:w w:val="96"/>
              </w:rPr>
              <w:t>NUMBER OF</w:t>
            </w:r>
          </w:p>
        </w:tc>
        <w:tc>
          <w:tcPr>
            <w:tcW w:w="1000" w:type="dxa"/>
            <w:vAlign w:val="bottom"/>
            <w:gridSpan w:val="2"/>
            <w:shd w:val="clear" w:color="auto" w:fill="E2E2D8"/>
          </w:tcPr>
          <w:p>
            <w:pPr>
              <w:ind w:left="60"/>
              <w:spacing w:after="0"/>
              <w:rPr>
                <w:sz w:val="20"/>
                <w:szCs w:val="20"/>
                <w:color w:val="auto"/>
              </w:rPr>
            </w:pPr>
            <w:r>
              <w:rPr>
                <w:rFonts w:ascii="Arial" w:cs="Arial" w:eastAsia="Arial" w:hAnsi="Arial"/>
                <w:sz w:val="11"/>
                <w:szCs w:val="11"/>
                <w:color w:val="auto"/>
              </w:rPr>
              <w:t>MARKET VALUE</w:t>
            </w:r>
          </w:p>
        </w:tc>
        <w:tc>
          <w:tcPr>
            <w:tcW w:w="0" w:type="dxa"/>
            <w:vAlign w:val="bottom"/>
          </w:tcPr>
          <w:p>
            <w:pPr>
              <w:spacing w:after="0"/>
              <w:rPr>
                <w:sz w:val="1"/>
                <w:szCs w:val="1"/>
                <w:color w:val="auto"/>
              </w:rPr>
            </w:pPr>
          </w:p>
        </w:tc>
      </w:tr>
      <w:tr>
        <w:trPr>
          <w:trHeight w:val="54"/>
        </w:trPr>
        <w:tc>
          <w:tcPr>
            <w:tcW w:w="5540" w:type="dxa"/>
            <w:vAlign w:val="bottom"/>
            <w:shd w:val="clear" w:color="auto" w:fill="E2E2D8"/>
          </w:tcPr>
          <w:p>
            <w:pPr>
              <w:spacing w:after="0"/>
              <w:rPr>
                <w:sz w:val="4"/>
                <w:szCs w:val="4"/>
                <w:color w:val="auto"/>
              </w:rPr>
            </w:pPr>
          </w:p>
        </w:tc>
        <w:tc>
          <w:tcPr>
            <w:tcW w:w="100" w:type="dxa"/>
            <w:vAlign w:val="bottom"/>
            <w:shd w:val="clear" w:color="auto" w:fill="E2E2D8"/>
          </w:tcPr>
          <w:p>
            <w:pPr>
              <w:spacing w:after="0"/>
              <w:rPr>
                <w:sz w:val="4"/>
                <w:szCs w:val="4"/>
                <w:color w:val="auto"/>
              </w:rPr>
            </w:pPr>
          </w:p>
        </w:tc>
        <w:tc>
          <w:tcPr>
            <w:tcW w:w="840" w:type="dxa"/>
            <w:vAlign w:val="bottom"/>
            <w:vMerge w:val="continue"/>
            <w:shd w:val="clear" w:color="auto" w:fill="E2E2D8"/>
          </w:tcPr>
          <w:p>
            <w:pPr>
              <w:spacing w:after="0"/>
              <w:rPr>
                <w:sz w:val="4"/>
                <w:szCs w:val="4"/>
                <w:color w:val="auto"/>
              </w:rPr>
            </w:pPr>
          </w:p>
        </w:tc>
        <w:tc>
          <w:tcPr>
            <w:tcW w:w="1020" w:type="dxa"/>
            <w:vAlign w:val="bottom"/>
            <w:vMerge w:val="continue"/>
            <w:shd w:val="clear" w:color="auto" w:fill="E2E2D8"/>
          </w:tcPr>
          <w:p>
            <w:pPr>
              <w:spacing w:after="0"/>
              <w:rPr>
                <w:sz w:val="4"/>
                <w:szCs w:val="4"/>
                <w:color w:val="auto"/>
              </w:rPr>
            </w:pPr>
          </w:p>
        </w:tc>
        <w:tc>
          <w:tcPr>
            <w:tcW w:w="660" w:type="dxa"/>
            <w:vAlign w:val="bottom"/>
            <w:shd w:val="clear" w:color="auto" w:fill="E2E2D8"/>
          </w:tcPr>
          <w:p>
            <w:pPr>
              <w:spacing w:after="0"/>
              <w:rPr>
                <w:sz w:val="4"/>
                <w:szCs w:val="4"/>
                <w:color w:val="auto"/>
              </w:rPr>
            </w:pPr>
          </w:p>
        </w:tc>
        <w:tc>
          <w:tcPr>
            <w:tcW w:w="1000" w:type="dxa"/>
            <w:vAlign w:val="bottom"/>
            <w:shd w:val="clear" w:color="auto" w:fill="E2E2D8"/>
          </w:tcPr>
          <w:p>
            <w:pPr>
              <w:spacing w:after="0"/>
              <w:rPr>
                <w:sz w:val="4"/>
                <w:szCs w:val="4"/>
                <w:color w:val="auto"/>
              </w:rPr>
            </w:pPr>
          </w:p>
        </w:tc>
        <w:tc>
          <w:tcPr>
            <w:tcW w:w="8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8"/>
              </w:rPr>
              <w:t>SHARES OR</w:t>
            </w:r>
          </w:p>
        </w:tc>
        <w:tc>
          <w:tcPr>
            <w:tcW w:w="140" w:type="dxa"/>
            <w:vAlign w:val="bottom"/>
            <w:shd w:val="clear" w:color="auto" w:fill="E2E2D8"/>
          </w:tcPr>
          <w:p>
            <w:pPr>
              <w:spacing w:after="0"/>
              <w:rPr>
                <w:sz w:val="4"/>
                <w:szCs w:val="4"/>
                <w:color w:val="auto"/>
              </w:rPr>
            </w:pPr>
          </w:p>
        </w:tc>
        <w:tc>
          <w:tcPr>
            <w:tcW w:w="860" w:type="dxa"/>
            <w:vAlign w:val="bottom"/>
            <w:vMerge w:val="restart"/>
            <w:shd w:val="clear" w:color="auto" w:fill="E2E2D8"/>
          </w:tcPr>
          <w:p>
            <w:pPr>
              <w:jc w:val="center"/>
              <w:ind w:right="139"/>
              <w:spacing w:after="0" w:line="122" w:lineRule="exact"/>
              <w:rPr>
                <w:sz w:val="20"/>
                <w:szCs w:val="20"/>
                <w:color w:val="auto"/>
              </w:rPr>
            </w:pPr>
            <w:r>
              <w:rPr>
                <w:rFonts w:ascii="Arial" w:cs="Arial" w:eastAsia="Arial" w:hAnsi="Arial"/>
                <w:sz w:val="11"/>
                <w:szCs w:val="11"/>
                <w:color w:val="auto"/>
                <w:w w:val="97"/>
              </w:rPr>
              <w:t>OF SHARES</w:t>
            </w:r>
          </w:p>
        </w:tc>
        <w:tc>
          <w:tcPr>
            <w:tcW w:w="0" w:type="dxa"/>
            <w:vAlign w:val="bottom"/>
          </w:tcPr>
          <w:p>
            <w:pPr>
              <w:spacing w:after="0"/>
              <w:rPr>
                <w:sz w:val="1"/>
                <w:szCs w:val="1"/>
                <w:color w:val="auto"/>
              </w:rPr>
            </w:pPr>
          </w:p>
        </w:tc>
      </w:tr>
      <w:tr>
        <w:trPr>
          <w:trHeight w:val="68"/>
        </w:trPr>
        <w:tc>
          <w:tcPr>
            <w:tcW w:w="5540" w:type="dxa"/>
            <w:vAlign w:val="bottom"/>
            <w:shd w:val="clear" w:color="auto" w:fill="E2E2D8"/>
          </w:tcPr>
          <w:p>
            <w:pPr>
              <w:spacing w:after="0"/>
              <w:rPr>
                <w:sz w:val="5"/>
                <w:szCs w:val="5"/>
                <w:color w:val="auto"/>
              </w:rPr>
            </w:pPr>
          </w:p>
        </w:tc>
        <w:tc>
          <w:tcPr>
            <w:tcW w:w="100" w:type="dxa"/>
            <w:vAlign w:val="bottom"/>
            <w:shd w:val="clear" w:color="auto" w:fill="E2E2D8"/>
          </w:tcPr>
          <w:p>
            <w:pPr>
              <w:spacing w:after="0"/>
              <w:rPr>
                <w:sz w:val="5"/>
                <w:szCs w:val="5"/>
                <w:color w:val="auto"/>
              </w:rPr>
            </w:pPr>
          </w:p>
        </w:tc>
        <w:tc>
          <w:tcPr>
            <w:tcW w:w="840" w:type="dxa"/>
            <w:vAlign w:val="bottom"/>
            <w:vMerge w:val="restart"/>
            <w:shd w:val="clear" w:color="auto" w:fill="E2E2D8"/>
          </w:tcPr>
          <w:p>
            <w:pPr>
              <w:jc w:val="center"/>
              <w:ind w:right="6"/>
              <w:spacing w:after="0" w:line="122" w:lineRule="exact"/>
              <w:rPr>
                <w:sz w:val="20"/>
                <w:szCs w:val="20"/>
                <w:color w:val="auto"/>
              </w:rPr>
            </w:pPr>
            <w:r>
              <w:rPr>
                <w:rFonts w:ascii="Arial" w:cs="Arial" w:eastAsia="Arial" w:hAnsi="Arial"/>
                <w:sz w:val="11"/>
                <w:szCs w:val="11"/>
                <w:color w:val="auto"/>
                <w:w w:val="99"/>
              </w:rPr>
              <w:t>SECURITIES</w:t>
            </w:r>
          </w:p>
        </w:tc>
        <w:tc>
          <w:tcPr>
            <w:tcW w:w="102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SECURITIES</w:t>
            </w:r>
          </w:p>
        </w:tc>
        <w:tc>
          <w:tcPr>
            <w:tcW w:w="660" w:type="dxa"/>
            <w:vAlign w:val="bottom"/>
            <w:shd w:val="clear" w:color="auto" w:fill="E2E2D8"/>
          </w:tcPr>
          <w:p>
            <w:pPr>
              <w:spacing w:after="0"/>
              <w:rPr>
                <w:sz w:val="5"/>
                <w:szCs w:val="5"/>
                <w:color w:val="auto"/>
              </w:rPr>
            </w:pPr>
          </w:p>
        </w:tc>
        <w:tc>
          <w:tcPr>
            <w:tcW w:w="100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14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540" w:type="dxa"/>
            <w:vAlign w:val="bottom"/>
            <w:shd w:val="clear" w:color="auto" w:fill="E2E2D8"/>
          </w:tcPr>
          <w:p>
            <w:pPr>
              <w:spacing w:after="0"/>
              <w:rPr>
                <w:sz w:val="4"/>
                <w:szCs w:val="4"/>
                <w:color w:val="auto"/>
              </w:rPr>
            </w:pPr>
          </w:p>
        </w:tc>
        <w:tc>
          <w:tcPr>
            <w:tcW w:w="100" w:type="dxa"/>
            <w:vAlign w:val="bottom"/>
            <w:shd w:val="clear" w:color="auto" w:fill="E2E2D8"/>
          </w:tcPr>
          <w:p>
            <w:pPr>
              <w:spacing w:after="0"/>
              <w:rPr>
                <w:sz w:val="4"/>
                <w:szCs w:val="4"/>
                <w:color w:val="auto"/>
              </w:rPr>
            </w:pPr>
          </w:p>
        </w:tc>
        <w:tc>
          <w:tcPr>
            <w:tcW w:w="840" w:type="dxa"/>
            <w:vAlign w:val="bottom"/>
            <w:vMerge w:val="continue"/>
            <w:shd w:val="clear" w:color="auto" w:fill="E2E2D8"/>
          </w:tcPr>
          <w:p>
            <w:pPr>
              <w:spacing w:after="0"/>
              <w:rPr>
                <w:sz w:val="4"/>
                <w:szCs w:val="4"/>
                <w:color w:val="auto"/>
              </w:rPr>
            </w:pPr>
          </w:p>
        </w:tc>
        <w:tc>
          <w:tcPr>
            <w:tcW w:w="1020" w:type="dxa"/>
            <w:vAlign w:val="bottom"/>
            <w:vMerge w:val="continue"/>
            <w:shd w:val="clear" w:color="auto" w:fill="E2E2D8"/>
          </w:tcPr>
          <w:p>
            <w:pPr>
              <w:spacing w:after="0"/>
              <w:rPr>
                <w:sz w:val="4"/>
                <w:szCs w:val="4"/>
                <w:color w:val="auto"/>
              </w:rPr>
            </w:pPr>
          </w:p>
        </w:tc>
        <w:tc>
          <w:tcPr>
            <w:tcW w:w="6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OPTION</w:t>
            </w:r>
          </w:p>
        </w:tc>
        <w:tc>
          <w:tcPr>
            <w:tcW w:w="10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OPTION</w:t>
            </w:r>
          </w:p>
        </w:tc>
        <w:tc>
          <w:tcPr>
            <w:tcW w:w="8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rPr>
              <w:t>UNITS OF</w:t>
            </w:r>
          </w:p>
        </w:tc>
        <w:tc>
          <w:tcPr>
            <w:tcW w:w="140" w:type="dxa"/>
            <w:vAlign w:val="bottom"/>
            <w:shd w:val="clear" w:color="auto" w:fill="E2E2D8"/>
          </w:tcPr>
          <w:p>
            <w:pPr>
              <w:spacing w:after="0"/>
              <w:rPr>
                <w:sz w:val="4"/>
                <w:szCs w:val="4"/>
                <w:color w:val="auto"/>
              </w:rPr>
            </w:pPr>
          </w:p>
        </w:tc>
        <w:tc>
          <w:tcPr>
            <w:tcW w:w="860" w:type="dxa"/>
            <w:vAlign w:val="bottom"/>
            <w:vMerge w:val="restart"/>
            <w:shd w:val="clear" w:color="auto" w:fill="E2E2D8"/>
          </w:tcPr>
          <w:p>
            <w:pPr>
              <w:jc w:val="center"/>
              <w:ind w:right="159"/>
              <w:spacing w:after="0" w:line="122" w:lineRule="exact"/>
              <w:rPr>
                <w:sz w:val="20"/>
                <w:szCs w:val="20"/>
                <w:color w:val="auto"/>
              </w:rPr>
            </w:pPr>
            <w:r>
              <w:rPr>
                <w:rFonts w:ascii="Arial" w:cs="Arial" w:eastAsia="Arial" w:hAnsi="Arial"/>
                <w:sz w:val="11"/>
                <w:szCs w:val="11"/>
                <w:color w:val="auto"/>
                <w:w w:val="98"/>
              </w:rPr>
              <w:t>OR UNITS</w:t>
            </w:r>
          </w:p>
        </w:tc>
        <w:tc>
          <w:tcPr>
            <w:tcW w:w="0" w:type="dxa"/>
            <w:vAlign w:val="bottom"/>
          </w:tcPr>
          <w:p>
            <w:pPr>
              <w:spacing w:after="0"/>
              <w:rPr>
                <w:sz w:val="1"/>
                <w:szCs w:val="1"/>
                <w:color w:val="auto"/>
              </w:rPr>
            </w:pPr>
          </w:p>
        </w:tc>
      </w:tr>
      <w:tr>
        <w:trPr>
          <w:trHeight w:val="68"/>
        </w:trPr>
        <w:tc>
          <w:tcPr>
            <w:tcW w:w="5540" w:type="dxa"/>
            <w:vAlign w:val="bottom"/>
            <w:vMerge w:val="restart"/>
            <w:shd w:val="clear" w:color="auto" w:fill="E2E2D8"/>
          </w:tcPr>
          <w:p>
            <w:pPr>
              <w:ind w:left="60"/>
              <w:spacing w:after="0" w:line="122" w:lineRule="exact"/>
              <w:rPr>
                <w:sz w:val="20"/>
                <w:szCs w:val="20"/>
                <w:color w:val="auto"/>
              </w:rPr>
            </w:pPr>
            <w:r>
              <w:rPr>
                <w:rFonts w:ascii="Arial" w:cs="Arial" w:eastAsia="Arial" w:hAnsi="Arial"/>
                <w:sz w:val="11"/>
                <w:szCs w:val="11"/>
                <w:b w:val="1"/>
                <w:bCs w:val="1"/>
                <w:color w:val="auto"/>
              </w:rPr>
              <w:t>NAME</w:t>
            </w:r>
          </w:p>
        </w:tc>
        <w:tc>
          <w:tcPr>
            <w:tcW w:w="100" w:type="dxa"/>
            <w:vAlign w:val="bottom"/>
            <w:shd w:val="clear" w:color="auto" w:fill="E2E2D8"/>
          </w:tcPr>
          <w:p>
            <w:pPr>
              <w:spacing w:after="0"/>
              <w:rPr>
                <w:sz w:val="5"/>
                <w:szCs w:val="5"/>
                <w:color w:val="auto"/>
              </w:rPr>
            </w:pPr>
          </w:p>
        </w:tc>
        <w:tc>
          <w:tcPr>
            <w:tcW w:w="840" w:type="dxa"/>
            <w:vAlign w:val="bottom"/>
            <w:vMerge w:val="restart"/>
            <w:shd w:val="clear" w:color="auto" w:fill="E2E2D8"/>
          </w:tcPr>
          <w:p>
            <w:pPr>
              <w:jc w:val="center"/>
              <w:ind w:right="6"/>
              <w:spacing w:after="0" w:line="122" w:lineRule="exact"/>
              <w:rPr>
                <w:sz w:val="20"/>
                <w:szCs w:val="20"/>
                <w:color w:val="auto"/>
              </w:rPr>
            </w:pPr>
            <w:r>
              <w:rPr>
                <w:rFonts w:ascii="Arial" w:cs="Arial" w:eastAsia="Arial" w:hAnsi="Arial"/>
                <w:sz w:val="11"/>
                <w:szCs w:val="11"/>
                <w:color w:val="auto"/>
                <w:w w:val="96"/>
              </w:rPr>
              <w:t>UNDERLYING</w:t>
            </w:r>
          </w:p>
        </w:tc>
        <w:tc>
          <w:tcPr>
            <w:tcW w:w="102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6"/>
              </w:rPr>
              <w:t>UNDERLYING</w:t>
            </w:r>
          </w:p>
        </w:tc>
        <w:tc>
          <w:tcPr>
            <w:tcW w:w="660" w:type="dxa"/>
            <w:vAlign w:val="bottom"/>
            <w:vMerge w:val="continue"/>
            <w:shd w:val="clear" w:color="auto" w:fill="E2E2D8"/>
          </w:tcPr>
          <w:p>
            <w:pPr>
              <w:spacing w:after="0"/>
              <w:rPr>
                <w:sz w:val="5"/>
                <w:szCs w:val="5"/>
                <w:color w:val="auto"/>
              </w:rPr>
            </w:pPr>
          </w:p>
        </w:tc>
        <w:tc>
          <w:tcPr>
            <w:tcW w:w="1000" w:type="dxa"/>
            <w:vAlign w:val="bottom"/>
            <w:vMerge w:val="continue"/>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14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540" w:type="dxa"/>
            <w:vAlign w:val="bottom"/>
            <w:vMerge w:val="continue"/>
            <w:shd w:val="clear" w:color="auto" w:fill="E2E2D8"/>
          </w:tcPr>
          <w:p>
            <w:pPr>
              <w:spacing w:after="0"/>
              <w:rPr>
                <w:sz w:val="4"/>
                <w:szCs w:val="4"/>
                <w:color w:val="auto"/>
              </w:rPr>
            </w:pPr>
          </w:p>
        </w:tc>
        <w:tc>
          <w:tcPr>
            <w:tcW w:w="100" w:type="dxa"/>
            <w:vAlign w:val="bottom"/>
            <w:shd w:val="clear" w:color="auto" w:fill="E2E2D8"/>
          </w:tcPr>
          <w:p>
            <w:pPr>
              <w:spacing w:after="0"/>
              <w:rPr>
                <w:sz w:val="4"/>
                <w:szCs w:val="4"/>
                <w:color w:val="auto"/>
              </w:rPr>
            </w:pPr>
          </w:p>
        </w:tc>
        <w:tc>
          <w:tcPr>
            <w:tcW w:w="840" w:type="dxa"/>
            <w:vAlign w:val="bottom"/>
            <w:vMerge w:val="continue"/>
            <w:shd w:val="clear" w:color="auto" w:fill="E2E2D8"/>
          </w:tcPr>
          <w:p>
            <w:pPr>
              <w:spacing w:after="0"/>
              <w:rPr>
                <w:sz w:val="4"/>
                <w:szCs w:val="4"/>
                <w:color w:val="auto"/>
              </w:rPr>
            </w:pPr>
          </w:p>
        </w:tc>
        <w:tc>
          <w:tcPr>
            <w:tcW w:w="1020" w:type="dxa"/>
            <w:vAlign w:val="bottom"/>
            <w:vMerge w:val="continue"/>
            <w:shd w:val="clear" w:color="auto" w:fill="E2E2D8"/>
          </w:tcPr>
          <w:p>
            <w:pPr>
              <w:spacing w:after="0"/>
              <w:rPr>
                <w:sz w:val="4"/>
                <w:szCs w:val="4"/>
                <w:color w:val="auto"/>
              </w:rPr>
            </w:pPr>
          </w:p>
        </w:tc>
        <w:tc>
          <w:tcPr>
            <w:tcW w:w="6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6"/>
              </w:rPr>
              <w:t>EXERCISE</w:t>
            </w:r>
          </w:p>
        </w:tc>
        <w:tc>
          <w:tcPr>
            <w:tcW w:w="10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5"/>
              </w:rPr>
              <w:t>EXPIRATION</w:t>
            </w:r>
          </w:p>
        </w:tc>
        <w:tc>
          <w:tcPr>
            <w:tcW w:w="8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7"/>
              </w:rPr>
              <w:t>STOCK THAT</w:t>
            </w:r>
          </w:p>
        </w:tc>
        <w:tc>
          <w:tcPr>
            <w:tcW w:w="140" w:type="dxa"/>
            <w:vAlign w:val="bottom"/>
            <w:shd w:val="clear" w:color="auto" w:fill="E2E2D8"/>
          </w:tcPr>
          <w:p>
            <w:pPr>
              <w:spacing w:after="0"/>
              <w:rPr>
                <w:sz w:val="4"/>
                <w:szCs w:val="4"/>
                <w:color w:val="auto"/>
              </w:rPr>
            </w:pPr>
          </w:p>
        </w:tc>
        <w:tc>
          <w:tcPr>
            <w:tcW w:w="860" w:type="dxa"/>
            <w:vAlign w:val="bottom"/>
            <w:vMerge w:val="restart"/>
            <w:shd w:val="clear" w:color="auto" w:fill="E2E2D8"/>
          </w:tcPr>
          <w:p>
            <w:pPr>
              <w:jc w:val="center"/>
              <w:ind w:right="139"/>
              <w:spacing w:after="0" w:line="122" w:lineRule="exact"/>
              <w:rPr>
                <w:sz w:val="20"/>
                <w:szCs w:val="20"/>
                <w:color w:val="auto"/>
              </w:rPr>
            </w:pPr>
            <w:r>
              <w:rPr>
                <w:rFonts w:ascii="Arial" w:cs="Arial" w:eastAsia="Arial" w:hAnsi="Arial"/>
                <w:sz w:val="11"/>
                <w:szCs w:val="11"/>
                <w:color w:val="auto"/>
                <w:w w:val="95"/>
              </w:rPr>
              <w:t>OF STOCK</w:t>
            </w:r>
          </w:p>
        </w:tc>
        <w:tc>
          <w:tcPr>
            <w:tcW w:w="0" w:type="dxa"/>
            <w:vAlign w:val="bottom"/>
          </w:tcPr>
          <w:p>
            <w:pPr>
              <w:spacing w:after="0"/>
              <w:rPr>
                <w:sz w:val="1"/>
                <w:szCs w:val="1"/>
                <w:color w:val="auto"/>
              </w:rPr>
            </w:pPr>
          </w:p>
        </w:tc>
      </w:tr>
      <w:tr>
        <w:trPr>
          <w:trHeight w:val="68"/>
        </w:trPr>
        <w:tc>
          <w:tcPr>
            <w:tcW w:w="5540" w:type="dxa"/>
            <w:vAlign w:val="bottom"/>
            <w:shd w:val="clear" w:color="auto" w:fill="E2E2D8"/>
          </w:tcPr>
          <w:p>
            <w:pPr>
              <w:spacing w:after="0"/>
              <w:rPr>
                <w:sz w:val="5"/>
                <w:szCs w:val="5"/>
                <w:color w:val="auto"/>
              </w:rPr>
            </w:pPr>
          </w:p>
        </w:tc>
        <w:tc>
          <w:tcPr>
            <w:tcW w:w="100" w:type="dxa"/>
            <w:vAlign w:val="bottom"/>
            <w:shd w:val="clear" w:color="auto" w:fill="E2E2D8"/>
          </w:tcPr>
          <w:p>
            <w:pPr>
              <w:spacing w:after="0"/>
              <w:rPr>
                <w:sz w:val="5"/>
                <w:szCs w:val="5"/>
                <w:color w:val="auto"/>
              </w:rPr>
            </w:pPr>
          </w:p>
        </w:tc>
        <w:tc>
          <w:tcPr>
            <w:tcW w:w="840" w:type="dxa"/>
            <w:vAlign w:val="bottom"/>
            <w:vMerge w:val="restart"/>
            <w:shd w:val="clear" w:color="auto" w:fill="E2E2D8"/>
          </w:tcPr>
          <w:p>
            <w:pPr>
              <w:jc w:val="center"/>
              <w:ind w:right="6"/>
              <w:spacing w:after="0" w:line="122" w:lineRule="exact"/>
              <w:rPr>
                <w:sz w:val="20"/>
                <w:szCs w:val="20"/>
                <w:color w:val="auto"/>
              </w:rPr>
            </w:pPr>
            <w:r>
              <w:rPr>
                <w:rFonts w:ascii="Arial" w:cs="Arial" w:eastAsia="Arial" w:hAnsi="Arial"/>
                <w:sz w:val="11"/>
                <w:szCs w:val="11"/>
                <w:color w:val="auto"/>
                <w:w w:val="98"/>
              </w:rPr>
              <w:t>UNEXERCISED</w:t>
            </w:r>
          </w:p>
        </w:tc>
        <w:tc>
          <w:tcPr>
            <w:tcW w:w="102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8"/>
              </w:rPr>
              <w:t>UNEXERCISED</w:t>
            </w:r>
          </w:p>
        </w:tc>
        <w:tc>
          <w:tcPr>
            <w:tcW w:w="660" w:type="dxa"/>
            <w:vAlign w:val="bottom"/>
            <w:vMerge w:val="continue"/>
            <w:shd w:val="clear" w:color="auto" w:fill="E2E2D8"/>
          </w:tcPr>
          <w:p>
            <w:pPr>
              <w:spacing w:after="0"/>
              <w:rPr>
                <w:sz w:val="5"/>
                <w:szCs w:val="5"/>
                <w:color w:val="auto"/>
              </w:rPr>
            </w:pPr>
          </w:p>
        </w:tc>
        <w:tc>
          <w:tcPr>
            <w:tcW w:w="1000" w:type="dxa"/>
            <w:vAlign w:val="bottom"/>
            <w:vMerge w:val="continue"/>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14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540" w:type="dxa"/>
            <w:vAlign w:val="bottom"/>
            <w:shd w:val="clear" w:color="auto" w:fill="E2E2D8"/>
          </w:tcPr>
          <w:p>
            <w:pPr>
              <w:spacing w:after="0"/>
              <w:rPr>
                <w:sz w:val="4"/>
                <w:szCs w:val="4"/>
                <w:color w:val="auto"/>
              </w:rPr>
            </w:pPr>
          </w:p>
        </w:tc>
        <w:tc>
          <w:tcPr>
            <w:tcW w:w="100" w:type="dxa"/>
            <w:vAlign w:val="bottom"/>
            <w:shd w:val="clear" w:color="auto" w:fill="E2E2D8"/>
          </w:tcPr>
          <w:p>
            <w:pPr>
              <w:spacing w:after="0"/>
              <w:rPr>
                <w:sz w:val="4"/>
                <w:szCs w:val="4"/>
                <w:color w:val="auto"/>
              </w:rPr>
            </w:pPr>
          </w:p>
        </w:tc>
        <w:tc>
          <w:tcPr>
            <w:tcW w:w="840" w:type="dxa"/>
            <w:vAlign w:val="bottom"/>
            <w:vMerge w:val="continue"/>
            <w:shd w:val="clear" w:color="auto" w:fill="E2E2D8"/>
          </w:tcPr>
          <w:p>
            <w:pPr>
              <w:spacing w:after="0"/>
              <w:rPr>
                <w:sz w:val="4"/>
                <w:szCs w:val="4"/>
                <w:color w:val="auto"/>
              </w:rPr>
            </w:pPr>
          </w:p>
        </w:tc>
        <w:tc>
          <w:tcPr>
            <w:tcW w:w="1020" w:type="dxa"/>
            <w:vAlign w:val="bottom"/>
            <w:vMerge w:val="continue"/>
            <w:shd w:val="clear" w:color="auto" w:fill="E2E2D8"/>
          </w:tcPr>
          <w:p>
            <w:pPr>
              <w:spacing w:after="0"/>
              <w:rPr>
                <w:sz w:val="4"/>
                <w:szCs w:val="4"/>
                <w:color w:val="auto"/>
              </w:rPr>
            </w:pPr>
          </w:p>
        </w:tc>
        <w:tc>
          <w:tcPr>
            <w:tcW w:w="6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PRICE ($)</w:t>
            </w:r>
          </w:p>
        </w:tc>
        <w:tc>
          <w:tcPr>
            <w:tcW w:w="100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5"/>
              </w:rPr>
              <w:t>DATE</w:t>
            </w:r>
          </w:p>
        </w:tc>
        <w:tc>
          <w:tcPr>
            <w:tcW w:w="8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HAVE NOT</w:t>
            </w:r>
          </w:p>
        </w:tc>
        <w:tc>
          <w:tcPr>
            <w:tcW w:w="140" w:type="dxa"/>
            <w:vAlign w:val="bottom"/>
            <w:shd w:val="clear" w:color="auto" w:fill="E2E2D8"/>
          </w:tcPr>
          <w:p>
            <w:pPr>
              <w:spacing w:after="0"/>
              <w:rPr>
                <w:sz w:val="4"/>
                <w:szCs w:val="4"/>
                <w:color w:val="auto"/>
              </w:rPr>
            </w:pPr>
          </w:p>
        </w:tc>
        <w:tc>
          <w:tcPr>
            <w:tcW w:w="860" w:type="dxa"/>
            <w:vAlign w:val="bottom"/>
            <w:vMerge w:val="restart"/>
            <w:shd w:val="clear" w:color="auto" w:fill="E2E2D8"/>
          </w:tcPr>
          <w:p>
            <w:pPr>
              <w:jc w:val="center"/>
              <w:ind w:right="139"/>
              <w:spacing w:after="0" w:line="122" w:lineRule="exact"/>
              <w:rPr>
                <w:sz w:val="20"/>
                <w:szCs w:val="20"/>
                <w:color w:val="auto"/>
              </w:rPr>
            </w:pPr>
            <w:r>
              <w:rPr>
                <w:rFonts w:ascii="Arial" w:cs="Arial" w:eastAsia="Arial" w:hAnsi="Arial"/>
                <w:sz w:val="11"/>
                <w:szCs w:val="11"/>
                <w:color w:val="auto"/>
                <w:w w:val="93"/>
              </w:rPr>
              <w:t>THAT HAVE</w:t>
            </w:r>
          </w:p>
        </w:tc>
        <w:tc>
          <w:tcPr>
            <w:tcW w:w="0" w:type="dxa"/>
            <w:vAlign w:val="bottom"/>
          </w:tcPr>
          <w:p>
            <w:pPr>
              <w:spacing w:after="0"/>
              <w:rPr>
                <w:sz w:val="1"/>
                <w:szCs w:val="1"/>
                <w:color w:val="auto"/>
              </w:rPr>
            </w:pPr>
          </w:p>
        </w:tc>
      </w:tr>
      <w:tr>
        <w:trPr>
          <w:trHeight w:val="68"/>
        </w:trPr>
        <w:tc>
          <w:tcPr>
            <w:tcW w:w="5540" w:type="dxa"/>
            <w:vAlign w:val="bottom"/>
            <w:shd w:val="clear" w:color="auto" w:fill="E2E2D8"/>
          </w:tcPr>
          <w:p>
            <w:pPr>
              <w:spacing w:after="0"/>
              <w:rPr>
                <w:sz w:val="5"/>
                <w:szCs w:val="5"/>
                <w:color w:val="auto"/>
              </w:rPr>
            </w:pPr>
          </w:p>
        </w:tc>
        <w:tc>
          <w:tcPr>
            <w:tcW w:w="100" w:type="dxa"/>
            <w:vAlign w:val="bottom"/>
            <w:shd w:val="clear" w:color="auto" w:fill="E2E2D8"/>
          </w:tcPr>
          <w:p>
            <w:pPr>
              <w:spacing w:after="0"/>
              <w:rPr>
                <w:sz w:val="5"/>
                <w:szCs w:val="5"/>
                <w:color w:val="auto"/>
              </w:rPr>
            </w:pPr>
          </w:p>
        </w:tc>
        <w:tc>
          <w:tcPr>
            <w:tcW w:w="840" w:type="dxa"/>
            <w:vAlign w:val="bottom"/>
            <w:vMerge w:val="restart"/>
            <w:shd w:val="clear" w:color="auto" w:fill="E2E2D8"/>
          </w:tcPr>
          <w:p>
            <w:pPr>
              <w:jc w:val="center"/>
              <w:ind w:right="6"/>
              <w:spacing w:after="0" w:line="122" w:lineRule="exact"/>
              <w:rPr>
                <w:sz w:val="20"/>
                <w:szCs w:val="20"/>
                <w:color w:val="auto"/>
              </w:rPr>
            </w:pPr>
            <w:r>
              <w:rPr>
                <w:rFonts w:ascii="Arial" w:cs="Arial" w:eastAsia="Arial" w:hAnsi="Arial"/>
                <w:sz w:val="11"/>
                <w:szCs w:val="11"/>
                <w:color w:val="auto"/>
                <w:w w:val="99"/>
              </w:rPr>
              <w:t>OPTIONS (#)</w:t>
            </w:r>
          </w:p>
        </w:tc>
        <w:tc>
          <w:tcPr>
            <w:tcW w:w="102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OPTIONS (#)</w:t>
            </w:r>
          </w:p>
        </w:tc>
        <w:tc>
          <w:tcPr>
            <w:tcW w:w="660" w:type="dxa"/>
            <w:vAlign w:val="bottom"/>
            <w:vMerge w:val="continue"/>
            <w:shd w:val="clear" w:color="auto" w:fill="E2E2D8"/>
          </w:tcPr>
          <w:p>
            <w:pPr>
              <w:spacing w:after="0"/>
              <w:rPr>
                <w:sz w:val="5"/>
                <w:szCs w:val="5"/>
                <w:color w:val="auto"/>
              </w:rPr>
            </w:pPr>
          </w:p>
        </w:tc>
        <w:tc>
          <w:tcPr>
            <w:tcW w:w="1000" w:type="dxa"/>
            <w:vAlign w:val="bottom"/>
            <w:vMerge w:val="continue"/>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14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540" w:type="dxa"/>
            <w:vAlign w:val="bottom"/>
            <w:shd w:val="clear" w:color="auto" w:fill="E2E2D8"/>
          </w:tcPr>
          <w:p>
            <w:pPr>
              <w:spacing w:after="0"/>
              <w:rPr>
                <w:sz w:val="4"/>
                <w:szCs w:val="4"/>
                <w:color w:val="auto"/>
              </w:rPr>
            </w:pPr>
          </w:p>
        </w:tc>
        <w:tc>
          <w:tcPr>
            <w:tcW w:w="100" w:type="dxa"/>
            <w:vAlign w:val="bottom"/>
            <w:shd w:val="clear" w:color="auto" w:fill="E2E2D8"/>
          </w:tcPr>
          <w:p>
            <w:pPr>
              <w:spacing w:after="0"/>
              <w:rPr>
                <w:sz w:val="4"/>
                <w:szCs w:val="4"/>
                <w:color w:val="auto"/>
              </w:rPr>
            </w:pPr>
          </w:p>
        </w:tc>
        <w:tc>
          <w:tcPr>
            <w:tcW w:w="840" w:type="dxa"/>
            <w:vAlign w:val="bottom"/>
            <w:vMerge w:val="continue"/>
            <w:shd w:val="clear" w:color="auto" w:fill="E2E2D8"/>
          </w:tcPr>
          <w:p>
            <w:pPr>
              <w:spacing w:after="0"/>
              <w:rPr>
                <w:sz w:val="4"/>
                <w:szCs w:val="4"/>
                <w:color w:val="auto"/>
              </w:rPr>
            </w:pPr>
          </w:p>
        </w:tc>
        <w:tc>
          <w:tcPr>
            <w:tcW w:w="1020" w:type="dxa"/>
            <w:vAlign w:val="bottom"/>
            <w:vMerge w:val="continue"/>
            <w:shd w:val="clear" w:color="auto" w:fill="E2E2D8"/>
          </w:tcPr>
          <w:p>
            <w:pPr>
              <w:spacing w:after="0"/>
              <w:rPr>
                <w:sz w:val="4"/>
                <w:szCs w:val="4"/>
                <w:color w:val="auto"/>
              </w:rPr>
            </w:pPr>
          </w:p>
        </w:tc>
        <w:tc>
          <w:tcPr>
            <w:tcW w:w="660" w:type="dxa"/>
            <w:vAlign w:val="bottom"/>
            <w:shd w:val="clear" w:color="auto" w:fill="E2E2D8"/>
          </w:tcPr>
          <w:p>
            <w:pPr>
              <w:spacing w:after="0"/>
              <w:rPr>
                <w:sz w:val="4"/>
                <w:szCs w:val="4"/>
                <w:color w:val="auto"/>
              </w:rPr>
            </w:pPr>
          </w:p>
        </w:tc>
        <w:tc>
          <w:tcPr>
            <w:tcW w:w="1000" w:type="dxa"/>
            <w:vAlign w:val="bottom"/>
            <w:shd w:val="clear" w:color="auto" w:fill="E2E2D8"/>
          </w:tcPr>
          <w:p>
            <w:pPr>
              <w:spacing w:after="0"/>
              <w:rPr>
                <w:sz w:val="4"/>
                <w:szCs w:val="4"/>
                <w:color w:val="auto"/>
              </w:rPr>
            </w:pPr>
          </w:p>
        </w:tc>
        <w:tc>
          <w:tcPr>
            <w:tcW w:w="860" w:type="dxa"/>
            <w:vAlign w:val="bottom"/>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VESTED</w:t>
            </w:r>
          </w:p>
        </w:tc>
        <w:tc>
          <w:tcPr>
            <w:tcW w:w="1000" w:type="dxa"/>
            <w:vAlign w:val="bottom"/>
            <w:gridSpan w:val="2"/>
            <w:vMerge w:val="restart"/>
            <w:shd w:val="clear" w:color="auto" w:fill="E2E2D8"/>
          </w:tcPr>
          <w:p>
            <w:pPr>
              <w:jc w:val="center"/>
              <w:spacing w:after="0" w:line="122" w:lineRule="exact"/>
              <w:rPr>
                <w:sz w:val="20"/>
                <w:szCs w:val="20"/>
                <w:color w:val="auto"/>
              </w:rPr>
            </w:pPr>
            <w:r>
              <w:rPr>
                <w:rFonts w:ascii="Arial" w:cs="Arial" w:eastAsia="Arial" w:hAnsi="Arial"/>
                <w:sz w:val="11"/>
                <w:szCs w:val="11"/>
                <w:color w:val="auto"/>
                <w:w w:val="99"/>
              </w:rPr>
              <w:t>NOT VESTED</w:t>
            </w:r>
          </w:p>
        </w:tc>
        <w:tc>
          <w:tcPr>
            <w:tcW w:w="0" w:type="dxa"/>
            <w:vAlign w:val="bottom"/>
          </w:tcPr>
          <w:p>
            <w:pPr>
              <w:spacing w:after="0"/>
              <w:rPr>
                <w:sz w:val="1"/>
                <w:szCs w:val="1"/>
                <w:color w:val="auto"/>
              </w:rPr>
            </w:pPr>
          </w:p>
        </w:tc>
      </w:tr>
      <w:tr>
        <w:trPr>
          <w:trHeight w:val="68"/>
        </w:trPr>
        <w:tc>
          <w:tcPr>
            <w:tcW w:w="5540" w:type="dxa"/>
            <w:vAlign w:val="bottom"/>
            <w:shd w:val="clear" w:color="auto" w:fill="E2E2D8"/>
          </w:tcPr>
          <w:p>
            <w:pPr>
              <w:spacing w:after="0"/>
              <w:rPr>
                <w:sz w:val="5"/>
                <w:szCs w:val="5"/>
                <w:color w:val="auto"/>
              </w:rPr>
            </w:pPr>
          </w:p>
        </w:tc>
        <w:tc>
          <w:tcPr>
            <w:tcW w:w="100" w:type="dxa"/>
            <w:vAlign w:val="bottom"/>
            <w:shd w:val="clear" w:color="auto" w:fill="E2E2D8"/>
          </w:tcPr>
          <w:p>
            <w:pPr>
              <w:spacing w:after="0"/>
              <w:rPr>
                <w:sz w:val="5"/>
                <w:szCs w:val="5"/>
                <w:color w:val="auto"/>
              </w:rPr>
            </w:pPr>
          </w:p>
        </w:tc>
        <w:tc>
          <w:tcPr>
            <w:tcW w:w="840" w:type="dxa"/>
            <w:vAlign w:val="bottom"/>
            <w:vMerge w:val="restart"/>
            <w:shd w:val="clear" w:color="auto" w:fill="E2E2D8"/>
          </w:tcPr>
          <w:p>
            <w:pPr>
              <w:jc w:val="center"/>
              <w:ind w:right="6"/>
              <w:spacing w:after="0"/>
              <w:rPr>
                <w:sz w:val="20"/>
                <w:szCs w:val="20"/>
                <w:color w:val="auto"/>
              </w:rPr>
            </w:pPr>
            <w:r>
              <w:rPr>
                <w:rFonts w:ascii="Arial" w:cs="Arial" w:eastAsia="Arial" w:hAnsi="Arial"/>
                <w:sz w:val="11"/>
                <w:szCs w:val="11"/>
                <w:color w:val="auto"/>
                <w:w w:val="96"/>
              </w:rPr>
              <w:t>EXERCISABLE</w:t>
            </w:r>
          </w:p>
        </w:tc>
        <w:tc>
          <w:tcPr>
            <w:tcW w:w="1020" w:type="dxa"/>
            <w:vAlign w:val="bottom"/>
            <w:vMerge w:val="restart"/>
            <w:shd w:val="clear" w:color="auto" w:fill="E2E2D8"/>
          </w:tcPr>
          <w:p>
            <w:pPr>
              <w:jc w:val="center"/>
              <w:spacing w:after="0"/>
              <w:rPr>
                <w:sz w:val="20"/>
                <w:szCs w:val="20"/>
                <w:color w:val="auto"/>
              </w:rPr>
            </w:pPr>
            <w:r>
              <w:rPr>
                <w:rFonts w:ascii="Arial" w:cs="Arial" w:eastAsia="Arial" w:hAnsi="Arial"/>
                <w:sz w:val="11"/>
                <w:szCs w:val="11"/>
                <w:color w:val="auto"/>
                <w:w w:val="97"/>
              </w:rPr>
              <w:t>UNEXERCISABLE</w:t>
            </w:r>
          </w:p>
        </w:tc>
        <w:tc>
          <w:tcPr>
            <w:tcW w:w="660" w:type="dxa"/>
            <w:vAlign w:val="bottom"/>
            <w:shd w:val="clear" w:color="auto" w:fill="E2E2D8"/>
          </w:tcPr>
          <w:p>
            <w:pPr>
              <w:spacing w:after="0"/>
              <w:rPr>
                <w:sz w:val="5"/>
                <w:szCs w:val="5"/>
                <w:color w:val="auto"/>
              </w:rPr>
            </w:pPr>
          </w:p>
        </w:tc>
        <w:tc>
          <w:tcPr>
            <w:tcW w:w="100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1000" w:type="dxa"/>
            <w:vAlign w:val="bottom"/>
            <w:gridSpan w:val="2"/>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5540" w:type="dxa"/>
            <w:vAlign w:val="bottom"/>
            <w:shd w:val="clear" w:color="auto" w:fill="E2E2D8"/>
          </w:tcPr>
          <w:p>
            <w:pPr>
              <w:spacing w:after="0"/>
              <w:rPr>
                <w:sz w:val="6"/>
                <w:szCs w:val="6"/>
                <w:color w:val="auto"/>
              </w:rPr>
            </w:pPr>
          </w:p>
        </w:tc>
        <w:tc>
          <w:tcPr>
            <w:tcW w:w="100" w:type="dxa"/>
            <w:vAlign w:val="bottom"/>
            <w:shd w:val="clear" w:color="auto" w:fill="E2E2D8"/>
          </w:tcPr>
          <w:p>
            <w:pPr>
              <w:spacing w:after="0"/>
              <w:rPr>
                <w:sz w:val="6"/>
                <w:szCs w:val="6"/>
                <w:color w:val="auto"/>
              </w:rPr>
            </w:pPr>
          </w:p>
        </w:tc>
        <w:tc>
          <w:tcPr>
            <w:tcW w:w="840" w:type="dxa"/>
            <w:vAlign w:val="bottom"/>
            <w:vMerge w:val="continue"/>
            <w:shd w:val="clear" w:color="auto" w:fill="E2E2D8"/>
          </w:tcPr>
          <w:p>
            <w:pPr>
              <w:spacing w:after="0"/>
              <w:rPr>
                <w:sz w:val="6"/>
                <w:szCs w:val="6"/>
                <w:color w:val="auto"/>
              </w:rPr>
            </w:pPr>
          </w:p>
        </w:tc>
        <w:tc>
          <w:tcPr>
            <w:tcW w:w="1020" w:type="dxa"/>
            <w:vAlign w:val="bottom"/>
            <w:vMerge w:val="continue"/>
            <w:shd w:val="clear" w:color="auto" w:fill="E2E2D8"/>
          </w:tcPr>
          <w:p>
            <w:pPr>
              <w:spacing w:after="0"/>
              <w:rPr>
                <w:sz w:val="6"/>
                <w:szCs w:val="6"/>
                <w:color w:val="auto"/>
              </w:rPr>
            </w:pPr>
          </w:p>
        </w:tc>
        <w:tc>
          <w:tcPr>
            <w:tcW w:w="660" w:type="dxa"/>
            <w:vAlign w:val="bottom"/>
            <w:shd w:val="clear" w:color="auto" w:fill="E2E2D8"/>
          </w:tcPr>
          <w:p>
            <w:pPr>
              <w:spacing w:after="0"/>
              <w:rPr>
                <w:sz w:val="6"/>
                <w:szCs w:val="6"/>
                <w:color w:val="auto"/>
              </w:rPr>
            </w:pPr>
          </w:p>
        </w:tc>
        <w:tc>
          <w:tcPr>
            <w:tcW w:w="1000" w:type="dxa"/>
            <w:vAlign w:val="bottom"/>
            <w:shd w:val="clear" w:color="auto" w:fill="E2E2D8"/>
          </w:tcPr>
          <w:p>
            <w:pPr>
              <w:spacing w:after="0"/>
              <w:rPr>
                <w:sz w:val="6"/>
                <w:szCs w:val="6"/>
                <w:color w:val="auto"/>
              </w:rPr>
            </w:pPr>
          </w:p>
        </w:tc>
        <w:tc>
          <w:tcPr>
            <w:tcW w:w="860" w:type="dxa"/>
            <w:vAlign w:val="bottom"/>
            <w:vMerge w:val="restart"/>
            <w:shd w:val="clear" w:color="auto" w:fill="E2E2D8"/>
          </w:tcPr>
          <w:p>
            <w:pPr>
              <w:jc w:val="center"/>
              <w:spacing w:after="0"/>
              <w:rPr>
                <w:sz w:val="20"/>
                <w:szCs w:val="20"/>
                <w:color w:val="auto"/>
              </w:rPr>
            </w:pPr>
            <w:r>
              <w:rPr>
                <w:rFonts w:ascii="Arial" w:cs="Arial" w:eastAsia="Arial" w:hAnsi="Arial"/>
                <w:sz w:val="11"/>
                <w:szCs w:val="11"/>
                <w:color w:val="auto"/>
                <w:w w:val="88"/>
              </w:rPr>
              <w:t>(#)</w:t>
            </w:r>
          </w:p>
        </w:tc>
        <w:tc>
          <w:tcPr>
            <w:tcW w:w="140" w:type="dxa"/>
            <w:vAlign w:val="bottom"/>
            <w:shd w:val="clear" w:color="auto" w:fill="E2E2D8"/>
          </w:tcPr>
          <w:p>
            <w:pPr>
              <w:spacing w:after="0"/>
              <w:rPr>
                <w:sz w:val="6"/>
                <w:szCs w:val="6"/>
                <w:color w:val="auto"/>
              </w:rPr>
            </w:pPr>
          </w:p>
        </w:tc>
        <w:tc>
          <w:tcPr>
            <w:tcW w:w="860" w:type="dxa"/>
            <w:vAlign w:val="bottom"/>
            <w:vMerge w:val="restart"/>
            <w:shd w:val="clear" w:color="auto" w:fill="E2E2D8"/>
          </w:tcPr>
          <w:p>
            <w:pPr>
              <w:jc w:val="center"/>
              <w:ind w:right="139"/>
              <w:spacing w:after="0"/>
              <w:rPr>
                <w:sz w:val="20"/>
                <w:szCs w:val="20"/>
                <w:color w:val="auto"/>
              </w:rPr>
            </w:pPr>
            <w:r>
              <w:rPr>
                <w:rFonts w:ascii="Arial" w:cs="Arial" w:eastAsia="Arial" w:hAnsi="Arial"/>
                <w:sz w:val="11"/>
                <w:szCs w:val="11"/>
                <w:color w:val="auto"/>
              </w:rPr>
              <w:t>($) (5)</w:t>
            </w:r>
          </w:p>
        </w:tc>
        <w:tc>
          <w:tcPr>
            <w:tcW w:w="0" w:type="dxa"/>
            <w:vAlign w:val="bottom"/>
          </w:tcPr>
          <w:p>
            <w:pPr>
              <w:spacing w:after="0"/>
              <w:rPr>
                <w:sz w:val="1"/>
                <w:szCs w:val="1"/>
                <w:color w:val="auto"/>
              </w:rPr>
            </w:pPr>
          </w:p>
        </w:tc>
      </w:tr>
      <w:tr>
        <w:trPr>
          <w:trHeight w:val="63"/>
        </w:trPr>
        <w:tc>
          <w:tcPr>
            <w:tcW w:w="5540" w:type="dxa"/>
            <w:vAlign w:val="bottom"/>
            <w:shd w:val="clear" w:color="auto" w:fill="E2E2D8"/>
          </w:tcPr>
          <w:p>
            <w:pPr>
              <w:spacing w:after="0"/>
              <w:rPr>
                <w:sz w:val="5"/>
                <w:szCs w:val="5"/>
                <w:color w:val="auto"/>
              </w:rPr>
            </w:pPr>
          </w:p>
        </w:tc>
        <w:tc>
          <w:tcPr>
            <w:tcW w:w="100" w:type="dxa"/>
            <w:vAlign w:val="bottom"/>
            <w:shd w:val="clear" w:color="auto" w:fill="E2E2D8"/>
          </w:tcPr>
          <w:p>
            <w:pPr>
              <w:spacing w:after="0"/>
              <w:rPr>
                <w:sz w:val="5"/>
                <w:szCs w:val="5"/>
                <w:color w:val="auto"/>
              </w:rPr>
            </w:pPr>
          </w:p>
        </w:tc>
        <w:tc>
          <w:tcPr>
            <w:tcW w:w="840" w:type="dxa"/>
            <w:vAlign w:val="bottom"/>
            <w:shd w:val="clear" w:color="auto" w:fill="E2E2D8"/>
          </w:tcPr>
          <w:p>
            <w:pPr>
              <w:spacing w:after="0"/>
              <w:rPr>
                <w:sz w:val="5"/>
                <w:szCs w:val="5"/>
                <w:color w:val="auto"/>
              </w:rPr>
            </w:pPr>
          </w:p>
        </w:tc>
        <w:tc>
          <w:tcPr>
            <w:tcW w:w="1020" w:type="dxa"/>
            <w:vAlign w:val="bottom"/>
            <w:shd w:val="clear" w:color="auto" w:fill="E2E2D8"/>
          </w:tcPr>
          <w:p>
            <w:pPr>
              <w:spacing w:after="0"/>
              <w:rPr>
                <w:sz w:val="5"/>
                <w:szCs w:val="5"/>
                <w:color w:val="auto"/>
              </w:rPr>
            </w:pPr>
          </w:p>
        </w:tc>
        <w:tc>
          <w:tcPr>
            <w:tcW w:w="660" w:type="dxa"/>
            <w:vAlign w:val="bottom"/>
            <w:shd w:val="clear" w:color="auto" w:fill="E2E2D8"/>
          </w:tcPr>
          <w:p>
            <w:pPr>
              <w:spacing w:after="0"/>
              <w:rPr>
                <w:sz w:val="5"/>
                <w:szCs w:val="5"/>
                <w:color w:val="auto"/>
              </w:rPr>
            </w:pPr>
          </w:p>
        </w:tc>
        <w:tc>
          <w:tcPr>
            <w:tcW w:w="100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140" w:type="dxa"/>
            <w:vAlign w:val="bottom"/>
            <w:shd w:val="clear" w:color="auto" w:fill="E2E2D8"/>
          </w:tcPr>
          <w:p>
            <w:pPr>
              <w:spacing w:after="0"/>
              <w:rPr>
                <w:sz w:val="5"/>
                <w:szCs w:val="5"/>
                <w:color w:val="auto"/>
              </w:rPr>
            </w:pPr>
          </w:p>
        </w:tc>
        <w:tc>
          <w:tcPr>
            <w:tcW w:w="860" w:type="dxa"/>
            <w:vAlign w:val="bottom"/>
            <w:vMerge w:val="continue"/>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5540" w:type="dxa"/>
            <w:vAlign w:val="bottom"/>
            <w:shd w:val="clear" w:color="auto" w:fill="EAEFF9"/>
          </w:tcPr>
          <w:p>
            <w:pPr>
              <w:ind w:left="60"/>
              <w:spacing w:after="0"/>
              <w:rPr>
                <w:sz w:val="20"/>
                <w:szCs w:val="20"/>
                <w:color w:val="auto"/>
              </w:rPr>
            </w:pPr>
            <w:r>
              <w:rPr>
                <w:rFonts w:ascii="Arial" w:cs="Arial" w:eastAsia="Arial" w:hAnsi="Arial"/>
                <w:sz w:val="13"/>
                <w:szCs w:val="13"/>
                <w:b w:val="1"/>
                <w:bCs w:val="1"/>
                <w:color w:val="auto"/>
              </w:rPr>
              <w:t>MATT MADDOX</w:t>
            </w:r>
          </w:p>
        </w:tc>
        <w:tc>
          <w:tcPr>
            <w:tcW w:w="940" w:type="dxa"/>
            <w:vAlign w:val="bottom"/>
            <w:gridSpan w:val="2"/>
            <w:shd w:val="clear" w:color="auto" w:fill="EAEFF9"/>
          </w:tcPr>
          <w:p>
            <w:pPr>
              <w:jc w:val="center"/>
              <w:spacing w:after="0"/>
              <w:rPr>
                <w:sz w:val="20"/>
                <w:szCs w:val="20"/>
                <w:color w:val="auto"/>
              </w:rPr>
            </w:pPr>
            <w:r>
              <w:rPr>
                <w:rFonts w:ascii="Arial" w:cs="Arial" w:eastAsia="Arial" w:hAnsi="Arial"/>
                <w:sz w:val="14"/>
                <w:szCs w:val="14"/>
                <w:color w:val="auto"/>
              </w:rPr>
              <w:t>967</w:t>
            </w:r>
          </w:p>
        </w:tc>
        <w:tc>
          <w:tcPr>
            <w:tcW w:w="102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2,901</w:t>
            </w:r>
          </w:p>
        </w:tc>
        <w:tc>
          <w:tcPr>
            <w:tcW w:w="66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$760.79</w:t>
            </w:r>
          </w:p>
        </w:tc>
        <w:tc>
          <w:tcPr>
            <w:tcW w:w="100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98"/>
              </w:rPr>
              <w:t>12/11/2030</w:t>
            </w:r>
            <w:r>
              <w:rPr>
                <w:rFonts w:ascii="Arial" w:cs="Arial" w:eastAsia="Arial" w:hAnsi="Arial"/>
                <w:sz w:val="24"/>
                <w:szCs w:val="24"/>
                <w:color w:val="auto"/>
                <w:w w:val="98"/>
                <w:vertAlign w:val="superscript"/>
              </w:rPr>
              <w:t>(1)</w:t>
            </w:r>
          </w:p>
        </w:tc>
        <w:tc>
          <w:tcPr>
            <w:tcW w:w="860" w:type="dxa"/>
            <w:vAlign w:val="bottom"/>
            <w:shd w:val="clear" w:color="auto" w:fill="EAEFF9"/>
          </w:tcPr>
          <w:p>
            <w:pPr>
              <w:jc w:val="right"/>
              <w:ind w:right="41"/>
              <w:spacing w:after="0"/>
              <w:rPr>
                <w:sz w:val="20"/>
                <w:szCs w:val="20"/>
                <w:color w:val="auto"/>
              </w:rPr>
            </w:pPr>
            <w:r>
              <w:rPr>
                <w:rFonts w:ascii="Arial" w:cs="Arial" w:eastAsia="Arial" w:hAnsi="Arial"/>
                <w:sz w:val="14"/>
                <w:szCs w:val="14"/>
                <w:color w:val="auto"/>
              </w:rPr>
              <w:t>193,378</w:t>
            </w:r>
            <w:r>
              <w:rPr>
                <w:rFonts w:ascii="Arial" w:cs="Arial" w:eastAsia="Arial" w:hAnsi="Arial"/>
                <w:sz w:val="24"/>
                <w:szCs w:val="24"/>
                <w:color w:val="auto"/>
                <w:vertAlign w:val="superscript"/>
              </w:rPr>
              <w:t>(2)</w:t>
            </w:r>
          </w:p>
        </w:tc>
        <w:tc>
          <w:tcPr>
            <w:tcW w:w="140" w:type="dxa"/>
            <w:vAlign w:val="bottom"/>
            <w:shd w:val="clear" w:color="auto" w:fill="EAEFF9"/>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FF9"/>
          </w:tcPr>
          <w:p>
            <w:pPr>
              <w:jc w:val="right"/>
              <w:ind w:right="59"/>
              <w:spacing w:after="0"/>
              <w:rPr>
                <w:sz w:val="20"/>
                <w:szCs w:val="20"/>
                <w:color w:val="auto"/>
              </w:rPr>
            </w:pPr>
            <w:r>
              <w:rPr>
                <w:rFonts w:ascii="Arial" w:cs="Arial" w:eastAsia="Arial" w:hAnsi="Arial"/>
                <w:sz w:val="14"/>
                <w:szCs w:val="14"/>
                <w:color w:val="auto"/>
              </w:rPr>
              <w:t>16,444,865</w:t>
            </w:r>
          </w:p>
        </w:tc>
        <w:tc>
          <w:tcPr>
            <w:tcW w:w="0" w:type="dxa"/>
            <w:vAlign w:val="bottom"/>
          </w:tcPr>
          <w:p>
            <w:pPr>
              <w:spacing w:after="0"/>
              <w:rPr>
                <w:sz w:val="1"/>
                <w:szCs w:val="1"/>
                <w:color w:val="auto"/>
              </w:rPr>
            </w:pPr>
          </w:p>
        </w:tc>
      </w:tr>
      <w:tr>
        <w:trPr>
          <w:trHeight w:val="392"/>
        </w:trPr>
        <w:tc>
          <w:tcPr>
            <w:tcW w:w="5540" w:type="dxa"/>
            <w:vAlign w:val="bottom"/>
            <w:shd w:val="clear" w:color="auto" w:fill="E2E2D8"/>
          </w:tcPr>
          <w:p>
            <w:pPr>
              <w:ind w:left="60"/>
              <w:spacing w:after="0"/>
              <w:rPr>
                <w:sz w:val="20"/>
                <w:szCs w:val="20"/>
                <w:color w:val="auto"/>
              </w:rPr>
            </w:pPr>
            <w:r>
              <w:rPr>
                <w:rFonts w:ascii="Arial" w:cs="Arial" w:eastAsia="Arial" w:hAnsi="Arial"/>
                <w:sz w:val="13"/>
                <w:szCs w:val="13"/>
                <w:b w:val="1"/>
                <w:bCs w:val="1"/>
                <w:color w:val="auto"/>
              </w:rPr>
              <w:t>CRAIG BILLINGS</w:t>
            </w:r>
          </w:p>
        </w:tc>
        <w:tc>
          <w:tcPr>
            <w:tcW w:w="940" w:type="dxa"/>
            <w:vAlign w:val="bottom"/>
            <w:gridSpan w:val="2"/>
            <w:shd w:val="clear" w:color="auto" w:fill="E2E2D8"/>
          </w:tcPr>
          <w:p>
            <w:pPr>
              <w:jc w:val="center"/>
              <w:spacing w:after="0"/>
              <w:rPr>
                <w:sz w:val="20"/>
                <w:szCs w:val="20"/>
                <w:color w:val="auto"/>
              </w:rPr>
            </w:pPr>
            <w:r>
              <w:rPr>
                <w:rFonts w:ascii="Arial" w:cs="Arial" w:eastAsia="Arial" w:hAnsi="Arial"/>
                <w:sz w:val="14"/>
                <w:szCs w:val="14"/>
                <w:color w:val="auto"/>
              </w:rPr>
              <w:t>2,314</w:t>
            </w:r>
          </w:p>
        </w:tc>
        <w:tc>
          <w:tcPr>
            <w:tcW w:w="102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6,942</w:t>
            </w:r>
          </w:p>
        </w:tc>
        <w:tc>
          <w:tcPr>
            <w:tcW w:w="66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$760.79</w:t>
            </w:r>
          </w:p>
        </w:tc>
        <w:tc>
          <w:tcPr>
            <w:tcW w:w="1000" w:type="dxa"/>
            <w:vAlign w:val="bottom"/>
            <w:shd w:val="clear" w:color="auto" w:fill="E2E2D8"/>
          </w:tcPr>
          <w:p>
            <w:pPr>
              <w:jc w:val="center"/>
              <w:spacing w:after="0"/>
              <w:rPr>
                <w:sz w:val="20"/>
                <w:szCs w:val="20"/>
                <w:color w:val="auto"/>
              </w:rPr>
            </w:pPr>
            <w:r>
              <w:rPr>
                <w:rFonts w:ascii="Arial" w:cs="Arial" w:eastAsia="Arial" w:hAnsi="Arial"/>
                <w:sz w:val="14"/>
                <w:szCs w:val="14"/>
                <w:color w:val="auto"/>
                <w:w w:val="98"/>
              </w:rPr>
              <w:t>12/11/2030</w:t>
            </w:r>
            <w:r>
              <w:rPr>
                <w:rFonts w:ascii="Arial" w:cs="Arial" w:eastAsia="Arial" w:hAnsi="Arial"/>
                <w:sz w:val="24"/>
                <w:szCs w:val="24"/>
                <w:color w:val="auto"/>
                <w:w w:val="98"/>
                <w:vertAlign w:val="superscript"/>
              </w:rPr>
              <w:t>(1)</w:t>
            </w:r>
          </w:p>
        </w:tc>
        <w:tc>
          <w:tcPr>
            <w:tcW w:w="860" w:type="dxa"/>
            <w:vAlign w:val="bottom"/>
            <w:shd w:val="clear" w:color="auto" w:fill="E2E2D8"/>
          </w:tcPr>
          <w:p>
            <w:pPr>
              <w:jc w:val="right"/>
              <w:ind w:right="1"/>
              <w:spacing w:after="0"/>
              <w:rPr>
                <w:sz w:val="20"/>
                <w:szCs w:val="20"/>
                <w:color w:val="auto"/>
              </w:rPr>
            </w:pPr>
            <w:r>
              <w:rPr>
                <w:rFonts w:ascii="Arial" w:cs="Arial" w:eastAsia="Arial" w:hAnsi="Arial"/>
                <w:sz w:val="14"/>
                <w:szCs w:val="14"/>
                <w:color w:val="auto"/>
              </w:rPr>
              <w:t>117,837</w:t>
            </w:r>
            <w:r>
              <w:rPr>
                <w:rFonts w:ascii="Arial" w:cs="Arial" w:eastAsia="Arial" w:hAnsi="Arial"/>
                <w:sz w:val="24"/>
                <w:szCs w:val="24"/>
                <w:color w:val="auto"/>
                <w:vertAlign w:val="superscript"/>
              </w:rPr>
              <w:t>(3)</w:t>
            </w:r>
          </w:p>
        </w:tc>
        <w:tc>
          <w:tcPr>
            <w:tcW w:w="140" w:type="dxa"/>
            <w:vAlign w:val="bottom"/>
            <w:shd w:val="clear" w:color="auto" w:fill="E2E2D8"/>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E2E2D8"/>
          </w:tcPr>
          <w:p>
            <w:pPr>
              <w:jc w:val="right"/>
              <w:ind w:right="59"/>
              <w:spacing w:after="0"/>
              <w:rPr>
                <w:sz w:val="20"/>
                <w:szCs w:val="20"/>
                <w:color w:val="auto"/>
              </w:rPr>
            </w:pPr>
            <w:r>
              <w:rPr>
                <w:rFonts w:ascii="Arial" w:cs="Arial" w:eastAsia="Arial" w:hAnsi="Arial"/>
                <w:sz w:val="14"/>
                <w:szCs w:val="14"/>
                <w:color w:val="auto"/>
              </w:rPr>
              <w:t>10,020,858</w:t>
            </w:r>
          </w:p>
        </w:tc>
        <w:tc>
          <w:tcPr>
            <w:tcW w:w="0" w:type="dxa"/>
            <w:vAlign w:val="bottom"/>
          </w:tcPr>
          <w:p>
            <w:pPr>
              <w:spacing w:after="0"/>
              <w:rPr>
                <w:sz w:val="1"/>
                <w:szCs w:val="1"/>
                <w:color w:val="auto"/>
              </w:rPr>
            </w:pPr>
          </w:p>
        </w:tc>
      </w:tr>
      <w:tr>
        <w:trPr>
          <w:trHeight w:val="392"/>
        </w:trPr>
        <w:tc>
          <w:tcPr>
            <w:tcW w:w="5540" w:type="dxa"/>
            <w:vAlign w:val="bottom"/>
            <w:shd w:val="clear" w:color="auto" w:fill="EAEFF9"/>
          </w:tcPr>
          <w:p>
            <w:pPr>
              <w:ind w:left="60"/>
              <w:spacing w:after="0"/>
              <w:rPr>
                <w:sz w:val="20"/>
                <w:szCs w:val="20"/>
                <w:color w:val="auto"/>
              </w:rPr>
            </w:pPr>
            <w:r>
              <w:rPr>
                <w:rFonts w:ascii="Arial" w:cs="Arial" w:eastAsia="Arial" w:hAnsi="Arial"/>
                <w:sz w:val="13"/>
                <w:szCs w:val="13"/>
                <w:b w:val="1"/>
                <w:bCs w:val="1"/>
                <w:color w:val="auto"/>
              </w:rPr>
              <w:t>ELLEN F. WHITTEMORE</w:t>
            </w:r>
          </w:p>
        </w:tc>
        <w:tc>
          <w:tcPr>
            <w:tcW w:w="940" w:type="dxa"/>
            <w:vAlign w:val="bottom"/>
            <w:gridSpan w:val="2"/>
            <w:shd w:val="clear" w:color="auto" w:fill="EAEFF9"/>
          </w:tcPr>
          <w:p>
            <w:pPr>
              <w:jc w:val="center"/>
              <w:spacing w:after="0"/>
              <w:rPr>
                <w:sz w:val="20"/>
                <w:szCs w:val="20"/>
                <w:color w:val="auto"/>
              </w:rPr>
            </w:pPr>
            <w:r>
              <w:rPr>
                <w:rFonts w:ascii="Arial" w:cs="Arial" w:eastAsia="Arial" w:hAnsi="Arial"/>
                <w:sz w:val="14"/>
                <w:szCs w:val="14"/>
                <w:color w:val="auto"/>
              </w:rPr>
              <w:t>346</w:t>
            </w:r>
          </w:p>
        </w:tc>
        <w:tc>
          <w:tcPr>
            <w:tcW w:w="102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1,036</w:t>
            </w:r>
          </w:p>
        </w:tc>
        <w:tc>
          <w:tcPr>
            <w:tcW w:w="66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$760.79</w:t>
            </w:r>
          </w:p>
        </w:tc>
        <w:tc>
          <w:tcPr>
            <w:tcW w:w="100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98"/>
              </w:rPr>
              <w:t>12/11/2030</w:t>
            </w:r>
            <w:r>
              <w:rPr>
                <w:rFonts w:ascii="Arial" w:cs="Arial" w:eastAsia="Arial" w:hAnsi="Arial"/>
                <w:sz w:val="24"/>
                <w:szCs w:val="24"/>
                <w:color w:val="auto"/>
                <w:w w:val="98"/>
                <w:vertAlign w:val="superscript"/>
              </w:rPr>
              <w:t>(1)</w:t>
            </w:r>
          </w:p>
        </w:tc>
        <w:tc>
          <w:tcPr>
            <w:tcW w:w="860" w:type="dxa"/>
            <w:vAlign w:val="bottom"/>
            <w:shd w:val="clear" w:color="auto" w:fill="EAEFF9"/>
          </w:tcPr>
          <w:p>
            <w:pPr>
              <w:jc w:val="right"/>
              <w:ind w:right="41"/>
              <w:spacing w:after="0"/>
              <w:rPr>
                <w:sz w:val="20"/>
                <w:szCs w:val="20"/>
                <w:color w:val="auto"/>
              </w:rPr>
            </w:pPr>
            <w:r>
              <w:rPr>
                <w:rFonts w:ascii="Arial" w:cs="Arial" w:eastAsia="Arial" w:hAnsi="Arial"/>
                <w:sz w:val="14"/>
                <w:szCs w:val="14"/>
                <w:color w:val="auto"/>
              </w:rPr>
              <w:t>25,849</w:t>
            </w:r>
            <w:r>
              <w:rPr>
                <w:rFonts w:ascii="Arial" w:cs="Arial" w:eastAsia="Arial" w:hAnsi="Arial"/>
                <w:sz w:val="24"/>
                <w:szCs w:val="24"/>
                <w:color w:val="auto"/>
                <w:vertAlign w:val="superscript"/>
              </w:rPr>
              <w:t>(4)</w:t>
            </w:r>
          </w:p>
        </w:tc>
        <w:tc>
          <w:tcPr>
            <w:tcW w:w="140" w:type="dxa"/>
            <w:vAlign w:val="bottom"/>
            <w:shd w:val="clear" w:color="auto" w:fill="EAEFF9"/>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EAEFF9"/>
          </w:tcPr>
          <w:p>
            <w:pPr>
              <w:jc w:val="right"/>
              <w:ind w:right="59"/>
              <w:spacing w:after="0"/>
              <w:rPr>
                <w:sz w:val="20"/>
                <w:szCs w:val="20"/>
                <w:color w:val="auto"/>
              </w:rPr>
            </w:pPr>
            <w:r>
              <w:rPr>
                <w:rFonts w:ascii="Arial" w:cs="Arial" w:eastAsia="Arial" w:hAnsi="Arial"/>
                <w:sz w:val="14"/>
                <w:szCs w:val="14"/>
                <w:color w:val="auto"/>
              </w:rPr>
              <w:t>2,198,199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20" w:right="140" w:hanging="4"/>
        <w:spacing w:after="0" w:line="225" w:lineRule="auto"/>
        <w:tabs>
          <w:tab w:leader="none" w:pos="3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On December 11, 2020, Messrs. Maddox and Billings and Ms. Whittemore were granted options to acquire shares of Wynn Interactive, subject to vesting conditions and continued employment. The options vest 25% each year on the anniversary date for four years. The strike price of these options were granted at a premium when compared to the current share price of Wynn Interactive Ltd. as determined by an independent valuation performed in accordance with Internal Revenue Code § 409A.</w:t>
      </w:r>
    </w:p>
    <w:p>
      <w:pPr>
        <w:spacing w:after="0" w:line="92" w:lineRule="exact"/>
        <w:rPr>
          <w:rFonts w:ascii="Arial" w:cs="Arial" w:eastAsia="Arial" w:hAnsi="Arial"/>
          <w:sz w:val="13"/>
          <w:szCs w:val="13"/>
          <w:color w:val="auto"/>
        </w:rPr>
      </w:pPr>
    </w:p>
    <w:p>
      <w:pPr>
        <w:ind w:left="120" w:right="100" w:hanging="4"/>
        <w:spacing w:after="0" w:line="223" w:lineRule="auto"/>
        <w:tabs>
          <w:tab w:leader="none" w:pos="3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35,678 shares will vest on January 11, 2022, subject to continued employment. Of the remaining 157,700 shares, in connection with Mr. Maddox’s Transition Agreement and pursuant to his existing restricted stock agreements, 82,238 unvested shares granted to Mr. Maddox vested on January 31, 2022, representing a pro rata share of restricted stock previously granted to Mr. Maddox in connection with his transition and departure. The remaining 75,462 shares were forfeited on January 31, 2022. See “Executive Compensation Tables-Potential payments upon termination or change in control” section for more detail.</w:t>
      </w:r>
    </w:p>
    <w:p>
      <w:pPr>
        <w:spacing w:after="0" w:line="92" w:lineRule="exact"/>
        <w:rPr>
          <w:rFonts w:ascii="Arial" w:cs="Arial" w:eastAsia="Arial" w:hAnsi="Arial"/>
          <w:sz w:val="13"/>
          <w:szCs w:val="13"/>
          <w:color w:val="auto"/>
        </w:rPr>
      </w:pPr>
    </w:p>
    <w:p>
      <w:pPr>
        <w:ind w:left="120" w:right="40" w:hanging="4"/>
        <w:spacing w:after="0" w:line="222" w:lineRule="auto"/>
        <w:tabs>
          <w:tab w:leader="none" w:pos="3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7,332 shares will vest if certain performance conditions are met related to company-specific gaming licensure in certain jurisdictions and subject to continued employment. 3,394 shares will vest on February 28, 2022 and 2023; 3,395 shares will vest on February 28, 2024; and 7,046 shares and 7,332 shares will vest on March 1, 2022 and March 1, 2023, respectively, all of which are subject to continued employment and the achievement of pre-established property-level revenue and/or Adjusted Property EBITDA performance goals. 7,046 shares will vest on January 11, 2022; 3,394 shares will vest on January 11, 2022 and 2023; 3,395 shares will vest on January 11, 2024; 11,000 shares will vest on March 1, 2022; 5,000 shares will vest on March 1, 2023; 17,571 shares will vest on November 9, 2022; and 17,572 shares will vest on November 9, 2023 and 2024, respectively, all of which are subject to continued employment.</w:t>
      </w:r>
    </w:p>
    <w:p>
      <w:pPr>
        <w:spacing w:after="0" w:line="91" w:lineRule="exact"/>
        <w:rPr>
          <w:rFonts w:ascii="Arial" w:cs="Arial" w:eastAsia="Arial" w:hAnsi="Arial"/>
          <w:sz w:val="13"/>
          <w:szCs w:val="13"/>
          <w:color w:val="auto"/>
        </w:rPr>
      </w:pPr>
    </w:p>
    <w:p>
      <w:pPr>
        <w:ind w:left="120" w:right="120" w:hanging="4"/>
        <w:spacing w:after="0" w:line="223" w:lineRule="auto"/>
        <w:tabs>
          <w:tab w:leader="none" w:pos="3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1,658 shares will vest on February 28, 2022 and 2023; 1,660 shares will vest on February 28, 2024; 1,125 shares will vest on March 1, 2022; 3,303 shares will vest on March 1, 2022; and 3,583 shares will vest on March 1, 2023, all of which are subject to continued employment and the achievement of pre-established property-level revenue and/or Adjusted Property EBITDA performance goals. 3,303 shares will vest on January 11, 2022; 1,658 shares will vest on January 11, 2022 and 2023; 1,660 shares will vest on January 11, 2024; 1,000 shares will vest on July 15, 2022; and 3,583 shares will vest on January 14, 2023, all of which are subject to continued employment.</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Amounts in this column are based upon the closing price of the Company’s stock at December 31, 2021, which was $85.04.</w:t>
      </w:r>
    </w:p>
    <w:p>
      <w:pPr>
        <w:spacing w:after="0" w:line="2"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50 //</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Option exercises and stock vested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457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457325"/>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6860" w:type="dxa"/>
            <w:vAlign w:val="bottom"/>
            <w:shd w:val="clear" w:color="auto" w:fill="E2E2D8"/>
          </w:tcPr>
          <w:p>
            <w:pPr>
              <w:spacing w:after="0"/>
              <w:rPr>
                <w:sz w:val="24"/>
                <w:szCs w:val="24"/>
                <w:color w:val="auto"/>
              </w:rPr>
            </w:pPr>
          </w:p>
        </w:tc>
        <w:tc>
          <w:tcPr>
            <w:tcW w:w="1980" w:type="dxa"/>
            <w:vAlign w:val="bottom"/>
            <w:gridSpan w:val="2"/>
            <w:shd w:val="clear" w:color="auto" w:fill="E2E2D8"/>
          </w:tcPr>
          <w:p>
            <w:pPr>
              <w:ind w:left="480"/>
              <w:spacing w:after="0"/>
              <w:rPr>
                <w:sz w:val="20"/>
                <w:szCs w:val="20"/>
                <w:color w:val="auto"/>
              </w:rPr>
            </w:pPr>
            <w:r>
              <w:rPr>
                <w:rFonts w:ascii="Arial" w:cs="Arial" w:eastAsia="Arial" w:hAnsi="Arial"/>
                <w:sz w:val="13"/>
                <w:szCs w:val="13"/>
                <w:b w:val="1"/>
                <w:bCs w:val="1"/>
                <w:color w:val="auto"/>
              </w:rPr>
              <w:t>OPTION AWARDS</w:t>
            </w:r>
          </w:p>
        </w:tc>
        <w:tc>
          <w:tcPr>
            <w:tcW w:w="2180" w:type="dxa"/>
            <w:vAlign w:val="bottom"/>
            <w:gridSpan w:val="3"/>
            <w:shd w:val="clear" w:color="auto" w:fill="E2E2D8"/>
          </w:tcPr>
          <w:p>
            <w:pPr>
              <w:jc w:val="right"/>
              <w:ind w:right="59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294"/>
        </w:trPr>
        <w:tc>
          <w:tcPr>
            <w:tcW w:w="6860" w:type="dxa"/>
            <w:vAlign w:val="bottom"/>
            <w:shd w:val="clear" w:color="auto" w:fill="E2E2D8"/>
          </w:tcPr>
          <w:p>
            <w:pPr>
              <w:spacing w:after="0"/>
              <w:rPr>
                <w:sz w:val="24"/>
                <w:szCs w:val="24"/>
                <w:color w:val="auto"/>
              </w:rPr>
            </w:pPr>
          </w:p>
        </w:tc>
        <w:tc>
          <w:tcPr>
            <w:tcW w:w="1000" w:type="dxa"/>
            <w:vAlign w:val="bottom"/>
            <w:shd w:val="clear" w:color="auto" w:fill="E2E2D8"/>
          </w:tcPr>
          <w:p>
            <w:pPr>
              <w:jc w:val="center"/>
              <w:spacing w:after="0"/>
              <w:rPr>
                <w:sz w:val="20"/>
                <w:szCs w:val="20"/>
                <w:color w:val="auto"/>
              </w:rPr>
            </w:pPr>
            <w:r>
              <w:rPr>
                <w:rFonts w:ascii="Arial" w:cs="Arial" w:eastAsia="Arial" w:hAnsi="Arial"/>
                <w:sz w:val="13"/>
                <w:szCs w:val="13"/>
                <w:color w:val="auto"/>
                <w:w w:val="97"/>
              </w:rPr>
              <w:t>NUMBER OF</w:t>
            </w:r>
          </w:p>
        </w:tc>
        <w:tc>
          <w:tcPr>
            <w:tcW w:w="980" w:type="dxa"/>
            <w:vAlign w:val="bottom"/>
            <w:vMerge w:val="restart"/>
            <w:shd w:val="clear" w:color="auto" w:fill="E2E2D8"/>
          </w:tcPr>
          <w:p>
            <w:pPr>
              <w:jc w:val="center"/>
              <w:spacing w:after="0"/>
              <w:rPr>
                <w:sz w:val="20"/>
                <w:szCs w:val="20"/>
                <w:color w:val="auto"/>
              </w:rPr>
            </w:pPr>
            <w:r>
              <w:rPr>
                <w:rFonts w:ascii="Arial" w:cs="Arial" w:eastAsia="Arial" w:hAnsi="Arial"/>
                <w:sz w:val="13"/>
                <w:szCs w:val="13"/>
                <w:color w:val="auto"/>
                <w:w w:val="93"/>
              </w:rPr>
              <w:t>VALUE</w:t>
            </w:r>
          </w:p>
        </w:tc>
        <w:tc>
          <w:tcPr>
            <w:tcW w:w="1080" w:type="dxa"/>
            <w:vAlign w:val="bottom"/>
            <w:vMerge w:val="restart"/>
            <w:shd w:val="clear" w:color="auto" w:fill="E2E2D8"/>
          </w:tcPr>
          <w:p>
            <w:pPr>
              <w:jc w:val="center"/>
              <w:spacing w:after="0"/>
              <w:rPr>
                <w:sz w:val="20"/>
                <w:szCs w:val="20"/>
                <w:color w:val="auto"/>
              </w:rPr>
            </w:pPr>
            <w:r>
              <w:rPr>
                <w:rFonts w:ascii="Arial" w:cs="Arial" w:eastAsia="Arial" w:hAnsi="Arial"/>
                <w:sz w:val="13"/>
                <w:szCs w:val="13"/>
                <w:color w:val="auto"/>
                <w:w w:val="97"/>
              </w:rPr>
              <w:t>NUMBER OF</w:t>
            </w:r>
          </w:p>
        </w:tc>
        <w:tc>
          <w:tcPr>
            <w:tcW w:w="140" w:type="dxa"/>
            <w:vAlign w:val="bottom"/>
            <w:shd w:val="clear" w:color="auto" w:fill="E2E2D8"/>
          </w:tcPr>
          <w:p>
            <w:pPr>
              <w:spacing w:after="0"/>
              <w:rPr>
                <w:sz w:val="24"/>
                <w:szCs w:val="24"/>
                <w:color w:val="auto"/>
              </w:rPr>
            </w:pPr>
          </w:p>
        </w:tc>
        <w:tc>
          <w:tcPr>
            <w:tcW w:w="960" w:type="dxa"/>
            <w:vAlign w:val="bottom"/>
            <w:vMerge w:val="restart"/>
            <w:shd w:val="clear" w:color="auto" w:fill="E2E2D8"/>
          </w:tcPr>
          <w:p>
            <w:pPr>
              <w:jc w:val="center"/>
              <w:ind w:right="253"/>
              <w:spacing w:after="0"/>
              <w:rPr>
                <w:sz w:val="20"/>
                <w:szCs w:val="20"/>
                <w:color w:val="auto"/>
              </w:rPr>
            </w:pPr>
            <w:r>
              <w:rPr>
                <w:rFonts w:ascii="Arial" w:cs="Arial" w:eastAsia="Arial" w:hAnsi="Arial"/>
                <w:sz w:val="13"/>
                <w:szCs w:val="13"/>
                <w:color w:val="auto"/>
                <w:w w:val="93"/>
              </w:rPr>
              <w:t>VALUE</w:t>
            </w:r>
          </w:p>
        </w:tc>
        <w:tc>
          <w:tcPr>
            <w:tcW w:w="0" w:type="dxa"/>
            <w:vAlign w:val="bottom"/>
          </w:tcPr>
          <w:p>
            <w:pPr>
              <w:spacing w:after="0"/>
              <w:rPr>
                <w:sz w:val="1"/>
                <w:szCs w:val="1"/>
                <w:color w:val="auto"/>
              </w:rPr>
            </w:pPr>
          </w:p>
        </w:tc>
      </w:tr>
      <w:tr>
        <w:trPr>
          <w:trHeight w:val="81"/>
        </w:trPr>
        <w:tc>
          <w:tcPr>
            <w:tcW w:w="6860" w:type="dxa"/>
            <w:vAlign w:val="bottom"/>
            <w:shd w:val="clear" w:color="auto" w:fill="E2E2D8"/>
          </w:tcPr>
          <w:p>
            <w:pPr>
              <w:spacing w:after="0"/>
              <w:rPr>
                <w:sz w:val="7"/>
                <w:szCs w:val="7"/>
                <w:color w:val="auto"/>
              </w:rPr>
            </w:pPr>
          </w:p>
        </w:tc>
        <w:tc>
          <w:tcPr>
            <w:tcW w:w="1000" w:type="dxa"/>
            <w:vAlign w:val="bottom"/>
            <w:vMerge w:val="restart"/>
            <w:shd w:val="clear" w:color="auto" w:fill="E2E2D8"/>
          </w:tcPr>
          <w:p>
            <w:pPr>
              <w:jc w:val="center"/>
              <w:spacing w:after="0" w:line="135" w:lineRule="exact"/>
              <w:rPr>
                <w:sz w:val="20"/>
                <w:szCs w:val="20"/>
                <w:color w:val="auto"/>
              </w:rPr>
            </w:pPr>
            <w:r>
              <w:rPr>
                <w:rFonts w:ascii="Arial" w:cs="Arial" w:eastAsia="Arial" w:hAnsi="Arial"/>
                <w:sz w:val="13"/>
                <w:szCs w:val="13"/>
                <w:color w:val="auto"/>
                <w:w w:val="97"/>
              </w:rPr>
              <w:t>SHARES</w:t>
            </w:r>
          </w:p>
        </w:tc>
        <w:tc>
          <w:tcPr>
            <w:tcW w:w="980" w:type="dxa"/>
            <w:vAlign w:val="bottom"/>
            <w:vMerge w:val="continue"/>
            <w:shd w:val="clear" w:color="auto" w:fill="E2E2D8"/>
          </w:tcPr>
          <w:p>
            <w:pPr>
              <w:spacing w:after="0"/>
              <w:rPr>
                <w:sz w:val="7"/>
                <w:szCs w:val="7"/>
                <w:color w:val="auto"/>
              </w:rPr>
            </w:pPr>
          </w:p>
        </w:tc>
        <w:tc>
          <w:tcPr>
            <w:tcW w:w="1080" w:type="dxa"/>
            <w:vAlign w:val="bottom"/>
            <w:vMerge w:val="continue"/>
            <w:shd w:val="clear" w:color="auto" w:fill="E2E2D8"/>
          </w:tcPr>
          <w:p>
            <w:pPr>
              <w:spacing w:after="0"/>
              <w:rPr>
                <w:sz w:val="7"/>
                <w:szCs w:val="7"/>
                <w:color w:val="auto"/>
              </w:rPr>
            </w:pPr>
          </w:p>
        </w:tc>
        <w:tc>
          <w:tcPr>
            <w:tcW w:w="140" w:type="dxa"/>
            <w:vAlign w:val="bottom"/>
            <w:shd w:val="clear" w:color="auto" w:fill="E2E2D8"/>
          </w:tcPr>
          <w:p>
            <w:pPr>
              <w:spacing w:after="0"/>
              <w:rPr>
                <w:sz w:val="7"/>
                <w:szCs w:val="7"/>
                <w:color w:val="auto"/>
              </w:rPr>
            </w:pPr>
          </w:p>
        </w:tc>
        <w:tc>
          <w:tcPr>
            <w:tcW w:w="960" w:type="dxa"/>
            <w:vAlign w:val="bottom"/>
            <w:vMerge w:val="continue"/>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860" w:type="dxa"/>
            <w:vAlign w:val="bottom"/>
            <w:vMerge w:val="restart"/>
            <w:shd w:val="clear" w:color="auto" w:fill="E2E2D8"/>
          </w:tcPr>
          <w:p>
            <w:pPr>
              <w:ind w:left="60"/>
              <w:spacing w:after="0"/>
              <w:rPr>
                <w:sz w:val="20"/>
                <w:szCs w:val="20"/>
                <w:color w:val="auto"/>
              </w:rPr>
            </w:pPr>
            <w:r>
              <w:rPr>
                <w:rFonts w:ascii="Arial" w:cs="Arial" w:eastAsia="Arial" w:hAnsi="Arial"/>
                <w:sz w:val="13"/>
                <w:szCs w:val="13"/>
                <w:b w:val="1"/>
                <w:bCs w:val="1"/>
                <w:color w:val="auto"/>
              </w:rPr>
              <w:t>NAME</w:t>
            </w:r>
          </w:p>
        </w:tc>
        <w:tc>
          <w:tcPr>
            <w:tcW w:w="1000" w:type="dxa"/>
            <w:vAlign w:val="bottom"/>
            <w:vMerge w:val="continue"/>
            <w:shd w:val="clear" w:color="auto" w:fill="E2E2D8"/>
          </w:tcPr>
          <w:p>
            <w:pPr>
              <w:spacing w:after="0"/>
              <w:rPr>
                <w:sz w:val="4"/>
                <w:szCs w:val="4"/>
                <w:color w:val="auto"/>
              </w:rPr>
            </w:pPr>
          </w:p>
        </w:tc>
        <w:tc>
          <w:tcPr>
            <w:tcW w:w="980" w:type="dxa"/>
            <w:vAlign w:val="bottom"/>
            <w:vMerge w:val="restart"/>
            <w:shd w:val="clear" w:color="auto" w:fill="E2E2D8"/>
          </w:tcPr>
          <w:p>
            <w:pPr>
              <w:jc w:val="center"/>
              <w:spacing w:after="0" w:line="135" w:lineRule="exact"/>
              <w:rPr>
                <w:sz w:val="20"/>
                <w:szCs w:val="20"/>
                <w:color w:val="auto"/>
              </w:rPr>
            </w:pPr>
            <w:r>
              <w:rPr>
                <w:rFonts w:ascii="Arial" w:cs="Arial" w:eastAsia="Arial" w:hAnsi="Arial"/>
                <w:sz w:val="13"/>
                <w:szCs w:val="13"/>
                <w:color w:val="auto"/>
                <w:w w:val="97"/>
              </w:rPr>
              <w:t>REALIZED</w:t>
            </w:r>
          </w:p>
        </w:tc>
        <w:tc>
          <w:tcPr>
            <w:tcW w:w="1080" w:type="dxa"/>
            <w:vAlign w:val="bottom"/>
            <w:vMerge w:val="restart"/>
            <w:shd w:val="clear" w:color="auto" w:fill="E2E2D8"/>
          </w:tcPr>
          <w:p>
            <w:pPr>
              <w:jc w:val="center"/>
              <w:spacing w:after="0" w:line="135" w:lineRule="exact"/>
              <w:rPr>
                <w:sz w:val="20"/>
                <w:szCs w:val="20"/>
                <w:color w:val="auto"/>
              </w:rPr>
            </w:pPr>
            <w:r>
              <w:rPr>
                <w:rFonts w:ascii="Arial" w:cs="Arial" w:eastAsia="Arial" w:hAnsi="Arial"/>
                <w:sz w:val="13"/>
                <w:szCs w:val="13"/>
                <w:color w:val="auto"/>
                <w:w w:val="97"/>
              </w:rPr>
              <w:t>SHARES</w:t>
            </w:r>
          </w:p>
        </w:tc>
        <w:tc>
          <w:tcPr>
            <w:tcW w:w="140" w:type="dxa"/>
            <w:vAlign w:val="bottom"/>
            <w:shd w:val="clear" w:color="auto" w:fill="E2E2D8"/>
          </w:tcPr>
          <w:p>
            <w:pPr>
              <w:spacing w:after="0"/>
              <w:rPr>
                <w:sz w:val="4"/>
                <w:szCs w:val="4"/>
                <w:color w:val="auto"/>
              </w:rPr>
            </w:pPr>
          </w:p>
        </w:tc>
        <w:tc>
          <w:tcPr>
            <w:tcW w:w="960" w:type="dxa"/>
            <w:vAlign w:val="bottom"/>
            <w:vMerge w:val="restart"/>
            <w:shd w:val="clear" w:color="auto" w:fill="E2E2D8"/>
          </w:tcPr>
          <w:p>
            <w:pPr>
              <w:jc w:val="center"/>
              <w:ind w:right="233"/>
              <w:spacing w:after="0" w:line="135" w:lineRule="exact"/>
              <w:rPr>
                <w:sz w:val="20"/>
                <w:szCs w:val="20"/>
                <w:color w:val="auto"/>
              </w:rPr>
            </w:pPr>
            <w:r>
              <w:rPr>
                <w:rFonts w:ascii="Arial" w:cs="Arial" w:eastAsia="Arial" w:hAnsi="Arial"/>
                <w:sz w:val="13"/>
                <w:szCs w:val="13"/>
                <w:color w:val="auto"/>
                <w:w w:val="97"/>
              </w:rPr>
              <w:t>REALIZED</w:t>
            </w:r>
          </w:p>
        </w:tc>
        <w:tc>
          <w:tcPr>
            <w:tcW w:w="0" w:type="dxa"/>
            <w:vAlign w:val="bottom"/>
          </w:tcPr>
          <w:p>
            <w:pPr>
              <w:spacing w:after="0"/>
              <w:rPr>
                <w:sz w:val="1"/>
                <w:szCs w:val="1"/>
                <w:color w:val="auto"/>
              </w:rPr>
            </w:pPr>
          </w:p>
        </w:tc>
      </w:tr>
      <w:tr>
        <w:trPr>
          <w:trHeight w:val="81"/>
        </w:trPr>
        <w:tc>
          <w:tcPr>
            <w:tcW w:w="6860" w:type="dxa"/>
            <w:vAlign w:val="bottom"/>
            <w:vMerge w:val="continue"/>
            <w:shd w:val="clear" w:color="auto" w:fill="E2E2D8"/>
          </w:tcPr>
          <w:p>
            <w:pPr>
              <w:spacing w:after="0"/>
              <w:rPr>
                <w:sz w:val="7"/>
                <w:szCs w:val="7"/>
                <w:color w:val="auto"/>
              </w:rPr>
            </w:pPr>
          </w:p>
        </w:tc>
        <w:tc>
          <w:tcPr>
            <w:tcW w:w="1000" w:type="dxa"/>
            <w:vAlign w:val="bottom"/>
            <w:vMerge w:val="restart"/>
            <w:shd w:val="clear" w:color="auto" w:fill="E2E2D8"/>
          </w:tcPr>
          <w:p>
            <w:pPr>
              <w:jc w:val="center"/>
              <w:spacing w:after="0" w:line="135" w:lineRule="exact"/>
              <w:rPr>
                <w:sz w:val="20"/>
                <w:szCs w:val="20"/>
                <w:color w:val="auto"/>
              </w:rPr>
            </w:pPr>
            <w:r>
              <w:rPr>
                <w:rFonts w:ascii="Arial" w:cs="Arial" w:eastAsia="Arial" w:hAnsi="Arial"/>
                <w:sz w:val="13"/>
                <w:szCs w:val="13"/>
                <w:color w:val="auto"/>
                <w:w w:val="99"/>
              </w:rPr>
              <w:t>ACQUIRED</w:t>
            </w:r>
          </w:p>
        </w:tc>
        <w:tc>
          <w:tcPr>
            <w:tcW w:w="980" w:type="dxa"/>
            <w:vAlign w:val="bottom"/>
            <w:vMerge w:val="continue"/>
            <w:shd w:val="clear" w:color="auto" w:fill="E2E2D8"/>
          </w:tcPr>
          <w:p>
            <w:pPr>
              <w:spacing w:after="0"/>
              <w:rPr>
                <w:sz w:val="7"/>
                <w:szCs w:val="7"/>
                <w:color w:val="auto"/>
              </w:rPr>
            </w:pPr>
          </w:p>
        </w:tc>
        <w:tc>
          <w:tcPr>
            <w:tcW w:w="1080" w:type="dxa"/>
            <w:vAlign w:val="bottom"/>
            <w:vMerge w:val="continue"/>
            <w:shd w:val="clear" w:color="auto" w:fill="E2E2D8"/>
          </w:tcPr>
          <w:p>
            <w:pPr>
              <w:spacing w:after="0"/>
              <w:rPr>
                <w:sz w:val="7"/>
                <w:szCs w:val="7"/>
                <w:color w:val="auto"/>
              </w:rPr>
            </w:pPr>
          </w:p>
        </w:tc>
        <w:tc>
          <w:tcPr>
            <w:tcW w:w="140" w:type="dxa"/>
            <w:vAlign w:val="bottom"/>
            <w:shd w:val="clear" w:color="auto" w:fill="E2E2D8"/>
          </w:tcPr>
          <w:p>
            <w:pPr>
              <w:spacing w:after="0"/>
              <w:rPr>
                <w:sz w:val="7"/>
                <w:szCs w:val="7"/>
                <w:color w:val="auto"/>
              </w:rPr>
            </w:pPr>
          </w:p>
        </w:tc>
        <w:tc>
          <w:tcPr>
            <w:tcW w:w="960" w:type="dxa"/>
            <w:vAlign w:val="bottom"/>
            <w:vMerge w:val="continue"/>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860" w:type="dxa"/>
            <w:vAlign w:val="bottom"/>
            <w:vMerge w:val="continue"/>
            <w:shd w:val="clear" w:color="auto" w:fill="E2E2D8"/>
          </w:tcPr>
          <w:p>
            <w:pPr>
              <w:spacing w:after="0"/>
              <w:rPr>
                <w:sz w:val="4"/>
                <w:szCs w:val="4"/>
                <w:color w:val="auto"/>
              </w:rPr>
            </w:pPr>
          </w:p>
        </w:tc>
        <w:tc>
          <w:tcPr>
            <w:tcW w:w="1000" w:type="dxa"/>
            <w:vAlign w:val="bottom"/>
            <w:vMerge w:val="continue"/>
            <w:shd w:val="clear" w:color="auto" w:fill="E2E2D8"/>
          </w:tcPr>
          <w:p>
            <w:pPr>
              <w:spacing w:after="0"/>
              <w:rPr>
                <w:sz w:val="4"/>
                <w:szCs w:val="4"/>
                <w:color w:val="auto"/>
              </w:rPr>
            </w:pPr>
          </w:p>
        </w:tc>
        <w:tc>
          <w:tcPr>
            <w:tcW w:w="980" w:type="dxa"/>
            <w:vAlign w:val="bottom"/>
            <w:vMerge w:val="restart"/>
            <w:shd w:val="clear" w:color="auto" w:fill="E2E2D8"/>
          </w:tcPr>
          <w:p>
            <w:pPr>
              <w:jc w:val="center"/>
              <w:spacing w:after="0"/>
              <w:rPr>
                <w:sz w:val="20"/>
                <w:szCs w:val="20"/>
                <w:color w:val="auto"/>
              </w:rPr>
            </w:pPr>
            <w:r>
              <w:rPr>
                <w:rFonts w:ascii="Arial" w:cs="Arial" w:eastAsia="Arial" w:hAnsi="Arial"/>
                <w:sz w:val="13"/>
                <w:szCs w:val="13"/>
                <w:color w:val="auto"/>
                <w:w w:val="96"/>
              </w:rPr>
              <w:t>ON EXERCISE</w:t>
            </w:r>
          </w:p>
        </w:tc>
        <w:tc>
          <w:tcPr>
            <w:tcW w:w="1080" w:type="dxa"/>
            <w:vAlign w:val="bottom"/>
            <w:vMerge w:val="restart"/>
            <w:shd w:val="clear" w:color="auto" w:fill="E2E2D8"/>
          </w:tcPr>
          <w:p>
            <w:pPr>
              <w:jc w:val="center"/>
              <w:spacing w:after="0"/>
              <w:rPr>
                <w:sz w:val="20"/>
                <w:szCs w:val="20"/>
                <w:color w:val="auto"/>
              </w:rPr>
            </w:pPr>
            <w:r>
              <w:rPr>
                <w:rFonts w:ascii="Arial" w:cs="Arial" w:eastAsia="Arial" w:hAnsi="Arial"/>
                <w:sz w:val="13"/>
                <w:szCs w:val="13"/>
                <w:color w:val="auto"/>
                <w:w w:val="99"/>
              </w:rPr>
              <w:t>ACQUIRED</w:t>
            </w:r>
          </w:p>
        </w:tc>
        <w:tc>
          <w:tcPr>
            <w:tcW w:w="1100" w:type="dxa"/>
            <w:vAlign w:val="bottom"/>
            <w:gridSpan w:val="2"/>
            <w:vMerge w:val="restart"/>
            <w:shd w:val="clear" w:color="auto" w:fill="E2E2D8"/>
          </w:tcPr>
          <w:p>
            <w:pPr>
              <w:ind w:left="60"/>
              <w:spacing w:after="0"/>
              <w:rPr>
                <w:sz w:val="20"/>
                <w:szCs w:val="20"/>
                <w:color w:val="auto"/>
              </w:rPr>
            </w:pPr>
            <w:r>
              <w:rPr>
                <w:rFonts w:ascii="Arial" w:cs="Arial" w:eastAsia="Arial" w:hAnsi="Arial"/>
                <w:sz w:val="13"/>
                <w:szCs w:val="13"/>
                <w:color w:val="auto"/>
              </w:rPr>
              <w:t>ON VESTING</w:t>
            </w:r>
          </w:p>
        </w:tc>
        <w:tc>
          <w:tcPr>
            <w:tcW w:w="0" w:type="dxa"/>
            <w:vAlign w:val="bottom"/>
          </w:tcPr>
          <w:p>
            <w:pPr>
              <w:spacing w:after="0"/>
              <w:rPr>
                <w:sz w:val="1"/>
                <w:szCs w:val="1"/>
                <w:color w:val="auto"/>
              </w:rPr>
            </w:pPr>
          </w:p>
        </w:tc>
      </w:tr>
      <w:tr>
        <w:trPr>
          <w:trHeight w:val="114"/>
        </w:trPr>
        <w:tc>
          <w:tcPr>
            <w:tcW w:w="6860" w:type="dxa"/>
            <w:vAlign w:val="bottom"/>
            <w:shd w:val="clear" w:color="auto" w:fill="E2E2D8"/>
          </w:tcPr>
          <w:p>
            <w:pPr>
              <w:spacing w:after="0"/>
              <w:rPr>
                <w:sz w:val="9"/>
                <w:szCs w:val="9"/>
                <w:color w:val="auto"/>
              </w:rPr>
            </w:pPr>
          </w:p>
        </w:tc>
        <w:tc>
          <w:tcPr>
            <w:tcW w:w="1000" w:type="dxa"/>
            <w:vAlign w:val="bottom"/>
            <w:shd w:val="clear" w:color="auto" w:fill="E2E2D8"/>
          </w:tcPr>
          <w:p>
            <w:pPr>
              <w:jc w:val="center"/>
              <w:spacing w:after="0" w:line="114" w:lineRule="exact"/>
              <w:rPr>
                <w:sz w:val="20"/>
                <w:szCs w:val="20"/>
                <w:color w:val="auto"/>
              </w:rPr>
            </w:pPr>
            <w:r>
              <w:rPr>
                <w:rFonts w:ascii="Arial" w:cs="Arial" w:eastAsia="Arial" w:hAnsi="Arial"/>
                <w:sz w:val="13"/>
                <w:szCs w:val="13"/>
                <w:color w:val="auto"/>
                <w:w w:val="96"/>
              </w:rPr>
              <w:t>ON EXERCISE</w:t>
            </w:r>
          </w:p>
        </w:tc>
        <w:tc>
          <w:tcPr>
            <w:tcW w:w="980" w:type="dxa"/>
            <w:vAlign w:val="bottom"/>
            <w:vMerge w:val="continue"/>
            <w:shd w:val="clear" w:color="auto" w:fill="E2E2D8"/>
          </w:tcPr>
          <w:p>
            <w:pPr>
              <w:spacing w:after="0"/>
              <w:rPr>
                <w:sz w:val="9"/>
                <w:szCs w:val="9"/>
                <w:color w:val="auto"/>
              </w:rPr>
            </w:pPr>
          </w:p>
        </w:tc>
        <w:tc>
          <w:tcPr>
            <w:tcW w:w="1080" w:type="dxa"/>
            <w:vAlign w:val="bottom"/>
            <w:vMerge w:val="continue"/>
            <w:shd w:val="clear" w:color="auto" w:fill="E2E2D8"/>
          </w:tcPr>
          <w:p>
            <w:pPr>
              <w:spacing w:after="0"/>
              <w:rPr>
                <w:sz w:val="9"/>
                <w:szCs w:val="9"/>
                <w:color w:val="auto"/>
              </w:rPr>
            </w:pPr>
          </w:p>
        </w:tc>
        <w:tc>
          <w:tcPr>
            <w:tcW w:w="1100" w:type="dxa"/>
            <w:vAlign w:val="bottom"/>
            <w:gridSpan w:val="2"/>
            <w:vMerge w:val="continue"/>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E2E2D8"/>
          </w:tcPr>
          <w:p>
            <w:pPr>
              <w:spacing w:after="0"/>
              <w:rPr>
                <w:sz w:val="11"/>
                <w:szCs w:val="11"/>
                <w:color w:val="auto"/>
              </w:rPr>
            </w:pPr>
          </w:p>
        </w:tc>
        <w:tc>
          <w:tcPr>
            <w:tcW w:w="1000" w:type="dxa"/>
            <w:vAlign w:val="bottom"/>
            <w:vMerge w:val="restart"/>
            <w:shd w:val="clear" w:color="auto" w:fill="E2E2D8"/>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2E2D8"/>
          </w:tcPr>
          <w:p>
            <w:pPr>
              <w:jc w:val="center"/>
              <w:spacing w:after="0" w:line="135" w:lineRule="exact"/>
              <w:rPr>
                <w:sz w:val="20"/>
                <w:szCs w:val="20"/>
                <w:color w:val="auto"/>
              </w:rPr>
            </w:pPr>
            <w:r>
              <w:rPr>
                <w:rFonts w:ascii="Arial" w:cs="Arial" w:eastAsia="Arial" w:hAnsi="Arial"/>
                <w:sz w:val="13"/>
                <w:szCs w:val="13"/>
                <w:color w:val="auto"/>
                <w:w w:val="87"/>
              </w:rPr>
              <w:t>($)</w:t>
            </w:r>
          </w:p>
        </w:tc>
        <w:tc>
          <w:tcPr>
            <w:tcW w:w="1080" w:type="dxa"/>
            <w:vAlign w:val="bottom"/>
            <w:shd w:val="clear" w:color="auto" w:fill="E2E2D8"/>
          </w:tcPr>
          <w:p>
            <w:pPr>
              <w:jc w:val="center"/>
              <w:spacing w:after="0" w:line="135" w:lineRule="exact"/>
              <w:rPr>
                <w:sz w:val="20"/>
                <w:szCs w:val="20"/>
                <w:color w:val="auto"/>
              </w:rPr>
            </w:pPr>
            <w:r>
              <w:rPr>
                <w:rFonts w:ascii="Arial" w:cs="Arial" w:eastAsia="Arial" w:hAnsi="Arial"/>
                <w:sz w:val="13"/>
                <w:szCs w:val="13"/>
                <w:color w:val="auto"/>
                <w:w w:val="96"/>
              </w:rPr>
              <w:t>ON VESTING (#)</w:t>
            </w:r>
          </w:p>
        </w:tc>
        <w:tc>
          <w:tcPr>
            <w:tcW w:w="140" w:type="dxa"/>
            <w:vAlign w:val="bottom"/>
            <w:shd w:val="clear" w:color="auto" w:fill="E2E2D8"/>
          </w:tcPr>
          <w:p>
            <w:pPr>
              <w:spacing w:after="0"/>
              <w:rPr>
                <w:sz w:val="11"/>
                <w:szCs w:val="11"/>
                <w:color w:val="auto"/>
              </w:rPr>
            </w:pPr>
          </w:p>
        </w:tc>
        <w:tc>
          <w:tcPr>
            <w:tcW w:w="960" w:type="dxa"/>
            <w:vAlign w:val="bottom"/>
            <w:shd w:val="clear" w:color="auto" w:fill="E2E2D8"/>
          </w:tcPr>
          <w:p>
            <w:pPr>
              <w:jc w:val="center"/>
              <w:ind w:right="253"/>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1"/>
        </w:trPr>
        <w:tc>
          <w:tcPr>
            <w:tcW w:w="6860" w:type="dxa"/>
            <w:vAlign w:val="bottom"/>
            <w:tcBorders>
              <w:bottom w:val="single" w:sz="8" w:color="E2E2D8"/>
            </w:tcBorders>
            <w:shd w:val="clear" w:color="auto" w:fill="E2E2D8"/>
          </w:tcPr>
          <w:p>
            <w:pPr>
              <w:spacing w:after="0"/>
              <w:rPr>
                <w:sz w:val="5"/>
                <w:szCs w:val="5"/>
                <w:color w:val="auto"/>
              </w:rPr>
            </w:pPr>
          </w:p>
        </w:tc>
        <w:tc>
          <w:tcPr>
            <w:tcW w:w="1000" w:type="dxa"/>
            <w:vAlign w:val="bottom"/>
            <w:tcBorders>
              <w:bottom w:val="single" w:sz="8" w:color="E2E2D8"/>
            </w:tcBorders>
            <w:vMerge w:val="continue"/>
            <w:shd w:val="clear" w:color="auto" w:fill="E2E2D8"/>
          </w:tcPr>
          <w:p>
            <w:pPr>
              <w:spacing w:after="0"/>
              <w:rPr>
                <w:sz w:val="5"/>
                <w:szCs w:val="5"/>
                <w:color w:val="auto"/>
              </w:rPr>
            </w:pPr>
          </w:p>
        </w:tc>
        <w:tc>
          <w:tcPr>
            <w:tcW w:w="980" w:type="dxa"/>
            <w:vAlign w:val="bottom"/>
            <w:tcBorders>
              <w:bottom w:val="single" w:sz="8" w:color="E2E2D8"/>
            </w:tcBorders>
            <w:shd w:val="clear" w:color="auto" w:fill="E2E2D8"/>
          </w:tcPr>
          <w:p>
            <w:pPr>
              <w:spacing w:after="0"/>
              <w:rPr>
                <w:sz w:val="5"/>
                <w:szCs w:val="5"/>
                <w:color w:val="auto"/>
              </w:rPr>
            </w:pPr>
          </w:p>
        </w:tc>
        <w:tc>
          <w:tcPr>
            <w:tcW w:w="1080" w:type="dxa"/>
            <w:vAlign w:val="bottom"/>
            <w:tcBorders>
              <w:bottom w:val="single" w:sz="8" w:color="E2E2D8"/>
            </w:tcBorders>
            <w:shd w:val="clear" w:color="auto" w:fill="E2E2D8"/>
          </w:tcPr>
          <w:p>
            <w:pPr>
              <w:spacing w:after="0"/>
              <w:rPr>
                <w:sz w:val="5"/>
                <w:szCs w:val="5"/>
                <w:color w:val="auto"/>
              </w:rPr>
            </w:pPr>
          </w:p>
        </w:tc>
        <w:tc>
          <w:tcPr>
            <w:tcW w:w="140" w:type="dxa"/>
            <w:vAlign w:val="bottom"/>
            <w:tcBorders>
              <w:bottom w:val="single" w:sz="8" w:color="E2E2D8"/>
            </w:tcBorders>
            <w:shd w:val="clear" w:color="auto" w:fill="E2E2D8"/>
          </w:tcPr>
          <w:p>
            <w:pPr>
              <w:spacing w:after="0"/>
              <w:rPr>
                <w:sz w:val="5"/>
                <w:szCs w:val="5"/>
                <w:color w:val="auto"/>
              </w:rPr>
            </w:pPr>
          </w:p>
        </w:tc>
        <w:tc>
          <w:tcPr>
            <w:tcW w:w="960" w:type="dxa"/>
            <w:vAlign w:val="bottom"/>
            <w:tcBorders>
              <w:bottom w:val="single" w:sz="8" w:color="E2E2D8"/>
            </w:tcBorders>
            <w:shd w:val="clear" w:color="auto" w:fill="E2E2D8"/>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6860" w:type="dxa"/>
            <w:vAlign w:val="bottom"/>
            <w:shd w:val="clear" w:color="auto" w:fill="EAEFF9"/>
          </w:tcPr>
          <w:p>
            <w:pPr>
              <w:ind w:left="60"/>
              <w:spacing w:after="0"/>
              <w:rPr>
                <w:sz w:val="20"/>
                <w:szCs w:val="20"/>
                <w:color w:val="auto"/>
              </w:rPr>
            </w:pPr>
            <w:r>
              <w:rPr>
                <w:rFonts w:ascii="Arial" w:cs="Arial" w:eastAsia="Arial" w:hAnsi="Arial"/>
                <w:sz w:val="13"/>
                <w:szCs w:val="13"/>
                <w:b w:val="1"/>
                <w:bCs w:val="1"/>
                <w:color w:val="auto"/>
              </w:rPr>
              <w:t>MATT MADDOX</w:t>
            </w:r>
          </w:p>
        </w:tc>
        <w:tc>
          <w:tcPr>
            <w:tcW w:w="100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84"/>
              </w:rPr>
              <w:t>-</w:t>
            </w:r>
          </w:p>
        </w:tc>
        <w:tc>
          <w:tcPr>
            <w:tcW w:w="9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79,501</w:t>
            </w:r>
          </w:p>
        </w:tc>
        <w:tc>
          <w:tcPr>
            <w:tcW w:w="140" w:type="dxa"/>
            <w:vAlign w:val="bottom"/>
            <w:shd w:val="clear" w:color="auto" w:fill="EAEFF9"/>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EAEFF9"/>
          </w:tcPr>
          <w:p>
            <w:pPr>
              <w:jc w:val="right"/>
              <w:ind w:right="13"/>
              <w:spacing w:after="0"/>
              <w:rPr>
                <w:sz w:val="20"/>
                <w:szCs w:val="20"/>
                <w:color w:val="auto"/>
              </w:rPr>
            </w:pPr>
            <w:r>
              <w:rPr>
                <w:rFonts w:ascii="Arial" w:cs="Arial" w:eastAsia="Arial" w:hAnsi="Arial"/>
                <w:sz w:val="14"/>
                <w:szCs w:val="14"/>
                <w:color w:val="auto"/>
              </w:rPr>
              <w:t>7,599,117</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364"/>
        </w:trPr>
        <w:tc>
          <w:tcPr>
            <w:tcW w:w="6860" w:type="dxa"/>
            <w:vAlign w:val="bottom"/>
            <w:shd w:val="clear" w:color="auto" w:fill="E2E2D8"/>
          </w:tcPr>
          <w:p>
            <w:pPr>
              <w:ind w:left="60"/>
              <w:spacing w:after="0"/>
              <w:rPr>
                <w:sz w:val="20"/>
                <w:szCs w:val="20"/>
                <w:color w:val="auto"/>
              </w:rPr>
            </w:pPr>
            <w:r>
              <w:rPr>
                <w:rFonts w:ascii="Arial" w:cs="Arial" w:eastAsia="Arial" w:hAnsi="Arial"/>
                <w:sz w:val="13"/>
                <w:szCs w:val="13"/>
                <w:b w:val="1"/>
                <w:bCs w:val="1"/>
                <w:color w:val="auto"/>
              </w:rPr>
              <w:t>CRAIG BILLINGS</w:t>
            </w:r>
          </w:p>
        </w:tc>
        <w:tc>
          <w:tcPr>
            <w:tcW w:w="1000" w:type="dxa"/>
            <w:vAlign w:val="bottom"/>
            <w:shd w:val="clear" w:color="auto" w:fill="E2E2D8"/>
          </w:tcPr>
          <w:p>
            <w:pPr>
              <w:jc w:val="center"/>
              <w:spacing w:after="0"/>
              <w:rPr>
                <w:sz w:val="20"/>
                <w:szCs w:val="20"/>
                <w:color w:val="auto"/>
              </w:rPr>
            </w:pPr>
            <w:r>
              <w:rPr>
                <w:rFonts w:ascii="Arial" w:cs="Arial" w:eastAsia="Arial" w:hAnsi="Arial"/>
                <w:sz w:val="14"/>
                <w:szCs w:val="14"/>
                <w:color w:val="auto"/>
                <w:w w:val="84"/>
              </w:rPr>
              <w:t>-</w:t>
            </w:r>
          </w:p>
        </w:tc>
        <w:tc>
          <w:tcPr>
            <w:tcW w:w="9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19,476</w:t>
            </w:r>
          </w:p>
        </w:tc>
        <w:tc>
          <w:tcPr>
            <w:tcW w:w="140" w:type="dxa"/>
            <w:vAlign w:val="bottom"/>
            <w:shd w:val="clear" w:color="auto" w:fill="E2E2D8"/>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E2E2D8"/>
          </w:tcPr>
          <w:p>
            <w:pPr>
              <w:jc w:val="right"/>
              <w:ind w:right="13"/>
              <w:spacing w:after="0"/>
              <w:rPr>
                <w:sz w:val="20"/>
                <w:szCs w:val="20"/>
                <w:color w:val="auto"/>
              </w:rPr>
            </w:pPr>
            <w:r>
              <w:rPr>
                <w:rFonts w:ascii="Arial" w:cs="Arial" w:eastAsia="Arial" w:hAnsi="Arial"/>
                <w:sz w:val="14"/>
                <w:szCs w:val="14"/>
                <w:color w:val="auto"/>
              </w:rPr>
              <w:t>2,035,249</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64"/>
        </w:trPr>
        <w:tc>
          <w:tcPr>
            <w:tcW w:w="6860" w:type="dxa"/>
            <w:vAlign w:val="bottom"/>
            <w:shd w:val="clear" w:color="auto" w:fill="EAEFF9"/>
          </w:tcPr>
          <w:p>
            <w:pPr>
              <w:ind w:left="60"/>
              <w:spacing w:after="0"/>
              <w:rPr>
                <w:sz w:val="20"/>
                <w:szCs w:val="20"/>
                <w:color w:val="auto"/>
              </w:rPr>
            </w:pPr>
            <w:r>
              <w:rPr>
                <w:rFonts w:ascii="Arial" w:cs="Arial" w:eastAsia="Arial" w:hAnsi="Arial"/>
                <w:sz w:val="13"/>
                <w:szCs w:val="13"/>
                <w:b w:val="1"/>
                <w:bCs w:val="1"/>
                <w:color w:val="auto"/>
              </w:rPr>
              <w:t>ELLEN F. WHITTEMORE</w:t>
            </w:r>
          </w:p>
        </w:tc>
        <w:tc>
          <w:tcPr>
            <w:tcW w:w="100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84"/>
              </w:rPr>
              <w:t>-</w:t>
            </w:r>
          </w:p>
        </w:tc>
        <w:tc>
          <w:tcPr>
            <w:tcW w:w="9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7,585</w:t>
            </w:r>
          </w:p>
        </w:tc>
        <w:tc>
          <w:tcPr>
            <w:tcW w:w="140" w:type="dxa"/>
            <w:vAlign w:val="bottom"/>
            <w:shd w:val="clear" w:color="auto" w:fill="EAEFF9"/>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EAEFF9"/>
          </w:tcPr>
          <w:p>
            <w:pPr>
              <w:jc w:val="right"/>
              <w:ind w:right="13"/>
              <w:spacing w:after="0"/>
              <w:rPr>
                <w:sz w:val="20"/>
                <w:szCs w:val="20"/>
                <w:color w:val="auto"/>
              </w:rPr>
            </w:pPr>
            <w:r>
              <w:rPr>
                <w:rFonts w:ascii="Arial" w:cs="Arial" w:eastAsia="Arial" w:hAnsi="Arial"/>
                <w:sz w:val="14"/>
                <w:szCs w:val="14"/>
                <w:color w:val="auto"/>
              </w:rPr>
              <w:t>716,355</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00" w:hanging="184"/>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15,000 shares that were acquired on vesting were as a result of achievement of certain pre-established performance goals. 64,501 shares vested based on service conditions.</w:t>
      </w:r>
    </w:p>
    <w:p>
      <w:pPr>
        <w:spacing w:after="0" w:line="93" w:lineRule="exact"/>
        <w:rPr>
          <w:rFonts w:ascii="Arial" w:cs="Arial" w:eastAsia="Arial" w:hAnsi="Arial"/>
          <w:sz w:val="13"/>
          <w:szCs w:val="13"/>
          <w:color w:val="auto"/>
        </w:rPr>
      </w:pPr>
    </w:p>
    <w:p>
      <w:pPr>
        <w:ind w:left="300" w:hanging="184"/>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19,476 shares vested based on service conditions.</w:t>
      </w:r>
    </w:p>
    <w:p>
      <w:pPr>
        <w:spacing w:after="0" w:line="93" w:lineRule="exact"/>
        <w:rPr>
          <w:rFonts w:ascii="Arial" w:cs="Arial" w:eastAsia="Arial" w:hAnsi="Arial"/>
          <w:sz w:val="13"/>
          <w:szCs w:val="13"/>
          <w:color w:val="auto"/>
        </w:rPr>
      </w:pPr>
    </w:p>
    <w:p>
      <w:pPr>
        <w:ind w:left="300" w:hanging="184"/>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7,585 shares vested based on service conditions.</w:t>
      </w:r>
    </w:p>
    <w:p>
      <w:pPr>
        <w:spacing w:after="0" w:line="180" w:lineRule="exact"/>
        <w:rPr>
          <w:sz w:val="20"/>
          <w:szCs w:val="20"/>
          <w:color w:val="auto"/>
        </w:rPr>
      </w:pPr>
    </w:p>
    <w:p>
      <w:pPr>
        <w:jc w:val="both"/>
        <w:ind w:left="120" w:right="300"/>
        <w:spacing w:after="0"/>
        <w:rPr>
          <w:sz w:val="20"/>
          <w:szCs w:val="20"/>
          <w:color w:val="auto"/>
        </w:rPr>
      </w:pPr>
      <w:r>
        <w:rPr>
          <w:rFonts w:ascii="Arial" w:cs="Arial" w:eastAsia="Arial" w:hAnsi="Arial"/>
          <w:sz w:val="18"/>
          <w:szCs w:val="18"/>
          <w:color w:val="auto"/>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1"/>
          <w:szCs w:val="31"/>
          <w:color w:val="auto"/>
        </w:rPr>
        <w:t>Potential payments upon termination or change in control</w:t>
      </w:r>
    </w:p>
    <w:p>
      <w:pPr>
        <w:spacing w:after="0" w:line="2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051466"/>
        </w:rPr>
        <w:t xml:space="preserve">PAYMENTS MADE UPON TERMINATION DUE TO DEATH, COMPLETE DISABILITY OR LICENSE REVOCATION. </w:t>
      </w:r>
      <w:r>
        <w:rPr>
          <w:rFonts w:ascii="Arial" w:cs="Arial" w:eastAsia="Arial" w:hAnsi="Arial"/>
          <w:sz w:val="18"/>
          <w:szCs w:val="18"/>
          <w:color w:val="000000"/>
        </w:rPr>
        <w:t>The Company’s</w:t>
      </w:r>
      <w:r>
        <w:rPr>
          <w:rFonts w:ascii="Arial" w:cs="Arial" w:eastAsia="Arial" w:hAnsi="Arial"/>
          <w:sz w:val="18"/>
          <w:szCs w:val="18"/>
          <w:color w:val="051466"/>
        </w:rPr>
        <w:t xml:space="preserve"> </w:t>
      </w:r>
      <w:r>
        <w:rPr>
          <w:rFonts w:ascii="Arial" w:cs="Arial" w:eastAsia="Arial" w:hAnsi="Arial"/>
          <w:sz w:val="18"/>
          <w:szCs w:val="18"/>
          <w:color w:val="000000"/>
        </w:rPr>
        <w:t>employment agreements with its current 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such NEOs would vest upon termination as a result of such NEO’s death or complete disability.</w:t>
      </w:r>
    </w:p>
    <w:p>
      <w:pPr>
        <w:spacing w:after="0" w:line="16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051466"/>
        </w:rPr>
        <w:t>PAYMENTS MADE UPON TERMINATION WITHOUT CAUSE AT EMPLOYER’S ELECTION OR AT EMPLOYEE’S ELECTION UPON COMPANY MATERIAL BREACH DURING THE TERM</w:t>
      </w:r>
      <w:r>
        <w:rPr>
          <w:rFonts w:ascii="Arial" w:cs="Arial" w:eastAsia="Arial" w:hAnsi="Arial"/>
          <w:sz w:val="18"/>
          <w:szCs w:val="18"/>
          <w:color w:val="000000"/>
        </w:rPr>
        <w:t>. The Company’s employment agreements with its current NEOs provide that such</w:t>
      </w:r>
      <w:r>
        <w:rPr>
          <w:rFonts w:ascii="Arial" w:cs="Arial" w:eastAsia="Arial" w:hAnsi="Arial"/>
          <w:sz w:val="18"/>
          <w:szCs w:val="18"/>
          <w:color w:val="051466"/>
        </w:rPr>
        <w:t xml:space="preserve"> </w:t>
      </w:r>
      <w:r>
        <w:rPr>
          <w:rFonts w:ascii="Arial" w:cs="Arial" w:eastAsia="Arial" w:hAnsi="Arial"/>
          <w:sz w:val="18"/>
          <w:szCs w:val="18"/>
          <w:color w:val="000000"/>
        </w:rPr>
        <w:t>agreements are terminable by the Company without cause upon notice to the employee, so long as a “separation payment” is paid as provided in such contracts, or by the employee upon written notice to the Company of the Company’s uncured material breach of the agreement. Cause is generally defined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defined as (i) 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51 //</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560"/>
        <w:spacing w:after="0" w:line="238" w:lineRule="auto"/>
        <w:rPr>
          <w:sz w:val="20"/>
          <w:szCs w:val="20"/>
          <w:color w:val="auto"/>
        </w:rPr>
      </w:pPr>
      <w:r>
        <w:rPr>
          <w:rFonts w:ascii="Arial" w:cs="Arial" w:eastAsia="Arial" w:hAnsi="Arial"/>
          <w:sz w:val="18"/>
          <w:szCs w:val="18"/>
          <w:color w:val="auto"/>
        </w:rPr>
        <w:t>The “separation payment” for all current NEOs equals the sum of (a) base salary for the remainder of the term of the employment agreement, but not less than 12 months (except for Mr. Maddox which is not less than 18 months); (b) bonus projected for all bonus periods through the end of the term of the employment agreement (based upon the last bonus paid pursuant to the employment agreement), but not less than the preceding bonus that was paid; and (c) any accrued but unpaid vacation pay.</w:t>
      </w:r>
    </w:p>
    <w:p>
      <w:pPr>
        <w:spacing w:after="0" w:line="178"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If Mr. Maddox, Mr. Billings or Ms. Whittemore is terminated by the Company without cause or resigns following the Company’s material breach of his or her employment agreement, then as a condition to receiving such separation payment, he/she must execute a written release-severance agreement that (1) releases the Company, its affiliates, and their officers, directors, agents and employees, from any claims or causes of action, and (2) provides that the terminated employee may not disclose either the terms of the release-severance agreement or the compensation paid. In addition, the NEOs are entitled to health benefits coverage under the same plan or arrangement as such NEO was covered immediately prior to termination. Health benefits are to be provided until the earlier of the remainder of the original employment agreement term, or until the employee is covered by a plan of another employer. Pursuant to the terms of the applicable restricted stock grant agreements, all of the unvested restricted stock held by such NEOs would vest pro rata based on the number of months served since the grant date upon a termination of the NEO’s employment by the Company without “cause” or by the employee upon the Company’s material breach.</w:t>
      </w:r>
    </w:p>
    <w:p>
      <w:pPr>
        <w:spacing w:after="0" w:line="165"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051466"/>
        </w:rPr>
        <w:t>PAYMENTS MADE UPON TERMINATION BY EMPLOYEE FOR GOOD REASON AFTER CHANGE IN CONTROL</w:t>
      </w:r>
      <w:r>
        <w:rPr>
          <w:rFonts w:ascii="Arial" w:cs="Arial" w:eastAsia="Arial" w:hAnsi="Arial"/>
          <w:sz w:val="18"/>
          <w:szCs w:val="18"/>
          <w:color w:val="000000"/>
        </w:rPr>
        <w:t>. The Company’s</w:t>
      </w:r>
      <w:r>
        <w:rPr>
          <w:rFonts w:ascii="Arial" w:cs="Arial" w:eastAsia="Arial" w:hAnsi="Arial"/>
          <w:sz w:val="18"/>
          <w:szCs w:val="18"/>
          <w:color w:val="051466"/>
        </w:rPr>
        <w:t xml:space="preserve"> </w:t>
      </w:r>
      <w:r>
        <w:rPr>
          <w:rFonts w:ascii="Arial" w:cs="Arial" w:eastAsia="Arial" w:hAnsi="Arial"/>
          <w:sz w:val="18"/>
          <w:szCs w:val="18"/>
          <w:color w:val="000000"/>
        </w:rPr>
        <w:t>employment agreements with its current NEOs provide that such agreements are terminable by the employee for good reason after a change of control. A change of control is generally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w:t>
      </w:r>
    </w:p>
    <w:p>
      <w:pPr>
        <w:spacing w:after="0" w:line="7" w:lineRule="exact"/>
        <w:rPr>
          <w:sz w:val="20"/>
          <w:szCs w:val="20"/>
          <w:color w:val="auto"/>
        </w:rPr>
      </w:pPr>
    </w:p>
    <w:p>
      <w:pPr>
        <w:ind w:left="120" w:right="360" w:hanging="4"/>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w:t>
      </w:r>
    </w:p>
    <w:p>
      <w:pPr>
        <w:spacing w:after="0" w:line="16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applicable current NEOs would immediately vest upon termination by the Company without cause or upon termination by the employee for good reason after a change of control. Pursuant to the terms of the applicable restricted stock grant agreements, all of the unvested restricted stock held by such NEOs would vest upon termination for “good reason” following a “change of control”.</w:t>
      </w:r>
    </w:p>
    <w:p>
      <w:pPr>
        <w:spacing w:after="0" w:line="1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051466"/>
        </w:rPr>
        <w:t>PAYMENTS MADE UPON TERMINATION</w:t>
      </w:r>
      <w:r>
        <w:rPr>
          <w:rFonts w:ascii="Arial" w:cs="Arial" w:eastAsia="Arial" w:hAnsi="Arial"/>
          <w:sz w:val="18"/>
          <w:szCs w:val="18"/>
          <w:color w:val="000000"/>
        </w:rPr>
        <w:t>. The tables below reflect the amount of compensation that would become payable to each of</w:t>
      </w:r>
      <w:r>
        <w:rPr>
          <w:rFonts w:ascii="Arial" w:cs="Arial" w:eastAsia="Arial" w:hAnsi="Arial"/>
          <w:sz w:val="18"/>
          <w:szCs w:val="18"/>
          <w:color w:val="051466"/>
        </w:rPr>
        <w:t xml:space="preserve"> </w:t>
      </w:r>
      <w:r>
        <w:rPr>
          <w:rFonts w:ascii="Arial" w:cs="Arial" w:eastAsia="Arial" w:hAnsi="Arial"/>
          <w:sz w:val="18"/>
          <w:szCs w:val="18"/>
          <w:color w:val="000000"/>
        </w:rPr>
        <w:t>our current NEOs under existing agreements and arrangements if the NEO’s employment had terminated on December 31, 2021, based on the NEO’s compensation as of such date and, if applicable, the Company’s closing stock price on that date. 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3"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52 //</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51466"/>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937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937385"/>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3960" w:type="dxa"/>
            <w:vAlign w:val="bottom"/>
            <w:shd w:val="clear" w:color="auto" w:fill="E2E2D8"/>
          </w:tcPr>
          <w:p>
            <w:pPr>
              <w:spacing w:after="0"/>
              <w:rPr>
                <w:sz w:val="17"/>
                <w:szCs w:val="17"/>
                <w:color w:val="auto"/>
              </w:rPr>
            </w:pPr>
          </w:p>
        </w:tc>
        <w:tc>
          <w:tcPr>
            <w:tcW w:w="2680" w:type="dxa"/>
            <w:vAlign w:val="bottom"/>
            <w:vMerge w:val="restart"/>
            <w:shd w:val="clear" w:color="auto" w:fill="E2E2D8"/>
          </w:tcPr>
          <w:p>
            <w:pPr>
              <w:jc w:val="center"/>
              <w:ind w:right="13"/>
              <w:spacing w:after="0"/>
              <w:rPr>
                <w:sz w:val="20"/>
                <w:szCs w:val="20"/>
                <w:color w:val="auto"/>
              </w:rPr>
            </w:pPr>
            <w:r>
              <w:rPr>
                <w:rFonts w:ascii="Arial" w:cs="Arial" w:eastAsia="Arial" w:hAnsi="Arial"/>
                <w:sz w:val="11"/>
                <w:szCs w:val="11"/>
                <w:b w:val="1"/>
                <w:bCs w:val="1"/>
                <w:color w:val="auto"/>
                <w:w w:val="97"/>
              </w:rPr>
              <w:t>TERMINATION UPON</w:t>
            </w:r>
          </w:p>
        </w:tc>
        <w:tc>
          <w:tcPr>
            <w:tcW w:w="2320" w:type="dxa"/>
            <w:vAlign w:val="bottom"/>
            <w:shd w:val="clear" w:color="auto" w:fill="E2E2D8"/>
          </w:tcPr>
          <w:p>
            <w:pPr>
              <w:jc w:val="center"/>
              <w:ind w:left="176"/>
              <w:spacing w:after="0"/>
              <w:rPr>
                <w:sz w:val="20"/>
                <w:szCs w:val="20"/>
                <w:color w:val="auto"/>
              </w:rPr>
            </w:pPr>
            <w:r>
              <w:rPr>
                <w:rFonts w:ascii="Arial" w:cs="Arial" w:eastAsia="Arial" w:hAnsi="Arial"/>
                <w:sz w:val="11"/>
                <w:szCs w:val="11"/>
                <w:b w:val="1"/>
                <w:bCs w:val="1"/>
                <w:color w:val="auto"/>
                <w:w w:val="97"/>
              </w:rPr>
              <w:t>TERMINATION WITHOUT</w:t>
            </w:r>
          </w:p>
        </w:tc>
        <w:tc>
          <w:tcPr>
            <w:tcW w:w="2060" w:type="dxa"/>
            <w:vAlign w:val="bottom"/>
            <w:vMerge w:val="restart"/>
            <w:shd w:val="clear" w:color="auto" w:fill="E2E2D8"/>
          </w:tcPr>
          <w:p>
            <w:pPr>
              <w:jc w:val="center"/>
              <w:ind w:left="235"/>
              <w:spacing w:after="0"/>
              <w:rPr>
                <w:sz w:val="20"/>
                <w:szCs w:val="20"/>
                <w:color w:val="auto"/>
              </w:rPr>
            </w:pPr>
            <w:r>
              <w:rPr>
                <w:rFonts w:ascii="Arial" w:cs="Arial" w:eastAsia="Arial" w:hAnsi="Arial"/>
                <w:sz w:val="11"/>
                <w:szCs w:val="11"/>
                <w:b w:val="1"/>
                <w:bCs w:val="1"/>
                <w:color w:val="auto"/>
                <w:w w:val="98"/>
              </w:rPr>
              <w:t>TERMINATION BY EMPLOYEE</w:t>
            </w:r>
          </w:p>
        </w:tc>
        <w:tc>
          <w:tcPr>
            <w:tcW w:w="0" w:type="dxa"/>
            <w:vAlign w:val="bottom"/>
          </w:tcPr>
          <w:p>
            <w:pPr>
              <w:spacing w:after="0"/>
              <w:rPr>
                <w:sz w:val="1"/>
                <w:szCs w:val="1"/>
                <w:color w:val="auto"/>
              </w:rPr>
            </w:pPr>
          </w:p>
        </w:tc>
      </w:tr>
      <w:tr>
        <w:trPr>
          <w:trHeight w:val="54"/>
        </w:trPr>
        <w:tc>
          <w:tcPr>
            <w:tcW w:w="3960" w:type="dxa"/>
            <w:vAlign w:val="bottom"/>
            <w:shd w:val="clear" w:color="auto" w:fill="E2E2D8"/>
          </w:tcPr>
          <w:p>
            <w:pPr>
              <w:spacing w:after="0"/>
              <w:rPr>
                <w:sz w:val="4"/>
                <w:szCs w:val="4"/>
                <w:color w:val="auto"/>
              </w:rPr>
            </w:pPr>
          </w:p>
        </w:tc>
        <w:tc>
          <w:tcPr>
            <w:tcW w:w="2680" w:type="dxa"/>
            <w:vAlign w:val="bottom"/>
            <w:vMerge w:val="continue"/>
            <w:shd w:val="clear" w:color="auto" w:fill="E2E2D8"/>
          </w:tcPr>
          <w:p>
            <w:pPr>
              <w:spacing w:after="0"/>
              <w:rPr>
                <w:sz w:val="4"/>
                <w:szCs w:val="4"/>
                <w:color w:val="auto"/>
              </w:rPr>
            </w:pPr>
          </w:p>
        </w:tc>
        <w:tc>
          <w:tcPr>
            <w:tcW w:w="2320" w:type="dxa"/>
            <w:vAlign w:val="bottom"/>
            <w:vMerge w:val="restart"/>
            <w:shd w:val="clear" w:color="auto" w:fill="E2E2D8"/>
          </w:tcPr>
          <w:p>
            <w:pPr>
              <w:jc w:val="center"/>
              <w:ind w:left="156"/>
              <w:spacing w:after="0" w:line="122" w:lineRule="exact"/>
              <w:rPr>
                <w:sz w:val="20"/>
                <w:szCs w:val="20"/>
                <w:color w:val="auto"/>
              </w:rPr>
            </w:pPr>
            <w:r>
              <w:rPr>
                <w:rFonts w:ascii="Arial" w:cs="Arial" w:eastAsia="Arial" w:hAnsi="Arial"/>
                <w:sz w:val="11"/>
                <w:szCs w:val="11"/>
                <w:b w:val="1"/>
                <w:bCs w:val="1"/>
                <w:color w:val="auto"/>
                <w:w w:val="96"/>
              </w:rPr>
              <w:t>CAUSE OR UPON</w:t>
            </w:r>
          </w:p>
        </w:tc>
        <w:tc>
          <w:tcPr>
            <w:tcW w:w="2060" w:type="dxa"/>
            <w:vAlign w:val="bottom"/>
            <w:vMerge w:val="continue"/>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960" w:type="dxa"/>
            <w:vAlign w:val="bottom"/>
            <w:shd w:val="clear" w:color="auto" w:fill="E2E2D8"/>
          </w:tcPr>
          <w:p>
            <w:pPr>
              <w:spacing w:after="0"/>
              <w:rPr>
                <w:sz w:val="5"/>
                <w:szCs w:val="5"/>
                <w:color w:val="auto"/>
              </w:rPr>
            </w:pPr>
          </w:p>
        </w:tc>
        <w:tc>
          <w:tcPr>
            <w:tcW w:w="2680" w:type="dxa"/>
            <w:vAlign w:val="bottom"/>
            <w:vMerge w:val="restart"/>
            <w:shd w:val="clear" w:color="auto" w:fill="E2E2D8"/>
          </w:tcPr>
          <w:p>
            <w:pPr>
              <w:jc w:val="center"/>
              <w:ind w:right="33"/>
              <w:spacing w:after="0" w:line="122" w:lineRule="exact"/>
              <w:rPr>
                <w:sz w:val="20"/>
                <w:szCs w:val="20"/>
                <w:color w:val="auto"/>
              </w:rPr>
            </w:pPr>
            <w:r>
              <w:rPr>
                <w:rFonts w:ascii="Arial" w:cs="Arial" w:eastAsia="Arial" w:hAnsi="Arial"/>
                <w:sz w:val="11"/>
                <w:szCs w:val="11"/>
                <w:b w:val="1"/>
                <w:bCs w:val="1"/>
                <w:color w:val="auto"/>
                <w:w w:val="96"/>
              </w:rPr>
              <w:t>DEATH OR COMPLETE</w:t>
            </w:r>
          </w:p>
        </w:tc>
        <w:tc>
          <w:tcPr>
            <w:tcW w:w="2320" w:type="dxa"/>
            <w:vAlign w:val="bottom"/>
            <w:vMerge w:val="continue"/>
            <w:shd w:val="clear" w:color="auto" w:fill="E2E2D8"/>
          </w:tcPr>
          <w:p>
            <w:pPr>
              <w:spacing w:after="0"/>
              <w:rPr>
                <w:sz w:val="5"/>
                <w:szCs w:val="5"/>
                <w:color w:val="auto"/>
              </w:rPr>
            </w:pPr>
          </w:p>
        </w:tc>
        <w:tc>
          <w:tcPr>
            <w:tcW w:w="2060" w:type="dxa"/>
            <w:vAlign w:val="bottom"/>
            <w:vMerge w:val="restart"/>
            <w:shd w:val="clear" w:color="auto" w:fill="E2E2D8"/>
          </w:tcPr>
          <w:p>
            <w:pPr>
              <w:jc w:val="center"/>
              <w:ind w:left="235"/>
              <w:spacing w:after="0" w:line="122" w:lineRule="exact"/>
              <w:rPr>
                <w:sz w:val="20"/>
                <w:szCs w:val="20"/>
                <w:color w:val="auto"/>
              </w:rPr>
            </w:pPr>
            <w:r>
              <w:rPr>
                <w:rFonts w:ascii="Arial" w:cs="Arial" w:eastAsia="Arial" w:hAnsi="Arial"/>
                <w:sz w:val="11"/>
                <w:szCs w:val="11"/>
                <w:b w:val="1"/>
                <w:bCs w:val="1"/>
                <w:color w:val="auto"/>
                <w:w w:val="98"/>
              </w:rPr>
              <w:t>FOR GOOD REASON AFTER</w:t>
            </w:r>
          </w:p>
        </w:tc>
        <w:tc>
          <w:tcPr>
            <w:tcW w:w="0" w:type="dxa"/>
            <w:vAlign w:val="bottom"/>
          </w:tcPr>
          <w:p>
            <w:pPr>
              <w:spacing w:after="0"/>
              <w:rPr>
                <w:sz w:val="1"/>
                <w:szCs w:val="1"/>
                <w:color w:val="auto"/>
              </w:rPr>
            </w:pPr>
          </w:p>
        </w:tc>
      </w:tr>
      <w:tr>
        <w:trPr>
          <w:trHeight w:val="54"/>
        </w:trPr>
        <w:tc>
          <w:tcPr>
            <w:tcW w:w="3960" w:type="dxa"/>
            <w:vAlign w:val="bottom"/>
            <w:shd w:val="clear" w:color="auto" w:fill="E2E2D8"/>
          </w:tcPr>
          <w:p>
            <w:pPr>
              <w:spacing w:after="0"/>
              <w:rPr>
                <w:sz w:val="4"/>
                <w:szCs w:val="4"/>
                <w:color w:val="auto"/>
              </w:rPr>
            </w:pPr>
          </w:p>
        </w:tc>
        <w:tc>
          <w:tcPr>
            <w:tcW w:w="2680" w:type="dxa"/>
            <w:vAlign w:val="bottom"/>
            <w:vMerge w:val="continue"/>
            <w:shd w:val="clear" w:color="auto" w:fill="E2E2D8"/>
          </w:tcPr>
          <w:p>
            <w:pPr>
              <w:spacing w:after="0"/>
              <w:rPr>
                <w:sz w:val="4"/>
                <w:szCs w:val="4"/>
                <w:color w:val="auto"/>
              </w:rPr>
            </w:pPr>
          </w:p>
        </w:tc>
        <w:tc>
          <w:tcPr>
            <w:tcW w:w="2320" w:type="dxa"/>
            <w:vAlign w:val="bottom"/>
            <w:vMerge w:val="restart"/>
            <w:shd w:val="clear" w:color="auto" w:fill="E2E2D8"/>
          </w:tcPr>
          <w:p>
            <w:pPr>
              <w:jc w:val="center"/>
              <w:ind w:left="176"/>
              <w:spacing w:after="0" w:line="122" w:lineRule="exact"/>
              <w:rPr>
                <w:sz w:val="20"/>
                <w:szCs w:val="20"/>
                <w:color w:val="auto"/>
              </w:rPr>
            </w:pPr>
            <w:r>
              <w:rPr>
                <w:rFonts w:ascii="Arial" w:cs="Arial" w:eastAsia="Arial" w:hAnsi="Arial"/>
                <w:sz w:val="11"/>
                <w:szCs w:val="11"/>
                <w:b w:val="1"/>
                <w:bCs w:val="1"/>
                <w:color w:val="auto"/>
                <w:w w:val="95"/>
              </w:rPr>
              <w:t>COMPANY’S</w:t>
            </w:r>
          </w:p>
        </w:tc>
        <w:tc>
          <w:tcPr>
            <w:tcW w:w="2060" w:type="dxa"/>
            <w:vAlign w:val="bottom"/>
            <w:vMerge w:val="continue"/>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960" w:type="dxa"/>
            <w:vAlign w:val="bottom"/>
            <w:shd w:val="clear" w:color="auto" w:fill="E2E2D8"/>
          </w:tcPr>
          <w:p>
            <w:pPr>
              <w:spacing w:after="0"/>
              <w:rPr>
                <w:sz w:val="5"/>
                <w:szCs w:val="5"/>
                <w:color w:val="auto"/>
              </w:rPr>
            </w:pPr>
          </w:p>
        </w:tc>
        <w:tc>
          <w:tcPr>
            <w:tcW w:w="2680" w:type="dxa"/>
            <w:vAlign w:val="bottom"/>
            <w:vMerge w:val="restart"/>
            <w:shd w:val="clear" w:color="auto" w:fill="E2E2D8"/>
          </w:tcPr>
          <w:p>
            <w:pPr>
              <w:jc w:val="center"/>
              <w:ind w:right="13"/>
              <w:spacing w:after="0"/>
              <w:rPr>
                <w:sz w:val="20"/>
                <w:szCs w:val="20"/>
                <w:color w:val="auto"/>
              </w:rPr>
            </w:pPr>
            <w:r>
              <w:rPr>
                <w:rFonts w:ascii="Arial" w:cs="Arial" w:eastAsia="Arial" w:hAnsi="Arial"/>
                <w:sz w:val="11"/>
                <w:szCs w:val="11"/>
                <w:b w:val="1"/>
                <w:bCs w:val="1"/>
                <w:color w:val="auto"/>
                <w:w w:val="98"/>
              </w:rPr>
              <w:t>DISABILITY</w:t>
            </w:r>
          </w:p>
        </w:tc>
        <w:tc>
          <w:tcPr>
            <w:tcW w:w="2320" w:type="dxa"/>
            <w:vAlign w:val="bottom"/>
            <w:vMerge w:val="continue"/>
            <w:shd w:val="clear" w:color="auto" w:fill="E2E2D8"/>
          </w:tcPr>
          <w:p>
            <w:pPr>
              <w:spacing w:after="0"/>
              <w:rPr>
                <w:sz w:val="5"/>
                <w:szCs w:val="5"/>
                <w:color w:val="auto"/>
              </w:rPr>
            </w:pPr>
          </w:p>
        </w:tc>
        <w:tc>
          <w:tcPr>
            <w:tcW w:w="2060" w:type="dxa"/>
            <w:vAlign w:val="bottom"/>
            <w:vMerge w:val="restart"/>
            <w:shd w:val="clear" w:color="auto" w:fill="E2E2D8"/>
          </w:tcPr>
          <w:p>
            <w:pPr>
              <w:jc w:val="center"/>
              <w:ind w:left="235"/>
              <w:spacing w:after="0"/>
              <w:rPr>
                <w:sz w:val="20"/>
                <w:szCs w:val="20"/>
                <w:color w:val="auto"/>
              </w:rPr>
            </w:pPr>
            <w:r>
              <w:rPr>
                <w:rFonts w:ascii="Arial" w:cs="Arial" w:eastAsia="Arial" w:hAnsi="Arial"/>
                <w:sz w:val="11"/>
                <w:szCs w:val="11"/>
                <w:b w:val="1"/>
                <w:bCs w:val="1"/>
                <w:color w:val="auto"/>
                <w:w w:val="97"/>
              </w:rPr>
              <w:t>CHANGE IN CONTROL</w:t>
            </w:r>
          </w:p>
        </w:tc>
        <w:tc>
          <w:tcPr>
            <w:tcW w:w="0" w:type="dxa"/>
            <w:vAlign w:val="bottom"/>
          </w:tcPr>
          <w:p>
            <w:pPr>
              <w:spacing w:after="0"/>
              <w:rPr>
                <w:sz w:val="1"/>
                <w:szCs w:val="1"/>
                <w:color w:val="auto"/>
              </w:rPr>
            </w:pPr>
          </w:p>
        </w:tc>
      </w:tr>
      <w:tr>
        <w:trPr>
          <w:trHeight w:val="74"/>
        </w:trPr>
        <w:tc>
          <w:tcPr>
            <w:tcW w:w="3960" w:type="dxa"/>
            <w:vAlign w:val="bottom"/>
            <w:shd w:val="clear" w:color="auto" w:fill="E2E2D8"/>
          </w:tcPr>
          <w:p>
            <w:pPr>
              <w:spacing w:after="0"/>
              <w:rPr>
                <w:sz w:val="6"/>
                <w:szCs w:val="6"/>
                <w:color w:val="auto"/>
              </w:rPr>
            </w:pPr>
          </w:p>
        </w:tc>
        <w:tc>
          <w:tcPr>
            <w:tcW w:w="2680" w:type="dxa"/>
            <w:vAlign w:val="bottom"/>
            <w:vMerge w:val="continue"/>
            <w:shd w:val="clear" w:color="auto" w:fill="E2E2D8"/>
          </w:tcPr>
          <w:p>
            <w:pPr>
              <w:spacing w:after="0"/>
              <w:rPr>
                <w:sz w:val="6"/>
                <w:szCs w:val="6"/>
                <w:color w:val="auto"/>
              </w:rPr>
            </w:pPr>
          </w:p>
        </w:tc>
        <w:tc>
          <w:tcPr>
            <w:tcW w:w="2320" w:type="dxa"/>
            <w:vAlign w:val="bottom"/>
            <w:vMerge w:val="restart"/>
            <w:shd w:val="clear" w:color="auto" w:fill="E2E2D8"/>
          </w:tcPr>
          <w:p>
            <w:pPr>
              <w:jc w:val="center"/>
              <w:ind w:left="176"/>
              <w:spacing w:after="0"/>
              <w:rPr>
                <w:sz w:val="20"/>
                <w:szCs w:val="20"/>
                <w:color w:val="auto"/>
              </w:rPr>
            </w:pPr>
            <w:r>
              <w:rPr>
                <w:rFonts w:ascii="Arial" w:cs="Arial" w:eastAsia="Arial" w:hAnsi="Arial"/>
                <w:sz w:val="11"/>
                <w:szCs w:val="11"/>
                <w:b w:val="1"/>
                <w:bCs w:val="1"/>
                <w:color w:val="auto"/>
                <w:w w:val="97"/>
              </w:rPr>
              <w:t>MATERIAL BREACH</w:t>
            </w:r>
          </w:p>
        </w:tc>
        <w:tc>
          <w:tcPr>
            <w:tcW w:w="2060" w:type="dxa"/>
            <w:vAlign w:val="bottom"/>
            <w:vMerge w:val="continue"/>
            <w:shd w:val="clear" w:color="auto" w:fill="E2E2D8"/>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960" w:type="dxa"/>
            <w:vAlign w:val="bottom"/>
            <w:tcBorders>
              <w:bottom w:val="single" w:sz="8" w:color="E2E2D8"/>
            </w:tcBorders>
            <w:shd w:val="clear" w:color="auto" w:fill="E2E2D8"/>
          </w:tcPr>
          <w:p>
            <w:pPr>
              <w:spacing w:after="0"/>
              <w:rPr>
                <w:sz w:val="7"/>
                <w:szCs w:val="7"/>
                <w:color w:val="auto"/>
              </w:rPr>
            </w:pPr>
          </w:p>
        </w:tc>
        <w:tc>
          <w:tcPr>
            <w:tcW w:w="2680" w:type="dxa"/>
            <w:vAlign w:val="bottom"/>
            <w:tcBorders>
              <w:bottom w:val="single" w:sz="8" w:color="E2E2D8"/>
            </w:tcBorders>
            <w:shd w:val="clear" w:color="auto" w:fill="E2E2D8"/>
          </w:tcPr>
          <w:p>
            <w:pPr>
              <w:spacing w:after="0"/>
              <w:rPr>
                <w:sz w:val="7"/>
                <w:szCs w:val="7"/>
                <w:color w:val="auto"/>
              </w:rPr>
            </w:pPr>
          </w:p>
        </w:tc>
        <w:tc>
          <w:tcPr>
            <w:tcW w:w="2320" w:type="dxa"/>
            <w:vAlign w:val="bottom"/>
            <w:tcBorders>
              <w:bottom w:val="single" w:sz="8" w:color="E2E2D8"/>
            </w:tcBorders>
            <w:vMerge w:val="continue"/>
            <w:shd w:val="clear" w:color="auto" w:fill="E2E2D8"/>
          </w:tcPr>
          <w:p>
            <w:pPr>
              <w:spacing w:after="0"/>
              <w:rPr>
                <w:sz w:val="7"/>
                <w:szCs w:val="7"/>
                <w:color w:val="auto"/>
              </w:rPr>
            </w:pPr>
          </w:p>
        </w:tc>
        <w:tc>
          <w:tcPr>
            <w:tcW w:w="2060" w:type="dxa"/>
            <w:vAlign w:val="bottom"/>
            <w:tcBorders>
              <w:bottom w:val="single" w:sz="8" w:color="E2E2D8"/>
            </w:tcBorders>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3960" w:type="dxa"/>
            <w:vAlign w:val="bottom"/>
            <w:shd w:val="clear" w:color="auto" w:fill="EAEFF9"/>
          </w:tcPr>
          <w:p>
            <w:pPr>
              <w:spacing w:after="0"/>
              <w:rPr>
                <w:sz w:val="24"/>
                <w:szCs w:val="24"/>
                <w:color w:val="auto"/>
              </w:rPr>
            </w:pPr>
          </w:p>
        </w:tc>
        <w:tc>
          <w:tcPr>
            <w:tcW w:w="2680" w:type="dxa"/>
            <w:vAlign w:val="bottom"/>
            <w:shd w:val="clear" w:color="auto" w:fill="EAEFF9"/>
          </w:tcPr>
          <w:p>
            <w:pPr>
              <w:jc w:val="right"/>
              <w:ind w:right="553"/>
              <w:spacing w:after="0"/>
              <w:rPr>
                <w:sz w:val="20"/>
                <w:szCs w:val="20"/>
                <w:color w:val="auto"/>
              </w:rPr>
            </w:pPr>
            <w:r>
              <w:rPr>
                <w:rFonts w:ascii="Arial" w:cs="Arial" w:eastAsia="Arial" w:hAnsi="Arial"/>
                <w:sz w:val="14"/>
                <w:szCs w:val="14"/>
                <w:color w:val="auto"/>
              </w:rPr>
              <w:t>Amounts earned and</w:t>
            </w:r>
          </w:p>
        </w:tc>
        <w:tc>
          <w:tcPr>
            <w:tcW w:w="2320" w:type="dxa"/>
            <w:vAlign w:val="bottom"/>
            <w:vMerge w:val="restart"/>
            <w:shd w:val="clear" w:color="auto" w:fill="EAEFF9"/>
          </w:tcPr>
          <w:p>
            <w:pPr>
              <w:jc w:val="center"/>
              <w:ind w:left="176"/>
              <w:spacing w:after="0"/>
              <w:rPr>
                <w:sz w:val="20"/>
                <w:szCs w:val="20"/>
                <w:color w:val="auto"/>
              </w:rPr>
            </w:pPr>
            <w:r>
              <w:rPr>
                <w:rFonts w:ascii="Arial" w:cs="Arial" w:eastAsia="Arial" w:hAnsi="Arial"/>
                <w:sz w:val="14"/>
                <w:szCs w:val="14"/>
                <w:color w:val="auto"/>
              </w:rPr>
              <w:t>$3,000,000</w:t>
            </w:r>
          </w:p>
        </w:tc>
        <w:tc>
          <w:tcPr>
            <w:tcW w:w="2060" w:type="dxa"/>
            <w:vAlign w:val="bottom"/>
            <w:vMerge w:val="restart"/>
            <w:shd w:val="clear" w:color="auto" w:fill="EAEFF9"/>
          </w:tcPr>
          <w:p>
            <w:pPr>
              <w:jc w:val="center"/>
              <w:ind w:left="235"/>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18"/>
        </w:trPr>
        <w:tc>
          <w:tcPr>
            <w:tcW w:w="3960" w:type="dxa"/>
            <w:vAlign w:val="bottom"/>
            <w:vMerge w:val="restart"/>
            <w:shd w:val="clear" w:color="auto" w:fill="EAEFF9"/>
          </w:tcPr>
          <w:p>
            <w:pPr>
              <w:ind w:left="60"/>
              <w:spacing w:after="0"/>
              <w:rPr>
                <w:sz w:val="20"/>
                <w:szCs w:val="20"/>
                <w:color w:val="auto"/>
              </w:rPr>
            </w:pPr>
            <w:r>
              <w:rPr>
                <w:rFonts w:ascii="Arial" w:cs="Arial" w:eastAsia="Arial" w:hAnsi="Arial"/>
                <w:sz w:val="14"/>
                <w:szCs w:val="14"/>
                <w:color w:val="auto"/>
              </w:rPr>
              <w:t>Base Salary</w:t>
            </w:r>
          </w:p>
        </w:tc>
        <w:tc>
          <w:tcPr>
            <w:tcW w:w="2680" w:type="dxa"/>
            <w:vAlign w:val="bottom"/>
            <w:vMerge w:val="restart"/>
            <w:shd w:val="clear" w:color="auto" w:fill="EAEFF9"/>
          </w:tcPr>
          <w:p>
            <w:pPr>
              <w:jc w:val="right"/>
              <w:ind w:right="553"/>
              <w:spacing w:after="0"/>
              <w:rPr>
                <w:sz w:val="20"/>
                <w:szCs w:val="20"/>
                <w:color w:val="auto"/>
              </w:rPr>
            </w:pPr>
            <w:r>
              <w:rPr>
                <w:rFonts w:ascii="Arial" w:cs="Arial" w:eastAsia="Arial" w:hAnsi="Arial"/>
                <w:sz w:val="14"/>
                <w:szCs w:val="14"/>
                <w:color w:val="auto"/>
              </w:rPr>
              <w:t>unpaid through the</w:t>
            </w:r>
          </w:p>
        </w:tc>
        <w:tc>
          <w:tcPr>
            <w:tcW w:w="2320" w:type="dxa"/>
            <w:vAlign w:val="bottom"/>
            <w:vMerge w:val="continue"/>
            <w:shd w:val="clear" w:color="auto" w:fill="EAEFF9"/>
          </w:tcPr>
          <w:p>
            <w:pPr>
              <w:spacing w:after="0"/>
              <w:rPr>
                <w:sz w:val="10"/>
                <w:szCs w:val="10"/>
                <w:color w:val="auto"/>
              </w:rPr>
            </w:pPr>
          </w:p>
        </w:tc>
        <w:tc>
          <w:tcPr>
            <w:tcW w:w="2060" w:type="dxa"/>
            <w:vAlign w:val="bottom"/>
            <w:vMerge w:val="continue"/>
            <w:shd w:val="clear" w:color="auto" w:fill="EAEFF9"/>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960" w:type="dxa"/>
            <w:vAlign w:val="bottom"/>
            <w:vMerge w:val="continue"/>
            <w:shd w:val="clear" w:color="auto" w:fill="EAEFF9"/>
          </w:tcPr>
          <w:p>
            <w:pPr>
              <w:spacing w:after="0"/>
              <w:rPr>
                <w:sz w:val="3"/>
                <w:szCs w:val="3"/>
                <w:color w:val="auto"/>
              </w:rPr>
            </w:pPr>
          </w:p>
        </w:tc>
        <w:tc>
          <w:tcPr>
            <w:tcW w:w="2680" w:type="dxa"/>
            <w:vAlign w:val="bottom"/>
            <w:vMerge w:val="continue"/>
            <w:shd w:val="clear" w:color="auto" w:fill="EAEFF9"/>
          </w:tcPr>
          <w:p>
            <w:pPr>
              <w:spacing w:after="0"/>
              <w:rPr>
                <w:sz w:val="3"/>
                <w:szCs w:val="3"/>
                <w:color w:val="auto"/>
              </w:rPr>
            </w:pPr>
          </w:p>
        </w:tc>
        <w:tc>
          <w:tcPr>
            <w:tcW w:w="2320" w:type="dxa"/>
            <w:vAlign w:val="bottom"/>
            <w:shd w:val="clear" w:color="auto" w:fill="EAEFF9"/>
          </w:tcPr>
          <w:p>
            <w:pPr>
              <w:spacing w:after="0"/>
              <w:rPr>
                <w:sz w:val="3"/>
                <w:szCs w:val="3"/>
                <w:color w:val="auto"/>
              </w:rPr>
            </w:pPr>
          </w:p>
        </w:tc>
        <w:tc>
          <w:tcPr>
            <w:tcW w:w="2060" w:type="dxa"/>
            <w:vAlign w:val="bottom"/>
            <w:shd w:val="clear" w:color="auto" w:fill="EAEFF9"/>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EAEFF9"/>
          </w:tcPr>
          <w:p>
            <w:pPr>
              <w:spacing w:after="0"/>
              <w:rPr>
                <w:sz w:val="14"/>
                <w:szCs w:val="14"/>
                <w:color w:val="auto"/>
              </w:rPr>
            </w:pPr>
          </w:p>
        </w:tc>
        <w:tc>
          <w:tcPr>
            <w:tcW w:w="2680" w:type="dxa"/>
            <w:vAlign w:val="bottom"/>
            <w:shd w:val="clear" w:color="auto" w:fill="EAEFF9"/>
          </w:tcPr>
          <w:p>
            <w:pPr>
              <w:jc w:val="right"/>
              <w:ind w:right="553"/>
              <w:spacing w:after="0"/>
              <w:rPr>
                <w:sz w:val="20"/>
                <w:szCs w:val="20"/>
                <w:color w:val="auto"/>
              </w:rPr>
            </w:pPr>
            <w:r>
              <w:rPr>
                <w:rFonts w:ascii="Arial" w:cs="Arial" w:eastAsia="Arial" w:hAnsi="Arial"/>
                <w:sz w:val="14"/>
                <w:szCs w:val="14"/>
                <w:color w:val="auto"/>
              </w:rPr>
              <w:t>date of termination</w:t>
            </w:r>
          </w:p>
        </w:tc>
        <w:tc>
          <w:tcPr>
            <w:tcW w:w="2320" w:type="dxa"/>
            <w:vAlign w:val="bottom"/>
            <w:shd w:val="clear" w:color="auto" w:fill="EAEFF9"/>
          </w:tcPr>
          <w:p>
            <w:pPr>
              <w:spacing w:after="0"/>
              <w:rPr>
                <w:sz w:val="14"/>
                <w:szCs w:val="14"/>
                <w:color w:val="auto"/>
              </w:rPr>
            </w:pPr>
          </w:p>
        </w:tc>
        <w:tc>
          <w:tcPr>
            <w:tcW w:w="2060" w:type="dxa"/>
            <w:vAlign w:val="bottom"/>
            <w:shd w:val="clear" w:color="auto" w:fill="EAEFF9"/>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2E2D8"/>
          </w:tcPr>
          <w:p>
            <w:pPr>
              <w:ind w:left="60"/>
              <w:spacing w:after="0"/>
              <w:rPr>
                <w:sz w:val="20"/>
                <w:szCs w:val="20"/>
                <w:color w:val="auto"/>
              </w:rPr>
            </w:pPr>
            <w:r>
              <w:rPr>
                <w:rFonts w:ascii="Arial" w:cs="Arial" w:eastAsia="Arial" w:hAnsi="Arial"/>
                <w:sz w:val="14"/>
                <w:szCs w:val="14"/>
                <w:color w:val="auto"/>
              </w:rPr>
              <w:t>Bonus</w:t>
            </w:r>
          </w:p>
        </w:tc>
        <w:tc>
          <w:tcPr>
            <w:tcW w:w="2680" w:type="dxa"/>
            <w:vAlign w:val="bottom"/>
            <w:shd w:val="clear" w:color="auto" w:fill="E2E2D8"/>
          </w:tcPr>
          <w:p>
            <w:pPr>
              <w:jc w:val="center"/>
              <w:spacing w:after="0"/>
              <w:rPr>
                <w:sz w:val="20"/>
                <w:szCs w:val="20"/>
                <w:color w:val="auto"/>
              </w:rPr>
            </w:pPr>
            <w:r>
              <w:rPr>
                <w:rFonts w:ascii="Arial" w:cs="Arial" w:eastAsia="Arial" w:hAnsi="Arial"/>
                <w:sz w:val="14"/>
                <w:szCs w:val="14"/>
                <w:color w:val="auto"/>
                <w:w w:val="96"/>
              </w:rPr>
              <w:t>$-</w:t>
            </w:r>
          </w:p>
        </w:tc>
        <w:tc>
          <w:tcPr>
            <w:tcW w:w="2320" w:type="dxa"/>
            <w:vAlign w:val="bottom"/>
            <w:shd w:val="clear" w:color="auto" w:fill="E2E2D8"/>
          </w:tcPr>
          <w:p>
            <w:pPr>
              <w:jc w:val="center"/>
              <w:ind w:left="176"/>
              <w:spacing w:after="0"/>
              <w:rPr>
                <w:sz w:val="20"/>
                <w:szCs w:val="20"/>
                <w:color w:val="auto"/>
              </w:rPr>
            </w:pPr>
            <w:r>
              <w:rPr>
                <w:rFonts w:ascii="Arial" w:cs="Arial" w:eastAsia="Arial" w:hAnsi="Arial"/>
                <w:sz w:val="14"/>
                <w:szCs w:val="14"/>
                <w:color w:val="auto"/>
              </w:rPr>
              <w:t>$4,583,333</w:t>
            </w:r>
          </w:p>
        </w:tc>
        <w:tc>
          <w:tcPr>
            <w:tcW w:w="2060" w:type="dxa"/>
            <w:vAlign w:val="bottom"/>
            <w:shd w:val="clear" w:color="auto" w:fill="E2E2D8"/>
          </w:tcPr>
          <w:p>
            <w:pPr>
              <w:jc w:val="center"/>
              <w:ind w:left="235"/>
              <w:spacing w:after="0"/>
              <w:rPr>
                <w:sz w:val="20"/>
                <w:szCs w:val="20"/>
                <w:color w:val="auto"/>
              </w:rPr>
            </w:pPr>
            <w:r>
              <w:rPr>
                <w:rFonts w:ascii="Arial" w:cs="Arial" w:eastAsia="Arial" w:hAnsi="Arial"/>
                <w:sz w:val="14"/>
                <w:szCs w:val="14"/>
                <w:color w:val="auto"/>
              </w:rPr>
              <w:t>$4,583,333</w:t>
            </w:r>
          </w:p>
        </w:tc>
        <w:tc>
          <w:tcPr>
            <w:tcW w:w="0" w:type="dxa"/>
            <w:vAlign w:val="bottom"/>
          </w:tcPr>
          <w:p>
            <w:pPr>
              <w:spacing w:after="0"/>
              <w:rPr>
                <w:sz w:val="1"/>
                <w:szCs w:val="1"/>
                <w:color w:val="auto"/>
              </w:rPr>
            </w:pPr>
          </w:p>
        </w:tc>
      </w:tr>
      <w:tr>
        <w:trPr>
          <w:trHeight w:val="107"/>
        </w:trPr>
        <w:tc>
          <w:tcPr>
            <w:tcW w:w="3960" w:type="dxa"/>
            <w:vAlign w:val="bottom"/>
            <w:shd w:val="clear" w:color="auto" w:fill="E2E2D8"/>
          </w:tcPr>
          <w:p>
            <w:pPr>
              <w:spacing w:after="0"/>
              <w:rPr>
                <w:sz w:val="9"/>
                <w:szCs w:val="9"/>
                <w:color w:val="auto"/>
              </w:rPr>
            </w:pPr>
          </w:p>
        </w:tc>
        <w:tc>
          <w:tcPr>
            <w:tcW w:w="2680" w:type="dxa"/>
            <w:vAlign w:val="bottom"/>
            <w:shd w:val="clear" w:color="auto" w:fill="E2E2D8"/>
          </w:tcPr>
          <w:p>
            <w:pPr>
              <w:spacing w:after="0"/>
              <w:rPr>
                <w:sz w:val="9"/>
                <w:szCs w:val="9"/>
                <w:color w:val="auto"/>
              </w:rPr>
            </w:pPr>
          </w:p>
        </w:tc>
        <w:tc>
          <w:tcPr>
            <w:tcW w:w="2320" w:type="dxa"/>
            <w:vAlign w:val="bottom"/>
            <w:shd w:val="clear" w:color="auto" w:fill="E2E2D8"/>
          </w:tcPr>
          <w:p>
            <w:pPr>
              <w:spacing w:after="0"/>
              <w:rPr>
                <w:sz w:val="9"/>
                <w:szCs w:val="9"/>
                <w:color w:val="auto"/>
              </w:rPr>
            </w:pPr>
          </w:p>
        </w:tc>
        <w:tc>
          <w:tcPr>
            <w:tcW w:w="2060" w:type="dxa"/>
            <w:vAlign w:val="bottom"/>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AEFF9"/>
          </w:tcPr>
          <w:p>
            <w:pPr>
              <w:ind w:left="60"/>
              <w:spacing w:after="0"/>
              <w:rPr>
                <w:sz w:val="20"/>
                <w:szCs w:val="20"/>
                <w:color w:val="auto"/>
              </w:rPr>
            </w:pPr>
            <w:r>
              <w:rPr>
                <w:rFonts w:ascii="Arial" w:cs="Arial" w:eastAsia="Arial" w:hAnsi="Arial"/>
                <w:sz w:val="14"/>
                <w:szCs w:val="14"/>
                <w:color w:val="auto"/>
              </w:rPr>
              <w:t>Restricted Stock (1)(2)</w:t>
            </w:r>
          </w:p>
        </w:tc>
        <w:tc>
          <w:tcPr>
            <w:tcW w:w="26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$18,028,150</w:t>
            </w:r>
          </w:p>
        </w:tc>
        <w:tc>
          <w:tcPr>
            <w:tcW w:w="2320" w:type="dxa"/>
            <w:vAlign w:val="bottom"/>
            <w:shd w:val="clear" w:color="auto" w:fill="EAEFF9"/>
          </w:tcPr>
          <w:p>
            <w:pPr>
              <w:jc w:val="center"/>
              <w:ind w:left="176"/>
              <w:spacing w:after="0"/>
              <w:rPr>
                <w:sz w:val="20"/>
                <w:szCs w:val="20"/>
                <w:color w:val="auto"/>
              </w:rPr>
            </w:pPr>
            <w:r>
              <w:rPr>
                <w:rFonts w:ascii="Arial" w:cs="Arial" w:eastAsia="Arial" w:hAnsi="Arial"/>
                <w:sz w:val="14"/>
                <w:szCs w:val="14"/>
                <w:color w:val="auto"/>
              </w:rPr>
              <w:t>$10,125,944</w:t>
            </w:r>
          </w:p>
        </w:tc>
        <w:tc>
          <w:tcPr>
            <w:tcW w:w="2060" w:type="dxa"/>
            <w:vAlign w:val="bottom"/>
            <w:shd w:val="clear" w:color="auto" w:fill="EAEFF9"/>
          </w:tcPr>
          <w:p>
            <w:pPr>
              <w:jc w:val="center"/>
              <w:ind w:left="235"/>
              <w:spacing w:after="0"/>
              <w:rPr>
                <w:sz w:val="20"/>
                <w:szCs w:val="20"/>
                <w:color w:val="auto"/>
              </w:rPr>
            </w:pPr>
            <w:r>
              <w:rPr>
                <w:rFonts w:ascii="Arial" w:cs="Arial" w:eastAsia="Arial" w:hAnsi="Arial"/>
                <w:sz w:val="14"/>
                <w:szCs w:val="14"/>
                <w:color w:val="auto"/>
              </w:rPr>
              <w:t>$18,028,150</w:t>
            </w: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2E2D8"/>
          </w:tcPr>
          <w:p>
            <w:pPr>
              <w:ind w:left="60"/>
              <w:spacing w:after="0"/>
              <w:rPr>
                <w:sz w:val="20"/>
                <w:szCs w:val="20"/>
                <w:color w:val="auto"/>
              </w:rPr>
            </w:pPr>
            <w:r>
              <w:rPr>
                <w:rFonts w:ascii="Arial" w:cs="Arial" w:eastAsia="Arial" w:hAnsi="Arial"/>
                <w:sz w:val="14"/>
                <w:szCs w:val="14"/>
                <w:color w:val="auto"/>
              </w:rPr>
              <w:t>Company Paid Life Insurance</w:t>
            </w:r>
          </w:p>
        </w:tc>
        <w:tc>
          <w:tcPr>
            <w:tcW w:w="26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$2,000,000</w:t>
            </w:r>
          </w:p>
        </w:tc>
        <w:tc>
          <w:tcPr>
            <w:tcW w:w="2320" w:type="dxa"/>
            <w:vAlign w:val="bottom"/>
            <w:shd w:val="clear" w:color="auto" w:fill="E2E2D8"/>
          </w:tcPr>
          <w:p>
            <w:pPr>
              <w:jc w:val="center"/>
              <w:ind w:left="156"/>
              <w:spacing w:after="0"/>
              <w:rPr>
                <w:sz w:val="20"/>
                <w:szCs w:val="20"/>
                <w:color w:val="auto"/>
              </w:rPr>
            </w:pPr>
            <w:r>
              <w:rPr>
                <w:rFonts w:ascii="Arial" w:cs="Arial" w:eastAsia="Arial" w:hAnsi="Arial"/>
                <w:sz w:val="14"/>
                <w:szCs w:val="14"/>
                <w:color w:val="auto"/>
              </w:rPr>
              <w:t>$-</w:t>
            </w:r>
          </w:p>
        </w:tc>
        <w:tc>
          <w:tcPr>
            <w:tcW w:w="2060" w:type="dxa"/>
            <w:vAlign w:val="bottom"/>
            <w:shd w:val="clear" w:color="auto" w:fill="E2E2D8"/>
          </w:tcPr>
          <w:p>
            <w:pPr>
              <w:jc w:val="center"/>
              <w:ind w:left="235"/>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7"/>
        </w:trPr>
        <w:tc>
          <w:tcPr>
            <w:tcW w:w="3960" w:type="dxa"/>
            <w:vAlign w:val="bottom"/>
            <w:shd w:val="clear" w:color="auto" w:fill="E2E2D8"/>
          </w:tcPr>
          <w:p>
            <w:pPr>
              <w:spacing w:after="0"/>
              <w:rPr>
                <w:sz w:val="9"/>
                <w:szCs w:val="9"/>
                <w:color w:val="auto"/>
              </w:rPr>
            </w:pPr>
          </w:p>
        </w:tc>
        <w:tc>
          <w:tcPr>
            <w:tcW w:w="2680" w:type="dxa"/>
            <w:vAlign w:val="bottom"/>
            <w:shd w:val="clear" w:color="auto" w:fill="E2E2D8"/>
          </w:tcPr>
          <w:p>
            <w:pPr>
              <w:spacing w:after="0"/>
              <w:rPr>
                <w:sz w:val="9"/>
                <w:szCs w:val="9"/>
                <w:color w:val="auto"/>
              </w:rPr>
            </w:pPr>
          </w:p>
        </w:tc>
        <w:tc>
          <w:tcPr>
            <w:tcW w:w="2320" w:type="dxa"/>
            <w:vAlign w:val="bottom"/>
            <w:shd w:val="clear" w:color="auto" w:fill="E2E2D8"/>
          </w:tcPr>
          <w:p>
            <w:pPr>
              <w:spacing w:after="0"/>
              <w:rPr>
                <w:sz w:val="9"/>
                <w:szCs w:val="9"/>
                <w:color w:val="auto"/>
              </w:rPr>
            </w:pPr>
          </w:p>
        </w:tc>
        <w:tc>
          <w:tcPr>
            <w:tcW w:w="2060" w:type="dxa"/>
            <w:vAlign w:val="bottom"/>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AEFF9"/>
          </w:tcPr>
          <w:p>
            <w:pPr>
              <w:ind w:left="60"/>
              <w:spacing w:after="0"/>
              <w:rPr>
                <w:sz w:val="20"/>
                <w:szCs w:val="20"/>
                <w:color w:val="auto"/>
              </w:rPr>
            </w:pPr>
            <w:r>
              <w:rPr>
                <w:rFonts w:ascii="Arial" w:cs="Arial" w:eastAsia="Arial" w:hAnsi="Arial"/>
                <w:sz w:val="14"/>
                <w:szCs w:val="14"/>
                <w:color w:val="auto"/>
              </w:rPr>
              <w:t>Benefits (3)</w:t>
            </w:r>
          </w:p>
        </w:tc>
        <w:tc>
          <w:tcPr>
            <w:tcW w:w="268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96"/>
              </w:rPr>
              <w:t>$-</w:t>
            </w:r>
          </w:p>
        </w:tc>
        <w:tc>
          <w:tcPr>
            <w:tcW w:w="2320" w:type="dxa"/>
            <w:vAlign w:val="bottom"/>
            <w:shd w:val="clear" w:color="auto" w:fill="EAEFF9"/>
          </w:tcPr>
          <w:p>
            <w:pPr>
              <w:jc w:val="center"/>
              <w:ind w:left="176"/>
              <w:spacing w:after="0"/>
              <w:rPr>
                <w:sz w:val="20"/>
                <w:szCs w:val="20"/>
                <w:color w:val="auto"/>
              </w:rPr>
            </w:pPr>
            <w:r>
              <w:rPr>
                <w:rFonts w:ascii="Arial" w:cs="Arial" w:eastAsia="Arial" w:hAnsi="Arial"/>
                <w:sz w:val="14"/>
                <w:szCs w:val="14"/>
                <w:color w:val="auto"/>
              </w:rPr>
              <w:t>$20,502</w:t>
            </w:r>
          </w:p>
        </w:tc>
        <w:tc>
          <w:tcPr>
            <w:tcW w:w="2060" w:type="dxa"/>
            <w:vAlign w:val="bottom"/>
            <w:shd w:val="clear" w:color="auto" w:fill="EAEFF9"/>
          </w:tcPr>
          <w:p>
            <w:pPr>
              <w:jc w:val="center"/>
              <w:ind w:left="235"/>
              <w:spacing w:after="0"/>
              <w:rPr>
                <w:sz w:val="20"/>
                <w:szCs w:val="20"/>
                <w:color w:val="auto"/>
              </w:rPr>
            </w:pPr>
            <w:r>
              <w:rPr>
                <w:rFonts w:ascii="Arial" w:cs="Arial" w:eastAsia="Arial" w:hAnsi="Arial"/>
                <w:sz w:val="14"/>
                <w:szCs w:val="14"/>
                <w:color w:val="auto"/>
              </w:rPr>
              <w:t>$20,502</w:t>
            </w: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120" w:right="100" w:hanging="4"/>
        <w:spacing w:after="0" w:line="223" w:lineRule="auto"/>
        <w:tabs>
          <w:tab w:leader="none" w:pos="309" w:val="left"/>
        </w:tabs>
        <w:numPr>
          <w:ilvl w:val="0"/>
          <w:numId w:val="54"/>
        </w:numPr>
        <w:rPr>
          <w:rFonts w:ascii="Arial" w:cs="Arial" w:eastAsia="Arial" w:hAnsi="Arial"/>
          <w:sz w:val="13"/>
          <w:szCs w:val="13"/>
          <w:color w:val="auto"/>
        </w:rPr>
      </w:pPr>
      <w:r>
        <w:rPr>
          <w:rFonts w:ascii="Arial" w:cs="Arial" w:eastAsia="Arial" w:hAnsi="Arial"/>
          <w:sz w:val="13"/>
          <w:szCs w:val="13"/>
          <w:color w:val="auto"/>
        </w:rPr>
        <w:t>Upon death, complete disability or a termination by employee for good reason after a change in control, 193,378 shares of restricted stock would vest in full immediately. Using the closing stock price on December 31, 2021, the value of such 193,378 shares would have been $16,444,866 plus accrued dividends of $455,994. Upon death, complete disability or a termination by employee for good reason after a change in control, 967 shares of vested and 2,901 shares of unvested Wynn Interactive options are exercisable and in the money. The value of such 3,868 options would have been $1,127,290.</w:t>
      </w:r>
    </w:p>
    <w:p>
      <w:pPr>
        <w:spacing w:after="0" w:line="92" w:lineRule="exact"/>
        <w:rPr>
          <w:rFonts w:ascii="Arial" w:cs="Arial" w:eastAsia="Arial" w:hAnsi="Arial"/>
          <w:sz w:val="13"/>
          <w:szCs w:val="13"/>
          <w:color w:val="auto"/>
        </w:rPr>
      </w:pPr>
    </w:p>
    <w:p>
      <w:pPr>
        <w:jc w:val="both"/>
        <w:ind w:left="120" w:right="140" w:hanging="4"/>
        <w:spacing w:after="0" w:line="225" w:lineRule="auto"/>
        <w:tabs>
          <w:tab w:leader="none" w:pos="309" w:val="left"/>
        </w:tabs>
        <w:numPr>
          <w:ilvl w:val="0"/>
          <w:numId w:val="54"/>
        </w:numPr>
        <w:rPr>
          <w:rFonts w:ascii="Arial" w:cs="Arial" w:eastAsia="Arial" w:hAnsi="Arial"/>
          <w:sz w:val="13"/>
          <w:szCs w:val="13"/>
          <w:color w:val="auto"/>
        </w:rPr>
      </w:pPr>
      <w:r>
        <w:rPr>
          <w:rFonts w:ascii="Arial" w:cs="Arial" w:eastAsia="Arial" w:hAnsi="Arial"/>
          <w:sz w:val="13"/>
          <w:szCs w:val="13"/>
          <w:color w:val="auto"/>
        </w:rPr>
        <w:t>Upon termination without cause or upon the Company’s material breach, 111,846 shares of restricted stock would vest on a prorated basis based on the number of months since the grant date. Using the closing stock price on December 31, 2021, the value of such 111,846 shares would have been $9,511,382, plus accrued dividends of $332,740. Upon termination without cause or upon the Company’s material breach, 967 shares of Wynn Interactive options are exercisable and in the money. The value of such 967 options would have been $281,822.</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Continued health benefits for remainder of the term or until covered by another plan.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51466"/>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937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937385"/>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3960" w:type="dxa"/>
            <w:vAlign w:val="bottom"/>
            <w:shd w:val="clear" w:color="auto" w:fill="E2E2D8"/>
          </w:tcPr>
          <w:p>
            <w:pPr>
              <w:spacing w:after="0"/>
              <w:rPr>
                <w:sz w:val="17"/>
                <w:szCs w:val="17"/>
                <w:color w:val="auto"/>
              </w:rPr>
            </w:pPr>
          </w:p>
        </w:tc>
        <w:tc>
          <w:tcPr>
            <w:tcW w:w="2680" w:type="dxa"/>
            <w:vAlign w:val="bottom"/>
            <w:vMerge w:val="restart"/>
            <w:shd w:val="clear" w:color="auto" w:fill="E2E2D8"/>
          </w:tcPr>
          <w:p>
            <w:pPr>
              <w:jc w:val="center"/>
              <w:ind w:right="13"/>
              <w:spacing w:after="0"/>
              <w:rPr>
                <w:sz w:val="20"/>
                <w:szCs w:val="20"/>
                <w:color w:val="auto"/>
              </w:rPr>
            </w:pPr>
            <w:r>
              <w:rPr>
                <w:rFonts w:ascii="Arial" w:cs="Arial" w:eastAsia="Arial" w:hAnsi="Arial"/>
                <w:sz w:val="11"/>
                <w:szCs w:val="11"/>
                <w:b w:val="1"/>
                <w:bCs w:val="1"/>
                <w:color w:val="auto"/>
                <w:w w:val="97"/>
              </w:rPr>
              <w:t>TERMINATION UPON</w:t>
            </w:r>
          </w:p>
        </w:tc>
        <w:tc>
          <w:tcPr>
            <w:tcW w:w="2320" w:type="dxa"/>
            <w:vAlign w:val="bottom"/>
            <w:shd w:val="clear" w:color="auto" w:fill="E2E2D8"/>
          </w:tcPr>
          <w:p>
            <w:pPr>
              <w:jc w:val="center"/>
              <w:ind w:left="176"/>
              <w:spacing w:after="0"/>
              <w:rPr>
                <w:sz w:val="20"/>
                <w:szCs w:val="20"/>
                <w:color w:val="auto"/>
              </w:rPr>
            </w:pPr>
            <w:r>
              <w:rPr>
                <w:rFonts w:ascii="Arial" w:cs="Arial" w:eastAsia="Arial" w:hAnsi="Arial"/>
                <w:sz w:val="11"/>
                <w:szCs w:val="11"/>
                <w:b w:val="1"/>
                <w:bCs w:val="1"/>
                <w:color w:val="auto"/>
                <w:w w:val="97"/>
              </w:rPr>
              <w:t>TERMINATION WITHOUT</w:t>
            </w:r>
          </w:p>
        </w:tc>
        <w:tc>
          <w:tcPr>
            <w:tcW w:w="2060" w:type="dxa"/>
            <w:vAlign w:val="bottom"/>
            <w:vMerge w:val="restart"/>
            <w:shd w:val="clear" w:color="auto" w:fill="E2E2D8"/>
          </w:tcPr>
          <w:p>
            <w:pPr>
              <w:jc w:val="center"/>
              <w:ind w:left="235"/>
              <w:spacing w:after="0"/>
              <w:rPr>
                <w:sz w:val="20"/>
                <w:szCs w:val="20"/>
                <w:color w:val="auto"/>
              </w:rPr>
            </w:pPr>
            <w:r>
              <w:rPr>
                <w:rFonts w:ascii="Arial" w:cs="Arial" w:eastAsia="Arial" w:hAnsi="Arial"/>
                <w:sz w:val="11"/>
                <w:szCs w:val="11"/>
                <w:b w:val="1"/>
                <w:bCs w:val="1"/>
                <w:color w:val="auto"/>
                <w:w w:val="98"/>
              </w:rPr>
              <w:t>TERMINATION BY EMPLOYEE</w:t>
            </w:r>
          </w:p>
        </w:tc>
        <w:tc>
          <w:tcPr>
            <w:tcW w:w="0" w:type="dxa"/>
            <w:vAlign w:val="bottom"/>
          </w:tcPr>
          <w:p>
            <w:pPr>
              <w:spacing w:after="0"/>
              <w:rPr>
                <w:sz w:val="1"/>
                <w:szCs w:val="1"/>
                <w:color w:val="auto"/>
              </w:rPr>
            </w:pPr>
          </w:p>
        </w:tc>
      </w:tr>
      <w:tr>
        <w:trPr>
          <w:trHeight w:val="81"/>
        </w:trPr>
        <w:tc>
          <w:tcPr>
            <w:tcW w:w="3960" w:type="dxa"/>
            <w:vAlign w:val="bottom"/>
            <w:shd w:val="clear" w:color="auto" w:fill="E2E2D8"/>
          </w:tcPr>
          <w:p>
            <w:pPr>
              <w:spacing w:after="0"/>
              <w:rPr>
                <w:sz w:val="7"/>
                <w:szCs w:val="7"/>
                <w:color w:val="auto"/>
              </w:rPr>
            </w:pPr>
          </w:p>
        </w:tc>
        <w:tc>
          <w:tcPr>
            <w:tcW w:w="2680" w:type="dxa"/>
            <w:vAlign w:val="bottom"/>
            <w:vMerge w:val="continue"/>
            <w:shd w:val="clear" w:color="auto" w:fill="E2E2D8"/>
          </w:tcPr>
          <w:p>
            <w:pPr>
              <w:spacing w:after="0"/>
              <w:rPr>
                <w:sz w:val="7"/>
                <w:szCs w:val="7"/>
                <w:color w:val="auto"/>
              </w:rPr>
            </w:pPr>
          </w:p>
        </w:tc>
        <w:tc>
          <w:tcPr>
            <w:tcW w:w="2320" w:type="dxa"/>
            <w:vAlign w:val="bottom"/>
            <w:vMerge w:val="restart"/>
            <w:shd w:val="clear" w:color="auto" w:fill="E2E2D8"/>
          </w:tcPr>
          <w:p>
            <w:pPr>
              <w:jc w:val="center"/>
              <w:ind w:left="156"/>
              <w:spacing w:after="0" w:line="122" w:lineRule="exact"/>
              <w:rPr>
                <w:sz w:val="20"/>
                <w:szCs w:val="20"/>
                <w:color w:val="auto"/>
              </w:rPr>
            </w:pPr>
            <w:r>
              <w:rPr>
                <w:rFonts w:ascii="Arial" w:cs="Arial" w:eastAsia="Arial" w:hAnsi="Arial"/>
                <w:sz w:val="11"/>
                <w:szCs w:val="11"/>
                <w:b w:val="1"/>
                <w:bCs w:val="1"/>
                <w:color w:val="auto"/>
                <w:w w:val="96"/>
              </w:rPr>
              <w:t>CAUSE OR UPON</w:t>
            </w:r>
          </w:p>
        </w:tc>
        <w:tc>
          <w:tcPr>
            <w:tcW w:w="2060" w:type="dxa"/>
            <w:vAlign w:val="bottom"/>
            <w:vMerge w:val="continue"/>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3960" w:type="dxa"/>
            <w:vAlign w:val="bottom"/>
            <w:shd w:val="clear" w:color="auto" w:fill="E2E2D8"/>
          </w:tcPr>
          <w:p>
            <w:pPr>
              <w:spacing w:after="0"/>
              <w:rPr>
                <w:sz w:val="3"/>
                <w:szCs w:val="3"/>
                <w:color w:val="auto"/>
              </w:rPr>
            </w:pPr>
          </w:p>
        </w:tc>
        <w:tc>
          <w:tcPr>
            <w:tcW w:w="2680" w:type="dxa"/>
            <w:vAlign w:val="bottom"/>
            <w:vMerge w:val="restart"/>
            <w:shd w:val="clear" w:color="auto" w:fill="E2E2D8"/>
          </w:tcPr>
          <w:p>
            <w:pPr>
              <w:jc w:val="center"/>
              <w:ind w:right="33"/>
              <w:spacing w:after="0" w:line="122" w:lineRule="exact"/>
              <w:rPr>
                <w:sz w:val="20"/>
                <w:szCs w:val="20"/>
                <w:color w:val="auto"/>
              </w:rPr>
            </w:pPr>
            <w:r>
              <w:rPr>
                <w:rFonts w:ascii="Arial" w:cs="Arial" w:eastAsia="Arial" w:hAnsi="Arial"/>
                <w:sz w:val="11"/>
                <w:szCs w:val="11"/>
                <w:b w:val="1"/>
                <w:bCs w:val="1"/>
                <w:color w:val="auto"/>
                <w:w w:val="96"/>
              </w:rPr>
              <w:t>DEATH OR COMPLETE</w:t>
            </w:r>
          </w:p>
        </w:tc>
        <w:tc>
          <w:tcPr>
            <w:tcW w:w="2320" w:type="dxa"/>
            <w:vAlign w:val="bottom"/>
            <w:vMerge w:val="continue"/>
            <w:shd w:val="clear" w:color="auto" w:fill="E2E2D8"/>
          </w:tcPr>
          <w:p>
            <w:pPr>
              <w:spacing w:after="0"/>
              <w:rPr>
                <w:sz w:val="3"/>
                <w:szCs w:val="3"/>
                <w:color w:val="auto"/>
              </w:rPr>
            </w:pPr>
          </w:p>
        </w:tc>
        <w:tc>
          <w:tcPr>
            <w:tcW w:w="2060" w:type="dxa"/>
            <w:vAlign w:val="bottom"/>
            <w:vMerge w:val="restart"/>
            <w:shd w:val="clear" w:color="auto" w:fill="E2E2D8"/>
          </w:tcPr>
          <w:p>
            <w:pPr>
              <w:jc w:val="center"/>
              <w:ind w:left="235"/>
              <w:spacing w:after="0" w:line="122" w:lineRule="exact"/>
              <w:rPr>
                <w:sz w:val="20"/>
                <w:szCs w:val="20"/>
                <w:color w:val="auto"/>
              </w:rPr>
            </w:pPr>
            <w:r>
              <w:rPr>
                <w:rFonts w:ascii="Arial" w:cs="Arial" w:eastAsia="Arial" w:hAnsi="Arial"/>
                <w:sz w:val="11"/>
                <w:szCs w:val="11"/>
                <w:b w:val="1"/>
                <w:bCs w:val="1"/>
                <w:color w:val="auto"/>
                <w:w w:val="98"/>
              </w:rPr>
              <w:t>FOR GOOD REASON AFTER</w:t>
            </w:r>
          </w:p>
        </w:tc>
        <w:tc>
          <w:tcPr>
            <w:tcW w:w="0" w:type="dxa"/>
            <w:vAlign w:val="bottom"/>
          </w:tcPr>
          <w:p>
            <w:pPr>
              <w:spacing w:after="0"/>
              <w:rPr>
                <w:sz w:val="1"/>
                <w:szCs w:val="1"/>
                <w:color w:val="auto"/>
              </w:rPr>
            </w:pPr>
          </w:p>
        </w:tc>
      </w:tr>
      <w:tr>
        <w:trPr>
          <w:trHeight w:val="81"/>
        </w:trPr>
        <w:tc>
          <w:tcPr>
            <w:tcW w:w="3960" w:type="dxa"/>
            <w:vAlign w:val="bottom"/>
            <w:shd w:val="clear" w:color="auto" w:fill="E2E2D8"/>
          </w:tcPr>
          <w:p>
            <w:pPr>
              <w:spacing w:after="0"/>
              <w:rPr>
                <w:sz w:val="7"/>
                <w:szCs w:val="7"/>
                <w:color w:val="auto"/>
              </w:rPr>
            </w:pPr>
          </w:p>
        </w:tc>
        <w:tc>
          <w:tcPr>
            <w:tcW w:w="2680" w:type="dxa"/>
            <w:vAlign w:val="bottom"/>
            <w:vMerge w:val="continue"/>
            <w:shd w:val="clear" w:color="auto" w:fill="E2E2D8"/>
          </w:tcPr>
          <w:p>
            <w:pPr>
              <w:spacing w:after="0"/>
              <w:rPr>
                <w:sz w:val="7"/>
                <w:szCs w:val="7"/>
                <w:color w:val="auto"/>
              </w:rPr>
            </w:pPr>
          </w:p>
        </w:tc>
        <w:tc>
          <w:tcPr>
            <w:tcW w:w="2320" w:type="dxa"/>
            <w:vAlign w:val="bottom"/>
            <w:vMerge w:val="restart"/>
            <w:shd w:val="clear" w:color="auto" w:fill="E2E2D8"/>
          </w:tcPr>
          <w:p>
            <w:pPr>
              <w:jc w:val="center"/>
              <w:ind w:left="176"/>
              <w:spacing w:after="0" w:line="122" w:lineRule="exact"/>
              <w:rPr>
                <w:sz w:val="20"/>
                <w:szCs w:val="20"/>
                <w:color w:val="auto"/>
              </w:rPr>
            </w:pPr>
            <w:r>
              <w:rPr>
                <w:rFonts w:ascii="Arial" w:cs="Arial" w:eastAsia="Arial" w:hAnsi="Arial"/>
                <w:sz w:val="11"/>
                <w:szCs w:val="11"/>
                <w:b w:val="1"/>
                <w:bCs w:val="1"/>
                <w:color w:val="auto"/>
                <w:w w:val="95"/>
              </w:rPr>
              <w:t>COMPANY’S</w:t>
            </w:r>
          </w:p>
        </w:tc>
        <w:tc>
          <w:tcPr>
            <w:tcW w:w="2060" w:type="dxa"/>
            <w:vAlign w:val="bottom"/>
            <w:vMerge w:val="continue"/>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3960" w:type="dxa"/>
            <w:vAlign w:val="bottom"/>
            <w:shd w:val="clear" w:color="auto" w:fill="E2E2D8"/>
          </w:tcPr>
          <w:p>
            <w:pPr>
              <w:spacing w:after="0"/>
              <w:rPr>
                <w:sz w:val="3"/>
                <w:szCs w:val="3"/>
                <w:color w:val="auto"/>
              </w:rPr>
            </w:pPr>
          </w:p>
        </w:tc>
        <w:tc>
          <w:tcPr>
            <w:tcW w:w="2680" w:type="dxa"/>
            <w:vAlign w:val="bottom"/>
            <w:vMerge w:val="restart"/>
            <w:shd w:val="clear" w:color="auto" w:fill="E2E2D8"/>
          </w:tcPr>
          <w:p>
            <w:pPr>
              <w:jc w:val="center"/>
              <w:ind w:right="13"/>
              <w:spacing w:after="0"/>
              <w:rPr>
                <w:sz w:val="20"/>
                <w:szCs w:val="20"/>
                <w:color w:val="auto"/>
              </w:rPr>
            </w:pPr>
            <w:r>
              <w:rPr>
                <w:rFonts w:ascii="Arial" w:cs="Arial" w:eastAsia="Arial" w:hAnsi="Arial"/>
                <w:sz w:val="11"/>
                <w:szCs w:val="11"/>
                <w:b w:val="1"/>
                <w:bCs w:val="1"/>
                <w:color w:val="auto"/>
                <w:w w:val="98"/>
              </w:rPr>
              <w:t>DISABILITY</w:t>
            </w:r>
          </w:p>
        </w:tc>
        <w:tc>
          <w:tcPr>
            <w:tcW w:w="2320" w:type="dxa"/>
            <w:vAlign w:val="bottom"/>
            <w:vMerge w:val="continue"/>
            <w:shd w:val="clear" w:color="auto" w:fill="E2E2D8"/>
          </w:tcPr>
          <w:p>
            <w:pPr>
              <w:spacing w:after="0"/>
              <w:rPr>
                <w:sz w:val="3"/>
                <w:szCs w:val="3"/>
                <w:color w:val="auto"/>
              </w:rPr>
            </w:pPr>
          </w:p>
        </w:tc>
        <w:tc>
          <w:tcPr>
            <w:tcW w:w="2060" w:type="dxa"/>
            <w:vAlign w:val="bottom"/>
            <w:vMerge w:val="restart"/>
            <w:shd w:val="clear" w:color="auto" w:fill="E2E2D8"/>
          </w:tcPr>
          <w:p>
            <w:pPr>
              <w:jc w:val="center"/>
              <w:ind w:left="215"/>
              <w:spacing w:after="0"/>
              <w:rPr>
                <w:sz w:val="20"/>
                <w:szCs w:val="20"/>
                <w:color w:val="auto"/>
              </w:rPr>
            </w:pPr>
            <w:r>
              <w:rPr>
                <w:rFonts w:ascii="Arial" w:cs="Arial" w:eastAsia="Arial" w:hAnsi="Arial"/>
                <w:sz w:val="11"/>
                <w:szCs w:val="11"/>
                <w:b w:val="1"/>
                <w:bCs w:val="1"/>
                <w:color w:val="auto"/>
                <w:w w:val="98"/>
              </w:rPr>
              <w:t>CHANGE IN CONTROL</w:t>
            </w:r>
          </w:p>
        </w:tc>
        <w:tc>
          <w:tcPr>
            <w:tcW w:w="0" w:type="dxa"/>
            <w:vAlign w:val="bottom"/>
          </w:tcPr>
          <w:p>
            <w:pPr>
              <w:spacing w:after="0"/>
              <w:rPr>
                <w:sz w:val="1"/>
                <w:szCs w:val="1"/>
                <w:color w:val="auto"/>
              </w:rPr>
            </w:pPr>
          </w:p>
        </w:tc>
      </w:tr>
      <w:tr>
        <w:trPr>
          <w:trHeight w:val="101"/>
        </w:trPr>
        <w:tc>
          <w:tcPr>
            <w:tcW w:w="3960" w:type="dxa"/>
            <w:vAlign w:val="bottom"/>
            <w:shd w:val="clear" w:color="auto" w:fill="E2E2D8"/>
          </w:tcPr>
          <w:p>
            <w:pPr>
              <w:spacing w:after="0"/>
              <w:rPr>
                <w:sz w:val="8"/>
                <w:szCs w:val="8"/>
                <w:color w:val="auto"/>
              </w:rPr>
            </w:pPr>
          </w:p>
        </w:tc>
        <w:tc>
          <w:tcPr>
            <w:tcW w:w="2680" w:type="dxa"/>
            <w:vAlign w:val="bottom"/>
            <w:vMerge w:val="continue"/>
            <w:shd w:val="clear" w:color="auto" w:fill="E2E2D8"/>
          </w:tcPr>
          <w:p>
            <w:pPr>
              <w:spacing w:after="0"/>
              <w:rPr>
                <w:sz w:val="8"/>
                <w:szCs w:val="8"/>
                <w:color w:val="auto"/>
              </w:rPr>
            </w:pPr>
          </w:p>
        </w:tc>
        <w:tc>
          <w:tcPr>
            <w:tcW w:w="2320" w:type="dxa"/>
            <w:vAlign w:val="bottom"/>
            <w:vMerge w:val="restart"/>
            <w:shd w:val="clear" w:color="auto" w:fill="E2E2D8"/>
          </w:tcPr>
          <w:p>
            <w:pPr>
              <w:jc w:val="center"/>
              <w:ind w:left="136"/>
              <w:spacing w:after="0"/>
              <w:rPr>
                <w:sz w:val="20"/>
                <w:szCs w:val="20"/>
                <w:color w:val="auto"/>
              </w:rPr>
            </w:pPr>
            <w:r>
              <w:rPr>
                <w:rFonts w:ascii="Arial" w:cs="Arial" w:eastAsia="Arial" w:hAnsi="Arial"/>
                <w:sz w:val="11"/>
                <w:szCs w:val="11"/>
                <w:b w:val="1"/>
                <w:bCs w:val="1"/>
                <w:color w:val="auto"/>
                <w:w w:val="97"/>
              </w:rPr>
              <w:t>MATERIAL BREACH</w:t>
            </w:r>
          </w:p>
        </w:tc>
        <w:tc>
          <w:tcPr>
            <w:tcW w:w="2060" w:type="dxa"/>
            <w:vAlign w:val="bottom"/>
            <w:vMerge w:val="continue"/>
            <w:shd w:val="clear" w:color="auto" w:fill="E2E2D8"/>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960" w:type="dxa"/>
            <w:vAlign w:val="bottom"/>
            <w:tcBorders>
              <w:bottom w:val="single" w:sz="8" w:color="E2E2D8"/>
            </w:tcBorders>
            <w:shd w:val="clear" w:color="auto" w:fill="E2E2D8"/>
          </w:tcPr>
          <w:p>
            <w:pPr>
              <w:spacing w:after="0"/>
              <w:rPr>
                <w:sz w:val="4"/>
                <w:szCs w:val="4"/>
                <w:color w:val="auto"/>
              </w:rPr>
            </w:pPr>
          </w:p>
        </w:tc>
        <w:tc>
          <w:tcPr>
            <w:tcW w:w="2680" w:type="dxa"/>
            <w:vAlign w:val="bottom"/>
            <w:tcBorders>
              <w:bottom w:val="single" w:sz="8" w:color="E2E2D8"/>
            </w:tcBorders>
            <w:shd w:val="clear" w:color="auto" w:fill="E2E2D8"/>
          </w:tcPr>
          <w:p>
            <w:pPr>
              <w:spacing w:after="0"/>
              <w:rPr>
                <w:sz w:val="4"/>
                <w:szCs w:val="4"/>
                <w:color w:val="auto"/>
              </w:rPr>
            </w:pPr>
          </w:p>
        </w:tc>
        <w:tc>
          <w:tcPr>
            <w:tcW w:w="2320" w:type="dxa"/>
            <w:vAlign w:val="bottom"/>
            <w:tcBorders>
              <w:bottom w:val="single" w:sz="8" w:color="E2E2D8"/>
            </w:tcBorders>
            <w:vMerge w:val="continue"/>
            <w:shd w:val="clear" w:color="auto" w:fill="E2E2D8"/>
          </w:tcPr>
          <w:p>
            <w:pPr>
              <w:spacing w:after="0"/>
              <w:rPr>
                <w:sz w:val="4"/>
                <w:szCs w:val="4"/>
                <w:color w:val="auto"/>
              </w:rPr>
            </w:pPr>
          </w:p>
        </w:tc>
        <w:tc>
          <w:tcPr>
            <w:tcW w:w="2060" w:type="dxa"/>
            <w:vAlign w:val="bottom"/>
            <w:tcBorders>
              <w:bottom w:val="single" w:sz="8" w:color="E2E2D8"/>
            </w:tcBorders>
            <w:shd w:val="clear" w:color="auto" w:fill="E2E2D8"/>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3960" w:type="dxa"/>
            <w:vAlign w:val="bottom"/>
            <w:shd w:val="clear" w:color="auto" w:fill="EAEFF9"/>
          </w:tcPr>
          <w:p>
            <w:pPr>
              <w:spacing w:after="0"/>
              <w:rPr>
                <w:sz w:val="24"/>
                <w:szCs w:val="24"/>
                <w:color w:val="auto"/>
              </w:rPr>
            </w:pPr>
          </w:p>
        </w:tc>
        <w:tc>
          <w:tcPr>
            <w:tcW w:w="2680" w:type="dxa"/>
            <w:vAlign w:val="bottom"/>
            <w:shd w:val="clear" w:color="auto" w:fill="EAEFF9"/>
          </w:tcPr>
          <w:p>
            <w:pPr>
              <w:jc w:val="right"/>
              <w:ind w:right="553"/>
              <w:spacing w:after="0"/>
              <w:rPr>
                <w:sz w:val="20"/>
                <w:szCs w:val="20"/>
                <w:color w:val="auto"/>
              </w:rPr>
            </w:pPr>
            <w:r>
              <w:rPr>
                <w:rFonts w:ascii="Arial" w:cs="Arial" w:eastAsia="Arial" w:hAnsi="Arial"/>
                <w:sz w:val="14"/>
                <w:szCs w:val="14"/>
                <w:color w:val="auto"/>
              </w:rPr>
              <w:t>Amounts earned and</w:t>
            </w:r>
          </w:p>
        </w:tc>
        <w:tc>
          <w:tcPr>
            <w:tcW w:w="2320" w:type="dxa"/>
            <w:vAlign w:val="bottom"/>
            <w:vMerge w:val="restart"/>
            <w:shd w:val="clear" w:color="auto" w:fill="EAEFF9"/>
          </w:tcPr>
          <w:p>
            <w:pPr>
              <w:jc w:val="center"/>
              <w:ind w:left="176"/>
              <w:spacing w:after="0"/>
              <w:rPr>
                <w:sz w:val="20"/>
                <w:szCs w:val="20"/>
                <w:color w:val="auto"/>
              </w:rPr>
            </w:pPr>
            <w:r>
              <w:rPr>
                <w:rFonts w:ascii="Arial" w:cs="Arial" w:eastAsia="Arial" w:hAnsi="Arial"/>
                <w:sz w:val="14"/>
                <w:szCs w:val="14"/>
                <w:color w:val="auto"/>
              </w:rPr>
              <w:t>$1,200,000</w:t>
            </w:r>
          </w:p>
        </w:tc>
        <w:tc>
          <w:tcPr>
            <w:tcW w:w="2060" w:type="dxa"/>
            <w:vAlign w:val="bottom"/>
            <w:vMerge w:val="restart"/>
            <w:shd w:val="clear" w:color="auto" w:fill="EAEFF9"/>
          </w:tcPr>
          <w:p>
            <w:pPr>
              <w:jc w:val="center"/>
              <w:ind w:left="235"/>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18"/>
        </w:trPr>
        <w:tc>
          <w:tcPr>
            <w:tcW w:w="3960" w:type="dxa"/>
            <w:vAlign w:val="bottom"/>
            <w:vMerge w:val="restart"/>
            <w:shd w:val="clear" w:color="auto" w:fill="EAEFF9"/>
          </w:tcPr>
          <w:p>
            <w:pPr>
              <w:ind w:left="60"/>
              <w:spacing w:after="0"/>
              <w:rPr>
                <w:sz w:val="20"/>
                <w:szCs w:val="20"/>
                <w:color w:val="auto"/>
              </w:rPr>
            </w:pPr>
            <w:r>
              <w:rPr>
                <w:rFonts w:ascii="Arial" w:cs="Arial" w:eastAsia="Arial" w:hAnsi="Arial"/>
                <w:sz w:val="14"/>
                <w:szCs w:val="14"/>
                <w:color w:val="auto"/>
              </w:rPr>
              <w:t>Base Salary</w:t>
            </w:r>
          </w:p>
        </w:tc>
        <w:tc>
          <w:tcPr>
            <w:tcW w:w="2680" w:type="dxa"/>
            <w:vAlign w:val="bottom"/>
            <w:vMerge w:val="restart"/>
            <w:shd w:val="clear" w:color="auto" w:fill="EAEFF9"/>
          </w:tcPr>
          <w:p>
            <w:pPr>
              <w:jc w:val="right"/>
              <w:ind w:right="553"/>
              <w:spacing w:after="0"/>
              <w:rPr>
                <w:sz w:val="20"/>
                <w:szCs w:val="20"/>
                <w:color w:val="auto"/>
              </w:rPr>
            </w:pPr>
            <w:r>
              <w:rPr>
                <w:rFonts w:ascii="Arial" w:cs="Arial" w:eastAsia="Arial" w:hAnsi="Arial"/>
                <w:sz w:val="14"/>
                <w:szCs w:val="14"/>
                <w:color w:val="auto"/>
              </w:rPr>
              <w:t>unpaid through the</w:t>
            </w:r>
          </w:p>
        </w:tc>
        <w:tc>
          <w:tcPr>
            <w:tcW w:w="2320" w:type="dxa"/>
            <w:vAlign w:val="bottom"/>
            <w:vMerge w:val="continue"/>
            <w:shd w:val="clear" w:color="auto" w:fill="EAEFF9"/>
          </w:tcPr>
          <w:p>
            <w:pPr>
              <w:spacing w:after="0"/>
              <w:rPr>
                <w:sz w:val="10"/>
                <w:szCs w:val="10"/>
                <w:color w:val="auto"/>
              </w:rPr>
            </w:pPr>
          </w:p>
        </w:tc>
        <w:tc>
          <w:tcPr>
            <w:tcW w:w="2060" w:type="dxa"/>
            <w:vAlign w:val="bottom"/>
            <w:vMerge w:val="continue"/>
            <w:shd w:val="clear" w:color="auto" w:fill="EAEFF9"/>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960" w:type="dxa"/>
            <w:vAlign w:val="bottom"/>
            <w:vMerge w:val="continue"/>
            <w:shd w:val="clear" w:color="auto" w:fill="EAEFF9"/>
          </w:tcPr>
          <w:p>
            <w:pPr>
              <w:spacing w:after="0"/>
              <w:rPr>
                <w:sz w:val="3"/>
                <w:szCs w:val="3"/>
                <w:color w:val="auto"/>
              </w:rPr>
            </w:pPr>
          </w:p>
        </w:tc>
        <w:tc>
          <w:tcPr>
            <w:tcW w:w="2680" w:type="dxa"/>
            <w:vAlign w:val="bottom"/>
            <w:vMerge w:val="continue"/>
            <w:shd w:val="clear" w:color="auto" w:fill="EAEFF9"/>
          </w:tcPr>
          <w:p>
            <w:pPr>
              <w:spacing w:after="0"/>
              <w:rPr>
                <w:sz w:val="3"/>
                <w:szCs w:val="3"/>
                <w:color w:val="auto"/>
              </w:rPr>
            </w:pPr>
          </w:p>
        </w:tc>
        <w:tc>
          <w:tcPr>
            <w:tcW w:w="2320" w:type="dxa"/>
            <w:vAlign w:val="bottom"/>
            <w:shd w:val="clear" w:color="auto" w:fill="EAEFF9"/>
          </w:tcPr>
          <w:p>
            <w:pPr>
              <w:spacing w:after="0"/>
              <w:rPr>
                <w:sz w:val="3"/>
                <w:szCs w:val="3"/>
                <w:color w:val="auto"/>
              </w:rPr>
            </w:pPr>
          </w:p>
        </w:tc>
        <w:tc>
          <w:tcPr>
            <w:tcW w:w="2060" w:type="dxa"/>
            <w:vAlign w:val="bottom"/>
            <w:shd w:val="clear" w:color="auto" w:fill="EAEFF9"/>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EAEFF9"/>
          </w:tcPr>
          <w:p>
            <w:pPr>
              <w:spacing w:after="0"/>
              <w:rPr>
                <w:sz w:val="14"/>
                <w:szCs w:val="14"/>
                <w:color w:val="auto"/>
              </w:rPr>
            </w:pPr>
          </w:p>
        </w:tc>
        <w:tc>
          <w:tcPr>
            <w:tcW w:w="2680" w:type="dxa"/>
            <w:vAlign w:val="bottom"/>
            <w:shd w:val="clear" w:color="auto" w:fill="EAEFF9"/>
          </w:tcPr>
          <w:p>
            <w:pPr>
              <w:jc w:val="right"/>
              <w:ind w:right="553"/>
              <w:spacing w:after="0"/>
              <w:rPr>
                <w:sz w:val="20"/>
                <w:szCs w:val="20"/>
                <w:color w:val="auto"/>
              </w:rPr>
            </w:pPr>
            <w:r>
              <w:rPr>
                <w:rFonts w:ascii="Arial" w:cs="Arial" w:eastAsia="Arial" w:hAnsi="Arial"/>
                <w:sz w:val="14"/>
                <w:szCs w:val="14"/>
                <w:color w:val="auto"/>
              </w:rPr>
              <w:t>date of termination</w:t>
            </w:r>
          </w:p>
        </w:tc>
        <w:tc>
          <w:tcPr>
            <w:tcW w:w="2320" w:type="dxa"/>
            <w:vAlign w:val="bottom"/>
            <w:shd w:val="clear" w:color="auto" w:fill="EAEFF9"/>
          </w:tcPr>
          <w:p>
            <w:pPr>
              <w:spacing w:after="0"/>
              <w:rPr>
                <w:sz w:val="14"/>
                <w:szCs w:val="14"/>
                <w:color w:val="auto"/>
              </w:rPr>
            </w:pPr>
          </w:p>
        </w:tc>
        <w:tc>
          <w:tcPr>
            <w:tcW w:w="2060" w:type="dxa"/>
            <w:vAlign w:val="bottom"/>
            <w:shd w:val="clear" w:color="auto" w:fill="EAEFF9"/>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2E2D8"/>
          </w:tcPr>
          <w:p>
            <w:pPr>
              <w:ind w:left="60"/>
              <w:spacing w:after="0"/>
              <w:rPr>
                <w:sz w:val="20"/>
                <w:szCs w:val="20"/>
                <w:color w:val="auto"/>
              </w:rPr>
            </w:pPr>
            <w:r>
              <w:rPr>
                <w:rFonts w:ascii="Arial" w:cs="Arial" w:eastAsia="Arial" w:hAnsi="Arial"/>
                <w:sz w:val="14"/>
                <w:szCs w:val="14"/>
                <w:color w:val="auto"/>
              </w:rPr>
              <w:t>Bonus</w:t>
            </w:r>
          </w:p>
        </w:tc>
        <w:tc>
          <w:tcPr>
            <w:tcW w:w="2680" w:type="dxa"/>
            <w:vAlign w:val="bottom"/>
            <w:shd w:val="clear" w:color="auto" w:fill="E2E2D8"/>
          </w:tcPr>
          <w:p>
            <w:pPr>
              <w:jc w:val="center"/>
              <w:spacing w:after="0"/>
              <w:rPr>
                <w:sz w:val="20"/>
                <w:szCs w:val="20"/>
                <w:color w:val="auto"/>
              </w:rPr>
            </w:pPr>
            <w:r>
              <w:rPr>
                <w:rFonts w:ascii="Arial" w:cs="Arial" w:eastAsia="Arial" w:hAnsi="Arial"/>
                <w:sz w:val="14"/>
                <w:szCs w:val="14"/>
                <w:color w:val="auto"/>
                <w:w w:val="96"/>
              </w:rPr>
              <w:t>$-</w:t>
            </w:r>
          </w:p>
        </w:tc>
        <w:tc>
          <w:tcPr>
            <w:tcW w:w="2320" w:type="dxa"/>
            <w:vAlign w:val="bottom"/>
            <w:shd w:val="clear" w:color="auto" w:fill="E2E2D8"/>
          </w:tcPr>
          <w:p>
            <w:pPr>
              <w:jc w:val="center"/>
              <w:ind w:left="176"/>
              <w:spacing w:after="0"/>
              <w:rPr>
                <w:sz w:val="20"/>
                <w:szCs w:val="20"/>
                <w:color w:val="auto"/>
              </w:rPr>
            </w:pPr>
            <w:r>
              <w:rPr>
                <w:rFonts w:ascii="Arial" w:cs="Arial" w:eastAsia="Arial" w:hAnsi="Arial"/>
                <w:sz w:val="14"/>
                <w:szCs w:val="14"/>
                <w:color w:val="auto"/>
              </w:rPr>
              <w:t>$2,400,000</w:t>
            </w:r>
          </w:p>
        </w:tc>
        <w:tc>
          <w:tcPr>
            <w:tcW w:w="2060" w:type="dxa"/>
            <w:vAlign w:val="bottom"/>
            <w:shd w:val="clear" w:color="auto" w:fill="E2E2D8"/>
          </w:tcPr>
          <w:p>
            <w:pPr>
              <w:jc w:val="center"/>
              <w:ind w:left="235"/>
              <w:spacing w:after="0"/>
              <w:rPr>
                <w:sz w:val="20"/>
                <w:szCs w:val="20"/>
                <w:color w:val="auto"/>
              </w:rPr>
            </w:pPr>
            <w:r>
              <w:rPr>
                <w:rFonts w:ascii="Arial" w:cs="Arial" w:eastAsia="Arial" w:hAnsi="Arial"/>
                <w:sz w:val="14"/>
                <w:szCs w:val="14"/>
                <w:color w:val="auto"/>
              </w:rPr>
              <w:t>$2,400,000</w:t>
            </w:r>
          </w:p>
        </w:tc>
        <w:tc>
          <w:tcPr>
            <w:tcW w:w="0" w:type="dxa"/>
            <w:vAlign w:val="bottom"/>
          </w:tcPr>
          <w:p>
            <w:pPr>
              <w:spacing w:after="0"/>
              <w:rPr>
                <w:sz w:val="1"/>
                <w:szCs w:val="1"/>
                <w:color w:val="auto"/>
              </w:rPr>
            </w:pPr>
          </w:p>
        </w:tc>
      </w:tr>
      <w:tr>
        <w:trPr>
          <w:trHeight w:val="107"/>
        </w:trPr>
        <w:tc>
          <w:tcPr>
            <w:tcW w:w="3960" w:type="dxa"/>
            <w:vAlign w:val="bottom"/>
            <w:shd w:val="clear" w:color="auto" w:fill="E2E2D8"/>
          </w:tcPr>
          <w:p>
            <w:pPr>
              <w:spacing w:after="0"/>
              <w:rPr>
                <w:sz w:val="9"/>
                <w:szCs w:val="9"/>
                <w:color w:val="auto"/>
              </w:rPr>
            </w:pPr>
          </w:p>
        </w:tc>
        <w:tc>
          <w:tcPr>
            <w:tcW w:w="2680" w:type="dxa"/>
            <w:vAlign w:val="bottom"/>
            <w:shd w:val="clear" w:color="auto" w:fill="E2E2D8"/>
          </w:tcPr>
          <w:p>
            <w:pPr>
              <w:spacing w:after="0"/>
              <w:rPr>
                <w:sz w:val="9"/>
                <w:szCs w:val="9"/>
                <w:color w:val="auto"/>
              </w:rPr>
            </w:pPr>
          </w:p>
        </w:tc>
        <w:tc>
          <w:tcPr>
            <w:tcW w:w="2320" w:type="dxa"/>
            <w:vAlign w:val="bottom"/>
            <w:shd w:val="clear" w:color="auto" w:fill="E2E2D8"/>
          </w:tcPr>
          <w:p>
            <w:pPr>
              <w:spacing w:after="0"/>
              <w:rPr>
                <w:sz w:val="9"/>
                <w:szCs w:val="9"/>
                <w:color w:val="auto"/>
              </w:rPr>
            </w:pPr>
          </w:p>
        </w:tc>
        <w:tc>
          <w:tcPr>
            <w:tcW w:w="2060" w:type="dxa"/>
            <w:vAlign w:val="bottom"/>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AEFF9"/>
          </w:tcPr>
          <w:p>
            <w:pPr>
              <w:ind w:left="60"/>
              <w:spacing w:after="0"/>
              <w:rPr>
                <w:sz w:val="20"/>
                <w:szCs w:val="20"/>
                <w:color w:val="auto"/>
              </w:rPr>
            </w:pPr>
            <w:r>
              <w:rPr>
                <w:rFonts w:ascii="Arial" w:cs="Arial" w:eastAsia="Arial" w:hAnsi="Arial"/>
                <w:sz w:val="14"/>
                <w:szCs w:val="14"/>
                <w:color w:val="auto"/>
              </w:rPr>
              <w:t>Restricted Stock (1)(2)</w:t>
            </w:r>
          </w:p>
        </w:tc>
        <w:tc>
          <w:tcPr>
            <w:tcW w:w="26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$12,925,971</w:t>
            </w:r>
          </w:p>
        </w:tc>
        <w:tc>
          <w:tcPr>
            <w:tcW w:w="2320" w:type="dxa"/>
            <w:vAlign w:val="bottom"/>
            <w:shd w:val="clear" w:color="auto" w:fill="EAEFF9"/>
          </w:tcPr>
          <w:p>
            <w:pPr>
              <w:jc w:val="center"/>
              <w:ind w:left="176"/>
              <w:spacing w:after="0"/>
              <w:rPr>
                <w:sz w:val="20"/>
                <w:szCs w:val="20"/>
                <w:color w:val="auto"/>
              </w:rPr>
            </w:pPr>
            <w:r>
              <w:rPr>
                <w:rFonts w:ascii="Arial" w:cs="Arial" w:eastAsia="Arial" w:hAnsi="Arial"/>
                <w:sz w:val="14"/>
                <w:szCs w:val="14"/>
                <w:color w:val="auto"/>
              </w:rPr>
              <w:t>$4,340,540</w:t>
            </w:r>
          </w:p>
        </w:tc>
        <w:tc>
          <w:tcPr>
            <w:tcW w:w="2060" w:type="dxa"/>
            <w:vAlign w:val="bottom"/>
            <w:shd w:val="clear" w:color="auto" w:fill="EAEFF9"/>
          </w:tcPr>
          <w:p>
            <w:pPr>
              <w:jc w:val="center"/>
              <w:ind w:left="235"/>
              <w:spacing w:after="0"/>
              <w:rPr>
                <w:sz w:val="20"/>
                <w:szCs w:val="20"/>
                <w:color w:val="auto"/>
              </w:rPr>
            </w:pPr>
            <w:r>
              <w:rPr>
                <w:rFonts w:ascii="Arial" w:cs="Arial" w:eastAsia="Arial" w:hAnsi="Arial"/>
                <w:sz w:val="14"/>
                <w:szCs w:val="14"/>
                <w:color w:val="auto"/>
              </w:rPr>
              <w:t>$12,925,971</w:t>
            </w:r>
          </w:p>
        </w:tc>
        <w:tc>
          <w:tcPr>
            <w:tcW w:w="0" w:type="dxa"/>
            <w:vAlign w:val="bottom"/>
          </w:tcPr>
          <w:p>
            <w:pPr>
              <w:spacing w:after="0"/>
              <w:rPr>
                <w:sz w:val="1"/>
                <w:szCs w:val="1"/>
                <w:color w:val="auto"/>
              </w:rPr>
            </w:pPr>
          </w:p>
        </w:tc>
      </w:tr>
      <w:tr>
        <w:trPr>
          <w:trHeight w:val="106"/>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2E2D8"/>
          </w:tcPr>
          <w:p>
            <w:pPr>
              <w:ind w:left="60"/>
              <w:spacing w:after="0"/>
              <w:rPr>
                <w:sz w:val="20"/>
                <w:szCs w:val="20"/>
                <w:color w:val="auto"/>
              </w:rPr>
            </w:pPr>
            <w:r>
              <w:rPr>
                <w:rFonts w:ascii="Arial" w:cs="Arial" w:eastAsia="Arial" w:hAnsi="Arial"/>
                <w:sz w:val="14"/>
                <w:szCs w:val="14"/>
                <w:color w:val="auto"/>
              </w:rPr>
              <w:t>Company Paid Life Insurance</w:t>
            </w:r>
          </w:p>
        </w:tc>
        <w:tc>
          <w:tcPr>
            <w:tcW w:w="26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$1,200,000</w:t>
            </w:r>
          </w:p>
        </w:tc>
        <w:tc>
          <w:tcPr>
            <w:tcW w:w="2320" w:type="dxa"/>
            <w:vAlign w:val="bottom"/>
            <w:shd w:val="clear" w:color="auto" w:fill="E2E2D8"/>
          </w:tcPr>
          <w:p>
            <w:pPr>
              <w:jc w:val="center"/>
              <w:ind w:left="156"/>
              <w:spacing w:after="0"/>
              <w:rPr>
                <w:sz w:val="20"/>
                <w:szCs w:val="20"/>
                <w:color w:val="auto"/>
              </w:rPr>
            </w:pPr>
            <w:r>
              <w:rPr>
                <w:rFonts w:ascii="Arial" w:cs="Arial" w:eastAsia="Arial" w:hAnsi="Arial"/>
                <w:sz w:val="14"/>
                <w:szCs w:val="14"/>
                <w:color w:val="auto"/>
              </w:rPr>
              <w:t>$-</w:t>
            </w:r>
          </w:p>
        </w:tc>
        <w:tc>
          <w:tcPr>
            <w:tcW w:w="2060" w:type="dxa"/>
            <w:vAlign w:val="bottom"/>
            <w:shd w:val="clear" w:color="auto" w:fill="E2E2D8"/>
          </w:tcPr>
          <w:p>
            <w:pPr>
              <w:jc w:val="center"/>
              <w:ind w:left="235"/>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6"/>
        </w:trPr>
        <w:tc>
          <w:tcPr>
            <w:tcW w:w="3960" w:type="dxa"/>
            <w:vAlign w:val="bottom"/>
            <w:shd w:val="clear" w:color="auto" w:fill="E2E2D8"/>
          </w:tcPr>
          <w:p>
            <w:pPr>
              <w:spacing w:after="0"/>
              <w:rPr>
                <w:sz w:val="9"/>
                <w:szCs w:val="9"/>
                <w:color w:val="auto"/>
              </w:rPr>
            </w:pPr>
          </w:p>
        </w:tc>
        <w:tc>
          <w:tcPr>
            <w:tcW w:w="2680" w:type="dxa"/>
            <w:vAlign w:val="bottom"/>
            <w:shd w:val="clear" w:color="auto" w:fill="E2E2D8"/>
          </w:tcPr>
          <w:p>
            <w:pPr>
              <w:spacing w:after="0"/>
              <w:rPr>
                <w:sz w:val="9"/>
                <w:szCs w:val="9"/>
                <w:color w:val="auto"/>
              </w:rPr>
            </w:pPr>
          </w:p>
        </w:tc>
        <w:tc>
          <w:tcPr>
            <w:tcW w:w="2320" w:type="dxa"/>
            <w:vAlign w:val="bottom"/>
            <w:shd w:val="clear" w:color="auto" w:fill="E2E2D8"/>
          </w:tcPr>
          <w:p>
            <w:pPr>
              <w:spacing w:after="0"/>
              <w:rPr>
                <w:sz w:val="9"/>
                <w:szCs w:val="9"/>
                <w:color w:val="auto"/>
              </w:rPr>
            </w:pPr>
          </w:p>
        </w:tc>
        <w:tc>
          <w:tcPr>
            <w:tcW w:w="2060" w:type="dxa"/>
            <w:vAlign w:val="bottom"/>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AEFF9"/>
          </w:tcPr>
          <w:p>
            <w:pPr>
              <w:ind w:left="60"/>
              <w:spacing w:after="0"/>
              <w:rPr>
                <w:sz w:val="20"/>
                <w:szCs w:val="20"/>
                <w:color w:val="auto"/>
              </w:rPr>
            </w:pPr>
            <w:r>
              <w:rPr>
                <w:rFonts w:ascii="Arial" w:cs="Arial" w:eastAsia="Arial" w:hAnsi="Arial"/>
                <w:sz w:val="14"/>
                <w:szCs w:val="14"/>
                <w:color w:val="auto"/>
              </w:rPr>
              <w:t>Benefits (3)</w:t>
            </w:r>
          </w:p>
        </w:tc>
        <w:tc>
          <w:tcPr>
            <w:tcW w:w="268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96"/>
              </w:rPr>
              <w:t>$-</w:t>
            </w:r>
          </w:p>
        </w:tc>
        <w:tc>
          <w:tcPr>
            <w:tcW w:w="2320" w:type="dxa"/>
            <w:vAlign w:val="bottom"/>
            <w:shd w:val="clear" w:color="auto" w:fill="EAEFF9"/>
          </w:tcPr>
          <w:p>
            <w:pPr>
              <w:jc w:val="center"/>
              <w:ind w:left="176"/>
              <w:spacing w:after="0"/>
              <w:rPr>
                <w:sz w:val="20"/>
                <w:szCs w:val="20"/>
                <w:color w:val="auto"/>
              </w:rPr>
            </w:pPr>
            <w:r>
              <w:rPr>
                <w:rFonts w:ascii="Arial" w:cs="Arial" w:eastAsia="Arial" w:hAnsi="Arial"/>
                <w:sz w:val="14"/>
                <w:szCs w:val="14"/>
                <w:color w:val="auto"/>
              </w:rPr>
              <w:t>$1,841</w:t>
            </w:r>
          </w:p>
        </w:tc>
        <w:tc>
          <w:tcPr>
            <w:tcW w:w="2060" w:type="dxa"/>
            <w:vAlign w:val="bottom"/>
            <w:shd w:val="clear" w:color="auto" w:fill="EAEFF9"/>
          </w:tcPr>
          <w:p>
            <w:pPr>
              <w:jc w:val="center"/>
              <w:ind w:left="235"/>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120" w:right="100" w:hanging="4"/>
        <w:spacing w:after="0" w:line="223" w:lineRule="auto"/>
        <w:tabs>
          <w:tab w:leader="none" w:pos="309" w:val="left"/>
        </w:tabs>
        <w:numPr>
          <w:ilvl w:val="0"/>
          <w:numId w:val="55"/>
        </w:numPr>
        <w:rPr>
          <w:rFonts w:ascii="Arial" w:cs="Arial" w:eastAsia="Arial" w:hAnsi="Arial"/>
          <w:sz w:val="13"/>
          <w:szCs w:val="13"/>
          <w:color w:val="auto"/>
        </w:rPr>
      </w:pPr>
      <w:r>
        <w:rPr>
          <w:rFonts w:ascii="Arial" w:cs="Arial" w:eastAsia="Arial" w:hAnsi="Arial"/>
          <w:sz w:val="13"/>
          <w:szCs w:val="13"/>
          <w:color w:val="auto"/>
        </w:rPr>
        <w:t>Upon death, complete disability or a termination by employee for good reason after a change in control, 117,837 shares of restricted stock would vest in full immediately. Using the closing stock price on December 31, 2021, the value of such 117,837 shares would have been $10,020,858 plus accrued dividends of $205,601. Upon death, complete disability or a termination by employee for good reason after a change in control, 2,314 shares of vested and 6,942 shares of unvested Wynn Interactive options are exercisable and in the money. The value of such 9,256 shares would have been $2,699,512.</w:t>
      </w:r>
    </w:p>
    <w:p>
      <w:pPr>
        <w:spacing w:after="0" w:line="92" w:lineRule="exact"/>
        <w:rPr>
          <w:rFonts w:ascii="Arial" w:cs="Arial" w:eastAsia="Arial" w:hAnsi="Arial"/>
          <w:sz w:val="13"/>
          <w:szCs w:val="13"/>
          <w:color w:val="auto"/>
        </w:rPr>
      </w:pPr>
    </w:p>
    <w:p>
      <w:pPr>
        <w:ind w:left="120" w:right="40" w:hanging="4"/>
        <w:spacing w:after="0" w:line="225" w:lineRule="auto"/>
        <w:tabs>
          <w:tab w:leader="none" w:pos="309" w:val="left"/>
        </w:tabs>
        <w:numPr>
          <w:ilvl w:val="0"/>
          <w:numId w:val="55"/>
        </w:numPr>
        <w:rPr>
          <w:rFonts w:ascii="Arial" w:cs="Arial" w:eastAsia="Arial" w:hAnsi="Arial"/>
          <w:sz w:val="13"/>
          <w:szCs w:val="13"/>
          <w:color w:val="auto"/>
        </w:rPr>
      </w:pPr>
      <w:r>
        <w:rPr>
          <w:rFonts w:ascii="Arial" w:cs="Arial" w:eastAsia="Arial" w:hAnsi="Arial"/>
          <w:sz w:val="13"/>
          <w:szCs w:val="13"/>
          <w:color w:val="auto"/>
        </w:rPr>
        <w:t>Upon termination without cause or upon the Company’s material breach, 41,362 shares of restricted stock would vest on a prorated basis based on the number of months since the grant date. Using the closing stock price on December 31, 2021, the value of such 41,362 shares would have been $3,517,425, plus accrued dividends of $148,237. Upon termination without cause or upon the Company’s material breach, 2,314 shares of Wynn Interactive options are exercisable and in the money. The value of such 2,314 shares would have been $674,878.</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Continued health benefits for remainder of the term or until covered by another plan.</w:t>
      </w:r>
    </w:p>
    <w:p>
      <w:pPr>
        <w:spacing w:after="0" w:line="144" w:lineRule="exact"/>
        <w:rPr>
          <w:rFonts w:ascii="Arial" w:cs="Arial" w:eastAsia="Arial" w:hAnsi="Arial"/>
          <w:sz w:val="13"/>
          <w:szCs w:val="13"/>
          <w:color w:val="auto"/>
        </w:rPr>
      </w:pPr>
    </w:p>
    <w:p>
      <w:pPr>
        <w:ind w:left="5780" w:hanging="160"/>
        <w:spacing w:after="0"/>
        <w:tabs>
          <w:tab w:leader="none" w:pos="57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53 //</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51466"/>
        </w:rPr>
        <w:t>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937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937385"/>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3960" w:type="dxa"/>
            <w:vAlign w:val="bottom"/>
            <w:shd w:val="clear" w:color="auto" w:fill="E2E2D8"/>
          </w:tcPr>
          <w:p>
            <w:pPr>
              <w:spacing w:after="0"/>
              <w:rPr>
                <w:sz w:val="17"/>
                <w:szCs w:val="17"/>
                <w:color w:val="auto"/>
              </w:rPr>
            </w:pPr>
          </w:p>
        </w:tc>
        <w:tc>
          <w:tcPr>
            <w:tcW w:w="2680" w:type="dxa"/>
            <w:vAlign w:val="bottom"/>
            <w:vMerge w:val="restart"/>
            <w:shd w:val="clear" w:color="auto" w:fill="E2E2D8"/>
          </w:tcPr>
          <w:p>
            <w:pPr>
              <w:jc w:val="center"/>
              <w:ind w:right="13"/>
              <w:spacing w:after="0"/>
              <w:rPr>
                <w:sz w:val="20"/>
                <w:szCs w:val="20"/>
                <w:color w:val="auto"/>
              </w:rPr>
            </w:pPr>
            <w:r>
              <w:rPr>
                <w:rFonts w:ascii="Arial" w:cs="Arial" w:eastAsia="Arial" w:hAnsi="Arial"/>
                <w:sz w:val="11"/>
                <w:szCs w:val="11"/>
                <w:b w:val="1"/>
                <w:bCs w:val="1"/>
                <w:color w:val="auto"/>
                <w:w w:val="97"/>
              </w:rPr>
              <w:t>TERMINATION UPON</w:t>
            </w:r>
          </w:p>
        </w:tc>
        <w:tc>
          <w:tcPr>
            <w:tcW w:w="2320" w:type="dxa"/>
            <w:vAlign w:val="bottom"/>
            <w:shd w:val="clear" w:color="auto" w:fill="E2E2D8"/>
          </w:tcPr>
          <w:p>
            <w:pPr>
              <w:jc w:val="center"/>
              <w:ind w:left="176"/>
              <w:spacing w:after="0"/>
              <w:rPr>
                <w:sz w:val="20"/>
                <w:szCs w:val="20"/>
                <w:color w:val="auto"/>
              </w:rPr>
            </w:pPr>
            <w:r>
              <w:rPr>
                <w:rFonts w:ascii="Arial" w:cs="Arial" w:eastAsia="Arial" w:hAnsi="Arial"/>
                <w:sz w:val="11"/>
                <w:szCs w:val="11"/>
                <w:b w:val="1"/>
                <w:bCs w:val="1"/>
                <w:color w:val="auto"/>
                <w:w w:val="97"/>
              </w:rPr>
              <w:t>TERMINATION WITHOUT</w:t>
            </w:r>
          </w:p>
        </w:tc>
        <w:tc>
          <w:tcPr>
            <w:tcW w:w="2060" w:type="dxa"/>
            <w:vAlign w:val="bottom"/>
            <w:vMerge w:val="restart"/>
            <w:shd w:val="clear" w:color="auto" w:fill="E2E2D8"/>
          </w:tcPr>
          <w:p>
            <w:pPr>
              <w:jc w:val="center"/>
              <w:ind w:left="235"/>
              <w:spacing w:after="0"/>
              <w:rPr>
                <w:sz w:val="20"/>
                <w:szCs w:val="20"/>
                <w:color w:val="auto"/>
              </w:rPr>
            </w:pPr>
            <w:r>
              <w:rPr>
                <w:rFonts w:ascii="Arial" w:cs="Arial" w:eastAsia="Arial" w:hAnsi="Arial"/>
                <w:sz w:val="11"/>
                <w:szCs w:val="11"/>
                <w:b w:val="1"/>
                <w:bCs w:val="1"/>
                <w:color w:val="auto"/>
                <w:w w:val="98"/>
              </w:rPr>
              <w:t>TERMINATION BY EMPLOYEE</w:t>
            </w:r>
          </w:p>
        </w:tc>
        <w:tc>
          <w:tcPr>
            <w:tcW w:w="0" w:type="dxa"/>
            <w:vAlign w:val="bottom"/>
          </w:tcPr>
          <w:p>
            <w:pPr>
              <w:spacing w:after="0"/>
              <w:rPr>
                <w:sz w:val="1"/>
                <w:szCs w:val="1"/>
                <w:color w:val="auto"/>
              </w:rPr>
            </w:pPr>
          </w:p>
        </w:tc>
      </w:tr>
      <w:tr>
        <w:trPr>
          <w:trHeight w:val="42"/>
        </w:trPr>
        <w:tc>
          <w:tcPr>
            <w:tcW w:w="3960" w:type="dxa"/>
            <w:vAlign w:val="bottom"/>
            <w:shd w:val="clear" w:color="auto" w:fill="E2E2D8"/>
          </w:tcPr>
          <w:p>
            <w:pPr>
              <w:spacing w:after="0"/>
              <w:rPr>
                <w:sz w:val="3"/>
                <w:szCs w:val="3"/>
                <w:color w:val="auto"/>
              </w:rPr>
            </w:pPr>
          </w:p>
        </w:tc>
        <w:tc>
          <w:tcPr>
            <w:tcW w:w="2680" w:type="dxa"/>
            <w:vAlign w:val="bottom"/>
            <w:vMerge w:val="continue"/>
            <w:shd w:val="clear" w:color="auto" w:fill="E2E2D8"/>
          </w:tcPr>
          <w:p>
            <w:pPr>
              <w:spacing w:after="0"/>
              <w:rPr>
                <w:sz w:val="3"/>
                <w:szCs w:val="3"/>
                <w:color w:val="auto"/>
              </w:rPr>
            </w:pPr>
          </w:p>
        </w:tc>
        <w:tc>
          <w:tcPr>
            <w:tcW w:w="2320" w:type="dxa"/>
            <w:vAlign w:val="bottom"/>
            <w:vMerge w:val="restart"/>
            <w:shd w:val="clear" w:color="auto" w:fill="E2E2D8"/>
          </w:tcPr>
          <w:p>
            <w:pPr>
              <w:jc w:val="center"/>
              <w:ind w:left="156"/>
              <w:spacing w:after="0" w:line="122" w:lineRule="exact"/>
              <w:rPr>
                <w:sz w:val="20"/>
                <w:szCs w:val="20"/>
                <w:color w:val="auto"/>
              </w:rPr>
            </w:pPr>
            <w:r>
              <w:rPr>
                <w:rFonts w:ascii="Arial" w:cs="Arial" w:eastAsia="Arial" w:hAnsi="Arial"/>
                <w:sz w:val="11"/>
                <w:szCs w:val="11"/>
                <w:b w:val="1"/>
                <w:bCs w:val="1"/>
                <w:color w:val="auto"/>
                <w:w w:val="96"/>
              </w:rPr>
              <w:t>CAUSE OR UPON</w:t>
            </w:r>
          </w:p>
        </w:tc>
        <w:tc>
          <w:tcPr>
            <w:tcW w:w="2060" w:type="dxa"/>
            <w:vAlign w:val="bottom"/>
            <w:vMerge w:val="continue"/>
            <w:shd w:val="clear" w:color="auto" w:fill="E2E2D8"/>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960" w:type="dxa"/>
            <w:vAlign w:val="bottom"/>
            <w:shd w:val="clear" w:color="auto" w:fill="E2E2D8"/>
          </w:tcPr>
          <w:p>
            <w:pPr>
              <w:spacing w:after="0"/>
              <w:rPr>
                <w:sz w:val="6"/>
                <w:szCs w:val="6"/>
                <w:color w:val="auto"/>
              </w:rPr>
            </w:pPr>
          </w:p>
        </w:tc>
        <w:tc>
          <w:tcPr>
            <w:tcW w:w="2680" w:type="dxa"/>
            <w:vAlign w:val="bottom"/>
            <w:vMerge w:val="restart"/>
            <w:shd w:val="clear" w:color="auto" w:fill="E2E2D8"/>
          </w:tcPr>
          <w:p>
            <w:pPr>
              <w:jc w:val="center"/>
              <w:ind w:right="33"/>
              <w:spacing w:after="0" w:line="122" w:lineRule="exact"/>
              <w:rPr>
                <w:sz w:val="20"/>
                <w:szCs w:val="20"/>
                <w:color w:val="auto"/>
              </w:rPr>
            </w:pPr>
            <w:r>
              <w:rPr>
                <w:rFonts w:ascii="Arial" w:cs="Arial" w:eastAsia="Arial" w:hAnsi="Arial"/>
                <w:sz w:val="11"/>
                <w:szCs w:val="11"/>
                <w:b w:val="1"/>
                <w:bCs w:val="1"/>
                <w:color w:val="auto"/>
                <w:w w:val="96"/>
              </w:rPr>
              <w:t>DEATH OR COMPLETE</w:t>
            </w:r>
          </w:p>
        </w:tc>
        <w:tc>
          <w:tcPr>
            <w:tcW w:w="2320" w:type="dxa"/>
            <w:vAlign w:val="bottom"/>
            <w:vMerge w:val="continue"/>
            <w:shd w:val="clear" w:color="auto" w:fill="E2E2D8"/>
          </w:tcPr>
          <w:p>
            <w:pPr>
              <w:spacing w:after="0"/>
              <w:rPr>
                <w:sz w:val="6"/>
                <w:szCs w:val="6"/>
                <w:color w:val="auto"/>
              </w:rPr>
            </w:pPr>
          </w:p>
        </w:tc>
        <w:tc>
          <w:tcPr>
            <w:tcW w:w="2060" w:type="dxa"/>
            <w:vAlign w:val="bottom"/>
            <w:vMerge w:val="restart"/>
            <w:shd w:val="clear" w:color="auto" w:fill="E2E2D8"/>
          </w:tcPr>
          <w:p>
            <w:pPr>
              <w:jc w:val="center"/>
              <w:ind w:left="235"/>
              <w:spacing w:after="0" w:line="122" w:lineRule="exact"/>
              <w:rPr>
                <w:sz w:val="20"/>
                <w:szCs w:val="20"/>
                <w:color w:val="auto"/>
              </w:rPr>
            </w:pPr>
            <w:r>
              <w:rPr>
                <w:rFonts w:ascii="Arial" w:cs="Arial" w:eastAsia="Arial" w:hAnsi="Arial"/>
                <w:sz w:val="11"/>
                <w:szCs w:val="11"/>
                <w:b w:val="1"/>
                <w:bCs w:val="1"/>
                <w:color w:val="auto"/>
                <w:w w:val="98"/>
              </w:rPr>
              <w:t>FOR GOOD REASON AFTER</w:t>
            </w:r>
          </w:p>
        </w:tc>
        <w:tc>
          <w:tcPr>
            <w:tcW w:w="0" w:type="dxa"/>
            <w:vAlign w:val="bottom"/>
          </w:tcPr>
          <w:p>
            <w:pPr>
              <w:spacing w:after="0"/>
              <w:rPr>
                <w:sz w:val="1"/>
                <w:szCs w:val="1"/>
                <w:color w:val="auto"/>
              </w:rPr>
            </w:pPr>
          </w:p>
        </w:tc>
      </w:tr>
      <w:tr>
        <w:trPr>
          <w:trHeight w:val="42"/>
        </w:trPr>
        <w:tc>
          <w:tcPr>
            <w:tcW w:w="3960" w:type="dxa"/>
            <w:vAlign w:val="bottom"/>
            <w:shd w:val="clear" w:color="auto" w:fill="E2E2D8"/>
          </w:tcPr>
          <w:p>
            <w:pPr>
              <w:spacing w:after="0"/>
              <w:rPr>
                <w:sz w:val="3"/>
                <w:szCs w:val="3"/>
                <w:color w:val="auto"/>
              </w:rPr>
            </w:pPr>
          </w:p>
        </w:tc>
        <w:tc>
          <w:tcPr>
            <w:tcW w:w="2680" w:type="dxa"/>
            <w:vAlign w:val="bottom"/>
            <w:vMerge w:val="continue"/>
            <w:shd w:val="clear" w:color="auto" w:fill="E2E2D8"/>
          </w:tcPr>
          <w:p>
            <w:pPr>
              <w:spacing w:after="0"/>
              <w:rPr>
                <w:sz w:val="3"/>
                <w:szCs w:val="3"/>
                <w:color w:val="auto"/>
              </w:rPr>
            </w:pPr>
          </w:p>
        </w:tc>
        <w:tc>
          <w:tcPr>
            <w:tcW w:w="2320" w:type="dxa"/>
            <w:vAlign w:val="bottom"/>
            <w:vMerge w:val="restart"/>
            <w:shd w:val="clear" w:color="auto" w:fill="E2E2D8"/>
          </w:tcPr>
          <w:p>
            <w:pPr>
              <w:jc w:val="center"/>
              <w:ind w:left="176"/>
              <w:spacing w:after="0" w:line="122" w:lineRule="exact"/>
              <w:rPr>
                <w:sz w:val="20"/>
                <w:szCs w:val="20"/>
                <w:color w:val="auto"/>
              </w:rPr>
            </w:pPr>
            <w:r>
              <w:rPr>
                <w:rFonts w:ascii="Arial" w:cs="Arial" w:eastAsia="Arial" w:hAnsi="Arial"/>
                <w:sz w:val="11"/>
                <w:szCs w:val="11"/>
                <w:b w:val="1"/>
                <w:bCs w:val="1"/>
                <w:color w:val="auto"/>
                <w:w w:val="95"/>
              </w:rPr>
              <w:t>COMPANY’S</w:t>
            </w:r>
          </w:p>
        </w:tc>
        <w:tc>
          <w:tcPr>
            <w:tcW w:w="2060" w:type="dxa"/>
            <w:vAlign w:val="bottom"/>
            <w:vMerge w:val="continue"/>
            <w:shd w:val="clear" w:color="auto" w:fill="E2E2D8"/>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960" w:type="dxa"/>
            <w:vAlign w:val="bottom"/>
            <w:shd w:val="clear" w:color="auto" w:fill="E2E2D8"/>
          </w:tcPr>
          <w:p>
            <w:pPr>
              <w:spacing w:after="0"/>
              <w:rPr>
                <w:sz w:val="6"/>
                <w:szCs w:val="6"/>
                <w:color w:val="auto"/>
              </w:rPr>
            </w:pPr>
          </w:p>
        </w:tc>
        <w:tc>
          <w:tcPr>
            <w:tcW w:w="2680" w:type="dxa"/>
            <w:vAlign w:val="bottom"/>
            <w:vMerge w:val="restart"/>
            <w:shd w:val="clear" w:color="auto" w:fill="E2E2D8"/>
          </w:tcPr>
          <w:p>
            <w:pPr>
              <w:jc w:val="center"/>
              <w:ind w:right="13"/>
              <w:spacing w:after="0"/>
              <w:rPr>
                <w:sz w:val="20"/>
                <w:szCs w:val="20"/>
                <w:color w:val="auto"/>
              </w:rPr>
            </w:pPr>
            <w:r>
              <w:rPr>
                <w:rFonts w:ascii="Arial" w:cs="Arial" w:eastAsia="Arial" w:hAnsi="Arial"/>
                <w:sz w:val="11"/>
                <w:szCs w:val="11"/>
                <w:b w:val="1"/>
                <w:bCs w:val="1"/>
                <w:color w:val="auto"/>
                <w:w w:val="98"/>
              </w:rPr>
              <w:t>DISABILITY</w:t>
            </w:r>
          </w:p>
        </w:tc>
        <w:tc>
          <w:tcPr>
            <w:tcW w:w="2320" w:type="dxa"/>
            <w:vAlign w:val="bottom"/>
            <w:vMerge w:val="continue"/>
            <w:shd w:val="clear" w:color="auto" w:fill="E2E2D8"/>
          </w:tcPr>
          <w:p>
            <w:pPr>
              <w:spacing w:after="0"/>
              <w:rPr>
                <w:sz w:val="6"/>
                <w:szCs w:val="6"/>
                <w:color w:val="auto"/>
              </w:rPr>
            </w:pPr>
          </w:p>
        </w:tc>
        <w:tc>
          <w:tcPr>
            <w:tcW w:w="2060" w:type="dxa"/>
            <w:vAlign w:val="bottom"/>
            <w:vMerge w:val="restart"/>
            <w:shd w:val="clear" w:color="auto" w:fill="E2E2D8"/>
          </w:tcPr>
          <w:p>
            <w:pPr>
              <w:jc w:val="center"/>
              <w:ind w:left="235"/>
              <w:spacing w:after="0"/>
              <w:rPr>
                <w:sz w:val="20"/>
                <w:szCs w:val="20"/>
                <w:color w:val="auto"/>
              </w:rPr>
            </w:pPr>
            <w:r>
              <w:rPr>
                <w:rFonts w:ascii="Arial" w:cs="Arial" w:eastAsia="Arial" w:hAnsi="Arial"/>
                <w:sz w:val="11"/>
                <w:szCs w:val="11"/>
                <w:b w:val="1"/>
                <w:bCs w:val="1"/>
                <w:color w:val="auto"/>
                <w:w w:val="97"/>
              </w:rPr>
              <w:t>CHANGE IN CONTROL</w:t>
            </w:r>
          </w:p>
        </w:tc>
        <w:tc>
          <w:tcPr>
            <w:tcW w:w="0" w:type="dxa"/>
            <w:vAlign w:val="bottom"/>
          </w:tcPr>
          <w:p>
            <w:pPr>
              <w:spacing w:after="0"/>
              <w:rPr>
                <w:sz w:val="1"/>
                <w:szCs w:val="1"/>
                <w:color w:val="auto"/>
              </w:rPr>
            </w:pPr>
          </w:p>
        </w:tc>
      </w:tr>
      <w:tr>
        <w:trPr>
          <w:trHeight w:val="74"/>
        </w:trPr>
        <w:tc>
          <w:tcPr>
            <w:tcW w:w="3960" w:type="dxa"/>
            <w:vAlign w:val="bottom"/>
            <w:shd w:val="clear" w:color="auto" w:fill="E2E2D8"/>
          </w:tcPr>
          <w:p>
            <w:pPr>
              <w:spacing w:after="0"/>
              <w:rPr>
                <w:sz w:val="6"/>
                <w:szCs w:val="6"/>
                <w:color w:val="auto"/>
              </w:rPr>
            </w:pPr>
          </w:p>
        </w:tc>
        <w:tc>
          <w:tcPr>
            <w:tcW w:w="2680" w:type="dxa"/>
            <w:vAlign w:val="bottom"/>
            <w:vMerge w:val="continue"/>
            <w:shd w:val="clear" w:color="auto" w:fill="E2E2D8"/>
          </w:tcPr>
          <w:p>
            <w:pPr>
              <w:spacing w:after="0"/>
              <w:rPr>
                <w:sz w:val="6"/>
                <w:szCs w:val="6"/>
                <w:color w:val="auto"/>
              </w:rPr>
            </w:pPr>
          </w:p>
        </w:tc>
        <w:tc>
          <w:tcPr>
            <w:tcW w:w="2320" w:type="dxa"/>
            <w:vAlign w:val="bottom"/>
            <w:vMerge w:val="restart"/>
            <w:shd w:val="clear" w:color="auto" w:fill="E2E2D8"/>
          </w:tcPr>
          <w:p>
            <w:pPr>
              <w:jc w:val="center"/>
              <w:ind w:left="176"/>
              <w:spacing w:after="0"/>
              <w:rPr>
                <w:sz w:val="20"/>
                <w:szCs w:val="20"/>
                <w:color w:val="auto"/>
              </w:rPr>
            </w:pPr>
            <w:r>
              <w:rPr>
                <w:rFonts w:ascii="Arial" w:cs="Arial" w:eastAsia="Arial" w:hAnsi="Arial"/>
                <w:sz w:val="11"/>
                <w:szCs w:val="11"/>
                <w:b w:val="1"/>
                <w:bCs w:val="1"/>
                <w:color w:val="auto"/>
                <w:w w:val="97"/>
              </w:rPr>
              <w:t>MATERIAL BREACH</w:t>
            </w:r>
          </w:p>
        </w:tc>
        <w:tc>
          <w:tcPr>
            <w:tcW w:w="2060" w:type="dxa"/>
            <w:vAlign w:val="bottom"/>
            <w:vMerge w:val="continue"/>
            <w:shd w:val="clear" w:color="auto" w:fill="E2E2D8"/>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960" w:type="dxa"/>
            <w:vAlign w:val="bottom"/>
            <w:tcBorders>
              <w:bottom w:val="single" w:sz="8" w:color="E2E2D8"/>
            </w:tcBorders>
            <w:shd w:val="clear" w:color="auto" w:fill="E2E2D8"/>
          </w:tcPr>
          <w:p>
            <w:pPr>
              <w:spacing w:after="0"/>
              <w:rPr>
                <w:sz w:val="7"/>
                <w:szCs w:val="7"/>
                <w:color w:val="auto"/>
              </w:rPr>
            </w:pPr>
          </w:p>
        </w:tc>
        <w:tc>
          <w:tcPr>
            <w:tcW w:w="2680" w:type="dxa"/>
            <w:vAlign w:val="bottom"/>
            <w:tcBorders>
              <w:bottom w:val="single" w:sz="8" w:color="E2E2D8"/>
            </w:tcBorders>
            <w:shd w:val="clear" w:color="auto" w:fill="E2E2D8"/>
          </w:tcPr>
          <w:p>
            <w:pPr>
              <w:spacing w:after="0"/>
              <w:rPr>
                <w:sz w:val="7"/>
                <w:szCs w:val="7"/>
                <w:color w:val="auto"/>
              </w:rPr>
            </w:pPr>
          </w:p>
        </w:tc>
        <w:tc>
          <w:tcPr>
            <w:tcW w:w="2320" w:type="dxa"/>
            <w:vAlign w:val="bottom"/>
            <w:tcBorders>
              <w:bottom w:val="single" w:sz="8" w:color="E2E2D8"/>
            </w:tcBorders>
            <w:vMerge w:val="continue"/>
            <w:shd w:val="clear" w:color="auto" w:fill="E2E2D8"/>
          </w:tcPr>
          <w:p>
            <w:pPr>
              <w:spacing w:after="0"/>
              <w:rPr>
                <w:sz w:val="7"/>
                <w:szCs w:val="7"/>
                <w:color w:val="auto"/>
              </w:rPr>
            </w:pPr>
          </w:p>
        </w:tc>
        <w:tc>
          <w:tcPr>
            <w:tcW w:w="2060" w:type="dxa"/>
            <w:vAlign w:val="bottom"/>
            <w:tcBorders>
              <w:bottom w:val="single" w:sz="8" w:color="E2E2D8"/>
            </w:tcBorders>
            <w:shd w:val="clear" w:color="auto" w:fill="E2E2D8"/>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3960" w:type="dxa"/>
            <w:vAlign w:val="bottom"/>
            <w:shd w:val="clear" w:color="auto" w:fill="EAEFF9"/>
          </w:tcPr>
          <w:p>
            <w:pPr>
              <w:spacing w:after="0"/>
              <w:rPr>
                <w:sz w:val="24"/>
                <w:szCs w:val="24"/>
                <w:color w:val="auto"/>
              </w:rPr>
            </w:pPr>
          </w:p>
        </w:tc>
        <w:tc>
          <w:tcPr>
            <w:tcW w:w="2680" w:type="dxa"/>
            <w:vAlign w:val="bottom"/>
            <w:shd w:val="clear" w:color="auto" w:fill="EAEFF9"/>
          </w:tcPr>
          <w:p>
            <w:pPr>
              <w:jc w:val="right"/>
              <w:ind w:right="553"/>
              <w:spacing w:after="0"/>
              <w:rPr>
                <w:sz w:val="20"/>
                <w:szCs w:val="20"/>
                <w:color w:val="auto"/>
              </w:rPr>
            </w:pPr>
            <w:r>
              <w:rPr>
                <w:rFonts w:ascii="Arial" w:cs="Arial" w:eastAsia="Arial" w:hAnsi="Arial"/>
                <w:sz w:val="14"/>
                <w:szCs w:val="14"/>
                <w:color w:val="auto"/>
              </w:rPr>
              <w:t>Amounts earned and</w:t>
            </w:r>
          </w:p>
        </w:tc>
        <w:tc>
          <w:tcPr>
            <w:tcW w:w="2320" w:type="dxa"/>
            <w:vAlign w:val="bottom"/>
            <w:vMerge w:val="restart"/>
            <w:shd w:val="clear" w:color="auto" w:fill="EAEFF9"/>
          </w:tcPr>
          <w:p>
            <w:pPr>
              <w:jc w:val="center"/>
              <w:ind w:left="176"/>
              <w:spacing w:after="0"/>
              <w:rPr>
                <w:sz w:val="20"/>
                <w:szCs w:val="20"/>
                <w:color w:val="auto"/>
              </w:rPr>
            </w:pPr>
            <w:r>
              <w:rPr>
                <w:rFonts w:ascii="Arial" w:cs="Arial" w:eastAsia="Arial" w:hAnsi="Arial"/>
                <w:sz w:val="14"/>
                <w:szCs w:val="14"/>
                <w:color w:val="auto"/>
              </w:rPr>
              <w:t>$ 700,000</w:t>
            </w:r>
          </w:p>
        </w:tc>
        <w:tc>
          <w:tcPr>
            <w:tcW w:w="2060" w:type="dxa"/>
            <w:vAlign w:val="bottom"/>
            <w:vMerge w:val="restart"/>
            <w:shd w:val="clear" w:color="auto" w:fill="EAEFF9"/>
          </w:tcPr>
          <w:p>
            <w:pPr>
              <w:jc w:val="center"/>
              <w:ind w:left="235"/>
              <w:spacing w:after="0"/>
              <w:rPr>
                <w:sz w:val="20"/>
                <w:szCs w:val="20"/>
                <w:color w:val="auto"/>
              </w:rPr>
            </w:pPr>
            <w:r>
              <w:rPr>
                <w:rFonts w:ascii="Arial" w:cs="Arial" w:eastAsia="Arial" w:hAnsi="Arial"/>
                <w:sz w:val="14"/>
                <w:szCs w:val="14"/>
                <w:color w:val="auto"/>
              </w:rPr>
              <w:t>$ 700,000</w:t>
            </w:r>
          </w:p>
        </w:tc>
        <w:tc>
          <w:tcPr>
            <w:tcW w:w="0" w:type="dxa"/>
            <w:vAlign w:val="bottom"/>
          </w:tcPr>
          <w:p>
            <w:pPr>
              <w:spacing w:after="0"/>
              <w:rPr>
                <w:sz w:val="1"/>
                <w:szCs w:val="1"/>
                <w:color w:val="auto"/>
              </w:rPr>
            </w:pPr>
          </w:p>
        </w:tc>
      </w:tr>
      <w:tr>
        <w:trPr>
          <w:trHeight w:val="118"/>
        </w:trPr>
        <w:tc>
          <w:tcPr>
            <w:tcW w:w="3960" w:type="dxa"/>
            <w:vAlign w:val="bottom"/>
            <w:vMerge w:val="restart"/>
            <w:shd w:val="clear" w:color="auto" w:fill="EAEFF9"/>
          </w:tcPr>
          <w:p>
            <w:pPr>
              <w:ind w:left="60"/>
              <w:spacing w:after="0"/>
              <w:rPr>
                <w:sz w:val="20"/>
                <w:szCs w:val="20"/>
                <w:color w:val="auto"/>
              </w:rPr>
            </w:pPr>
            <w:r>
              <w:rPr>
                <w:rFonts w:ascii="Arial" w:cs="Arial" w:eastAsia="Arial" w:hAnsi="Arial"/>
                <w:sz w:val="14"/>
                <w:szCs w:val="14"/>
                <w:color w:val="auto"/>
              </w:rPr>
              <w:t>Base Salary</w:t>
            </w:r>
          </w:p>
        </w:tc>
        <w:tc>
          <w:tcPr>
            <w:tcW w:w="2680" w:type="dxa"/>
            <w:vAlign w:val="bottom"/>
            <w:vMerge w:val="restart"/>
            <w:shd w:val="clear" w:color="auto" w:fill="EAEFF9"/>
          </w:tcPr>
          <w:p>
            <w:pPr>
              <w:jc w:val="right"/>
              <w:ind w:right="553"/>
              <w:spacing w:after="0"/>
              <w:rPr>
                <w:sz w:val="20"/>
                <w:szCs w:val="20"/>
                <w:color w:val="auto"/>
              </w:rPr>
            </w:pPr>
            <w:r>
              <w:rPr>
                <w:rFonts w:ascii="Arial" w:cs="Arial" w:eastAsia="Arial" w:hAnsi="Arial"/>
                <w:sz w:val="14"/>
                <w:szCs w:val="14"/>
                <w:color w:val="auto"/>
              </w:rPr>
              <w:t>unpaid through the</w:t>
            </w:r>
          </w:p>
        </w:tc>
        <w:tc>
          <w:tcPr>
            <w:tcW w:w="2320" w:type="dxa"/>
            <w:vAlign w:val="bottom"/>
            <w:vMerge w:val="continue"/>
            <w:shd w:val="clear" w:color="auto" w:fill="EAEFF9"/>
          </w:tcPr>
          <w:p>
            <w:pPr>
              <w:spacing w:after="0"/>
              <w:rPr>
                <w:sz w:val="10"/>
                <w:szCs w:val="10"/>
                <w:color w:val="auto"/>
              </w:rPr>
            </w:pPr>
          </w:p>
        </w:tc>
        <w:tc>
          <w:tcPr>
            <w:tcW w:w="2060" w:type="dxa"/>
            <w:vAlign w:val="bottom"/>
            <w:vMerge w:val="continue"/>
            <w:shd w:val="clear" w:color="auto" w:fill="EAEFF9"/>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960" w:type="dxa"/>
            <w:vAlign w:val="bottom"/>
            <w:vMerge w:val="continue"/>
            <w:shd w:val="clear" w:color="auto" w:fill="EAEFF9"/>
          </w:tcPr>
          <w:p>
            <w:pPr>
              <w:spacing w:after="0"/>
              <w:rPr>
                <w:sz w:val="3"/>
                <w:szCs w:val="3"/>
                <w:color w:val="auto"/>
              </w:rPr>
            </w:pPr>
          </w:p>
        </w:tc>
        <w:tc>
          <w:tcPr>
            <w:tcW w:w="2680" w:type="dxa"/>
            <w:vAlign w:val="bottom"/>
            <w:vMerge w:val="continue"/>
            <w:shd w:val="clear" w:color="auto" w:fill="EAEFF9"/>
          </w:tcPr>
          <w:p>
            <w:pPr>
              <w:spacing w:after="0"/>
              <w:rPr>
                <w:sz w:val="3"/>
                <w:szCs w:val="3"/>
                <w:color w:val="auto"/>
              </w:rPr>
            </w:pPr>
          </w:p>
        </w:tc>
        <w:tc>
          <w:tcPr>
            <w:tcW w:w="2320" w:type="dxa"/>
            <w:vAlign w:val="bottom"/>
            <w:shd w:val="clear" w:color="auto" w:fill="EAEFF9"/>
          </w:tcPr>
          <w:p>
            <w:pPr>
              <w:spacing w:after="0"/>
              <w:rPr>
                <w:sz w:val="3"/>
                <w:szCs w:val="3"/>
                <w:color w:val="auto"/>
              </w:rPr>
            </w:pPr>
          </w:p>
        </w:tc>
        <w:tc>
          <w:tcPr>
            <w:tcW w:w="2060" w:type="dxa"/>
            <w:vAlign w:val="bottom"/>
            <w:shd w:val="clear" w:color="auto" w:fill="EAEFF9"/>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EAEFF9"/>
          </w:tcPr>
          <w:p>
            <w:pPr>
              <w:spacing w:after="0"/>
              <w:rPr>
                <w:sz w:val="14"/>
                <w:szCs w:val="14"/>
                <w:color w:val="auto"/>
              </w:rPr>
            </w:pPr>
          </w:p>
        </w:tc>
        <w:tc>
          <w:tcPr>
            <w:tcW w:w="2680" w:type="dxa"/>
            <w:vAlign w:val="bottom"/>
            <w:shd w:val="clear" w:color="auto" w:fill="EAEFF9"/>
          </w:tcPr>
          <w:p>
            <w:pPr>
              <w:jc w:val="right"/>
              <w:ind w:right="553"/>
              <w:spacing w:after="0"/>
              <w:rPr>
                <w:sz w:val="20"/>
                <w:szCs w:val="20"/>
                <w:color w:val="auto"/>
              </w:rPr>
            </w:pPr>
            <w:r>
              <w:rPr>
                <w:rFonts w:ascii="Arial" w:cs="Arial" w:eastAsia="Arial" w:hAnsi="Arial"/>
                <w:sz w:val="14"/>
                <w:szCs w:val="14"/>
                <w:color w:val="auto"/>
              </w:rPr>
              <w:t>date of termination</w:t>
            </w:r>
          </w:p>
        </w:tc>
        <w:tc>
          <w:tcPr>
            <w:tcW w:w="2320" w:type="dxa"/>
            <w:vAlign w:val="bottom"/>
            <w:shd w:val="clear" w:color="auto" w:fill="EAEFF9"/>
          </w:tcPr>
          <w:p>
            <w:pPr>
              <w:spacing w:after="0"/>
              <w:rPr>
                <w:sz w:val="14"/>
                <w:szCs w:val="14"/>
                <w:color w:val="auto"/>
              </w:rPr>
            </w:pPr>
          </w:p>
        </w:tc>
        <w:tc>
          <w:tcPr>
            <w:tcW w:w="2060" w:type="dxa"/>
            <w:vAlign w:val="bottom"/>
            <w:shd w:val="clear" w:color="auto" w:fill="EAEFF9"/>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2E2D8"/>
          </w:tcPr>
          <w:p>
            <w:pPr>
              <w:ind w:left="60"/>
              <w:spacing w:after="0"/>
              <w:rPr>
                <w:sz w:val="20"/>
                <w:szCs w:val="20"/>
                <w:color w:val="auto"/>
              </w:rPr>
            </w:pPr>
            <w:r>
              <w:rPr>
                <w:rFonts w:ascii="Arial" w:cs="Arial" w:eastAsia="Arial" w:hAnsi="Arial"/>
                <w:sz w:val="14"/>
                <w:szCs w:val="14"/>
                <w:color w:val="auto"/>
              </w:rPr>
              <w:t>Bonus</w:t>
            </w:r>
          </w:p>
        </w:tc>
        <w:tc>
          <w:tcPr>
            <w:tcW w:w="2680" w:type="dxa"/>
            <w:vAlign w:val="bottom"/>
            <w:shd w:val="clear" w:color="auto" w:fill="E2E2D8"/>
          </w:tcPr>
          <w:p>
            <w:pPr>
              <w:jc w:val="center"/>
              <w:spacing w:after="0"/>
              <w:rPr>
                <w:sz w:val="20"/>
                <w:szCs w:val="20"/>
                <w:color w:val="auto"/>
              </w:rPr>
            </w:pPr>
            <w:r>
              <w:rPr>
                <w:rFonts w:ascii="Arial" w:cs="Arial" w:eastAsia="Arial" w:hAnsi="Arial"/>
                <w:sz w:val="14"/>
                <w:szCs w:val="14"/>
                <w:color w:val="auto"/>
                <w:w w:val="96"/>
              </w:rPr>
              <w:t>$-</w:t>
            </w:r>
          </w:p>
        </w:tc>
        <w:tc>
          <w:tcPr>
            <w:tcW w:w="2320" w:type="dxa"/>
            <w:vAlign w:val="bottom"/>
            <w:shd w:val="clear" w:color="auto" w:fill="E2E2D8"/>
          </w:tcPr>
          <w:p>
            <w:pPr>
              <w:jc w:val="center"/>
              <w:ind w:left="176"/>
              <w:spacing w:after="0"/>
              <w:rPr>
                <w:sz w:val="20"/>
                <w:szCs w:val="20"/>
                <w:color w:val="auto"/>
              </w:rPr>
            </w:pPr>
            <w:r>
              <w:rPr>
                <w:rFonts w:ascii="Arial" w:cs="Arial" w:eastAsia="Arial" w:hAnsi="Arial"/>
                <w:sz w:val="14"/>
                <w:szCs w:val="14"/>
                <w:color w:val="auto"/>
              </w:rPr>
              <w:t>$1,400,000</w:t>
            </w:r>
          </w:p>
        </w:tc>
        <w:tc>
          <w:tcPr>
            <w:tcW w:w="2060" w:type="dxa"/>
            <w:vAlign w:val="bottom"/>
            <w:shd w:val="clear" w:color="auto" w:fill="E2E2D8"/>
          </w:tcPr>
          <w:p>
            <w:pPr>
              <w:jc w:val="center"/>
              <w:ind w:left="235"/>
              <w:spacing w:after="0"/>
              <w:rPr>
                <w:sz w:val="20"/>
                <w:szCs w:val="20"/>
                <w:color w:val="auto"/>
              </w:rPr>
            </w:pPr>
            <w:r>
              <w:rPr>
                <w:rFonts w:ascii="Arial" w:cs="Arial" w:eastAsia="Arial" w:hAnsi="Arial"/>
                <w:sz w:val="14"/>
                <w:szCs w:val="14"/>
                <w:color w:val="auto"/>
              </w:rPr>
              <w:t>$1,400,000</w:t>
            </w:r>
          </w:p>
        </w:tc>
        <w:tc>
          <w:tcPr>
            <w:tcW w:w="0" w:type="dxa"/>
            <w:vAlign w:val="bottom"/>
          </w:tcPr>
          <w:p>
            <w:pPr>
              <w:spacing w:after="0"/>
              <w:rPr>
                <w:sz w:val="1"/>
                <w:szCs w:val="1"/>
                <w:color w:val="auto"/>
              </w:rPr>
            </w:pPr>
          </w:p>
        </w:tc>
      </w:tr>
      <w:tr>
        <w:trPr>
          <w:trHeight w:val="107"/>
        </w:trPr>
        <w:tc>
          <w:tcPr>
            <w:tcW w:w="3960" w:type="dxa"/>
            <w:vAlign w:val="bottom"/>
            <w:shd w:val="clear" w:color="auto" w:fill="E2E2D8"/>
          </w:tcPr>
          <w:p>
            <w:pPr>
              <w:spacing w:after="0"/>
              <w:rPr>
                <w:sz w:val="9"/>
                <w:szCs w:val="9"/>
                <w:color w:val="auto"/>
              </w:rPr>
            </w:pPr>
          </w:p>
        </w:tc>
        <w:tc>
          <w:tcPr>
            <w:tcW w:w="2680" w:type="dxa"/>
            <w:vAlign w:val="bottom"/>
            <w:shd w:val="clear" w:color="auto" w:fill="E2E2D8"/>
          </w:tcPr>
          <w:p>
            <w:pPr>
              <w:spacing w:after="0"/>
              <w:rPr>
                <w:sz w:val="9"/>
                <w:szCs w:val="9"/>
                <w:color w:val="auto"/>
              </w:rPr>
            </w:pPr>
          </w:p>
        </w:tc>
        <w:tc>
          <w:tcPr>
            <w:tcW w:w="2320" w:type="dxa"/>
            <w:vAlign w:val="bottom"/>
            <w:shd w:val="clear" w:color="auto" w:fill="E2E2D8"/>
          </w:tcPr>
          <w:p>
            <w:pPr>
              <w:spacing w:after="0"/>
              <w:rPr>
                <w:sz w:val="9"/>
                <w:szCs w:val="9"/>
                <w:color w:val="auto"/>
              </w:rPr>
            </w:pPr>
          </w:p>
        </w:tc>
        <w:tc>
          <w:tcPr>
            <w:tcW w:w="2060" w:type="dxa"/>
            <w:vAlign w:val="bottom"/>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AEFF9"/>
          </w:tcPr>
          <w:p>
            <w:pPr>
              <w:ind w:left="60"/>
              <w:spacing w:after="0"/>
              <w:rPr>
                <w:sz w:val="20"/>
                <w:szCs w:val="20"/>
                <w:color w:val="auto"/>
              </w:rPr>
            </w:pPr>
            <w:r>
              <w:rPr>
                <w:rFonts w:ascii="Arial" w:cs="Arial" w:eastAsia="Arial" w:hAnsi="Arial"/>
                <w:sz w:val="14"/>
                <w:szCs w:val="14"/>
                <w:color w:val="auto"/>
              </w:rPr>
              <w:t>Restricted Stock (1)(2)</w:t>
            </w:r>
          </w:p>
        </w:tc>
        <w:tc>
          <w:tcPr>
            <w:tcW w:w="2680" w:type="dxa"/>
            <w:vAlign w:val="bottom"/>
            <w:shd w:val="clear" w:color="auto" w:fill="EAEFF9"/>
          </w:tcPr>
          <w:p>
            <w:pPr>
              <w:jc w:val="center"/>
              <w:spacing w:after="0"/>
              <w:rPr>
                <w:sz w:val="20"/>
                <w:szCs w:val="20"/>
                <w:color w:val="auto"/>
              </w:rPr>
            </w:pPr>
            <w:r>
              <w:rPr>
                <w:rFonts w:ascii="Arial" w:cs="Arial" w:eastAsia="Arial" w:hAnsi="Arial"/>
                <w:sz w:val="14"/>
                <w:szCs w:val="14"/>
                <w:color w:val="auto"/>
              </w:rPr>
              <w:t>$2,653,085</w:t>
            </w:r>
          </w:p>
        </w:tc>
        <w:tc>
          <w:tcPr>
            <w:tcW w:w="2320" w:type="dxa"/>
            <w:vAlign w:val="bottom"/>
            <w:shd w:val="clear" w:color="auto" w:fill="EAEFF9"/>
          </w:tcPr>
          <w:p>
            <w:pPr>
              <w:jc w:val="center"/>
              <w:ind w:left="176"/>
              <w:spacing w:after="0"/>
              <w:rPr>
                <w:sz w:val="20"/>
                <w:szCs w:val="20"/>
                <w:color w:val="auto"/>
              </w:rPr>
            </w:pPr>
            <w:r>
              <w:rPr>
                <w:rFonts w:ascii="Arial" w:cs="Arial" w:eastAsia="Arial" w:hAnsi="Arial"/>
                <w:sz w:val="14"/>
                <w:szCs w:val="14"/>
                <w:color w:val="auto"/>
              </w:rPr>
              <w:t>$1,405,342</w:t>
            </w:r>
          </w:p>
        </w:tc>
        <w:tc>
          <w:tcPr>
            <w:tcW w:w="2060" w:type="dxa"/>
            <w:vAlign w:val="bottom"/>
            <w:shd w:val="clear" w:color="auto" w:fill="EAEFF9"/>
          </w:tcPr>
          <w:p>
            <w:pPr>
              <w:jc w:val="center"/>
              <w:ind w:left="235"/>
              <w:spacing w:after="0"/>
              <w:rPr>
                <w:sz w:val="20"/>
                <w:szCs w:val="20"/>
                <w:color w:val="auto"/>
              </w:rPr>
            </w:pPr>
            <w:r>
              <w:rPr>
                <w:rFonts w:ascii="Arial" w:cs="Arial" w:eastAsia="Arial" w:hAnsi="Arial"/>
                <w:sz w:val="14"/>
                <w:szCs w:val="14"/>
                <w:color w:val="auto"/>
              </w:rPr>
              <w:t>$2,653,085</w:t>
            </w: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2E2D8"/>
          </w:tcPr>
          <w:p>
            <w:pPr>
              <w:ind w:left="60"/>
              <w:spacing w:after="0"/>
              <w:rPr>
                <w:sz w:val="20"/>
                <w:szCs w:val="20"/>
                <w:color w:val="auto"/>
              </w:rPr>
            </w:pPr>
            <w:r>
              <w:rPr>
                <w:rFonts w:ascii="Arial" w:cs="Arial" w:eastAsia="Arial" w:hAnsi="Arial"/>
                <w:sz w:val="14"/>
                <w:szCs w:val="14"/>
                <w:color w:val="auto"/>
              </w:rPr>
              <w:t>Company Paid Life Insurance</w:t>
            </w:r>
          </w:p>
        </w:tc>
        <w:tc>
          <w:tcPr>
            <w:tcW w:w="2680" w:type="dxa"/>
            <w:vAlign w:val="bottom"/>
            <w:shd w:val="clear" w:color="auto" w:fill="E2E2D8"/>
          </w:tcPr>
          <w:p>
            <w:pPr>
              <w:jc w:val="center"/>
              <w:spacing w:after="0"/>
              <w:rPr>
                <w:sz w:val="20"/>
                <w:szCs w:val="20"/>
                <w:color w:val="auto"/>
              </w:rPr>
            </w:pPr>
            <w:r>
              <w:rPr>
                <w:rFonts w:ascii="Arial" w:cs="Arial" w:eastAsia="Arial" w:hAnsi="Arial"/>
                <w:sz w:val="14"/>
                <w:szCs w:val="14"/>
                <w:color w:val="auto"/>
              </w:rPr>
              <w:t>$700,000</w:t>
            </w:r>
          </w:p>
        </w:tc>
        <w:tc>
          <w:tcPr>
            <w:tcW w:w="2320" w:type="dxa"/>
            <w:vAlign w:val="bottom"/>
            <w:shd w:val="clear" w:color="auto" w:fill="E2E2D8"/>
          </w:tcPr>
          <w:p>
            <w:pPr>
              <w:jc w:val="center"/>
              <w:ind w:left="156"/>
              <w:spacing w:after="0"/>
              <w:rPr>
                <w:sz w:val="20"/>
                <w:szCs w:val="20"/>
                <w:color w:val="auto"/>
              </w:rPr>
            </w:pPr>
            <w:r>
              <w:rPr>
                <w:rFonts w:ascii="Arial" w:cs="Arial" w:eastAsia="Arial" w:hAnsi="Arial"/>
                <w:sz w:val="14"/>
                <w:szCs w:val="14"/>
                <w:color w:val="auto"/>
              </w:rPr>
              <w:t>$-</w:t>
            </w:r>
          </w:p>
        </w:tc>
        <w:tc>
          <w:tcPr>
            <w:tcW w:w="2060" w:type="dxa"/>
            <w:vAlign w:val="bottom"/>
            <w:shd w:val="clear" w:color="auto" w:fill="E2E2D8"/>
          </w:tcPr>
          <w:p>
            <w:pPr>
              <w:jc w:val="center"/>
              <w:ind w:left="235"/>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7"/>
        </w:trPr>
        <w:tc>
          <w:tcPr>
            <w:tcW w:w="3960" w:type="dxa"/>
            <w:vAlign w:val="bottom"/>
            <w:shd w:val="clear" w:color="auto" w:fill="E2E2D8"/>
          </w:tcPr>
          <w:p>
            <w:pPr>
              <w:spacing w:after="0"/>
              <w:rPr>
                <w:sz w:val="9"/>
                <w:szCs w:val="9"/>
                <w:color w:val="auto"/>
              </w:rPr>
            </w:pPr>
          </w:p>
        </w:tc>
        <w:tc>
          <w:tcPr>
            <w:tcW w:w="2680" w:type="dxa"/>
            <w:vAlign w:val="bottom"/>
            <w:shd w:val="clear" w:color="auto" w:fill="E2E2D8"/>
          </w:tcPr>
          <w:p>
            <w:pPr>
              <w:spacing w:after="0"/>
              <w:rPr>
                <w:sz w:val="9"/>
                <w:szCs w:val="9"/>
                <w:color w:val="auto"/>
              </w:rPr>
            </w:pPr>
          </w:p>
        </w:tc>
        <w:tc>
          <w:tcPr>
            <w:tcW w:w="2320" w:type="dxa"/>
            <w:vAlign w:val="bottom"/>
            <w:shd w:val="clear" w:color="auto" w:fill="E2E2D8"/>
          </w:tcPr>
          <w:p>
            <w:pPr>
              <w:spacing w:after="0"/>
              <w:rPr>
                <w:sz w:val="9"/>
                <w:szCs w:val="9"/>
                <w:color w:val="auto"/>
              </w:rPr>
            </w:pPr>
          </w:p>
        </w:tc>
        <w:tc>
          <w:tcPr>
            <w:tcW w:w="2060" w:type="dxa"/>
            <w:vAlign w:val="bottom"/>
            <w:shd w:val="clear" w:color="auto" w:fill="E2E2D8"/>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3960" w:type="dxa"/>
            <w:vAlign w:val="bottom"/>
            <w:shd w:val="clear" w:color="auto" w:fill="EAEFF9"/>
          </w:tcPr>
          <w:p>
            <w:pPr>
              <w:ind w:left="60"/>
              <w:spacing w:after="0"/>
              <w:rPr>
                <w:sz w:val="20"/>
                <w:szCs w:val="20"/>
                <w:color w:val="auto"/>
              </w:rPr>
            </w:pPr>
            <w:r>
              <w:rPr>
                <w:rFonts w:ascii="Arial" w:cs="Arial" w:eastAsia="Arial" w:hAnsi="Arial"/>
                <w:sz w:val="14"/>
                <w:szCs w:val="14"/>
                <w:color w:val="auto"/>
              </w:rPr>
              <w:t>Benefits (3)</w:t>
            </w:r>
          </w:p>
        </w:tc>
        <w:tc>
          <w:tcPr>
            <w:tcW w:w="2680" w:type="dxa"/>
            <w:vAlign w:val="bottom"/>
            <w:shd w:val="clear" w:color="auto" w:fill="EAEFF9"/>
          </w:tcPr>
          <w:p>
            <w:pPr>
              <w:jc w:val="center"/>
              <w:spacing w:after="0"/>
              <w:rPr>
                <w:sz w:val="20"/>
                <w:szCs w:val="20"/>
                <w:color w:val="auto"/>
              </w:rPr>
            </w:pPr>
            <w:r>
              <w:rPr>
                <w:rFonts w:ascii="Arial" w:cs="Arial" w:eastAsia="Arial" w:hAnsi="Arial"/>
                <w:sz w:val="14"/>
                <w:szCs w:val="14"/>
                <w:color w:val="auto"/>
                <w:w w:val="96"/>
              </w:rPr>
              <w:t>$-</w:t>
            </w:r>
          </w:p>
        </w:tc>
        <w:tc>
          <w:tcPr>
            <w:tcW w:w="2320" w:type="dxa"/>
            <w:vAlign w:val="bottom"/>
            <w:shd w:val="clear" w:color="auto" w:fill="EAEFF9"/>
          </w:tcPr>
          <w:p>
            <w:pPr>
              <w:jc w:val="center"/>
              <w:ind w:left="176"/>
              <w:spacing w:after="0"/>
              <w:rPr>
                <w:sz w:val="20"/>
                <w:szCs w:val="20"/>
                <w:color w:val="auto"/>
              </w:rPr>
            </w:pPr>
            <w:r>
              <w:rPr>
                <w:rFonts w:ascii="Arial" w:cs="Arial" w:eastAsia="Arial" w:hAnsi="Arial"/>
                <w:sz w:val="14"/>
                <w:szCs w:val="14"/>
                <w:color w:val="auto"/>
              </w:rPr>
              <w:t>$11,113</w:t>
            </w:r>
          </w:p>
        </w:tc>
        <w:tc>
          <w:tcPr>
            <w:tcW w:w="2060" w:type="dxa"/>
            <w:vAlign w:val="bottom"/>
            <w:shd w:val="clear" w:color="auto" w:fill="EAEFF9"/>
          </w:tcPr>
          <w:p>
            <w:pPr>
              <w:jc w:val="center"/>
              <w:ind w:left="235"/>
              <w:spacing w:after="0"/>
              <w:rPr>
                <w:sz w:val="20"/>
                <w:szCs w:val="20"/>
                <w:color w:val="auto"/>
              </w:rPr>
            </w:pPr>
            <w:r>
              <w:rPr>
                <w:rFonts w:ascii="Arial" w:cs="Arial" w:eastAsia="Arial" w:hAnsi="Arial"/>
                <w:sz w:val="14"/>
                <w:szCs w:val="14"/>
                <w:color w:val="auto"/>
              </w:rPr>
              <w:t>$11,113</w:t>
            </w:r>
          </w:p>
        </w:tc>
        <w:tc>
          <w:tcPr>
            <w:tcW w:w="0" w:type="dxa"/>
            <w:vAlign w:val="bottom"/>
          </w:tcPr>
          <w:p>
            <w:pPr>
              <w:spacing w:after="0"/>
              <w:rPr>
                <w:sz w:val="1"/>
                <w:szCs w:val="1"/>
                <w:color w:val="auto"/>
              </w:rPr>
            </w:pPr>
          </w:p>
        </w:tc>
      </w:tr>
      <w:tr>
        <w:trPr>
          <w:trHeight w:val="107"/>
        </w:trPr>
        <w:tc>
          <w:tcPr>
            <w:tcW w:w="3960" w:type="dxa"/>
            <w:vAlign w:val="bottom"/>
            <w:shd w:val="clear" w:color="auto" w:fill="EAEFF9"/>
          </w:tcPr>
          <w:p>
            <w:pPr>
              <w:spacing w:after="0"/>
              <w:rPr>
                <w:sz w:val="9"/>
                <w:szCs w:val="9"/>
                <w:color w:val="auto"/>
              </w:rPr>
            </w:pPr>
          </w:p>
        </w:tc>
        <w:tc>
          <w:tcPr>
            <w:tcW w:w="2680" w:type="dxa"/>
            <w:vAlign w:val="bottom"/>
            <w:shd w:val="clear" w:color="auto" w:fill="EAEFF9"/>
          </w:tcPr>
          <w:p>
            <w:pPr>
              <w:spacing w:after="0"/>
              <w:rPr>
                <w:sz w:val="9"/>
                <w:szCs w:val="9"/>
                <w:color w:val="auto"/>
              </w:rPr>
            </w:pPr>
          </w:p>
        </w:tc>
        <w:tc>
          <w:tcPr>
            <w:tcW w:w="2320" w:type="dxa"/>
            <w:vAlign w:val="bottom"/>
            <w:shd w:val="clear" w:color="auto" w:fill="EAEFF9"/>
          </w:tcPr>
          <w:p>
            <w:pPr>
              <w:spacing w:after="0"/>
              <w:rPr>
                <w:sz w:val="9"/>
                <w:szCs w:val="9"/>
                <w:color w:val="auto"/>
              </w:rPr>
            </w:pPr>
          </w:p>
        </w:tc>
        <w:tc>
          <w:tcPr>
            <w:tcW w:w="2060" w:type="dxa"/>
            <w:vAlign w:val="bottom"/>
            <w:shd w:val="clear" w:color="auto" w:fill="EAEFF9"/>
          </w:tcPr>
          <w:p>
            <w:pPr>
              <w:spacing w:after="0"/>
              <w:rPr>
                <w:sz w:val="9"/>
                <w:szCs w:val="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20" w:right="220" w:hanging="4"/>
        <w:spacing w:after="0" w:line="223" w:lineRule="auto"/>
        <w:tabs>
          <w:tab w:leader="none" w:pos="309" w:val="left"/>
        </w:tabs>
        <w:numPr>
          <w:ilvl w:val="0"/>
          <w:numId w:val="56"/>
        </w:numPr>
        <w:rPr>
          <w:rFonts w:ascii="Arial" w:cs="Arial" w:eastAsia="Arial" w:hAnsi="Arial"/>
          <w:sz w:val="13"/>
          <w:szCs w:val="13"/>
          <w:color w:val="auto"/>
        </w:rPr>
      </w:pPr>
      <w:r>
        <w:rPr>
          <w:rFonts w:ascii="Arial" w:cs="Arial" w:eastAsia="Arial" w:hAnsi="Arial"/>
          <w:sz w:val="13"/>
          <w:szCs w:val="13"/>
          <w:color w:val="auto"/>
        </w:rPr>
        <w:t>Upon death, complete disability or a termination by employee for good reason after a change in control, 25,849 shares of restricted stock would vest in full immediately. Using the closing stock price on December 31, 2021, the value of such 25,849 shares would have been $2,198,199 plus accrued dividends of $51,826. Upon death, complete disability or a termination by employee for good reason after a change in control, 346 shares of vested and 1,036 shares of unvested Wynn Interactive options are exercisable and in the money. The value of such 1,382 shares would have been $403,060.</w:t>
      </w:r>
    </w:p>
    <w:p>
      <w:pPr>
        <w:spacing w:after="0" w:line="92" w:lineRule="exact"/>
        <w:rPr>
          <w:rFonts w:ascii="Arial" w:cs="Arial" w:eastAsia="Arial" w:hAnsi="Arial"/>
          <w:sz w:val="13"/>
          <w:szCs w:val="13"/>
          <w:color w:val="auto"/>
        </w:rPr>
      </w:pPr>
    </w:p>
    <w:p>
      <w:pPr>
        <w:ind w:left="120" w:right="120" w:hanging="4"/>
        <w:spacing w:after="0" w:line="225" w:lineRule="auto"/>
        <w:tabs>
          <w:tab w:leader="none" w:pos="309" w:val="left"/>
        </w:tabs>
        <w:numPr>
          <w:ilvl w:val="0"/>
          <w:numId w:val="56"/>
        </w:numPr>
        <w:rPr>
          <w:rFonts w:ascii="Arial" w:cs="Arial" w:eastAsia="Arial" w:hAnsi="Arial"/>
          <w:sz w:val="13"/>
          <w:szCs w:val="13"/>
          <w:color w:val="auto"/>
        </w:rPr>
      </w:pPr>
      <w:r>
        <w:rPr>
          <w:rFonts w:ascii="Arial" w:cs="Arial" w:eastAsia="Arial" w:hAnsi="Arial"/>
          <w:sz w:val="13"/>
          <w:szCs w:val="13"/>
          <w:color w:val="auto"/>
        </w:rPr>
        <w:t>Upon termination without cause or upon the Company’s material breach, 14,858 shares of restricted stock would vest on a prorated basis based on the number of months since the grant date. Using the closing stock price on December 31, 2021, the value of such 14,858 shares would have been $1,263,524, plus accrued dividends of $40,907. Upon termination without cause or upon the Company’s material breach, 346 shares of Wynn Interactive options are exercisable and in the money. The value of such 346 shares would have been $100,911.</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Continued health benefits for remainder of the term or until covered by another plan.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MADDOX TRANSITION AGREEMENT</w:t>
      </w:r>
    </w:p>
    <w:p>
      <w:pPr>
        <w:spacing w:after="0" w:line="202" w:lineRule="exact"/>
        <w:rPr>
          <w:sz w:val="20"/>
          <w:szCs w:val="20"/>
          <w:color w:val="auto"/>
        </w:rPr>
      </w:pPr>
    </w:p>
    <w:p>
      <w:pPr>
        <w:ind w:left="120" w:right="400"/>
        <w:spacing w:after="0" w:line="234" w:lineRule="auto"/>
        <w:rPr>
          <w:sz w:val="20"/>
          <w:szCs w:val="20"/>
          <w:color w:val="auto"/>
        </w:rPr>
      </w:pPr>
      <w:r>
        <w:rPr>
          <w:rFonts w:ascii="Arial" w:cs="Arial" w:eastAsia="Arial" w:hAnsi="Arial"/>
          <w:sz w:val="18"/>
          <w:szCs w:val="18"/>
          <w:color w:val="auto"/>
        </w:rPr>
        <w:t>On November 9, 2021, the Company entered into an agreement with Mr. Maddox (the “Maddox Agreement”) to finalize the term of his transition and departure. In consideration of the terms set forth in the Maddox Agreement, consistent with the separation terms in</w:t>
      </w:r>
    </w:p>
    <w:p>
      <w:pPr>
        <w:spacing w:after="0" w:line="1" w:lineRule="exact"/>
        <w:rPr>
          <w:sz w:val="20"/>
          <w:szCs w:val="20"/>
          <w:color w:val="auto"/>
        </w:rPr>
      </w:pPr>
    </w:p>
    <w:p>
      <w:pPr>
        <w:jc w:val="both"/>
        <w:ind w:left="120" w:right="80"/>
        <w:spacing w:after="0" w:line="248" w:lineRule="auto"/>
        <w:rPr>
          <w:sz w:val="20"/>
          <w:szCs w:val="20"/>
          <w:color w:val="auto"/>
        </w:rPr>
      </w:pPr>
      <w:r>
        <w:rPr>
          <w:rFonts w:ascii="Arial" w:cs="Arial" w:eastAsia="Arial" w:hAnsi="Arial"/>
          <w:sz w:val="17"/>
          <w:szCs w:val="17"/>
          <w:color w:val="auto"/>
        </w:rPr>
        <w:t>Mr. Maddox’s existing employment agreement, the Maddox Agreement provided to Mr. Maddox the following: (1) a cash payment equal to $3.0 million, which is equivalent to eighteen months’ salary; (2) continued participation in the Company’s senior executive health program through December 31, 2022; (3) a cash payment equal to $4.6 million, representing 11/12ths of Mr. Maddox’s annual bonus for 2021, and</w:t>
      </w:r>
    </w:p>
    <w:p>
      <w:pPr>
        <w:spacing w:after="0" w:line="2" w:lineRule="exact"/>
        <w:rPr>
          <w:sz w:val="20"/>
          <w:szCs w:val="20"/>
          <w:color w:val="auto"/>
        </w:rPr>
      </w:pPr>
    </w:p>
    <w:p>
      <w:pPr>
        <w:ind w:left="120" w:right="620" w:hanging="4"/>
        <w:spacing w:after="0" w:line="248" w:lineRule="auto"/>
        <w:tabs>
          <w:tab w:leader="none" w:pos="390" w:val="left"/>
        </w:tabs>
        <w:numPr>
          <w:ilvl w:val="0"/>
          <w:numId w:val="57"/>
        </w:numPr>
        <w:rPr>
          <w:rFonts w:ascii="Arial" w:cs="Arial" w:eastAsia="Arial" w:hAnsi="Arial"/>
          <w:sz w:val="17"/>
          <w:szCs w:val="17"/>
          <w:color w:val="auto"/>
        </w:rPr>
      </w:pPr>
      <w:r>
        <w:rPr>
          <w:rFonts w:ascii="Arial" w:cs="Arial" w:eastAsia="Arial" w:hAnsi="Arial"/>
          <w:sz w:val="17"/>
          <w:szCs w:val="17"/>
          <w:color w:val="auto"/>
        </w:rPr>
        <w:t>health care benefits coverage for Mr. Maddox and his dependents which shall be paid for by the Company until the expiration of Mr. Maddox’s continuation coverage under the Consolidated Omnibus Budget Reconciliation Act of 1985. In addition, pursuant to</w:t>
      </w:r>
    </w:p>
    <w:p>
      <w:pPr>
        <w:spacing w:after="0" w:line="1" w:lineRule="exact"/>
        <w:rPr>
          <w:rFonts w:ascii="Arial" w:cs="Arial" w:eastAsia="Arial" w:hAnsi="Arial"/>
          <w:sz w:val="17"/>
          <w:szCs w:val="17"/>
          <w:color w:val="auto"/>
        </w:rPr>
      </w:pPr>
    </w:p>
    <w:p>
      <w:pPr>
        <w:ind w:left="120" w:right="20"/>
        <w:spacing w:after="0" w:line="237" w:lineRule="auto"/>
        <w:rPr>
          <w:rFonts w:ascii="Arial" w:cs="Arial" w:eastAsia="Arial" w:hAnsi="Arial"/>
          <w:sz w:val="17"/>
          <w:szCs w:val="17"/>
          <w:color w:val="auto"/>
        </w:rPr>
      </w:pPr>
      <w:r>
        <w:rPr>
          <w:rFonts w:ascii="Arial" w:cs="Arial" w:eastAsia="Arial" w:hAnsi="Arial"/>
          <w:sz w:val="18"/>
          <w:szCs w:val="18"/>
          <w:color w:val="auto"/>
        </w:rPr>
        <w:t>Mr. Maddox’s existing restricted stock agreements, 82,238 unvested shares granted to Mr. Maddox vested on January 31, 2022 (with a fair value of $7.0 million on the date of vesting), representing a pro rata share of restricted stock previously granted to Mr. Maddox. Pursuant to the Maddox Agreement, Mr. Maddox will continue to serve on the boards of Wynn Interactive Ltd. and Wynn Macau, Limited, each subsidiaries of the Company, until December 31, 2022, and will remain available to the CEO of the Company for the remainder of 2022 on an as needed basis. Under the Maddox Agreement, Mr. Maddox has granted a waiver and release of claims to the Company and has agreed to certain non-competition, non-solicitation and confidentiality provisions.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BILLINGS EMPLOYMENT AGREEMENT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9, 2021, the Company entered into an agreement with Mr. Billings (the “Billings Agreement”).</w:t>
      </w:r>
    </w:p>
    <w:p>
      <w:pPr>
        <w:spacing w:after="0" w:line="171"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Pursuant to the Billings Agreement, upon transition to the role of CEO effective February 1, 2022, Mr. Billings will receive: (1) a base salary of $1,800,000, (2) an annual target bonus under the Company’s incentive plan of not less than 200% of the base salary, (3) an annual target equity grant of restricted stock equal to 375% of Mr. Billings’ base salary ($6.8 million in 2022), and (4) an initial grant of restricted stock equal to $5.0 million, vesting ratably over three years on each anniversary of the service commencement date as CEO. Equity awards granted to Mr. Billings previously under his existing agreement with the Company pursuant to the 2014 Omnibus Incentive Plan remain unchanged. The Billings Agreement provides the same severance benefits that were provided under Mr. Billings’ prior employment agreement, except that the portion attributable to base salary severance payments will be an amount equal to Mr. Billings’ base salary for the remainder of the term of the Billings Agreement, but not less than 18 months. The Billings Agreement also contains certain non-competition, non-solicitation and confidentiality provisions and has a term that ends on February 15, 2025.</w:t>
      </w:r>
    </w:p>
    <w:p>
      <w:pPr>
        <w:spacing w:after="0" w:line="5"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54 //</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Certain relationships and transactions</w:t>
      </w:r>
    </w:p>
    <w:p>
      <w:pPr>
        <w:spacing w:after="0" w:line="211"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color w:val="auto"/>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w:t>
      </w:r>
    </w:p>
    <w:p>
      <w:pPr>
        <w:spacing w:after="0" w:line="2" w:lineRule="exact"/>
        <w:rPr>
          <w:sz w:val="20"/>
          <w:szCs w:val="20"/>
          <w:color w:val="auto"/>
        </w:rPr>
      </w:pPr>
    </w:p>
    <w:p>
      <w:pPr>
        <w:ind w:left="120" w:right="160" w:hanging="4"/>
        <w:spacing w:after="0" w:line="236" w:lineRule="auto"/>
        <w:tabs>
          <w:tab w:leader="none" w:pos="3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4"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The following are the material transactions or agreements that occurred or were in effect at any time after January 1, 2021, between the Company and related persons. The Audit Committee has approved or ratified all of these transactions that occurred after the date of the adoption of the policy.</w:t>
      </w:r>
    </w:p>
    <w:p>
      <w:pPr>
        <w:spacing w:after="0" w:line="16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051466"/>
        </w:rPr>
        <w:t xml:space="preserve">COOPERATION AGREEMENT. </w:t>
      </w:r>
      <w:r>
        <w:rPr>
          <w:rFonts w:ascii="Arial" w:cs="Arial" w:eastAsia="Arial" w:hAnsi="Arial"/>
          <w:sz w:val="18"/>
          <w:szCs w:val="18"/>
          <w:color w:val="000000"/>
        </w:rPr>
        <w:t>On August 3, 2018, the Company entered into a Cooperation Agreement (the “Cooperation Agreement”)</w:t>
      </w:r>
      <w:r>
        <w:rPr>
          <w:rFonts w:ascii="Arial" w:cs="Arial" w:eastAsia="Arial" w:hAnsi="Arial"/>
          <w:sz w:val="18"/>
          <w:szCs w:val="18"/>
          <w:color w:val="051466"/>
        </w:rPr>
        <w:t xml:space="preserve"> </w:t>
      </w:r>
      <w:r>
        <w:rPr>
          <w:rFonts w:ascii="Arial" w:cs="Arial" w:eastAsia="Arial" w:hAnsi="Arial"/>
          <w:sz w:val="18"/>
          <w:szCs w:val="18"/>
          <w:color w:val="000000"/>
        </w:rPr>
        <w:t>with Elaine P. Wynn (“Ms. Wynn”) regarding the composition of the Company’s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date that Phil Satre no longer serves as Chair of the Board, unless earlier terminated pursuant to the circumstances described in the Cooperation Agreement.</w:t>
      </w:r>
    </w:p>
    <w:p>
      <w:pPr>
        <w:spacing w:after="0" w:line="17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051466"/>
        </w:rPr>
        <w:t xml:space="preserve">REIMBURSABLE COSTS. </w:t>
      </w:r>
      <w:r>
        <w:rPr>
          <w:rFonts w:ascii="Arial" w:cs="Arial" w:eastAsia="Arial" w:hAnsi="Arial"/>
          <w:sz w:val="18"/>
          <w:szCs w:val="18"/>
          <w:color w:val="000000"/>
        </w:rPr>
        <w:t>The Company periodically provides services to certain executive officers, directors, or former directors of the</w:t>
      </w:r>
      <w:r>
        <w:rPr>
          <w:rFonts w:ascii="Arial" w:cs="Arial" w:eastAsia="Arial" w:hAnsi="Arial"/>
          <w:sz w:val="18"/>
          <w:szCs w:val="18"/>
          <w:color w:val="051466"/>
        </w:rPr>
        <w:t xml:space="preserve"> </w:t>
      </w:r>
      <w:r>
        <w:rPr>
          <w:rFonts w:ascii="Arial" w:cs="Arial" w:eastAsia="Arial" w:hAnsi="Arial"/>
          <w:sz w:val="18"/>
          <w:szCs w:val="18"/>
          <w:color w:val="000000"/>
        </w:rPr>
        <w:t>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2021, these net deposit balances with the Company were immaterial, as were the services provided.</w:t>
      </w:r>
    </w:p>
    <w:p>
      <w:pPr>
        <w:spacing w:after="0" w:line="162" w:lineRule="exact"/>
        <w:rPr>
          <w:sz w:val="20"/>
          <w:szCs w:val="20"/>
          <w:color w:val="auto"/>
        </w:rPr>
      </w:pPr>
    </w:p>
    <w:p>
      <w:pPr>
        <w:ind w:left="120" w:right="120"/>
        <w:spacing w:after="0" w:line="234" w:lineRule="auto"/>
        <w:rPr>
          <w:sz w:val="20"/>
          <w:szCs w:val="20"/>
          <w:color w:val="auto"/>
        </w:rPr>
      </w:pPr>
      <w:r>
        <w:rPr>
          <w:rFonts w:ascii="Arial" w:cs="Arial" w:eastAsia="Arial" w:hAnsi="Arial"/>
          <w:sz w:val="18"/>
          <w:szCs w:val="18"/>
          <w:color w:val="051466"/>
        </w:rPr>
        <w:t xml:space="preserve">AIRCRAFT ARRANGEMENTS. </w:t>
      </w:r>
      <w:r>
        <w:rPr>
          <w:rFonts w:ascii="Arial" w:cs="Arial" w:eastAsia="Arial" w:hAnsi="Arial"/>
          <w:sz w:val="18"/>
          <w:szCs w:val="18"/>
          <w:color w:val="000000"/>
        </w:rPr>
        <w:t>Named Executive Officers, among other executives, may periodically use the Company’s aircraft for</w:t>
      </w:r>
      <w:r>
        <w:rPr>
          <w:rFonts w:ascii="Arial" w:cs="Arial" w:eastAsia="Arial" w:hAnsi="Arial"/>
          <w:sz w:val="18"/>
          <w:szCs w:val="18"/>
          <w:color w:val="051466"/>
        </w:rPr>
        <w:t xml:space="preserve"> </w:t>
      </w:r>
      <w:r>
        <w:rPr>
          <w:rFonts w:ascii="Arial" w:cs="Arial" w:eastAsia="Arial" w:hAnsi="Arial"/>
          <w:sz w:val="18"/>
          <w:szCs w:val="18"/>
          <w:color w:val="000000"/>
        </w:rPr>
        <w:t>business or personal travel. Should an executive use the Company’s aircraft for personal reasons, they are required to enter into a time-sharing arrangement with the Company, whereby the executive would reimburse the Company for the direct, incremental cost associated with the flight. Additionally, the Company is required to include as taxable compensation of an executive, the direct costs that the Company incurs in operating the aircraft where personal passengers accompany the executive on business flights, up to an amount determined by using the Internal Revenue Service Standard Industry Fare Level (SIFL) tables. During 2021, $10,382 was included in</w:t>
      </w:r>
    </w:p>
    <w:p>
      <w:pPr>
        <w:spacing w:after="0" w:line="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Mr. Maddox’s taxable compensation for business flights with personal accompaniment, and Mr. Maddox reimbursed the Company $42,659 through his deposit account described above for personal use of the aircraft. The Company does not provide tax gross ups related to the value of aircraft usage that is imputed into compensation. Neither Mr. Billings nor Ms. Whittemore used the Company’s aircraft for personal travel during 2021.</w:t>
      </w:r>
    </w:p>
    <w:p>
      <w:pPr>
        <w:spacing w:after="0" w:line="16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051466"/>
        </w:rPr>
        <w:t xml:space="preserve">OTHER. </w:t>
      </w:r>
      <w:r>
        <w:rPr>
          <w:rFonts w:ascii="Arial" w:cs="Arial" w:eastAsia="Arial" w:hAnsi="Arial"/>
          <w:sz w:val="18"/>
          <w:szCs w:val="18"/>
          <w:color w:val="000000"/>
        </w:rPr>
        <w:t>In addition to the above, the Company (or its subsidiaries) employs Maryann Pascal, the sister-in-law of Ms. Wynn (who is a</w:t>
      </w:r>
      <w:r>
        <w:rPr>
          <w:rFonts w:ascii="Arial" w:cs="Arial" w:eastAsia="Arial" w:hAnsi="Arial"/>
          <w:sz w:val="18"/>
          <w:szCs w:val="18"/>
          <w:color w:val="051466"/>
        </w:rPr>
        <w:t xml:space="preserve"> </w:t>
      </w:r>
      <w:r>
        <w:rPr>
          <w:rFonts w:ascii="Arial" w:cs="Arial" w:eastAsia="Arial" w:hAnsi="Arial"/>
          <w:sz w:val="18"/>
          <w:szCs w:val="18"/>
          <w:color w:val="000000"/>
        </w:rPr>
        <w:t>beneficial owner of in excess of 5% of the outstanding shares of the Company’s Common Stock), as Vice President – Player Development at Wynn Las Vegas. The Audit Committee of the Company approved the employment arrangement and determined that compensation was at (or below) levels paid to non-family members. Total compensation paid to Ms. Pascal for 2021 included the following amounts calculated in the same manner as the Summary Compensation Table values presented for NEOs: salary of $274,942, stock awards of $29,855, bonus of $4,175, and other compensation of $0.</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55 //</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31"/>
          <w:szCs w:val="31"/>
          <w:color w:val="auto"/>
        </w:rPr>
        <w:t>Pay ratio disclosure</w:t>
      </w:r>
    </w:p>
    <w:p>
      <w:pPr>
        <w:spacing w:after="0" w:line="211"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7"/>
          <w:szCs w:val="17"/>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pay ratio reported below is a reasonable estimate calculated in a manner consistent with SEC rules based on our payroll records and the methodology described below. For these purposes, we determined the median compensated employee using taxable income for 2021, which we annualized for any employee who did not work for the entire year unless designated as a temporary employee. We determined that, as of December 31, 2021, our employee population consisted of approximately 27,000 employees, with approximately 45% working in Macau as an employee of Wynn Macau, Limited or one of its subsidiaries. In identifying the median employee, we made a cost-of-living adjustment using the International Monetary Fund’s implied purchasing power conversion rate of 5.00 with respect to employees located in Macau. Using this methodology, we determined that the median employee in 2021 was a full-time, hourly employee located in Massachusetts. We recomputed our median employee for 2021 as a result of changes in our employee population due to ongoing recovery from the effects of the COVID-19 Pandemic, particularly in our domestic operations.</w:t>
      </w:r>
    </w:p>
    <w:p>
      <w:pPr>
        <w:spacing w:after="0" w:line="166"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2021 annual total compensation of our median compensated employee, other than our CEO, was $ 44,048; the 2021 annual total compensation of our CEO, Mr. Maddox, was $12,928,747; and the ratio of these amounts was 1-to-294. The decrease in the ratio when compared to 2020 is a result of the Compensation Committee awarding a one-time grant of restricted stock to Mr. Maddox in connection with the extension of his employment agreement in 2020.</w:t>
      </w:r>
    </w:p>
    <w:p>
      <w:pPr>
        <w:spacing w:after="0" w:line="17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To identify the median employee without a cost-of-living adjustment, we converted the compensation paid in Macau currency to U.S. dollars by applying a Macau patacas to U.S. dollars exchange rate using the noon buying rate of exchange of Macau patacas to U.S. dollars of 8.03 on December 31, 2021. For 2021, we identified a new median employee for the reason described above. The 2021 annual total compensation of our median compensated employee, other than our CEO serving as of December 31, 2021, without the cost-of-living adjustment was $34,799; and the ratio of this amount to Mr. Maddox’s 2021 annual total compensation was 1-to-372.</w:t>
      </w:r>
    </w:p>
    <w:p>
      <w:pPr>
        <w:spacing w:after="0" w:line="16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2021, approximately 17% of our employee population of approximately 27,000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64" w:lineRule="exact"/>
        <w:rPr>
          <w:sz w:val="20"/>
          <w:szCs w:val="20"/>
          <w:color w:val="auto"/>
        </w:rPr>
      </w:pPr>
    </w:p>
    <w:p>
      <w:pPr>
        <w:ind w:left="120" w:right="500"/>
        <w:spacing w:after="0" w:line="254" w:lineRule="auto"/>
        <w:rPr>
          <w:sz w:val="20"/>
          <w:szCs w:val="20"/>
          <w:color w:val="auto"/>
        </w:rPr>
      </w:pPr>
      <w:r>
        <w:rPr>
          <w:rFonts w:ascii="Arial" w:cs="Arial" w:eastAsia="Arial" w:hAnsi="Arial"/>
          <w:sz w:val="17"/>
          <w:szCs w:val="17"/>
          <w:color w:val="auto"/>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56 //</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Security ownership</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51466"/>
        </w:rPr>
        <w:t>CERTAIN BENEFICIAL OWNERSHIP AND MANAGEMENT</w:t>
      </w:r>
    </w:p>
    <w:p>
      <w:pPr>
        <w:spacing w:after="0" w:line="13"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The following table sets forth, as of March 11, 2022, (unless otherwise indicated), certain information regarding the shares of the Company’s Common Stock beneficially owned by: (i) each director; (ii) each shareholder who is known by the Company to beneficially own in excess of 5% of the outstanding shares of the Company’s Common Stock; (iii) each of the Company’s NEOs; and (iv) all executive officers and directors as a group. Each shareholder’s percentage is based on 115,918,364 shares of Common Stock outstanding as of March 11, 2022, and treating as outstanding all options held by that shareholder and exercisable within 60 days 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46374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4637405"/>
                    </a:xfrm>
                    <a:prstGeom prst="rect">
                      <a:avLst/>
                    </a:prstGeom>
                    <a:noFill/>
                  </pic:spPr>
                </pic:pic>
              </a:graphicData>
            </a:graphic>
          </wp:anchor>
        </w:drawing>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7200" w:type="dxa"/>
            <w:vAlign w:val="bottom"/>
            <w:shd w:val="clear" w:color="auto" w:fill="E2E2D8"/>
          </w:tcPr>
          <w:p>
            <w:pPr>
              <w:spacing w:after="0"/>
              <w:rPr>
                <w:sz w:val="16"/>
                <w:szCs w:val="16"/>
                <w:color w:val="auto"/>
              </w:rPr>
            </w:pPr>
          </w:p>
        </w:tc>
        <w:tc>
          <w:tcPr>
            <w:tcW w:w="3820" w:type="dxa"/>
            <w:vAlign w:val="bottom"/>
            <w:gridSpan w:val="2"/>
            <w:shd w:val="clear" w:color="auto" w:fill="E2E2D8"/>
          </w:tcPr>
          <w:p>
            <w:pPr>
              <w:jc w:val="right"/>
              <w:ind w:right="829"/>
              <w:spacing w:after="0"/>
              <w:rPr>
                <w:sz w:val="20"/>
                <w:szCs w:val="20"/>
                <w:color w:val="auto"/>
              </w:rPr>
            </w:pPr>
            <w:r>
              <w:rPr>
                <w:rFonts w:ascii="Arial" w:cs="Arial" w:eastAsia="Arial" w:hAnsi="Arial"/>
                <w:sz w:val="11"/>
                <w:szCs w:val="11"/>
                <w:b w:val="1"/>
                <w:bCs w:val="1"/>
                <w:color w:val="auto"/>
              </w:rPr>
              <w:t>BENEFICIAL OWNERSHIP OF SHARES (1)</w:t>
            </w:r>
          </w:p>
        </w:tc>
      </w:tr>
      <w:tr>
        <w:trPr>
          <w:trHeight w:val="270"/>
        </w:trPr>
        <w:tc>
          <w:tcPr>
            <w:tcW w:w="7200" w:type="dxa"/>
            <w:vAlign w:val="bottom"/>
            <w:shd w:val="clear" w:color="auto" w:fill="E2E2D8"/>
          </w:tcPr>
          <w:p>
            <w:pPr>
              <w:ind w:left="80"/>
              <w:spacing w:after="0"/>
              <w:rPr>
                <w:sz w:val="20"/>
                <w:szCs w:val="20"/>
                <w:color w:val="auto"/>
              </w:rPr>
            </w:pPr>
            <w:r>
              <w:rPr>
                <w:rFonts w:ascii="Arial" w:cs="Arial" w:eastAsia="Arial" w:hAnsi="Arial"/>
                <w:sz w:val="11"/>
                <w:szCs w:val="11"/>
                <w:b w:val="1"/>
                <w:bCs w:val="1"/>
                <w:color w:val="auto"/>
              </w:rPr>
              <w:t>NAME AND ADDRESS OF BENEFICIAL OWNER (2)</w:t>
            </w:r>
          </w:p>
        </w:tc>
        <w:tc>
          <w:tcPr>
            <w:tcW w:w="1920" w:type="dxa"/>
            <w:vAlign w:val="bottom"/>
            <w:shd w:val="clear" w:color="auto" w:fill="E2E2D8"/>
          </w:tcPr>
          <w:p>
            <w:pPr>
              <w:jc w:val="right"/>
              <w:ind w:right="710"/>
              <w:spacing w:after="0"/>
              <w:rPr>
                <w:sz w:val="20"/>
                <w:szCs w:val="20"/>
                <w:color w:val="auto"/>
              </w:rPr>
            </w:pPr>
            <w:r>
              <w:rPr>
                <w:rFonts w:ascii="Arial" w:cs="Arial" w:eastAsia="Arial" w:hAnsi="Arial"/>
                <w:sz w:val="11"/>
                <w:szCs w:val="11"/>
                <w:b w:val="1"/>
                <w:bCs w:val="1"/>
                <w:color w:val="auto"/>
              </w:rPr>
              <w:t>NUMBER</w:t>
            </w:r>
          </w:p>
        </w:tc>
        <w:tc>
          <w:tcPr>
            <w:tcW w:w="1900" w:type="dxa"/>
            <w:vAlign w:val="bottom"/>
            <w:shd w:val="clear" w:color="auto" w:fill="E2E2D8"/>
          </w:tcPr>
          <w:p>
            <w:pPr>
              <w:jc w:val="right"/>
              <w:ind w:right="569"/>
              <w:spacing w:after="0"/>
              <w:rPr>
                <w:sz w:val="20"/>
                <w:szCs w:val="20"/>
                <w:color w:val="auto"/>
              </w:rPr>
            </w:pPr>
            <w:r>
              <w:rPr>
                <w:rFonts w:ascii="Arial" w:cs="Arial" w:eastAsia="Arial" w:hAnsi="Arial"/>
                <w:sz w:val="11"/>
                <w:szCs w:val="11"/>
                <w:b w:val="1"/>
                <w:bCs w:val="1"/>
                <w:color w:val="auto"/>
              </w:rPr>
              <w:t>PERCENTAGE</w:t>
            </w:r>
          </w:p>
        </w:tc>
      </w:tr>
      <w:tr>
        <w:trPr>
          <w:trHeight w:val="76"/>
        </w:trPr>
        <w:tc>
          <w:tcPr>
            <w:tcW w:w="7200" w:type="dxa"/>
            <w:vAlign w:val="bottom"/>
            <w:shd w:val="clear" w:color="auto" w:fill="E2E2D8"/>
          </w:tcPr>
          <w:p>
            <w:pPr>
              <w:spacing w:after="0"/>
              <w:rPr>
                <w:sz w:val="6"/>
                <w:szCs w:val="6"/>
                <w:color w:val="auto"/>
              </w:rPr>
            </w:pPr>
          </w:p>
        </w:tc>
        <w:tc>
          <w:tcPr>
            <w:tcW w:w="1920" w:type="dxa"/>
            <w:vAlign w:val="bottom"/>
            <w:shd w:val="clear" w:color="auto" w:fill="E2E2D8"/>
          </w:tcPr>
          <w:p>
            <w:pPr>
              <w:spacing w:after="0"/>
              <w:rPr>
                <w:sz w:val="6"/>
                <w:szCs w:val="6"/>
                <w:color w:val="auto"/>
              </w:rPr>
            </w:pPr>
          </w:p>
        </w:tc>
        <w:tc>
          <w:tcPr>
            <w:tcW w:w="1900" w:type="dxa"/>
            <w:vAlign w:val="bottom"/>
            <w:shd w:val="clear" w:color="auto" w:fill="E2E2D8"/>
          </w:tcPr>
          <w:p>
            <w:pPr>
              <w:spacing w:after="0"/>
              <w:rPr>
                <w:sz w:val="6"/>
                <w:szCs w:val="6"/>
                <w:color w:val="auto"/>
              </w:rPr>
            </w:pPr>
          </w:p>
        </w:tc>
      </w:tr>
      <w:tr>
        <w:trPr>
          <w:trHeight w:val="223"/>
        </w:trPr>
        <w:tc>
          <w:tcPr>
            <w:tcW w:w="7200" w:type="dxa"/>
            <w:vAlign w:val="bottom"/>
            <w:tcBorders>
              <w:bottom w:val="single" w:sz="8" w:color="EAEFF9"/>
            </w:tcBorders>
            <w:shd w:val="clear" w:color="auto" w:fill="EAEFF9"/>
          </w:tcPr>
          <w:p>
            <w:pPr>
              <w:ind w:left="60"/>
              <w:spacing w:after="0"/>
              <w:rPr>
                <w:sz w:val="20"/>
                <w:szCs w:val="20"/>
                <w:color w:val="auto"/>
              </w:rPr>
            </w:pPr>
            <w:r>
              <w:rPr>
                <w:rFonts w:ascii="Arial" w:cs="Arial" w:eastAsia="Arial" w:hAnsi="Arial"/>
                <w:sz w:val="14"/>
                <w:szCs w:val="14"/>
                <w:color w:val="auto"/>
              </w:rPr>
              <w:t>5% Shareholders:</w:t>
            </w:r>
          </w:p>
        </w:tc>
        <w:tc>
          <w:tcPr>
            <w:tcW w:w="1920" w:type="dxa"/>
            <w:vAlign w:val="bottom"/>
            <w:tcBorders>
              <w:bottom w:val="single" w:sz="8" w:color="EAEFF9"/>
            </w:tcBorders>
            <w:shd w:val="clear" w:color="auto" w:fill="EAEFF9"/>
          </w:tcPr>
          <w:p>
            <w:pPr>
              <w:spacing w:after="0"/>
              <w:rPr>
                <w:sz w:val="19"/>
                <w:szCs w:val="19"/>
                <w:color w:val="auto"/>
              </w:rPr>
            </w:pPr>
          </w:p>
        </w:tc>
        <w:tc>
          <w:tcPr>
            <w:tcW w:w="1900" w:type="dxa"/>
            <w:vAlign w:val="bottom"/>
            <w:tcBorders>
              <w:bottom w:val="single" w:sz="8" w:color="EAEFF9"/>
            </w:tcBorders>
            <w:shd w:val="clear" w:color="auto" w:fill="EAEFF9"/>
          </w:tcPr>
          <w:p>
            <w:pPr>
              <w:spacing w:after="0"/>
              <w:rPr>
                <w:sz w:val="19"/>
                <w:szCs w:val="19"/>
                <w:color w:val="auto"/>
              </w:rPr>
            </w:pPr>
          </w:p>
        </w:tc>
      </w:tr>
      <w:tr>
        <w:trPr>
          <w:trHeight w:val="221"/>
        </w:trPr>
        <w:tc>
          <w:tcPr>
            <w:tcW w:w="7200" w:type="dxa"/>
            <w:vAlign w:val="bottom"/>
            <w:shd w:val="clear" w:color="auto" w:fill="E2E2D8"/>
          </w:tcPr>
          <w:p>
            <w:pPr>
              <w:ind w:left="60"/>
              <w:spacing w:after="0"/>
              <w:rPr>
                <w:sz w:val="20"/>
                <w:szCs w:val="20"/>
                <w:color w:val="auto"/>
              </w:rPr>
            </w:pPr>
            <w:r>
              <w:rPr>
                <w:rFonts w:ascii="Arial" w:cs="Arial" w:eastAsia="Arial" w:hAnsi="Arial"/>
                <w:sz w:val="14"/>
                <w:szCs w:val="14"/>
                <w:color w:val="auto"/>
              </w:rPr>
              <w:t>The Vanguard Group (3)</w:t>
            </w:r>
          </w:p>
        </w:tc>
        <w:tc>
          <w:tcPr>
            <w:tcW w:w="1920" w:type="dxa"/>
            <w:vAlign w:val="bottom"/>
            <w:shd w:val="clear" w:color="auto" w:fill="E2E2D8"/>
          </w:tcPr>
          <w:p>
            <w:pPr>
              <w:spacing w:after="0"/>
              <w:rPr>
                <w:sz w:val="19"/>
                <w:szCs w:val="19"/>
                <w:color w:val="auto"/>
              </w:rPr>
            </w:pPr>
          </w:p>
        </w:tc>
        <w:tc>
          <w:tcPr>
            <w:tcW w:w="1900" w:type="dxa"/>
            <w:vAlign w:val="bottom"/>
            <w:shd w:val="clear" w:color="auto" w:fill="E2E2D8"/>
          </w:tcPr>
          <w:p>
            <w:pPr>
              <w:spacing w:after="0"/>
              <w:rPr>
                <w:sz w:val="19"/>
                <w:szCs w:val="19"/>
                <w:color w:val="auto"/>
              </w:rPr>
            </w:pPr>
          </w:p>
        </w:tc>
      </w:tr>
      <w:tr>
        <w:trPr>
          <w:trHeight w:val="162"/>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100 Vanguard Blvd.</w:t>
            </w:r>
          </w:p>
        </w:tc>
        <w:tc>
          <w:tcPr>
            <w:tcW w:w="1920" w:type="dxa"/>
            <w:vAlign w:val="bottom"/>
            <w:shd w:val="clear" w:color="auto" w:fill="E2E2D8"/>
          </w:tcPr>
          <w:p>
            <w:pPr>
              <w:spacing w:after="0"/>
              <w:rPr>
                <w:sz w:val="14"/>
                <w:szCs w:val="14"/>
                <w:color w:val="auto"/>
              </w:rPr>
            </w:pPr>
          </w:p>
        </w:tc>
        <w:tc>
          <w:tcPr>
            <w:tcW w:w="1900" w:type="dxa"/>
            <w:vAlign w:val="bottom"/>
            <w:shd w:val="clear" w:color="auto" w:fill="E2E2D8"/>
          </w:tcPr>
          <w:p>
            <w:pPr>
              <w:spacing w:after="0"/>
              <w:rPr>
                <w:sz w:val="14"/>
                <w:szCs w:val="14"/>
                <w:color w:val="auto"/>
              </w:rPr>
            </w:pPr>
          </w:p>
        </w:tc>
      </w:tr>
      <w:tr>
        <w:trPr>
          <w:trHeight w:val="198"/>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Malvern, PA 19355</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10,940,868</w:t>
            </w:r>
          </w:p>
        </w:tc>
        <w:tc>
          <w:tcPr>
            <w:tcW w:w="1900" w:type="dxa"/>
            <w:vAlign w:val="bottom"/>
            <w:shd w:val="clear" w:color="auto" w:fill="E2E2D8"/>
          </w:tcPr>
          <w:p>
            <w:pPr>
              <w:jc w:val="right"/>
              <w:ind w:right="329"/>
              <w:spacing w:after="0"/>
              <w:rPr>
                <w:sz w:val="20"/>
                <w:szCs w:val="20"/>
                <w:color w:val="auto"/>
              </w:rPr>
            </w:pPr>
            <w:r>
              <w:rPr>
                <w:rFonts w:ascii="Arial" w:cs="Arial" w:eastAsia="Arial" w:hAnsi="Arial"/>
                <w:sz w:val="14"/>
                <w:szCs w:val="14"/>
                <w:color w:val="auto"/>
              </w:rPr>
              <w:t>9.44%</w:t>
            </w:r>
          </w:p>
        </w:tc>
      </w:tr>
      <w:tr>
        <w:trPr>
          <w:trHeight w:val="180"/>
        </w:trPr>
        <w:tc>
          <w:tcPr>
            <w:tcW w:w="7200" w:type="dxa"/>
            <w:vAlign w:val="bottom"/>
            <w:shd w:val="clear" w:color="auto" w:fill="EAEFF9"/>
          </w:tcPr>
          <w:p>
            <w:pPr>
              <w:ind w:left="60"/>
              <w:spacing w:after="0"/>
              <w:rPr>
                <w:sz w:val="20"/>
                <w:szCs w:val="20"/>
                <w:color w:val="auto"/>
              </w:rPr>
            </w:pPr>
            <w:r>
              <w:rPr>
                <w:rFonts w:ascii="Arial" w:cs="Arial" w:eastAsia="Arial" w:hAnsi="Arial"/>
                <w:sz w:val="14"/>
                <w:szCs w:val="14"/>
                <w:color w:val="auto"/>
              </w:rPr>
              <w:t>T-Rowe Price Associates Inc. (4)</w:t>
            </w:r>
          </w:p>
        </w:tc>
        <w:tc>
          <w:tcPr>
            <w:tcW w:w="1920" w:type="dxa"/>
            <w:vAlign w:val="bottom"/>
            <w:shd w:val="clear" w:color="auto" w:fill="EAEFF9"/>
          </w:tcPr>
          <w:p>
            <w:pPr>
              <w:spacing w:after="0"/>
              <w:rPr>
                <w:sz w:val="15"/>
                <w:szCs w:val="15"/>
                <w:color w:val="auto"/>
              </w:rPr>
            </w:pPr>
          </w:p>
        </w:tc>
        <w:tc>
          <w:tcPr>
            <w:tcW w:w="1900" w:type="dxa"/>
            <w:vAlign w:val="bottom"/>
            <w:shd w:val="clear" w:color="auto" w:fill="EAEFF9"/>
          </w:tcPr>
          <w:p>
            <w:pPr>
              <w:spacing w:after="0"/>
              <w:rPr>
                <w:sz w:val="15"/>
                <w:szCs w:val="15"/>
                <w:color w:val="auto"/>
              </w:rPr>
            </w:pPr>
          </w:p>
        </w:tc>
      </w:tr>
      <w:tr>
        <w:trPr>
          <w:trHeight w:val="162"/>
        </w:trPr>
        <w:tc>
          <w:tcPr>
            <w:tcW w:w="7200" w:type="dxa"/>
            <w:vAlign w:val="bottom"/>
            <w:shd w:val="clear" w:color="auto" w:fill="EAEFF9"/>
          </w:tcPr>
          <w:p>
            <w:pPr>
              <w:ind w:left="220"/>
              <w:spacing w:after="0"/>
              <w:rPr>
                <w:sz w:val="20"/>
                <w:szCs w:val="20"/>
                <w:color w:val="auto"/>
              </w:rPr>
            </w:pPr>
            <w:r>
              <w:rPr>
                <w:rFonts w:ascii="Arial" w:cs="Arial" w:eastAsia="Arial" w:hAnsi="Arial"/>
                <w:sz w:val="14"/>
                <w:szCs w:val="14"/>
                <w:color w:val="auto"/>
              </w:rPr>
              <w:t>100 East Pratt St.</w:t>
            </w:r>
          </w:p>
        </w:tc>
        <w:tc>
          <w:tcPr>
            <w:tcW w:w="1920" w:type="dxa"/>
            <w:vAlign w:val="bottom"/>
            <w:shd w:val="clear" w:color="auto" w:fill="EAEFF9"/>
          </w:tcPr>
          <w:p>
            <w:pPr>
              <w:spacing w:after="0"/>
              <w:rPr>
                <w:sz w:val="14"/>
                <w:szCs w:val="14"/>
                <w:color w:val="auto"/>
              </w:rPr>
            </w:pPr>
          </w:p>
        </w:tc>
        <w:tc>
          <w:tcPr>
            <w:tcW w:w="1900" w:type="dxa"/>
            <w:vAlign w:val="bottom"/>
            <w:shd w:val="clear" w:color="auto" w:fill="EAEFF9"/>
          </w:tcPr>
          <w:p>
            <w:pPr>
              <w:spacing w:after="0"/>
              <w:rPr>
                <w:sz w:val="14"/>
                <w:szCs w:val="14"/>
                <w:color w:val="auto"/>
              </w:rPr>
            </w:pPr>
          </w:p>
        </w:tc>
      </w:tr>
      <w:tr>
        <w:trPr>
          <w:trHeight w:val="178"/>
        </w:trPr>
        <w:tc>
          <w:tcPr>
            <w:tcW w:w="7200" w:type="dxa"/>
            <w:vAlign w:val="bottom"/>
            <w:shd w:val="clear" w:color="auto" w:fill="EAEFF9"/>
          </w:tcPr>
          <w:p>
            <w:pPr>
              <w:ind w:left="220"/>
              <w:spacing w:after="0"/>
              <w:rPr>
                <w:sz w:val="20"/>
                <w:szCs w:val="20"/>
                <w:color w:val="auto"/>
              </w:rPr>
            </w:pPr>
            <w:r>
              <w:rPr>
                <w:rFonts w:ascii="Arial" w:cs="Arial" w:eastAsia="Arial" w:hAnsi="Arial"/>
                <w:sz w:val="14"/>
                <w:szCs w:val="14"/>
                <w:color w:val="auto"/>
              </w:rPr>
              <w:t>Baltimore, MD 21202</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10,330,316</w:t>
            </w:r>
          </w:p>
        </w:tc>
        <w:tc>
          <w:tcPr>
            <w:tcW w:w="1900" w:type="dxa"/>
            <w:vAlign w:val="bottom"/>
            <w:shd w:val="clear" w:color="auto" w:fill="EAEFF9"/>
          </w:tcPr>
          <w:p>
            <w:pPr>
              <w:jc w:val="right"/>
              <w:ind w:right="329"/>
              <w:spacing w:after="0"/>
              <w:rPr>
                <w:sz w:val="20"/>
                <w:szCs w:val="20"/>
                <w:color w:val="auto"/>
              </w:rPr>
            </w:pPr>
            <w:r>
              <w:rPr>
                <w:rFonts w:ascii="Arial" w:cs="Arial" w:eastAsia="Arial" w:hAnsi="Arial"/>
                <w:sz w:val="14"/>
                <w:szCs w:val="14"/>
                <w:color w:val="auto"/>
              </w:rPr>
              <w:t>8.91%</w:t>
            </w:r>
          </w:p>
        </w:tc>
      </w:tr>
      <w:tr>
        <w:trPr>
          <w:trHeight w:val="227"/>
        </w:trPr>
        <w:tc>
          <w:tcPr>
            <w:tcW w:w="7200" w:type="dxa"/>
            <w:vAlign w:val="bottom"/>
            <w:shd w:val="clear" w:color="auto" w:fill="E2E2D8"/>
          </w:tcPr>
          <w:p>
            <w:pPr>
              <w:ind w:left="60"/>
              <w:spacing w:after="0"/>
              <w:rPr>
                <w:sz w:val="20"/>
                <w:szCs w:val="20"/>
                <w:color w:val="auto"/>
              </w:rPr>
            </w:pPr>
            <w:r>
              <w:rPr>
                <w:rFonts w:ascii="Arial" w:cs="Arial" w:eastAsia="Arial" w:hAnsi="Arial"/>
                <w:sz w:val="14"/>
                <w:szCs w:val="14"/>
                <w:color w:val="auto"/>
              </w:rPr>
              <w:t>Elaine P. Wynn (5)</w:t>
            </w:r>
          </w:p>
        </w:tc>
        <w:tc>
          <w:tcPr>
            <w:tcW w:w="1920" w:type="dxa"/>
            <w:vAlign w:val="bottom"/>
            <w:shd w:val="clear" w:color="auto" w:fill="E2E2D8"/>
          </w:tcPr>
          <w:p>
            <w:pPr>
              <w:spacing w:after="0"/>
              <w:rPr>
                <w:sz w:val="19"/>
                <w:szCs w:val="19"/>
                <w:color w:val="auto"/>
              </w:rPr>
            </w:pPr>
          </w:p>
        </w:tc>
        <w:tc>
          <w:tcPr>
            <w:tcW w:w="1900" w:type="dxa"/>
            <w:vAlign w:val="bottom"/>
            <w:shd w:val="clear" w:color="auto" w:fill="E2E2D8"/>
          </w:tcPr>
          <w:p>
            <w:pPr>
              <w:spacing w:after="0"/>
              <w:rPr>
                <w:sz w:val="19"/>
                <w:szCs w:val="19"/>
                <w:color w:val="auto"/>
              </w:rPr>
            </w:pPr>
          </w:p>
        </w:tc>
      </w:tr>
      <w:tr>
        <w:trPr>
          <w:trHeight w:val="162"/>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c/o Elaine P. Wynn and Family Foundation</w:t>
            </w:r>
          </w:p>
        </w:tc>
        <w:tc>
          <w:tcPr>
            <w:tcW w:w="1920" w:type="dxa"/>
            <w:vAlign w:val="bottom"/>
            <w:shd w:val="clear" w:color="auto" w:fill="E2E2D8"/>
          </w:tcPr>
          <w:p>
            <w:pPr>
              <w:spacing w:after="0"/>
              <w:rPr>
                <w:sz w:val="14"/>
                <w:szCs w:val="14"/>
                <w:color w:val="auto"/>
              </w:rPr>
            </w:pPr>
          </w:p>
        </w:tc>
        <w:tc>
          <w:tcPr>
            <w:tcW w:w="1900" w:type="dxa"/>
            <w:vAlign w:val="bottom"/>
            <w:shd w:val="clear" w:color="auto" w:fill="E2E2D8"/>
          </w:tcPr>
          <w:p>
            <w:pPr>
              <w:spacing w:after="0"/>
              <w:rPr>
                <w:sz w:val="14"/>
                <w:szCs w:val="14"/>
                <w:color w:val="auto"/>
              </w:rPr>
            </w:pPr>
          </w:p>
        </w:tc>
      </w:tr>
      <w:tr>
        <w:trPr>
          <w:trHeight w:val="162"/>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3800 Howard Hughes Parkway</w:t>
            </w:r>
          </w:p>
        </w:tc>
        <w:tc>
          <w:tcPr>
            <w:tcW w:w="1920" w:type="dxa"/>
            <w:vAlign w:val="bottom"/>
            <w:shd w:val="clear" w:color="auto" w:fill="E2E2D8"/>
          </w:tcPr>
          <w:p>
            <w:pPr>
              <w:spacing w:after="0"/>
              <w:rPr>
                <w:sz w:val="14"/>
                <w:szCs w:val="14"/>
                <w:color w:val="auto"/>
              </w:rPr>
            </w:pPr>
          </w:p>
        </w:tc>
        <w:tc>
          <w:tcPr>
            <w:tcW w:w="1900" w:type="dxa"/>
            <w:vAlign w:val="bottom"/>
            <w:shd w:val="clear" w:color="auto" w:fill="E2E2D8"/>
          </w:tcPr>
          <w:p>
            <w:pPr>
              <w:spacing w:after="0"/>
              <w:rPr>
                <w:sz w:val="14"/>
                <w:szCs w:val="14"/>
                <w:color w:val="auto"/>
              </w:rPr>
            </w:pPr>
          </w:p>
        </w:tc>
      </w:tr>
      <w:tr>
        <w:trPr>
          <w:trHeight w:val="162"/>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Suite 960</w:t>
            </w:r>
          </w:p>
        </w:tc>
        <w:tc>
          <w:tcPr>
            <w:tcW w:w="1920" w:type="dxa"/>
            <w:vAlign w:val="bottom"/>
            <w:shd w:val="clear" w:color="auto" w:fill="E2E2D8"/>
          </w:tcPr>
          <w:p>
            <w:pPr>
              <w:spacing w:after="0"/>
              <w:rPr>
                <w:sz w:val="14"/>
                <w:szCs w:val="14"/>
                <w:color w:val="auto"/>
              </w:rPr>
            </w:pPr>
          </w:p>
        </w:tc>
        <w:tc>
          <w:tcPr>
            <w:tcW w:w="1900" w:type="dxa"/>
            <w:vAlign w:val="bottom"/>
            <w:shd w:val="clear" w:color="auto" w:fill="E2E2D8"/>
          </w:tcPr>
          <w:p>
            <w:pPr>
              <w:spacing w:after="0"/>
              <w:rPr>
                <w:sz w:val="14"/>
                <w:szCs w:val="14"/>
                <w:color w:val="auto"/>
              </w:rPr>
            </w:pPr>
          </w:p>
        </w:tc>
      </w:tr>
      <w:tr>
        <w:trPr>
          <w:trHeight w:val="198"/>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Las Vegas, Nevada 89169</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9,539,077</w:t>
            </w:r>
          </w:p>
        </w:tc>
        <w:tc>
          <w:tcPr>
            <w:tcW w:w="1900" w:type="dxa"/>
            <w:vAlign w:val="bottom"/>
            <w:shd w:val="clear" w:color="auto" w:fill="E2E2D8"/>
          </w:tcPr>
          <w:p>
            <w:pPr>
              <w:jc w:val="right"/>
              <w:ind w:right="329"/>
              <w:spacing w:after="0"/>
              <w:rPr>
                <w:sz w:val="20"/>
                <w:szCs w:val="20"/>
                <w:color w:val="auto"/>
              </w:rPr>
            </w:pPr>
            <w:r>
              <w:rPr>
                <w:rFonts w:ascii="Arial" w:cs="Arial" w:eastAsia="Arial" w:hAnsi="Arial"/>
                <w:sz w:val="14"/>
                <w:szCs w:val="14"/>
                <w:color w:val="auto"/>
              </w:rPr>
              <w:t>8.23%</w:t>
            </w:r>
          </w:p>
        </w:tc>
      </w:tr>
      <w:tr>
        <w:trPr>
          <w:trHeight w:val="221"/>
        </w:trPr>
        <w:tc>
          <w:tcPr>
            <w:tcW w:w="7200" w:type="dxa"/>
            <w:vAlign w:val="bottom"/>
            <w:shd w:val="clear" w:color="auto" w:fill="EAEFF9"/>
          </w:tcPr>
          <w:p>
            <w:pPr>
              <w:ind w:left="60"/>
              <w:spacing w:after="0"/>
              <w:rPr>
                <w:sz w:val="20"/>
                <w:szCs w:val="20"/>
                <w:color w:val="auto"/>
              </w:rPr>
            </w:pPr>
            <w:r>
              <w:rPr>
                <w:rFonts w:ascii="Arial" w:cs="Arial" w:eastAsia="Arial" w:hAnsi="Arial"/>
                <w:sz w:val="14"/>
                <w:szCs w:val="14"/>
                <w:color w:val="auto"/>
              </w:rPr>
              <w:t>Blackrock Inc. (6)</w:t>
            </w:r>
          </w:p>
        </w:tc>
        <w:tc>
          <w:tcPr>
            <w:tcW w:w="1920" w:type="dxa"/>
            <w:vAlign w:val="bottom"/>
            <w:shd w:val="clear" w:color="auto" w:fill="EAEFF9"/>
          </w:tcPr>
          <w:p>
            <w:pPr>
              <w:spacing w:after="0"/>
              <w:rPr>
                <w:sz w:val="19"/>
                <w:szCs w:val="19"/>
                <w:color w:val="auto"/>
              </w:rPr>
            </w:pPr>
          </w:p>
        </w:tc>
        <w:tc>
          <w:tcPr>
            <w:tcW w:w="1900" w:type="dxa"/>
            <w:vAlign w:val="bottom"/>
            <w:shd w:val="clear" w:color="auto" w:fill="EAEFF9"/>
          </w:tcPr>
          <w:p>
            <w:pPr>
              <w:spacing w:after="0"/>
              <w:rPr>
                <w:sz w:val="19"/>
                <w:szCs w:val="19"/>
                <w:color w:val="auto"/>
              </w:rPr>
            </w:pPr>
          </w:p>
        </w:tc>
      </w:tr>
      <w:tr>
        <w:trPr>
          <w:trHeight w:val="162"/>
        </w:trPr>
        <w:tc>
          <w:tcPr>
            <w:tcW w:w="7200" w:type="dxa"/>
            <w:vAlign w:val="bottom"/>
            <w:shd w:val="clear" w:color="auto" w:fill="EAEFF9"/>
          </w:tcPr>
          <w:p>
            <w:pPr>
              <w:ind w:left="220"/>
              <w:spacing w:after="0"/>
              <w:rPr>
                <w:sz w:val="20"/>
                <w:szCs w:val="20"/>
                <w:color w:val="auto"/>
              </w:rPr>
            </w:pPr>
            <w:r>
              <w:rPr>
                <w:rFonts w:ascii="Arial" w:cs="Arial" w:eastAsia="Arial" w:hAnsi="Arial"/>
                <w:sz w:val="14"/>
                <w:szCs w:val="14"/>
                <w:color w:val="auto"/>
              </w:rPr>
              <w:t>55 East 52nd St.</w:t>
            </w:r>
          </w:p>
        </w:tc>
        <w:tc>
          <w:tcPr>
            <w:tcW w:w="1920" w:type="dxa"/>
            <w:vAlign w:val="bottom"/>
            <w:shd w:val="clear" w:color="auto" w:fill="EAEFF9"/>
          </w:tcPr>
          <w:p>
            <w:pPr>
              <w:spacing w:after="0"/>
              <w:rPr>
                <w:sz w:val="14"/>
                <w:szCs w:val="14"/>
                <w:color w:val="auto"/>
              </w:rPr>
            </w:pPr>
          </w:p>
        </w:tc>
        <w:tc>
          <w:tcPr>
            <w:tcW w:w="1900" w:type="dxa"/>
            <w:vAlign w:val="bottom"/>
            <w:shd w:val="clear" w:color="auto" w:fill="EAEFF9"/>
          </w:tcPr>
          <w:p>
            <w:pPr>
              <w:spacing w:after="0"/>
              <w:rPr>
                <w:sz w:val="14"/>
                <w:szCs w:val="14"/>
                <w:color w:val="auto"/>
              </w:rPr>
            </w:pPr>
          </w:p>
        </w:tc>
      </w:tr>
      <w:tr>
        <w:trPr>
          <w:trHeight w:val="192"/>
        </w:trPr>
        <w:tc>
          <w:tcPr>
            <w:tcW w:w="7200" w:type="dxa"/>
            <w:vAlign w:val="bottom"/>
            <w:shd w:val="clear" w:color="auto" w:fill="EAEFF9"/>
          </w:tcPr>
          <w:p>
            <w:pPr>
              <w:ind w:left="220"/>
              <w:spacing w:after="0"/>
              <w:rPr>
                <w:sz w:val="20"/>
                <w:szCs w:val="20"/>
                <w:color w:val="auto"/>
              </w:rPr>
            </w:pPr>
            <w:r>
              <w:rPr>
                <w:rFonts w:ascii="Arial" w:cs="Arial" w:eastAsia="Arial" w:hAnsi="Arial"/>
                <w:sz w:val="14"/>
                <w:szCs w:val="14"/>
                <w:color w:val="auto"/>
              </w:rPr>
              <w:t>New York, NY 10055</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6,816,265</w:t>
            </w:r>
          </w:p>
        </w:tc>
        <w:tc>
          <w:tcPr>
            <w:tcW w:w="1900" w:type="dxa"/>
            <w:vAlign w:val="bottom"/>
            <w:shd w:val="clear" w:color="auto" w:fill="EAEFF9"/>
          </w:tcPr>
          <w:p>
            <w:pPr>
              <w:jc w:val="right"/>
              <w:ind w:right="329"/>
              <w:spacing w:after="0"/>
              <w:rPr>
                <w:sz w:val="20"/>
                <w:szCs w:val="20"/>
                <w:color w:val="auto"/>
              </w:rPr>
            </w:pPr>
            <w:r>
              <w:rPr>
                <w:rFonts w:ascii="Arial" w:cs="Arial" w:eastAsia="Arial" w:hAnsi="Arial"/>
                <w:sz w:val="14"/>
                <w:szCs w:val="14"/>
                <w:color w:val="auto"/>
              </w:rPr>
              <w:t>5.88%</w:t>
            </w:r>
          </w:p>
        </w:tc>
      </w:tr>
      <w:tr>
        <w:trPr>
          <w:trHeight w:val="227"/>
        </w:trPr>
        <w:tc>
          <w:tcPr>
            <w:tcW w:w="7200" w:type="dxa"/>
            <w:vAlign w:val="bottom"/>
            <w:shd w:val="clear" w:color="auto" w:fill="E2E2D8"/>
          </w:tcPr>
          <w:p>
            <w:pPr>
              <w:ind w:left="60"/>
              <w:spacing w:after="0"/>
              <w:rPr>
                <w:sz w:val="20"/>
                <w:szCs w:val="20"/>
                <w:color w:val="auto"/>
              </w:rPr>
            </w:pPr>
            <w:r>
              <w:rPr>
                <w:rFonts w:ascii="Arial" w:cs="Arial" w:eastAsia="Arial" w:hAnsi="Arial"/>
                <w:sz w:val="14"/>
                <w:szCs w:val="14"/>
                <w:color w:val="auto"/>
              </w:rPr>
              <w:t>Capital International Investors (7)</w:t>
            </w:r>
          </w:p>
        </w:tc>
        <w:tc>
          <w:tcPr>
            <w:tcW w:w="1920" w:type="dxa"/>
            <w:vAlign w:val="bottom"/>
            <w:shd w:val="clear" w:color="auto" w:fill="E2E2D8"/>
          </w:tcPr>
          <w:p>
            <w:pPr>
              <w:spacing w:after="0"/>
              <w:rPr>
                <w:sz w:val="19"/>
                <w:szCs w:val="19"/>
                <w:color w:val="auto"/>
              </w:rPr>
            </w:pPr>
          </w:p>
        </w:tc>
        <w:tc>
          <w:tcPr>
            <w:tcW w:w="1900" w:type="dxa"/>
            <w:vAlign w:val="bottom"/>
            <w:shd w:val="clear" w:color="auto" w:fill="E2E2D8"/>
          </w:tcPr>
          <w:p>
            <w:pPr>
              <w:spacing w:after="0"/>
              <w:rPr>
                <w:sz w:val="19"/>
                <w:szCs w:val="19"/>
                <w:color w:val="auto"/>
              </w:rPr>
            </w:pPr>
          </w:p>
        </w:tc>
      </w:tr>
      <w:tr>
        <w:trPr>
          <w:trHeight w:val="162"/>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333 South Hope St</w:t>
            </w:r>
          </w:p>
        </w:tc>
        <w:tc>
          <w:tcPr>
            <w:tcW w:w="1920" w:type="dxa"/>
            <w:vAlign w:val="bottom"/>
            <w:shd w:val="clear" w:color="auto" w:fill="E2E2D8"/>
          </w:tcPr>
          <w:p>
            <w:pPr>
              <w:spacing w:after="0"/>
              <w:rPr>
                <w:sz w:val="14"/>
                <w:szCs w:val="14"/>
                <w:color w:val="auto"/>
              </w:rPr>
            </w:pPr>
          </w:p>
        </w:tc>
        <w:tc>
          <w:tcPr>
            <w:tcW w:w="1900" w:type="dxa"/>
            <w:vAlign w:val="bottom"/>
            <w:shd w:val="clear" w:color="auto" w:fill="E2E2D8"/>
          </w:tcPr>
          <w:p>
            <w:pPr>
              <w:spacing w:after="0"/>
              <w:rPr>
                <w:sz w:val="14"/>
                <w:szCs w:val="14"/>
                <w:color w:val="auto"/>
              </w:rPr>
            </w:pPr>
          </w:p>
        </w:tc>
      </w:tr>
      <w:tr>
        <w:trPr>
          <w:trHeight w:val="198"/>
        </w:trPr>
        <w:tc>
          <w:tcPr>
            <w:tcW w:w="7200" w:type="dxa"/>
            <w:vAlign w:val="bottom"/>
            <w:shd w:val="clear" w:color="auto" w:fill="E2E2D8"/>
          </w:tcPr>
          <w:p>
            <w:pPr>
              <w:ind w:left="220"/>
              <w:spacing w:after="0"/>
              <w:rPr>
                <w:sz w:val="20"/>
                <w:szCs w:val="20"/>
                <w:color w:val="auto"/>
              </w:rPr>
            </w:pPr>
            <w:r>
              <w:rPr>
                <w:rFonts w:ascii="Arial" w:cs="Arial" w:eastAsia="Arial" w:hAnsi="Arial"/>
                <w:sz w:val="14"/>
                <w:szCs w:val="14"/>
                <w:color w:val="auto"/>
              </w:rPr>
              <w:t>Los Angeles, CA 90071</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5,902,114</w:t>
            </w:r>
          </w:p>
        </w:tc>
        <w:tc>
          <w:tcPr>
            <w:tcW w:w="1900" w:type="dxa"/>
            <w:vAlign w:val="bottom"/>
            <w:shd w:val="clear" w:color="auto" w:fill="E2E2D8"/>
          </w:tcPr>
          <w:p>
            <w:pPr>
              <w:jc w:val="right"/>
              <w:ind w:right="329"/>
              <w:spacing w:after="0"/>
              <w:rPr>
                <w:sz w:val="20"/>
                <w:szCs w:val="20"/>
                <w:color w:val="auto"/>
              </w:rPr>
            </w:pPr>
            <w:r>
              <w:rPr>
                <w:rFonts w:ascii="Arial" w:cs="Arial" w:eastAsia="Arial" w:hAnsi="Arial"/>
                <w:sz w:val="14"/>
                <w:szCs w:val="14"/>
                <w:color w:val="auto"/>
              </w:rPr>
              <w:t>5.09%</w:t>
            </w:r>
          </w:p>
        </w:tc>
      </w:tr>
      <w:tr>
        <w:trPr>
          <w:trHeight w:val="236"/>
        </w:trPr>
        <w:tc>
          <w:tcPr>
            <w:tcW w:w="7200" w:type="dxa"/>
            <w:vAlign w:val="bottom"/>
            <w:tcBorders>
              <w:bottom w:val="single" w:sz="8" w:color="EAEFF9"/>
            </w:tcBorders>
            <w:shd w:val="clear" w:color="auto" w:fill="EAEFF9"/>
          </w:tcPr>
          <w:p>
            <w:pPr>
              <w:ind w:left="100"/>
              <w:spacing w:after="0"/>
              <w:rPr>
                <w:sz w:val="20"/>
                <w:szCs w:val="20"/>
                <w:color w:val="auto"/>
              </w:rPr>
            </w:pPr>
            <w:r>
              <w:rPr>
                <w:rFonts w:ascii="Arial" w:cs="Arial" w:eastAsia="Arial" w:hAnsi="Arial"/>
                <w:sz w:val="14"/>
                <w:szCs w:val="14"/>
                <w:color w:val="auto"/>
              </w:rPr>
              <w:t>Named Executive Officers and Directors:</w:t>
            </w:r>
          </w:p>
        </w:tc>
        <w:tc>
          <w:tcPr>
            <w:tcW w:w="1920" w:type="dxa"/>
            <w:vAlign w:val="bottom"/>
            <w:tcBorders>
              <w:bottom w:val="single" w:sz="8" w:color="EAEFF9"/>
            </w:tcBorders>
            <w:shd w:val="clear" w:color="auto" w:fill="EAEFF9"/>
          </w:tcPr>
          <w:p>
            <w:pPr>
              <w:spacing w:after="0"/>
              <w:rPr>
                <w:sz w:val="20"/>
                <w:szCs w:val="20"/>
                <w:color w:val="auto"/>
              </w:rPr>
            </w:pPr>
          </w:p>
        </w:tc>
        <w:tc>
          <w:tcPr>
            <w:tcW w:w="1900" w:type="dxa"/>
            <w:vAlign w:val="bottom"/>
            <w:tcBorders>
              <w:bottom w:val="single" w:sz="8" w:color="EAEFF9"/>
            </w:tcBorders>
            <w:shd w:val="clear" w:color="auto" w:fill="EAEFF9"/>
          </w:tcPr>
          <w:p>
            <w:pPr>
              <w:spacing w:after="0"/>
              <w:rPr>
                <w:sz w:val="20"/>
                <w:szCs w:val="20"/>
                <w:color w:val="auto"/>
              </w:rPr>
            </w:pPr>
          </w:p>
        </w:tc>
      </w:tr>
      <w:tr>
        <w:trPr>
          <w:trHeight w:val="257"/>
        </w:trPr>
        <w:tc>
          <w:tcPr>
            <w:tcW w:w="7200" w:type="dxa"/>
            <w:vAlign w:val="bottom"/>
            <w:shd w:val="clear" w:color="auto" w:fill="E2E2D8"/>
          </w:tcPr>
          <w:p>
            <w:pPr>
              <w:ind w:left="100"/>
              <w:spacing w:after="0"/>
              <w:rPr>
                <w:sz w:val="20"/>
                <w:szCs w:val="20"/>
                <w:color w:val="auto"/>
              </w:rPr>
            </w:pPr>
            <w:r>
              <w:rPr>
                <w:rFonts w:ascii="Arial" w:cs="Arial" w:eastAsia="Arial" w:hAnsi="Arial"/>
                <w:sz w:val="14"/>
                <w:szCs w:val="14"/>
                <w:color w:val="auto"/>
              </w:rPr>
              <w:t>Philip G. Satre (8)</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21,577</w:t>
            </w:r>
          </w:p>
        </w:tc>
        <w:tc>
          <w:tcPr>
            <w:tcW w:w="1900" w:type="dxa"/>
            <w:vAlign w:val="bottom"/>
            <w:shd w:val="clear" w:color="auto" w:fill="E2E2D8"/>
          </w:tcPr>
          <w:p>
            <w:pPr>
              <w:jc w:val="right"/>
              <w:ind w:right="449"/>
              <w:spacing w:after="0"/>
              <w:rPr>
                <w:sz w:val="20"/>
                <w:szCs w:val="20"/>
                <w:color w:val="auto"/>
              </w:rPr>
            </w:pPr>
            <w:r>
              <w:rPr>
                <w:rFonts w:ascii="Arial" w:cs="Arial" w:eastAsia="Arial" w:hAnsi="Arial"/>
                <w:sz w:val="14"/>
                <w:szCs w:val="14"/>
                <w:color w:val="auto"/>
              </w:rPr>
              <w:t>*</w:t>
            </w:r>
          </w:p>
        </w:tc>
      </w:tr>
      <w:tr>
        <w:trPr>
          <w:trHeight w:val="250"/>
        </w:trPr>
        <w:tc>
          <w:tcPr>
            <w:tcW w:w="7200" w:type="dxa"/>
            <w:vAlign w:val="bottom"/>
            <w:shd w:val="clear" w:color="auto" w:fill="EAEFF9"/>
          </w:tcPr>
          <w:p>
            <w:pPr>
              <w:ind w:left="100"/>
              <w:spacing w:after="0"/>
              <w:rPr>
                <w:sz w:val="20"/>
                <w:szCs w:val="20"/>
                <w:color w:val="auto"/>
              </w:rPr>
            </w:pPr>
            <w:r>
              <w:rPr>
                <w:rFonts w:ascii="Arial" w:cs="Arial" w:eastAsia="Arial" w:hAnsi="Arial"/>
                <w:sz w:val="14"/>
                <w:szCs w:val="14"/>
                <w:color w:val="auto"/>
              </w:rPr>
              <w:t>Betsy S. Atkins (9)</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7,246</w:t>
            </w:r>
          </w:p>
        </w:tc>
        <w:tc>
          <w:tcPr>
            <w:tcW w:w="1900" w:type="dxa"/>
            <w:vAlign w:val="bottom"/>
            <w:shd w:val="clear" w:color="auto" w:fill="EAEFF9"/>
          </w:tcPr>
          <w:p>
            <w:pPr>
              <w:jc w:val="right"/>
              <w:ind w:right="449"/>
              <w:spacing w:after="0"/>
              <w:rPr>
                <w:sz w:val="20"/>
                <w:szCs w:val="20"/>
                <w:color w:val="auto"/>
              </w:rPr>
            </w:pPr>
            <w:r>
              <w:rPr>
                <w:rFonts w:ascii="Arial" w:cs="Arial" w:eastAsia="Arial" w:hAnsi="Arial"/>
                <w:sz w:val="14"/>
                <w:szCs w:val="14"/>
                <w:color w:val="auto"/>
              </w:rPr>
              <w:t>*</w:t>
            </w:r>
          </w:p>
        </w:tc>
      </w:tr>
      <w:tr>
        <w:trPr>
          <w:trHeight w:val="263"/>
        </w:trPr>
        <w:tc>
          <w:tcPr>
            <w:tcW w:w="7200" w:type="dxa"/>
            <w:vAlign w:val="bottom"/>
            <w:shd w:val="clear" w:color="auto" w:fill="E2E2D8"/>
          </w:tcPr>
          <w:p>
            <w:pPr>
              <w:ind w:left="100"/>
              <w:spacing w:after="0"/>
              <w:rPr>
                <w:sz w:val="20"/>
                <w:szCs w:val="20"/>
                <w:color w:val="auto"/>
              </w:rPr>
            </w:pPr>
            <w:r>
              <w:rPr>
                <w:rFonts w:ascii="Arial" w:cs="Arial" w:eastAsia="Arial" w:hAnsi="Arial"/>
                <w:sz w:val="14"/>
                <w:szCs w:val="14"/>
                <w:color w:val="auto"/>
              </w:rPr>
              <w:t>Richard J. Byrne (10)</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10,032</w:t>
            </w:r>
          </w:p>
        </w:tc>
        <w:tc>
          <w:tcPr>
            <w:tcW w:w="1900" w:type="dxa"/>
            <w:vAlign w:val="bottom"/>
            <w:shd w:val="clear" w:color="auto" w:fill="E2E2D8"/>
          </w:tcPr>
          <w:p>
            <w:pPr>
              <w:jc w:val="right"/>
              <w:ind w:right="449"/>
              <w:spacing w:after="0"/>
              <w:rPr>
                <w:sz w:val="20"/>
                <w:szCs w:val="20"/>
                <w:color w:val="auto"/>
              </w:rPr>
            </w:pPr>
            <w:r>
              <w:rPr>
                <w:rFonts w:ascii="Arial" w:cs="Arial" w:eastAsia="Arial" w:hAnsi="Arial"/>
                <w:sz w:val="14"/>
                <w:szCs w:val="14"/>
                <w:color w:val="auto"/>
              </w:rPr>
              <w:t>*</w:t>
            </w:r>
          </w:p>
        </w:tc>
      </w:tr>
      <w:tr>
        <w:trPr>
          <w:trHeight w:val="250"/>
        </w:trPr>
        <w:tc>
          <w:tcPr>
            <w:tcW w:w="7200" w:type="dxa"/>
            <w:vAlign w:val="bottom"/>
            <w:shd w:val="clear" w:color="auto" w:fill="EAEFF9"/>
          </w:tcPr>
          <w:p>
            <w:pPr>
              <w:ind w:left="100"/>
              <w:spacing w:after="0"/>
              <w:rPr>
                <w:sz w:val="20"/>
                <w:szCs w:val="20"/>
                <w:color w:val="auto"/>
              </w:rPr>
            </w:pPr>
            <w:r>
              <w:rPr>
                <w:rFonts w:ascii="Arial" w:cs="Arial" w:eastAsia="Arial" w:hAnsi="Arial"/>
                <w:sz w:val="14"/>
                <w:szCs w:val="14"/>
                <w:color w:val="auto"/>
              </w:rPr>
              <w:t>Margaret J. Myers (11)</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11,341</w:t>
            </w:r>
          </w:p>
        </w:tc>
        <w:tc>
          <w:tcPr>
            <w:tcW w:w="1900" w:type="dxa"/>
            <w:vAlign w:val="bottom"/>
            <w:shd w:val="clear" w:color="auto" w:fill="EAEFF9"/>
          </w:tcPr>
          <w:p>
            <w:pPr>
              <w:jc w:val="right"/>
              <w:ind w:right="449"/>
              <w:spacing w:after="0"/>
              <w:rPr>
                <w:sz w:val="20"/>
                <w:szCs w:val="20"/>
                <w:color w:val="auto"/>
              </w:rPr>
            </w:pPr>
            <w:r>
              <w:rPr>
                <w:rFonts w:ascii="Arial" w:cs="Arial" w:eastAsia="Arial" w:hAnsi="Arial"/>
                <w:sz w:val="14"/>
                <w:szCs w:val="14"/>
                <w:color w:val="auto"/>
              </w:rPr>
              <w:t>*</w:t>
            </w:r>
          </w:p>
        </w:tc>
      </w:tr>
      <w:tr>
        <w:trPr>
          <w:trHeight w:val="263"/>
        </w:trPr>
        <w:tc>
          <w:tcPr>
            <w:tcW w:w="7200" w:type="dxa"/>
            <w:vAlign w:val="bottom"/>
            <w:shd w:val="clear" w:color="auto" w:fill="E2E2D8"/>
          </w:tcPr>
          <w:p>
            <w:pPr>
              <w:ind w:left="100"/>
              <w:spacing w:after="0"/>
              <w:rPr>
                <w:sz w:val="20"/>
                <w:szCs w:val="20"/>
                <w:color w:val="auto"/>
              </w:rPr>
            </w:pPr>
            <w:r>
              <w:rPr>
                <w:rFonts w:ascii="Arial" w:cs="Arial" w:eastAsia="Arial" w:hAnsi="Arial"/>
                <w:sz w:val="14"/>
                <w:szCs w:val="14"/>
                <w:color w:val="auto"/>
              </w:rPr>
              <w:t>Winifred M. Webb (12)</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11,341</w:t>
            </w:r>
          </w:p>
        </w:tc>
        <w:tc>
          <w:tcPr>
            <w:tcW w:w="1900" w:type="dxa"/>
            <w:vAlign w:val="bottom"/>
            <w:shd w:val="clear" w:color="auto" w:fill="E2E2D8"/>
          </w:tcPr>
          <w:p>
            <w:pPr>
              <w:jc w:val="right"/>
              <w:ind w:right="449"/>
              <w:spacing w:after="0"/>
              <w:rPr>
                <w:sz w:val="20"/>
                <w:szCs w:val="20"/>
                <w:color w:val="auto"/>
              </w:rPr>
            </w:pPr>
            <w:r>
              <w:rPr>
                <w:rFonts w:ascii="Arial" w:cs="Arial" w:eastAsia="Arial" w:hAnsi="Arial"/>
                <w:sz w:val="14"/>
                <w:szCs w:val="14"/>
                <w:color w:val="auto"/>
              </w:rPr>
              <w:t>*</w:t>
            </w:r>
          </w:p>
        </w:tc>
      </w:tr>
      <w:tr>
        <w:trPr>
          <w:trHeight w:val="251"/>
        </w:trPr>
        <w:tc>
          <w:tcPr>
            <w:tcW w:w="7200" w:type="dxa"/>
            <w:vAlign w:val="bottom"/>
            <w:shd w:val="clear" w:color="auto" w:fill="EAEFF9"/>
          </w:tcPr>
          <w:p>
            <w:pPr>
              <w:ind w:left="100"/>
              <w:spacing w:after="0"/>
              <w:rPr>
                <w:sz w:val="20"/>
                <w:szCs w:val="20"/>
                <w:color w:val="auto"/>
              </w:rPr>
            </w:pPr>
            <w:r>
              <w:rPr>
                <w:rFonts w:ascii="Arial" w:cs="Arial" w:eastAsia="Arial" w:hAnsi="Arial"/>
                <w:sz w:val="14"/>
                <w:szCs w:val="14"/>
                <w:color w:val="auto"/>
              </w:rPr>
              <w:t>Jay L. Johnson (13)</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21,493</w:t>
            </w:r>
          </w:p>
        </w:tc>
        <w:tc>
          <w:tcPr>
            <w:tcW w:w="1900" w:type="dxa"/>
            <w:vAlign w:val="bottom"/>
            <w:shd w:val="clear" w:color="auto" w:fill="EAEFF9"/>
          </w:tcPr>
          <w:p>
            <w:pPr>
              <w:jc w:val="right"/>
              <w:ind w:right="449"/>
              <w:spacing w:after="0"/>
              <w:rPr>
                <w:sz w:val="20"/>
                <w:szCs w:val="20"/>
                <w:color w:val="auto"/>
              </w:rPr>
            </w:pPr>
            <w:r>
              <w:rPr>
                <w:rFonts w:ascii="Arial" w:cs="Arial" w:eastAsia="Arial" w:hAnsi="Arial"/>
                <w:sz w:val="14"/>
                <w:szCs w:val="14"/>
                <w:color w:val="auto"/>
              </w:rPr>
              <w:t>*</w:t>
            </w:r>
          </w:p>
        </w:tc>
      </w:tr>
      <w:tr>
        <w:trPr>
          <w:trHeight w:val="262"/>
        </w:trPr>
        <w:tc>
          <w:tcPr>
            <w:tcW w:w="7200" w:type="dxa"/>
            <w:vAlign w:val="bottom"/>
            <w:shd w:val="clear" w:color="auto" w:fill="E2E2D8"/>
          </w:tcPr>
          <w:p>
            <w:pPr>
              <w:ind w:left="100"/>
              <w:spacing w:after="0"/>
              <w:rPr>
                <w:sz w:val="20"/>
                <w:szCs w:val="20"/>
                <w:color w:val="auto"/>
              </w:rPr>
            </w:pPr>
            <w:r>
              <w:rPr>
                <w:rFonts w:ascii="Arial" w:cs="Arial" w:eastAsia="Arial" w:hAnsi="Arial"/>
                <w:sz w:val="14"/>
                <w:szCs w:val="14"/>
                <w:color w:val="auto"/>
              </w:rPr>
              <w:t>Patricia Mulroy (14)</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17,089</w:t>
            </w:r>
          </w:p>
        </w:tc>
        <w:tc>
          <w:tcPr>
            <w:tcW w:w="1900" w:type="dxa"/>
            <w:vAlign w:val="bottom"/>
            <w:shd w:val="clear" w:color="auto" w:fill="E2E2D8"/>
          </w:tcPr>
          <w:p>
            <w:pPr>
              <w:jc w:val="right"/>
              <w:ind w:right="449"/>
              <w:spacing w:after="0"/>
              <w:rPr>
                <w:sz w:val="20"/>
                <w:szCs w:val="20"/>
                <w:color w:val="auto"/>
              </w:rPr>
            </w:pPr>
            <w:r>
              <w:rPr>
                <w:rFonts w:ascii="Arial" w:cs="Arial" w:eastAsia="Arial" w:hAnsi="Arial"/>
                <w:sz w:val="14"/>
                <w:szCs w:val="14"/>
                <w:color w:val="auto"/>
              </w:rPr>
              <w:t>*</w:t>
            </w:r>
          </w:p>
        </w:tc>
      </w:tr>
      <w:tr>
        <w:trPr>
          <w:trHeight w:val="250"/>
        </w:trPr>
        <w:tc>
          <w:tcPr>
            <w:tcW w:w="7200" w:type="dxa"/>
            <w:vAlign w:val="bottom"/>
            <w:shd w:val="clear" w:color="auto" w:fill="EAEFF9"/>
          </w:tcPr>
          <w:p>
            <w:pPr>
              <w:ind w:left="100"/>
              <w:spacing w:after="0"/>
              <w:rPr>
                <w:sz w:val="20"/>
                <w:szCs w:val="20"/>
                <w:color w:val="auto"/>
              </w:rPr>
            </w:pPr>
            <w:r>
              <w:rPr>
                <w:rFonts w:ascii="Arial" w:cs="Arial" w:eastAsia="Arial" w:hAnsi="Arial"/>
                <w:sz w:val="14"/>
                <w:szCs w:val="14"/>
                <w:color w:val="auto"/>
              </w:rPr>
              <w:t>Clark T. Randt, Jr. (15)</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20,467</w:t>
            </w:r>
          </w:p>
        </w:tc>
        <w:tc>
          <w:tcPr>
            <w:tcW w:w="1900" w:type="dxa"/>
            <w:vAlign w:val="bottom"/>
            <w:shd w:val="clear" w:color="auto" w:fill="EAEFF9"/>
          </w:tcPr>
          <w:p>
            <w:pPr>
              <w:jc w:val="right"/>
              <w:ind w:right="449"/>
              <w:spacing w:after="0"/>
              <w:rPr>
                <w:sz w:val="20"/>
                <w:szCs w:val="20"/>
                <w:color w:val="auto"/>
              </w:rPr>
            </w:pPr>
            <w:r>
              <w:rPr>
                <w:rFonts w:ascii="Arial" w:cs="Arial" w:eastAsia="Arial" w:hAnsi="Arial"/>
                <w:sz w:val="14"/>
                <w:szCs w:val="14"/>
                <w:color w:val="auto"/>
              </w:rPr>
              <w:t>*</w:t>
            </w:r>
          </w:p>
        </w:tc>
      </w:tr>
      <w:tr>
        <w:trPr>
          <w:trHeight w:val="263"/>
        </w:trPr>
        <w:tc>
          <w:tcPr>
            <w:tcW w:w="7200" w:type="dxa"/>
            <w:vAlign w:val="bottom"/>
            <w:shd w:val="clear" w:color="auto" w:fill="E2E2D8"/>
          </w:tcPr>
          <w:p>
            <w:pPr>
              <w:ind w:left="100"/>
              <w:spacing w:after="0"/>
              <w:rPr>
                <w:sz w:val="20"/>
                <w:szCs w:val="20"/>
                <w:color w:val="auto"/>
              </w:rPr>
            </w:pPr>
            <w:r>
              <w:rPr>
                <w:rFonts w:ascii="Arial" w:cs="Arial" w:eastAsia="Arial" w:hAnsi="Arial"/>
                <w:sz w:val="14"/>
                <w:szCs w:val="14"/>
                <w:color w:val="auto"/>
              </w:rPr>
              <w:t>Darnell Strom (16)</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5,010</w:t>
            </w:r>
          </w:p>
        </w:tc>
        <w:tc>
          <w:tcPr>
            <w:tcW w:w="1900" w:type="dxa"/>
            <w:vAlign w:val="bottom"/>
            <w:shd w:val="clear" w:color="auto" w:fill="E2E2D8"/>
          </w:tcPr>
          <w:p>
            <w:pPr>
              <w:jc w:val="right"/>
              <w:ind w:right="449"/>
              <w:spacing w:after="0"/>
              <w:rPr>
                <w:sz w:val="20"/>
                <w:szCs w:val="20"/>
                <w:color w:val="auto"/>
              </w:rPr>
            </w:pPr>
            <w:r>
              <w:rPr>
                <w:rFonts w:ascii="Arial" w:cs="Arial" w:eastAsia="Arial" w:hAnsi="Arial"/>
                <w:sz w:val="14"/>
                <w:szCs w:val="14"/>
                <w:color w:val="auto"/>
              </w:rPr>
              <w:t>*</w:t>
            </w:r>
          </w:p>
        </w:tc>
      </w:tr>
      <w:tr>
        <w:trPr>
          <w:trHeight w:val="251"/>
        </w:trPr>
        <w:tc>
          <w:tcPr>
            <w:tcW w:w="7200" w:type="dxa"/>
            <w:vAlign w:val="bottom"/>
            <w:shd w:val="clear" w:color="auto" w:fill="EAEFF9"/>
          </w:tcPr>
          <w:p>
            <w:pPr>
              <w:ind w:left="100"/>
              <w:spacing w:after="0"/>
              <w:rPr>
                <w:sz w:val="20"/>
                <w:szCs w:val="20"/>
                <w:color w:val="auto"/>
              </w:rPr>
            </w:pPr>
            <w:r>
              <w:rPr>
                <w:rFonts w:ascii="Arial" w:cs="Arial" w:eastAsia="Arial" w:hAnsi="Arial"/>
                <w:sz w:val="14"/>
                <w:szCs w:val="14"/>
                <w:color w:val="auto"/>
              </w:rPr>
              <w:t>Craig S. Billings (17)</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220,926</w:t>
            </w:r>
          </w:p>
        </w:tc>
        <w:tc>
          <w:tcPr>
            <w:tcW w:w="1900" w:type="dxa"/>
            <w:vAlign w:val="bottom"/>
            <w:shd w:val="clear" w:color="auto" w:fill="EAEFF9"/>
          </w:tcPr>
          <w:p>
            <w:pPr>
              <w:jc w:val="right"/>
              <w:ind w:right="449"/>
              <w:spacing w:after="0"/>
              <w:rPr>
                <w:sz w:val="20"/>
                <w:szCs w:val="20"/>
                <w:color w:val="auto"/>
              </w:rPr>
            </w:pPr>
            <w:r>
              <w:rPr>
                <w:rFonts w:ascii="Arial" w:cs="Arial" w:eastAsia="Arial" w:hAnsi="Arial"/>
                <w:sz w:val="14"/>
                <w:szCs w:val="14"/>
                <w:color w:val="auto"/>
              </w:rPr>
              <w:t>*</w:t>
            </w:r>
          </w:p>
        </w:tc>
      </w:tr>
      <w:tr>
        <w:trPr>
          <w:trHeight w:val="262"/>
        </w:trPr>
        <w:tc>
          <w:tcPr>
            <w:tcW w:w="7200" w:type="dxa"/>
            <w:vAlign w:val="bottom"/>
            <w:shd w:val="clear" w:color="auto" w:fill="E2E2D8"/>
          </w:tcPr>
          <w:p>
            <w:pPr>
              <w:ind w:left="100"/>
              <w:spacing w:after="0"/>
              <w:rPr>
                <w:sz w:val="20"/>
                <w:szCs w:val="20"/>
                <w:color w:val="auto"/>
              </w:rPr>
            </w:pPr>
            <w:r>
              <w:rPr>
                <w:rFonts w:ascii="Arial" w:cs="Arial" w:eastAsia="Arial" w:hAnsi="Arial"/>
                <w:sz w:val="14"/>
                <w:szCs w:val="14"/>
                <w:color w:val="auto"/>
              </w:rPr>
              <w:t>Ellen F. Whittemore (18)</w:t>
            </w:r>
          </w:p>
        </w:tc>
        <w:tc>
          <w:tcPr>
            <w:tcW w:w="1920" w:type="dxa"/>
            <w:vAlign w:val="bottom"/>
            <w:shd w:val="clear" w:color="auto" w:fill="E2E2D8"/>
          </w:tcPr>
          <w:p>
            <w:pPr>
              <w:jc w:val="right"/>
              <w:ind w:right="450"/>
              <w:spacing w:after="0"/>
              <w:rPr>
                <w:sz w:val="20"/>
                <w:szCs w:val="20"/>
                <w:color w:val="auto"/>
              </w:rPr>
            </w:pPr>
            <w:r>
              <w:rPr>
                <w:rFonts w:ascii="Arial" w:cs="Arial" w:eastAsia="Arial" w:hAnsi="Arial"/>
                <w:sz w:val="14"/>
                <w:szCs w:val="14"/>
                <w:color w:val="auto"/>
              </w:rPr>
              <w:t>53,068</w:t>
            </w:r>
          </w:p>
        </w:tc>
        <w:tc>
          <w:tcPr>
            <w:tcW w:w="1900" w:type="dxa"/>
            <w:vAlign w:val="bottom"/>
            <w:shd w:val="clear" w:color="auto" w:fill="E2E2D8"/>
          </w:tcPr>
          <w:p>
            <w:pPr>
              <w:jc w:val="right"/>
              <w:ind w:right="449"/>
              <w:spacing w:after="0"/>
              <w:rPr>
                <w:sz w:val="20"/>
                <w:szCs w:val="20"/>
                <w:color w:val="auto"/>
              </w:rPr>
            </w:pPr>
            <w:r>
              <w:rPr>
                <w:rFonts w:ascii="Arial" w:cs="Arial" w:eastAsia="Arial" w:hAnsi="Arial"/>
                <w:sz w:val="14"/>
                <w:szCs w:val="14"/>
                <w:color w:val="auto"/>
              </w:rPr>
              <w:t>*</w:t>
            </w:r>
          </w:p>
        </w:tc>
      </w:tr>
      <w:tr>
        <w:trPr>
          <w:trHeight w:val="257"/>
        </w:trPr>
        <w:tc>
          <w:tcPr>
            <w:tcW w:w="7200" w:type="dxa"/>
            <w:vAlign w:val="bottom"/>
            <w:shd w:val="clear" w:color="auto" w:fill="EAEFF9"/>
          </w:tcPr>
          <w:p>
            <w:pPr>
              <w:ind w:left="100"/>
              <w:spacing w:after="0"/>
              <w:rPr>
                <w:sz w:val="20"/>
                <w:szCs w:val="20"/>
                <w:color w:val="auto"/>
              </w:rPr>
            </w:pPr>
            <w:r>
              <w:rPr>
                <w:rFonts w:ascii="Arial" w:cs="Arial" w:eastAsia="Arial" w:hAnsi="Arial"/>
                <w:sz w:val="14"/>
                <w:szCs w:val="14"/>
                <w:color w:val="auto"/>
              </w:rPr>
              <w:t>All current directors and executive officers as a group (11 persons) (19)</w:t>
            </w:r>
          </w:p>
        </w:tc>
        <w:tc>
          <w:tcPr>
            <w:tcW w:w="1920" w:type="dxa"/>
            <w:vAlign w:val="bottom"/>
            <w:shd w:val="clear" w:color="auto" w:fill="EAEFF9"/>
          </w:tcPr>
          <w:p>
            <w:pPr>
              <w:jc w:val="right"/>
              <w:ind w:right="450"/>
              <w:spacing w:after="0"/>
              <w:rPr>
                <w:sz w:val="20"/>
                <w:szCs w:val="20"/>
                <w:color w:val="auto"/>
              </w:rPr>
            </w:pPr>
            <w:r>
              <w:rPr>
                <w:rFonts w:ascii="Arial" w:cs="Arial" w:eastAsia="Arial" w:hAnsi="Arial"/>
                <w:sz w:val="14"/>
                <w:szCs w:val="14"/>
                <w:color w:val="auto"/>
              </w:rPr>
              <w:t>399,590</w:t>
            </w:r>
          </w:p>
        </w:tc>
        <w:tc>
          <w:tcPr>
            <w:tcW w:w="1900" w:type="dxa"/>
            <w:vAlign w:val="bottom"/>
            <w:shd w:val="clear" w:color="auto" w:fill="EAEFF9"/>
          </w:tcPr>
          <w:p>
            <w:pPr>
              <w:jc w:val="right"/>
              <w:ind w:right="449"/>
              <w:spacing w:after="0"/>
              <w:rPr>
                <w:sz w:val="20"/>
                <w:szCs w:val="20"/>
                <w:color w:val="auto"/>
              </w:rPr>
            </w:pPr>
            <w:r>
              <w:rPr>
                <w:rFonts w:ascii="Arial" w:cs="Arial" w:eastAsia="Arial" w:hAnsi="Arial"/>
                <w:sz w:val="14"/>
                <w:szCs w:val="14"/>
                <w:color w:val="auto"/>
              </w:rPr>
              <w:t>*</w:t>
            </w:r>
          </w:p>
        </w:tc>
      </w:tr>
    </w:tbl>
    <w:p>
      <w:pPr>
        <w:spacing w:after="0" w:line="1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Less than one percent</w:t>
      </w:r>
    </w:p>
    <w:p>
      <w:pPr>
        <w:spacing w:after="0" w:line="94" w:lineRule="exact"/>
        <w:rPr>
          <w:sz w:val="20"/>
          <w:szCs w:val="20"/>
          <w:color w:val="auto"/>
        </w:rPr>
      </w:pPr>
    </w:p>
    <w:p>
      <w:pPr>
        <w:jc w:val="both"/>
        <w:ind w:left="120" w:right="320" w:hanging="4"/>
        <w:spacing w:after="0" w:line="246" w:lineRule="auto"/>
        <w:tabs>
          <w:tab w:leader="none" w:pos="309"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9" w:lineRule="exact"/>
        <w:rPr>
          <w:rFonts w:ascii="Arial" w:cs="Arial" w:eastAsia="Arial" w:hAnsi="Arial"/>
          <w:sz w:val="12"/>
          <w:szCs w:val="12"/>
          <w:color w:val="auto"/>
        </w:rPr>
      </w:pPr>
    </w:p>
    <w:p>
      <w:pPr>
        <w:ind w:left="5780" w:hanging="160"/>
        <w:spacing w:after="0"/>
        <w:tabs>
          <w:tab w:leader="none" w:pos="57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57 //</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184"/>
        <w:spacing w:after="0"/>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Unless otherwise indicated, the address of each of the named parties in this table is: c/o Wynn Resorts, Limited, 3131 Las Vegas Boulevard South, Las Vegas, Nevada 89109.</w:t>
      </w:r>
    </w:p>
    <w:p>
      <w:pPr>
        <w:spacing w:after="0" w:line="93" w:lineRule="exact"/>
        <w:rPr>
          <w:rFonts w:ascii="Arial" w:cs="Arial" w:eastAsia="Arial" w:hAnsi="Arial"/>
          <w:sz w:val="13"/>
          <w:szCs w:val="13"/>
          <w:color w:val="auto"/>
        </w:rPr>
      </w:pPr>
    </w:p>
    <w:p>
      <w:pPr>
        <w:ind w:left="120" w:right="80" w:hanging="4"/>
        <w:spacing w:after="0" w:line="225" w:lineRule="auto"/>
        <w:tabs>
          <w:tab w:leader="none" w:pos="309"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Vanguard Group (“Vanguard”) has beneficial ownership of these shares as of December 31, 2021. Vanguard has sole dispositive power as to 10,517,143 shares, shared voting power as to 173,007 shares and shared dispositive power as to 423,725 shares. The information provided is based upon a Schedule 13G/A filed on February 10, 2022 by Vanguard. The number of common shares beneficially owned by the Vanguard Group may have changed since the filing of the Schedule 13G/A.</w:t>
      </w:r>
    </w:p>
    <w:p>
      <w:pPr>
        <w:spacing w:after="0" w:line="92" w:lineRule="exact"/>
        <w:rPr>
          <w:rFonts w:ascii="Arial" w:cs="Arial" w:eastAsia="Arial" w:hAnsi="Arial"/>
          <w:sz w:val="13"/>
          <w:szCs w:val="13"/>
          <w:color w:val="auto"/>
        </w:rPr>
      </w:pPr>
    </w:p>
    <w:p>
      <w:pPr>
        <w:ind w:left="120" w:hanging="4"/>
        <w:spacing w:after="0" w:line="225" w:lineRule="auto"/>
        <w:tabs>
          <w:tab w:leader="none" w:pos="309" w:val="left"/>
        </w:tabs>
        <w:numPr>
          <w:ilvl w:val="0"/>
          <w:numId w:val="60"/>
        </w:numPr>
        <w:rPr>
          <w:rFonts w:ascii="Arial" w:cs="Arial" w:eastAsia="Arial" w:hAnsi="Arial"/>
          <w:sz w:val="13"/>
          <w:szCs w:val="13"/>
          <w:color w:val="auto"/>
        </w:rPr>
      </w:pPr>
      <w:r>
        <w:rPr>
          <w:rFonts w:ascii="Arial" w:cs="Arial" w:eastAsia="Arial" w:hAnsi="Arial"/>
          <w:sz w:val="13"/>
          <w:szCs w:val="13"/>
          <w:color w:val="auto"/>
        </w:rPr>
        <w:t>T. Rowe Price Associates, Inc. (“Price Associates”) has beneficial ownership of these shares as of December 31, 2021. Price Associates has sole dispositive power as to 10,330,316 shares, and sole voting power as to 4,803,020 shares. The information provided is based upon a Schedule 13G/A filed on February 14, 2022 by Price Associates. The number of common shares beneficially owned by Price Associates may have changed since the filing of the Schedule 13G/A.</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information provided is based upon a Schedule 13D/A, dated August 6, 2018, filed by Elaine P. Wynn.</w:t>
      </w:r>
    </w:p>
    <w:p>
      <w:pPr>
        <w:spacing w:after="0" w:line="93" w:lineRule="exact"/>
        <w:rPr>
          <w:rFonts w:ascii="Arial" w:cs="Arial" w:eastAsia="Arial" w:hAnsi="Arial"/>
          <w:sz w:val="13"/>
          <w:szCs w:val="13"/>
          <w:color w:val="auto"/>
        </w:rPr>
      </w:pPr>
    </w:p>
    <w:p>
      <w:pPr>
        <w:ind w:left="120" w:right="240" w:hanging="4"/>
        <w:spacing w:after="0" w:line="225" w:lineRule="auto"/>
        <w:tabs>
          <w:tab w:leader="none" w:pos="309" w:val="left"/>
        </w:tabs>
        <w:numPr>
          <w:ilvl w:val="0"/>
          <w:numId w:val="60"/>
        </w:numPr>
        <w:rPr>
          <w:rFonts w:ascii="Arial" w:cs="Arial" w:eastAsia="Arial" w:hAnsi="Arial"/>
          <w:sz w:val="13"/>
          <w:szCs w:val="13"/>
          <w:color w:val="auto"/>
        </w:rPr>
      </w:pPr>
      <w:r>
        <w:rPr>
          <w:rFonts w:ascii="Arial" w:cs="Arial" w:eastAsia="Arial" w:hAnsi="Arial"/>
          <w:sz w:val="13"/>
          <w:szCs w:val="13"/>
          <w:color w:val="auto"/>
        </w:rPr>
        <w:t>Blackrock, Inc. (“Blackrock”) has beneficial ownership of these shares as of December 31, 2021. Blackrock has sole dispositive power as to 6,816,265 shares, and sole voting power as to 6,037,852 shares. The information provided is based upon a Schedule 13G/A filed on February 3, 2022 by Blackrock. The number of common shares beneficially owned by Blackrock may have changed since the filing of the Schedule 13G/A.</w:t>
      </w:r>
    </w:p>
    <w:p>
      <w:pPr>
        <w:spacing w:after="0" w:line="92" w:lineRule="exact"/>
        <w:rPr>
          <w:rFonts w:ascii="Arial" w:cs="Arial" w:eastAsia="Arial" w:hAnsi="Arial"/>
          <w:sz w:val="13"/>
          <w:szCs w:val="13"/>
          <w:color w:val="auto"/>
        </w:rPr>
      </w:pPr>
    </w:p>
    <w:p>
      <w:pPr>
        <w:ind w:left="120" w:hanging="4"/>
        <w:spacing w:after="0" w:line="225" w:lineRule="auto"/>
        <w:tabs>
          <w:tab w:leader="none" w:pos="309" w:val="left"/>
        </w:tabs>
        <w:numPr>
          <w:ilvl w:val="0"/>
          <w:numId w:val="60"/>
        </w:numPr>
        <w:rPr>
          <w:rFonts w:ascii="Arial" w:cs="Arial" w:eastAsia="Arial" w:hAnsi="Arial"/>
          <w:sz w:val="13"/>
          <w:szCs w:val="13"/>
          <w:color w:val="auto"/>
        </w:rPr>
      </w:pPr>
      <w:r>
        <w:rPr>
          <w:rFonts w:ascii="Arial" w:cs="Arial" w:eastAsia="Arial" w:hAnsi="Arial"/>
          <w:sz w:val="13"/>
          <w:szCs w:val="13"/>
          <w:color w:val="auto"/>
        </w:rPr>
        <w:t>Capital International Investors, a division of Capital Research and Management Company, has beneficial ownership of these shares as of December 31, 2021. Capital International Investors has sole dispositive power as to 5,902,114 shares, and sole voting power as to 5,902,108 shares. The information provided is based upon a Schedule 13G/A filed on February 11, 2022 by Capital International Investors. The number of common shares beneficially owned by Capital International Investors may have changed since the filing of the Schedule 13G/A.</w:t>
      </w:r>
    </w:p>
    <w:p>
      <w:pPr>
        <w:spacing w:after="0" w:line="92" w:lineRule="exact"/>
        <w:rPr>
          <w:rFonts w:ascii="Arial" w:cs="Arial" w:eastAsia="Arial" w:hAnsi="Arial"/>
          <w:sz w:val="13"/>
          <w:szCs w:val="13"/>
          <w:color w:val="auto"/>
        </w:rPr>
      </w:pPr>
    </w:p>
    <w:p>
      <w:pPr>
        <w:ind w:left="300" w:hanging="184"/>
        <w:spacing w:after="0"/>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(i) 2,894 shares of unvested restricted stock subject to vesting in accordance with Restricted Stock Agreements and (ii) 11,995 shares held indirectly through a family trust.</w:t>
      </w:r>
    </w:p>
    <w:p>
      <w:pPr>
        <w:spacing w:after="0" w:line="93" w:lineRule="exact"/>
        <w:rPr>
          <w:rFonts w:ascii="Arial" w:cs="Arial" w:eastAsia="Arial" w:hAnsi="Arial"/>
          <w:sz w:val="13"/>
          <w:szCs w:val="13"/>
          <w:color w:val="auto"/>
        </w:rPr>
      </w:pPr>
    </w:p>
    <w:p>
      <w:pPr>
        <w:ind w:left="300" w:hanging="184"/>
        <w:spacing w:after="0"/>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3,222 shares of unvested restricted stock subject to vesting in accordance with Restricted Stock Agreements.</w:t>
      </w:r>
    </w:p>
    <w:p>
      <w:pPr>
        <w:spacing w:after="0" w:line="93"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2,894 shares of unvested restricted stock subject to vesting in accordance with a Restricted Stock Agreement.</w:t>
      </w:r>
    </w:p>
    <w:p>
      <w:pPr>
        <w:spacing w:after="0" w:line="93"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3,222 shares of unvested restricted stock subject to vesting in accordance with Restricted Stock Agreements.</w:t>
      </w:r>
    </w:p>
    <w:p>
      <w:pPr>
        <w:spacing w:after="0" w:line="93"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3,222 shares of unvested restricted stock subject to vesting in accordance with Restricted Stock Agreements.</w:t>
      </w:r>
    </w:p>
    <w:p>
      <w:pPr>
        <w:spacing w:after="0" w:line="93" w:lineRule="exact"/>
        <w:rPr>
          <w:rFonts w:ascii="Arial" w:cs="Arial" w:eastAsia="Arial" w:hAnsi="Arial"/>
          <w:sz w:val="13"/>
          <w:szCs w:val="13"/>
          <w:color w:val="auto"/>
        </w:rPr>
      </w:pPr>
    </w:p>
    <w:p>
      <w:pPr>
        <w:ind w:left="120" w:right="400" w:hanging="4"/>
        <w:spacing w:after="0" w:line="230" w:lineRule="auto"/>
        <w:tabs>
          <w:tab w:leader="none" w:pos="379"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(i) 3,222 shares of unvested restricted stock subject to vesting in accordance with Restricted Stock Agreements, (ii) 10,000 shares subject to immediately exercisable options to purchase Wynn Resorts’ Common Stock, and (iii) 1,403 shares held indirectly through a family trust.</w:t>
      </w:r>
    </w:p>
    <w:p>
      <w:pPr>
        <w:spacing w:after="0" w:line="91" w:lineRule="exact"/>
        <w:rPr>
          <w:rFonts w:ascii="Arial" w:cs="Arial" w:eastAsia="Arial" w:hAnsi="Arial"/>
          <w:sz w:val="13"/>
          <w:szCs w:val="13"/>
          <w:color w:val="auto"/>
        </w:rPr>
      </w:pPr>
    </w:p>
    <w:p>
      <w:pPr>
        <w:ind w:left="120" w:right="480" w:hanging="4"/>
        <w:spacing w:after="0" w:line="230" w:lineRule="auto"/>
        <w:tabs>
          <w:tab w:leader="none" w:pos="379"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(i) 3,222 shares of unvested restricted stock subject to vesting in accordance with Restricted Stock Agreements, (ii) 6,700 shares subject to immediately exercisable options to purchase Wynn Resorts’ Common Stock and (iii) 3,082 shares held indirectly through a family trust.</w:t>
      </w:r>
    </w:p>
    <w:p>
      <w:pPr>
        <w:spacing w:after="0" w:line="91" w:lineRule="exact"/>
        <w:rPr>
          <w:rFonts w:ascii="Arial" w:cs="Arial" w:eastAsia="Arial" w:hAnsi="Arial"/>
          <w:sz w:val="13"/>
          <w:szCs w:val="13"/>
          <w:color w:val="auto"/>
        </w:rPr>
      </w:pPr>
    </w:p>
    <w:p>
      <w:pPr>
        <w:ind w:left="120" w:right="260" w:hanging="4"/>
        <w:spacing w:after="0" w:line="230" w:lineRule="auto"/>
        <w:tabs>
          <w:tab w:leader="none" w:pos="379"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(i) 3,222 shares of unvested restricted stock subject to vesting in accordance with Restricted Stock Agreements and (ii) 7,000 shares subject to immediately exercisable options to purchase Wynn Resorts’ Common Stock.</w:t>
      </w:r>
    </w:p>
    <w:p>
      <w:pPr>
        <w:spacing w:after="0" w:line="91"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2,010 shares of unvested restricted stock subject to vesting in accordance with Restricted Stock Agreements.</w:t>
      </w:r>
    </w:p>
    <w:p>
      <w:pPr>
        <w:spacing w:after="0" w:line="93"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117,837 shares of unvested restricted stock subject to vesting in accordance with Restricted Stock Agreements.</w:t>
      </w:r>
    </w:p>
    <w:p>
      <w:pPr>
        <w:spacing w:after="0" w:line="93"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25,849 shares of unvested restricted stock subject to vesting in accordance with Restricted Stock Agreements.</w:t>
      </w:r>
    </w:p>
    <w:p>
      <w:pPr>
        <w:spacing w:after="0" w:line="93" w:lineRule="exact"/>
        <w:rPr>
          <w:rFonts w:ascii="Arial" w:cs="Arial" w:eastAsia="Arial" w:hAnsi="Arial"/>
          <w:sz w:val="13"/>
          <w:szCs w:val="13"/>
          <w:color w:val="auto"/>
        </w:rPr>
      </w:pPr>
    </w:p>
    <w:p>
      <w:pPr>
        <w:ind w:left="380" w:hanging="264"/>
        <w:spacing w:after="0"/>
        <w:tabs>
          <w:tab w:leader="none" w:pos="3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23,700 shares subject to immediately exercisable stock options to purchase Wynn Resorts’ Common Stock.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31"/>
          <w:szCs w:val="31"/>
          <w:color w:val="auto"/>
        </w:rPr>
        <w:t>Section 16(a) beneficial ownership reporting compliance</w:t>
      </w:r>
    </w:p>
    <w:p>
      <w:pPr>
        <w:spacing w:after="0" w:line="2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2021.</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58 //</w:t>
      </w:r>
    </w:p>
    <w:p>
      <w:pPr>
        <w:sectPr>
          <w:pgSz w:w="11900" w:h="16838" w:orient="portrait"/>
          <w:cols w:equalWidth="0" w:num="1">
            <w:col w:w="11060"/>
          </w:cols>
          <w:pgMar w:left="320" w:top="459" w:right="51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94805" cy="88468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94805"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686550" cy="88468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8655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220345</wp:posOffset>
            </wp:positionV>
            <wp:extent cx="6789420" cy="88468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color w:val="auto"/>
        </w:rPr>
        <w:t>Proposal 1: Election of directors</w:t>
      </w:r>
    </w:p>
    <w:p>
      <w:pPr>
        <w:spacing w:after="0" w:line="211"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At the recommendation of the Company’s Nominating and Corporate Governance Committee, the Board is nominating the following individuals for election as Class II directors:</w:t>
      </w:r>
    </w:p>
    <w:p>
      <w:pPr>
        <w:spacing w:after="0" w:line="21" w:lineRule="exact"/>
        <w:rPr>
          <w:sz w:val="20"/>
          <w:szCs w:val="20"/>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Craig S. Billings</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Margaret J. Myers</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Winifred M. Webb</w:t>
      </w:r>
    </w:p>
    <w:p>
      <w:pPr>
        <w:spacing w:after="0" w:line="17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Board has nominated the three individuals listed above to serve as Class II directors for terms that commence upon election at the 2022 Annual Meeting. If elected at the 2022 Annual Meeting, each nominee would serve until the 2025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If any director nominee is not elected at the 2022 Annual Meeting, the remaining members of the Board may fill the resulting vacancy, or the Board may choose to reduce the size of the Board. Biographical and other information for our nominees and our current directors is provided in the “Director Biographies” section.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OUR BOARD OF DIRECTORS RECOMMENDS THAT YOU VOTE FOR THE ELECTION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31"/>
          <w:szCs w:val="31"/>
          <w:color w:val="auto"/>
        </w:rPr>
        <w:t>Proposal 2: Ratification of appointment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31"/>
          <w:szCs w:val="31"/>
          <w:color w:val="auto"/>
        </w:rPr>
        <w:t>of independent auditors</w:t>
      </w:r>
    </w:p>
    <w:p>
      <w:pPr>
        <w:spacing w:after="0" w:line="185"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2022. Representatives of Ernst &amp; Young LLP will participate in the virtual Annual Meeting and will be given an opportunity to make a statement. They also will be available to respond to appropriate questions.</w:t>
      </w:r>
    </w:p>
    <w:p>
      <w:pPr>
        <w:spacing w:after="0" w:line="164"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2022,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63 //</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AUDIT AND OTHER FEES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aggregate fees billed (or expected to be billed) to the Company for audit and other services provided by</w:t>
      </w:r>
    </w:p>
    <w:p>
      <w:pPr>
        <w:ind w:left="120"/>
        <w:spacing w:after="0"/>
        <w:rPr>
          <w:sz w:val="20"/>
          <w:szCs w:val="20"/>
          <w:color w:val="auto"/>
        </w:rPr>
      </w:pPr>
      <w:r>
        <w:rPr>
          <w:rFonts w:ascii="Arial" w:cs="Arial" w:eastAsia="Arial" w:hAnsi="Arial"/>
          <w:sz w:val="18"/>
          <w:szCs w:val="18"/>
          <w:color w:val="auto"/>
        </w:rPr>
        <w:t>Ernst &amp; Young LLP, the Company’s independent auditor, for each of the fiscal years ended December 31, 2021, and December 31, 2020:</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8280" w:type="dxa"/>
            <w:vAlign w:val="bottom"/>
            <w:tcBorders>
              <w:right w:val="single" w:sz="8" w:color="E2EDED"/>
            </w:tcBorders>
            <w:shd w:val="clear" w:color="auto" w:fill="140582"/>
          </w:tcPr>
          <w:p>
            <w:pPr>
              <w:spacing w:after="0"/>
              <w:rPr>
                <w:sz w:val="16"/>
                <w:szCs w:val="16"/>
                <w:color w:val="auto"/>
              </w:rPr>
            </w:pPr>
          </w:p>
        </w:tc>
        <w:tc>
          <w:tcPr>
            <w:tcW w:w="200" w:type="dxa"/>
            <w:vAlign w:val="bottom"/>
            <w:shd w:val="clear" w:color="auto" w:fill="140582"/>
          </w:tcPr>
          <w:p>
            <w:pPr>
              <w:spacing w:after="0"/>
              <w:rPr>
                <w:sz w:val="16"/>
                <w:szCs w:val="16"/>
                <w:color w:val="auto"/>
              </w:rPr>
            </w:pPr>
          </w:p>
        </w:tc>
        <w:tc>
          <w:tcPr>
            <w:tcW w:w="2540" w:type="dxa"/>
            <w:vAlign w:val="bottom"/>
            <w:gridSpan w:val="3"/>
            <w:shd w:val="clear" w:color="auto" w:fill="140582"/>
          </w:tcPr>
          <w:p>
            <w:pPr>
              <w:jc w:val="right"/>
              <w:ind w:right="992"/>
              <w:spacing w:after="0"/>
              <w:rPr>
                <w:sz w:val="20"/>
                <w:szCs w:val="20"/>
                <w:color w:val="auto"/>
              </w:rPr>
            </w:pPr>
            <w:r>
              <w:rPr>
                <w:rFonts w:ascii="Arial" w:cs="Arial" w:eastAsia="Arial" w:hAnsi="Arial"/>
                <w:sz w:val="11"/>
                <w:szCs w:val="11"/>
                <w:b w:val="1"/>
                <w:bCs w:val="1"/>
                <w:color w:val="FFFFFF"/>
              </w:rPr>
              <w:t>AGGREGATE FEES</w:t>
            </w:r>
          </w:p>
        </w:tc>
        <w:tc>
          <w:tcPr>
            <w:tcW w:w="0" w:type="dxa"/>
            <w:vAlign w:val="bottom"/>
          </w:tcPr>
          <w:p>
            <w:pPr>
              <w:spacing w:after="0"/>
              <w:rPr>
                <w:sz w:val="1"/>
                <w:szCs w:val="1"/>
                <w:color w:val="auto"/>
              </w:rPr>
            </w:pPr>
          </w:p>
        </w:tc>
      </w:tr>
      <w:tr>
        <w:trPr>
          <w:trHeight w:val="103"/>
        </w:trPr>
        <w:tc>
          <w:tcPr>
            <w:tcW w:w="8280" w:type="dxa"/>
            <w:vAlign w:val="bottom"/>
            <w:tcBorders>
              <w:right w:val="single" w:sz="8" w:color="E2EDED"/>
            </w:tcBorders>
            <w:vMerge w:val="restart"/>
            <w:shd w:val="clear" w:color="auto" w:fill="140582"/>
          </w:tcPr>
          <w:p>
            <w:pPr>
              <w:ind w:left="60"/>
              <w:spacing w:after="0"/>
              <w:rPr>
                <w:sz w:val="20"/>
                <w:szCs w:val="20"/>
                <w:color w:val="auto"/>
              </w:rPr>
            </w:pPr>
            <w:r>
              <w:rPr>
                <w:rFonts w:ascii="Arial" w:cs="Arial" w:eastAsia="Arial" w:hAnsi="Arial"/>
                <w:sz w:val="11"/>
                <w:szCs w:val="11"/>
                <w:b w:val="1"/>
                <w:bCs w:val="1"/>
                <w:color w:val="FFFFFF"/>
              </w:rPr>
              <w:t>CATEGORY</w:t>
            </w:r>
          </w:p>
        </w:tc>
        <w:tc>
          <w:tcPr>
            <w:tcW w:w="200" w:type="dxa"/>
            <w:vAlign w:val="bottom"/>
            <w:shd w:val="clear" w:color="auto" w:fill="140582"/>
          </w:tcPr>
          <w:p>
            <w:pPr>
              <w:spacing w:after="0"/>
              <w:rPr>
                <w:sz w:val="8"/>
                <w:szCs w:val="8"/>
                <w:color w:val="auto"/>
              </w:rPr>
            </w:pPr>
          </w:p>
        </w:tc>
        <w:tc>
          <w:tcPr>
            <w:tcW w:w="1040" w:type="dxa"/>
            <w:vAlign w:val="bottom"/>
            <w:vMerge w:val="restart"/>
            <w:shd w:val="clear" w:color="auto" w:fill="140582"/>
          </w:tcPr>
          <w:p>
            <w:pPr>
              <w:jc w:val="right"/>
              <w:ind w:right="554"/>
              <w:spacing w:after="0"/>
              <w:rPr>
                <w:sz w:val="20"/>
                <w:szCs w:val="20"/>
                <w:color w:val="auto"/>
              </w:rPr>
            </w:pPr>
            <w:r>
              <w:rPr>
                <w:rFonts w:ascii="Arial" w:cs="Arial" w:eastAsia="Arial" w:hAnsi="Arial"/>
                <w:sz w:val="11"/>
                <w:szCs w:val="11"/>
                <w:b w:val="1"/>
                <w:bCs w:val="1"/>
                <w:color w:val="FFFFFF"/>
              </w:rPr>
              <w:t>2021</w:t>
            </w:r>
          </w:p>
        </w:tc>
        <w:tc>
          <w:tcPr>
            <w:tcW w:w="320" w:type="dxa"/>
            <w:vAlign w:val="bottom"/>
            <w:tcBorders>
              <w:left w:val="single" w:sz="8" w:color="140582"/>
            </w:tcBorders>
            <w:shd w:val="clear" w:color="auto" w:fill="140582"/>
          </w:tcPr>
          <w:p>
            <w:pPr>
              <w:spacing w:after="0"/>
              <w:rPr>
                <w:sz w:val="8"/>
                <w:szCs w:val="8"/>
                <w:color w:val="auto"/>
              </w:rPr>
            </w:pPr>
          </w:p>
        </w:tc>
        <w:tc>
          <w:tcPr>
            <w:tcW w:w="1180" w:type="dxa"/>
            <w:vAlign w:val="bottom"/>
            <w:vMerge w:val="restart"/>
            <w:shd w:val="clear" w:color="auto" w:fill="140582"/>
          </w:tcPr>
          <w:p>
            <w:pPr>
              <w:jc w:val="right"/>
              <w:ind w:right="692"/>
              <w:spacing w:after="0"/>
              <w:rPr>
                <w:sz w:val="20"/>
                <w:szCs w:val="20"/>
                <w:color w:val="auto"/>
              </w:rPr>
            </w:pPr>
            <w:r>
              <w:rPr>
                <w:rFonts w:ascii="Arial" w:cs="Arial" w:eastAsia="Arial" w:hAnsi="Arial"/>
                <w:sz w:val="11"/>
                <w:szCs w:val="11"/>
                <w:b w:val="1"/>
                <w:bCs w:val="1"/>
                <w:color w:val="FFFFFF"/>
              </w:rPr>
              <w:t>2020</w:t>
            </w:r>
          </w:p>
        </w:tc>
        <w:tc>
          <w:tcPr>
            <w:tcW w:w="0" w:type="dxa"/>
            <w:vAlign w:val="bottom"/>
          </w:tcPr>
          <w:p>
            <w:pPr>
              <w:spacing w:after="0"/>
              <w:rPr>
                <w:sz w:val="1"/>
                <w:szCs w:val="1"/>
                <w:color w:val="auto"/>
              </w:rPr>
            </w:pPr>
          </w:p>
        </w:tc>
      </w:tr>
      <w:tr>
        <w:trPr>
          <w:trHeight w:val="194"/>
        </w:trPr>
        <w:tc>
          <w:tcPr>
            <w:tcW w:w="8280" w:type="dxa"/>
            <w:vAlign w:val="bottom"/>
            <w:tcBorders>
              <w:right w:val="single" w:sz="8" w:color="E2EDED"/>
            </w:tcBorders>
            <w:vMerge w:val="continue"/>
            <w:shd w:val="clear" w:color="auto" w:fill="140582"/>
          </w:tcPr>
          <w:p>
            <w:pPr>
              <w:spacing w:after="0"/>
              <w:rPr>
                <w:sz w:val="16"/>
                <w:szCs w:val="16"/>
                <w:color w:val="auto"/>
              </w:rPr>
            </w:pPr>
          </w:p>
        </w:tc>
        <w:tc>
          <w:tcPr>
            <w:tcW w:w="200" w:type="dxa"/>
            <w:vAlign w:val="bottom"/>
            <w:shd w:val="clear" w:color="auto" w:fill="140582"/>
          </w:tcPr>
          <w:p>
            <w:pPr>
              <w:spacing w:after="0"/>
              <w:rPr>
                <w:sz w:val="16"/>
                <w:szCs w:val="16"/>
                <w:color w:val="auto"/>
              </w:rPr>
            </w:pPr>
          </w:p>
        </w:tc>
        <w:tc>
          <w:tcPr>
            <w:tcW w:w="1040" w:type="dxa"/>
            <w:vAlign w:val="bottom"/>
            <w:vMerge w:val="continue"/>
            <w:shd w:val="clear" w:color="auto" w:fill="140582"/>
          </w:tcPr>
          <w:p>
            <w:pPr>
              <w:spacing w:after="0"/>
              <w:rPr>
                <w:sz w:val="16"/>
                <w:szCs w:val="16"/>
                <w:color w:val="auto"/>
              </w:rPr>
            </w:pPr>
          </w:p>
        </w:tc>
        <w:tc>
          <w:tcPr>
            <w:tcW w:w="320" w:type="dxa"/>
            <w:vAlign w:val="bottom"/>
            <w:tcBorders>
              <w:left w:val="single" w:sz="8" w:color="E2EDED"/>
            </w:tcBorders>
            <w:shd w:val="clear" w:color="auto" w:fill="140582"/>
          </w:tcPr>
          <w:p>
            <w:pPr>
              <w:spacing w:after="0"/>
              <w:rPr>
                <w:sz w:val="16"/>
                <w:szCs w:val="16"/>
                <w:color w:val="auto"/>
              </w:rPr>
            </w:pPr>
          </w:p>
        </w:tc>
        <w:tc>
          <w:tcPr>
            <w:tcW w:w="1180" w:type="dxa"/>
            <w:vAlign w:val="bottom"/>
            <w:vMerge w:val="continue"/>
            <w:shd w:val="clear" w:color="auto" w:fill="140582"/>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8280" w:type="dxa"/>
            <w:vAlign w:val="bottom"/>
            <w:tcBorders>
              <w:right w:val="single" w:sz="8" w:color="E2EDED"/>
            </w:tcBorders>
            <w:shd w:val="clear" w:color="auto" w:fill="140582"/>
          </w:tcPr>
          <w:p>
            <w:pPr>
              <w:spacing w:after="0"/>
              <w:rPr>
                <w:sz w:val="8"/>
                <w:szCs w:val="8"/>
                <w:color w:val="auto"/>
              </w:rPr>
            </w:pPr>
          </w:p>
        </w:tc>
        <w:tc>
          <w:tcPr>
            <w:tcW w:w="200" w:type="dxa"/>
            <w:vAlign w:val="bottom"/>
            <w:shd w:val="clear" w:color="auto" w:fill="140582"/>
          </w:tcPr>
          <w:p>
            <w:pPr>
              <w:spacing w:after="0"/>
              <w:rPr>
                <w:sz w:val="8"/>
                <w:szCs w:val="8"/>
                <w:color w:val="auto"/>
              </w:rPr>
            </w:pPr>
          </w:p>
        </w:tc>
        <w:tc>
          <w:tcPr>
            <w:tcW w:w="1040" w:type="dxa"/>
            <w:vAlign w:val="bottom"/>
            <w:shd w:val="clear" w:color="auto" w:fill="140582"/>
          </w:tcPr>
          <w:p>
            <w:pPr>
              <w:spacing w:after="0"/>
              <w:rPr>
                <w:sz w:val="8"/>
                <w:szCs w:val="8"/>
                <w:color w:val="auto"/>
              </w:rPr>
            </w:pPr>
          </w:p>
        </w:tc>
        <w:tc>
          <w:tcPr>
            <w:tcW w:w="320" w:type="dxa"/>
            <w:vAlign w:val="bottom"/>
            <w:tcBorders>
              <w:left w:val="single" w:sz="8" w:color="E2EDED"/>
            </w:tcBorders>
            <w:shd w:val="clear" w:color="auto" w:fill="140582"/>
          </w:tcPr>
          <w:p>
            <w:pPr>
              <w:spacing w:after="0"/>
              <w:rPr>
                <w:sz w:val="8"/>
                <w:szCs w:val="8"/>
                <w:color w:val="auto"/>
              </w:rPr>
            </w:pPr>
          </w:p>
        </w:tc>
        <w:tc>
          <w:tcPr>
            <w:tcW w:w="1180" w:type="dxa"/>
            <w:vAlign w:val="bottom"/>
            <w:shd w:val="clear" w:color="auto" w:fill="140582"/>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8280" w:type="dxa"/>
            <w:vAlign w:val="bottom"/>
            <w:tcBorders>
              <w:right w:val="single" w:sz="8" w:color="E2EDED"/>
            </w:tcBorders>
            <w:shd w:val="clear" w:color="auto" w:fill="D0CDE6"/>
          </w:tcPr>
          <w:p>
            <w:pPr>
              <w:ind w:left="60"/>
              <w:spacing w:after="0"/>
              <w:rPr>
                <w:sz w:val="20"/>
                <w:szCs w:val="20"/>
                <w:color w:val="auto"/>
              </w:rPr>
            </w:pPr>
            <w:r>
              <w:rPr>
                <w:rFonts w:ascii="Arial" w:cs="Arial" w:eastAsia="Arial" w:hAnsi="Arial"/>
                <w:sz w:val="14"/>
                <w:szCs w:val="14"/>
                <w:color w:val="auto"/>
              </w:rPr>
              <w:t>Audit fees</w:t>
            </w:r>
          </w:p>
        </w:tc>
        <w:tc>
          <w:tcPr>
            <w:tcW w:w="200" w:type="dxa"/>
            <w:vAlign w:val="bottom"/>
            <w:shd w:val="clear" w:color="auto" w:fill="D0CDE6"/>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CDE6"/>
          </w:tcPr>
          <w:p>
            <w:pPr>
              <w:jc w:val="right"/>
              <w:ind w:right="314"/>
              <w:spacing w:after="0"/>
              <w:rPr>
                <w:sz w:val="20"/>
                <w:szCs w:val="20"/>
                <w:color w:val="auto"/>
              </w:rPr>
            </w:pPr>
            <w:r>
              <w:rPr>
                <w:rFonts w:ascii="Arial" w:cs="Arial" w:eastAsia="Arial" w:hAnsi="Arial"/>
                <w:sz w:val="14"/>
                <w:szCs w:val="14"/>
                <w:color w:val="auto"/>
              </w:rPr>
              <w:t>5,520,862</w:t>
            </w:r>
          </w:p>
        </w:tc>
        <w:tc>
          <w:tcPr>
            <w:tcW w:w="320" w:type="dxa"/>
            <w:vAlign w:val="bottom"/>
            <w:tcBorders>
              <w:left w:val="single" w:sz="8" w:color="E2EDED"/>
            </w:tcBorders>
            <w:shd w:val="clear" w:color="auto" w:fill="D0CDE6"/>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0CDE6"/>
          </w:tcPr>
          <w:p>
            <w:pPr>
              <w:jc w:val="right"/>
              <w:ind w:right="432"/>
              <w:spacing w:after="0"/>
              <w:rPr>
                <w:sz w:val="20"/>
                <w:szCs w:val="20"/>
                <w:color w:val="auto"/>
              </w:rPr>
            </w:pPr>
            <w:r>
              <w:rPr>
                <w:rFonts w:ascii="Arial" w:cs="Arial" w:eastAsia="Arial" w:hAnsi="Arial"/>
                <w:sz w:val="14"/>
                <w:szCs w:val="14"/>
                <w:color w:val="auto"/>
              </w:rPr>
              <w:t>4,468,680</w:t>
            </w:r>
          </w:p>
        </w:tc>
        <w:tc>
          <w:tcPr>
            <w:tcW w:w="0" w:type="dxa"/>
            <w:vAlign w:val="bottom"/>
          </w:tcPr>
          <w:p>
            <w:pPr>
              <w:spacing w:after="0"/>
              <w:rPr>
                <w:sz w:val="1"/>
                <w:szCs w:val="1"/>
                <w:color w:val="auto"/>
              </w:rPr>
            </w:pPr>
          </w:p>
        </w:tc>
      </w:tr>
      <w:tr>
        <w:trPr>
          <w:trHeight w:val="162"/>
        </w:trPr>
        <w:tc>
          <w:tcPr>
            <w:tcW w:w="828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Audit-related fees</w:t>
            </w:r>
          </w:p>
        </w:tc>
        <w:tc>
          <w:tcPr>
            <w:tcW w:w="200" w:type="dxa"/>
            <w:vAlign w:val="bottom"/>
            <w:shd w:val="clear" w:color="auto" w:fill="FCFCF7"/>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FCF7"/>
          </w:tcPr>
          <w:p>
            <w:pPr>
              <w:jc w:val="right"/>
              <w:ind w:right="314"/>
              <w:spacing w:after="0"/>
              <w:rPr>
                <w:sz w:val="20"/>
                <w:szCs w:val="20"/>
                <w:color w:val="auto"/>
              </w:rPr>
            </w:pPr>
            <w:r>
              <w:rPr>
                <w:rFonts w:ascii="Arial" w:cs="Arial" w:eastAsia="Arial" w:hAnsi="Arial"/>
                <w:sz w:val="14"/>
                <w:szCs w:val="14"/>
                <w:color w:val="auto"/>
              </w:rPr>
              <w:t>492,129</w:t>
            </w:r>
          </w:p>
        </w:tc>
        <w:tc>
          <w:tcPr>
            <w:tcW w:w="320" w:type="dxa"/>
            <w:vAlign w:val="bottom"/>
            <w:tcBorders>
              <w:left w:val="single" w:sz="8" w:color="E2EDED"/>
            </w:tcBorders>
            <w:shd w:val="clear" w:color="auto" w:fill="FCFCF7"/>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CFCF7"/>
          </w:tcPr>
          <w:p>
            <w:pPr>
              <w:jc w:val="right"/>
              <w:ind w:right="432"/>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62"/>
        </w:trPr>
        <w:tc>
          <w:tcPr>
            <w:tcW w:w="8280" w:type="dxa"/>
            <w:vAlign w:val="bottom"/>
            <w:tcBorders>
              <w:right w:val="single" w:sz="8" w:color="E2EDED"/>
            </w:tcBorders>
            <w:shd w:val="clear" w:color="auto" w:fill="D0CDE6"/>
          </w:tcPr>
          <w:p>
            <w:pPr>
              <w:ind w:left="60"/>
              <w:spacing w:after="0"/>
              <w:rPr>
                <w:sz w:val="20"/>
                <w:szCs w:val="20"/>
                <w:color w:val="auto"/>
              </w:rPr>
            </w:pPr>
            <w:r>
              <w:rPr>
                <w:rFonts w:ascii="Arial" w:cs="Arial" w:eastAsia="Arial" w:hAnsi="Arial"/>
                <w:sz w:val="14"/>
                <w:szCs w:val="14"/>
                <w:color w:val="auto"/>
              </w:rPr>
              <w:t>Tax fees</w:t>
            </w:r>
          </w:p>
        </w:tc>
        <w:tc>
          <w:tcPr>
            <w:tcW w:w="200" w:type="dxa"/>
            <w:vAlign w:val="bottom"/>
            <w:shd w:val="clear" w:color="auto" w:fill="D0CDE6"/>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0CDE6"/>
          </w:tcPr>
          <w:p>
            <w:pPr>
              <w:jc w:val="right"/>
              <w:ind w:right="314"/>
              <w:spacing w:after="0"/>
              <w:rPr>
                <w:sz w:val="20"/>
                <w:szCs w:val="20"/>
                <w:color w:val="auto"/>
              </w:rPr>
            </w:pPr>
            <w:r>
              <w:rPr>
                <w:rFonts w:ascii="Arial" w:cs="Arial" w:eastAsia="Arial" w:hAnsi="Arial"/>
                <w:sz w:val="14"/>
                <w:szCs w:val="14"/>
                <w:color w:val="auto"/>
              </w:rPr>
              <w:t>5,000</w:t>
            </w:r>
          </w:p>
        </w:tc>
        <w:tc>
          <w:tcPr>
            <w:tcW w:w="320" w:type="dxa"/>
            <w:vAlign w:val="bottom"/>
            <w:tcBorders>
              <w:left w:val="single" w:sz="8" w:color="E2EDED"/>
            </w:tcBorders>
            <w:shd w:val="clear" w:color="auto" w:fill="D0CDE6"/>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0CDE6"/>
          </w:tcPr>
          <w:p>
            <w:pPr>
              <w:jc w:val="right"/>
              <w:ind w:right="432"/>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62"/>
        </w:trPr>
        <w:tc>
          <w:tcPr>
            <w:tcW w:w="828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All other fees</w:t>
            </w:r>
          </w:p>
        </w:tc>
        <w:tc>
          <w:tcPr>
            <w:tcW w:w="200" w:type="dxa"/>
            <w:vAlign w:val="bottom"/>
            <w:shd w:val="clear" w:color="auto" w:fill="FCFCF7"/>
          </w:tcPr>
          <w:p>
            <w:pPr>
              <w:spacing w:after="0"/>
              <w:rPr>
                <w:sz w:val="14"/>
                <w:szCs w:val="14"/>
                <w:color w:val="auto"/>
              </w:rPr>
            </w:pPr>
          </w:p>
        </w:tc>
        <w:tc>
          <w:tcPr>
            <w:tcW w:w="1040" w:type="dxa"/>
            <w:vAlign w:val="bottom"/>
            <w:shd w:val="clear" w:color="auto" w:fill="FCFCF7"/>
          </w:tcPr>
          <w:p>
            <w:pPr>
              <w:jc w:val="right"/>
              <w:ind w:right="314"/>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E2EDED"/>
            </w:tcBorders>
            <w:shd w:val="clear" w:color="auto" w:fill="FCFCF7"/>
          </w:tcPr>
          <w:p>
            <w:pPr>
              <w:spacing w:after="0"/>
              <w:rPr>
                <w:sz w:val="14"/>
                <w:szCs w:val="14"/>
                <w:color w:val="auto"/>
              </w:rPr>
            </w:pPr>
          </w:p>
        </w:tc>
        <w:tc>
          <w:tcPr>
            <w:tcW w:w="1180" w:type="dxa"/>
            <w:vAlign w:val="bottom"/>
            <w:shd w:val="clear" w:color="auto" w:fill="FCFCF7"/>
          </w:tcPr>
          <w:p>
            <w:pPr>
              <w:jc w:val="right"/>
              <w:ind w:right="4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-599440</wp:posOffset>
            </wp:positionV>
            <wp:extent cx="17487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6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2021 and 2020, and for the audit of our internal controls over financial reporting as of December 31, 2021 and 2020. “Audit fees” also include fees for services provided in connection with securities offerings, audit-related accounting consultations and statutory audits of certain subsidiaries of the Company. “Audit-related fees” include the aggregate fees for the audit of the Company’s defined contribution employee benefit plan, and fees for pre-acquisition audits of an acquired company. “Tax fees” include fees for domestic tax planning and other research.</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PRE-APPROVAL POLICY</w:t>
      </w:r>
    </w:p>
    <w:p>
      <w:pPr>
        <w:spacing w:after="0" w:line="1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6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pre-approved all fees related to services provided by Ernst &amp; Young LLP in 2021.</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REPORT OF THE AUDIT COMMITTEE</w:t>
      </w:r>
    </w:p>
    <w:p>
      <w:pPr>
        <w:spacing w:after="0" w:line="13"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The Audit Committee is comprised of the five members named below. As required by our committee charter, each member of the Audit Committee has been determined to be an independent director, as defined under the NASDAQ listing rules and the rules of SEC. In addition, the Board has determined that three of the five committee members (Mr. Byrne, Adm. Johnson and Ms. Webb) are Audit Committee financial experts, as defined by SEC rules.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2021, we held six full committee meetings.</w:t>
      </w:r>
    </w:p>
    <w:p>
      <w:pPr>
        <w:spacing w:after="0" w:line="212"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Our purpose and responsibilities are set forth in our committee charter, which is approved and adopted by the Board and is available on the Company’s website at http://www.wynnresorts.com under the heading “Corporate Governance” on the Company Information page. The Audit Committee charter is reviewed and updated, as appropriate, to address changes in regulatory requirements, authoritative guidance, evolving oversight practices and investor feedback.</w:t>
      </w:r>
    </w:p>
    <w:p>
      <w:pPr>
        <w:spacing w:after="0" w:line="3"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64 //</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20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fulfilling our oversight duties, at each regular quarterly meeting of the Audit Committee, we met separately in executive session with Ernst &amp; Young LLP, our independent registered public accountants, as well with each of the Company’s General Counsel, Chief Audit Executive (who heads internal audit), Chief Financial Officer, and Global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20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Ernst &amp; Young LLP has served as the Company’s independent registered public accountants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2022.</w:t>
      </w:r>
    </w:p>
    <w:p>
      <w:pPr>
        <w:spacing w:after="0" w:line="20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addition to the activities discussed above, prior to the Company’s filing of its Annual Report on Form 10-K for the year ended December 31, 2021 with the SEC, we reviewed and discussed with management the Company’s audited financial statements for the year ended December 31, 2021. We discussed with the independent registered public accounting firm the matters required to be discussed by the applicable standards of the PCAOB,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2021, filed with the SEC.</w:t>
      </w:r>
    </w:p>
    <w:p>
      <w:pPr>
        <w:spacing w:after="0" w:line="158"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Winifred M. Webb, Chair</w:t>
      </w:r>
    </w:p>
    <w:p>
      <w:pPr>
        <w:ind w:left="6080"/>
        <w:spacing w:after="0" w:line="234" w:lineRule="auto"/>
        <w:rPr>
          <w:sz w:val="20"/>
          <w:szCs w:val="20"/>
          <w:color w:val="auto"/>
        </w:rPr>
      </w:pPr>
      <w:r>
        <w:rPr>
          <w:rFonts w:ascii="Arial" w:cs="Arial" w:eastAsia="Arial" w:hAnsi="Arial"/>
          <w:sz w:val="18"/>
          <w:szCs w:val="18"/>
          <w:color w:val="auto"/>
        </w:rPr>
        <w:t>Richard J. Byrne</w:t>
      </w:r>
    </w:p>
    <w:p>
      <w:pPr>
        <w:ind w:left="6080"/>
        <w:spacing w:after="0" w:line="235" w:lineRule="auto"/>
        <w:rPr>
          <w:sz w:val="20"/>
          <w:szCs w:val="20"/>
          <w:color w:val="auto"/>
        </w:rPr>
      </w:pPr>
      <w:r>
        <w:rPr>
          <w:rFonts w:ascii="Arial" w:cs="Arial" w:eastAsia="Arial" w:hAnsi="Arial"/>
          <w:sz w:val="18"/>
          <w:szCs w:val="18"/>
          <w:color w:val="auto"/>
        </w:rPr>
        <w:t>Jay L. Johnson</w:t>
      </w:r>
    </w:p>
    <w:p>
      <w:pPr>
        <w:ind w:left="6080"/>
        <w:spacing w:after="0" w:line="235" w:lineRule="auto"/>
        <w:rPr>
          <w:sz w:val="20"/>
          <w:szCs w:val="20"/>
          <w:color w:val="auto"/>
        </w:rPr>
      </w:pPr>
      <w:r>
        <w:rPr>
          <w:rFonts w:ascii="Arial" w:cs="Arial" w:eastAsia="Arial" w:hAnsi="Arial"/>
          <w:sz w:val="18"/>
          <w:szCs w:val="18"/>
          <w:color w:val="auto"/>
        </w:rPr>
        <w:t>Patricia Mulroy</w:t>
      </w:r>
    </w:p>
    <w:p>
      <w:pPr>
        <w:ind w:left="6080"/>
        <w:spacing w:after="0"/>
        <w:rPr>
          <w:sz w:val="20"/>
          <w:szCs w:val="20"/>
          <w:color w:val="auto"/>
        </w:rPr>
      </w:pPr>
      <w:r>
        <w:rPr>
          <w:rFonts w:ascii="Arial" w:cs="Arial" w:eastAsia="Arial" w:hAnsi="Arial"/>
          <w:sz w:val="18"/>
          <w:szCs w:val="18"/>
          <w:color w:val="auto"/>
        </w:rPr>
        <w:t>Darnell O. Strom</w:t>
      </w:r>
    </w:p>
    <w:p>
      <w:pPr>
        <w:spacing w:after="0" w:line="159" w:lineRule="exact"/>
        <w:rPr>
          <w:sz w:val="20"/>
          <w:szCs w:val="20"/>
          <w:color w:val="auto"/>
        </w:rPr>
      </w:pPr>
    </w:p>
    <w:p>
      <w:pPr>
        <w:ind w:left="120" w:right="80"/>
        <w:spacing w:after="0" w:line="285" w:lineRule="auto"/>
        <w:rPr>
          <w:sz w:val="20"/>
          <w:szCs w:val="20"/>
          <w:color w:val="auto"/>
        </w:rPr>
      </w:pPr>
      <w:r>
        <w:rPr>
          <w:rFonts w:ascii="Arial" w:cs="Arial" w:eastAsia="Arial" w:hAnsi="Arial"/>
          <w:sz w:val="14"/>
          <w:szCs w:val="14"/>
          <w:b w:val="1"/>
          <w:bCs w:val="1"/>
          <w:color w:val="140582"/>
        </w:rPr>
        <w:t>OUR BOARD OF DIRECTORS RECOMMENDS THAT YOU VOTE FOR THE RATIFICATION OF THE APPOINTMENT OF ERNST &amp; YOUNG LLP AS THE COMPANY’S INDEPENDENT AUDITORS FOR THE YEAR 2022.</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65 //</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4200"/>
        <w:spacing w:after="0" w:line="259" w:lineRule="auto"/>
        <w:rPr>
          <w:sz w:val="20"/>
          <w:szCs w:val="20"/>
          <w:color w:val="auto"/>
        </w:rPr>
      </w:pPr>
      <w:r>
        <w:rPr>
          <w:rFonts w:ascii="Arial" w:cs="Arial" w:eastAsia="Arial" w:hAnsi="Arial"/>
          <w:sz w:val="31"/>
          <w:szCs w:val="31"/>
          <w:color w:val="auto"/>
        </w:rPr>
        <w:t>Proposal 3: Advisory vote to approve the compensation of named executive officers</w:t>
      </w:r>
    </w:p>
    <w:p>
      <w:pPr>
        <w:spacing w:after="0" w:line="149" w:lineRule="exact"/>
        <w:rPr>
          <w:sz w:val="20"/>
          <w:szCs w:val="20"/>
          <w:color w:val="auto"/>
        </w:rPr>
      </w:pPr>
    </w:p>
    <w:p>
      <w:pPr>
        <w:ind w:left="120" w:right="140"/>
        <w:spacing w:after="0" w:line="257" w:lineRule="auto"/>
        <w:rPr>
          <w:sz w:val="20"/>
          <w:szCs w:val="20"/>
          <w:color w:val="auto"/>
        </w:rPr>
      </w:pPr>
      <w:r>
        <w:rPr>
          <w:rFonts w:ascii="Arial" w:cs="Arial" w:eastAsia="Arial" w:hAnsi="Arial"/>
          <w:sz w:val="17"/>
          <w:szCs w:val="17"/>
          <w:color w:val="auto"/>
        </w:rPr>
        <w:t>In accordance with Section 14A of the Exchange Act (which was added by the Dodd-Frank Wall Street Reform and Consumer Protection Act (the “Dodd Frank Act”)) and the related rules of the SEC, the Company will present a resolution at the Annual Meeting to enable our shareholders to approve, on an advisory and non-binding basis, the compensation of our NEOs as disclosed in the Compensation Discussion and Analysis, the accompanying compensation tables and the related narrative disclosure in this Proxy Statement.</w:t>
      </w:r>
    </w:p>
    <w:p>
      <w:pPr>
        <w:spacing w:after="0" w:line="14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proposal, commonly known as a “Say-on-Pay” proposal, allows our shareholders the opportunity to express their views on our NEOs’ compensation. 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6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As the Company continues its transition from a compensation program oriented around a founder whose long-term focus was aligned with shareholders through his extensive stock ownership, to a more traditional compensation program, the Board determined to move from a triannual to an annual Say-on-Pay vote to provide for additional input from and further engagement with our shareholders. The Compensation Committee determined to right-size executive pay, to revamp our long-term incentive program to eliminate periodic grants and transition to annual grants, and to ensure that a majority of equity awards will be granted in performance-based stock to ensure a superior focus on operational excellence and better align executives’ interests with those of long-term shareholders.</w:t>
      </w:r>
    </w:p>
    <w:p>
      <w:pPr>
        <w:spacing w:after="0" w:line="178"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In 2018, the Compensation Committee committed to right-sizing executive compensation by benchmarking total compensation at the median of our peer group. Because product quality and service excellence are at the core of our strategy, we use annually focused, operations-based pay to reflect the critical importance of performing well each year for each customer. The design of our long-term incentives coupled with robust stock ownership guidelines ensure that our executives’ interests are aligned with those of long-term shareholders.</w:t>
      </w:r>
    </w:p>
    <w:p>
      <w:pPr>
        <w:spacing w:after="0" w:line="162" w:lineRule="exact"/>
        <w:rPr>
          <w:sz w:val="20"/>
          <w:szCs w:val="20"/>
          <w:color w:val="auto"/>
        </w:rPr>
      </w:pPr>
    </w:p>
    <w:p>
      <w:pPr>
        <w:ind w:left="120" w:right="1000"/>
        <w:spacing w:after="0" w:line="246" w:lineRule="auto"/>
        <w:rPr>
          <w:sz w:val="20"/>
          <w:szCs w:val="20"/>
          <w:color w:val="auto"/>
        </w:rPr>
      </w:pPr>
      <w:r>
        <w:rPr>
          <w:rFonts w:ascii="Arial" w:cs="Arial" w:eastAsia="Arial" w:hAnsi="Arial"/>
          <w:sz w:val="18"/>
          <w:szCs w:val="18"/>
          <w:color w:val="auto"/>
        </w:rPr>
        <w:t>Therefore, in accordance with Section 14A of the Exchange Act and as a matter of good corporate governance, we are asking shareholders to approve the following advisory resolution at the Annual Meeting:</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2022 Annual Meeting of Shareholders.”</w:t>
      </w:r>
    </w:p>
    <w:p>
      <w:pPr>
        <w:spacing w:after="0" w:line="166" w:lineRule="exact"/>
        <w:rPr>
          <w:sz w:val="20"/>
          <w:szCs w:val="20"/>
          <w:color w:val="auto"/>
        </w:rPr>
      </w:pPr>
    </w:p>
    <w:p>
      <w:pPr>
        <w:ind w:left="120" w:right="260"/>
        <w:spacing w:after="0" w:line="262" w:lineRule="auto"/>
        <w:rPr>
          <w:sz w:val="20"/>
          <w:szCs w:val="20"/>
          <w:color w:val="auto"/>
        </w:rPr>
      </w:pPr>
      <w:r>
        <w:rPr>
          <w:rFonts w:ascii="Arial" w:cs="Arial" w:eastAsia="Arial" w:hAnsi="Arial"/>
          <w:sz w:val="14"/>
          <w:szCs w:val="14"/>
          <w:b w:val="1"/>
          <w:bCs w:val="1"/>
          <w:color w:val="140582"/>
        </w:rPr>
        <w:t>OUR BOARD OF DIRECTORS RECOMMENDS THAT YOU VOTE FOR THE APPROVAL OF THE ADVISORY RESOLUTION ON OUR NAMED EXECUTIVE OFFICE COMPENSATION.</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66 //</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7"/>
          <w:szCs w:val="27"/>
          <w:color w:val="auto"/>
        </w:rPr>
        <w:t>General Information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OUR 2022 ANNUAL MEETING OF SHAREHOLDERS</w:t>
      </w:r>
    </w:p>
    <w:p>
      <w:pPr>
        <w:spacing w:after="0" w:line="13"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This Proxy Statement is furnished to the shareholders of Wynn Resorts in connection with the solicitation by the Board of proxies for its 2022 Annual Meeting of Shareholders (the “Annual Meeting”) that will be held online. Our 2022 Annual Meeting will be held on May 5, 2022, via live webcast accessed at this website: http://www.virtualshareholdermeeting.com/WYNN2022, at 9:00 am (local time), and at any adjournments or postponements thereof. Our principal executive offices are 3131 Las Vegas Boulevard South, Las Vegas, Nevada 89109. Matters to be considered and acted upon at the Annual Meeting are set forth in the Notice of Annual Meeting of Shareholders accompanying this Proxy Statement and are more fully described herein.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THE BOARD RECOMMENDS A VOTE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20" w:type="dxa"/>
            <w:vAlign w:val="bottom"/>
            <w:tcBorders>
              <w:right w:val="single" w:sz="8" w:color="E2EDED"/>
            </w:tcBorders>
            <w:shd w:val="clear" w:color="auto" w:fill="140582"/>
          </w:tcPr>
          <w:p>
            <w:pPr>
              <w:ind w:left="60"/>
              <w:spacing w:after="0"/>
              <w:rPr>
                <w:sz w:val="20"/>
                <w:szCs w:val="20"/>
                <w:color w:val="auto"/>
              </w:rPr>
            </w:pPr>
            <w:r>
              <w:rPr>
                <w:rFonts w:ascii="Arial" w:cs="Arial" w:eastAsia="Arial" w:hAnsi="Arial"/>
                <w:sz w:val="13"/>
                <w:szCs w:val="13"/>
                <w:b w:val="1"/>
                <w:bCs w:val="1"/>
                <w:color w:val="FFFFFF"/>
              </w:rPr>
              <w:t>PROPOSAL</w:t>
            </w:r>
          </w:p>
        </w:tc>
        <w:tc>
          <w:tcPr>
            <w:tcW w:w="7260" w:type="dxa"/>
            <w:vAlign w:val="bottom"/>
            <w:tcBorders>
              <w:right w:val="single" w:sz="8" w:color="E2EDED"/>
            </w:tcBorders>
            <w:vMerge w:val="restart"/>
            <w:shd w:val="clear" w:color="auto" w:fill="140582"/>
          </w:tcPr>
          <w:p>
            <w:pPr>
              <w:ind w:left="3380"/>
              <w:spacing w:after="0"/>
              <w:rPr>
                <w:sz w:val="20"/>
                <w:szCs w:val="20"/>
                <w:color w:val="auto"/>
              </w:rPr>
            </w:pPr>
            <w:r>
              <w:rPr>
                <w:rFonts w:ascii="Arial" w:cs="Arial" w:eastAsia="Arial" w:hAnsi="Arial"/>
                <w:sz w:val="13"/>
                <w:szCs w:val="13"/>
                <w:b w:val="1"/>
                <w:bCs w:val="1"/>
                <w:color w:val="FFFFFF"/>
              </w:rPr>
              <w:t>PROPOSAL</w:t>
            </w:r>
          </w:p>
        </w:tc>
        <w:tc>
          <w:tcPr>
            <w:tcW w:w="2440" w:type="dxa"/>
            <w:vAlign w:val="bottom"/>
            <w:shd w:val="clear" w:color="auto" w:fill="140582"/>
          </w:tcPr>
          <w:p>
            <w:pPr>
              <w:jc w:val="center"/>
              <w:ind w:left="232"/>
              <w:spacing w:after="0"/>
              <w:rPr>
                <w:sz w:val="20"/>
                <w:szCs w:val="20"/>
                <w:color w:val="auto"/>
              </w:rPr>
            </w:pPr>
            <w:r>
              <w:rPr>
                <w:rFonts w:ascii="Arial" w:cs="Arial" w:eastAsia="Arial" w:hAnsi="Arial"/>
                <w:sz w:val="13"/>
                <w:szCs w:val="13"/>
                <w:b w:val="1"/>
                <w:bCs w:val="1"/>
                <w:color w:val="FFFFFF"/>
                <w:w w:val="96"/>
              </w:rPr>
              <w:t>BOARD</w:t>
            </w:r>
          </w:p>
        </w:tc>
        <w:tc>
          <w:tcPr>
            <w:tcW w:w="0" w:type="dxa"/>
            <w:vAlign w:val="bottom"/>
          </w:tcPr>
          <w:p>
            <w:pPr>
              <w:spacing w:after="0"/>
              <w:rPr>
                <w:sz w:val="1"/>
                <w:szCs w:val="1"/>
                <w:color w:val="auto"/>
              </w:rPr>
            </w:pPr>
          </w:p>
        </w:tc>
      </w:tr>
      <w:tr>
        <w:trPr>
          <w:trHeight w:val="114"/>
        </w:trPr>
        <w:tc>
          <w:tcPr>
            <w:tcW w:w="1320" w:type="dxa"/>
            <w:vAlign w:val="bottom"/>
            <w:tcBorders>
              <w:right w:val="single" w:sz="8" w:color="E2EDED"/>
            </w:tcBorders>
            <w:vMerge w:val="restart"/>
            <w:shd w:val="clear" w:color="auto" w:fill="140582"/>
          </w:tcPr>
          <w:p>
            <w:pPr>
              <w:ind w:left="60"/>
              <w:spacing w:after="0"/>
              <w:rPr>
                <w:sz w:val="20"/>
                <w:szCs w:val="20"/>
                <w:color w:val="auto"/>
              </w:rPr>
            </w:pPr>
            <w:r>
              <w:rPr>
                <w:rFonts w:ascii="Arial" w:cs="Arial" w:eastAsia="Arial" w:hAnsi="Arial"/>
                <w:sz w:val="13"/>
                <w:szCs w:val="13"/>
                <w:b w:val="1"/>
                <w:bCs w:val="1"/>
                <w:color w:val="FFFFFF"/>
              </w:rPr>
              <w:t>NUMBER</w:t>
            </w:r>
          </w:p>
        </w:tc>
        <w:tc>
          <w:tcPr>
            <w:tcW w:w="7260" w:type="dxa"/>
            <w:vAlign w:val="bottom"/>
            <w:tcBorders>
              <w:right w:val="single" w:sz="8" w:color="E2EDED"/>
            </w:tcBorders>
            <w:vMerge w:val="continue"/>
            <w:shd w:val="clear" w:color="auto" w:fill="140582"/>
          </w:tcPr>
          <w:p>
            <w:pPr>
              <w:spacing w:after="0"/>
              <w:rPr>
                <w:sz w:val="9"/>
                <w:szCs w:val="9"/>
                <w:color w:val="auto"/>
              </w:rPr>
            </w:pPr>
          </w:p>
        </w:tc>
        <w:tc>
          <w:tcPr>
            <w:tcW w:w="2440" w:type="dxa"/>
            <w:vAlign w:val="bottom"/>
            <w:vMerge w:val="restart"/>
            <w:shd w:val="clear" w:color="auto" w:fill="140582"/>
          </w:tcPr>
          <w:p>
            <w:pPr>
              <w:jc w:val="center"/>
              <w:ind w:left="232"/>
              <w:spacing w:after="0"/>
              <w:rPr>
                <w:sz w:val="20"/>
                <w:szCs w:val="20"/>
                <w:color w:val="auto"/>
              </w:rPr>
            </w:pPr>
            <w:r>
              <w:rPr>
                <w:rFonts w:ascii="Arial" w:cs="Arial" w:eastAsia="Arial" w:hAnsi="Arial"/>
                <w:sz w:val="13"/>
                <w:szCs w:val="13"/>
                <w:b w:val="1"/>
                <w:bCs w:val="1"/>
                <w:color w:val="FFFFFF"/>
                <w:w w:val="95"/>
              </w:rPr>
              <w:t>RECOMMENDATION</w:t>
            </w:r>
          </w:p>
        </w:tc>
        <w:tc>
          <w:tcPr>
            <w:tcW w:w="0" w:type="dxa"/>
            <w:vAlign w:val="bottom"/>
          </w:tcPr>
          <w:p>
            <w:pPr>
              <w:spacing w:after="0"/>
              <w:rPr>
                <w:sz w:val="1"/>
                <w:szCs w:val="1"/>
                <w:color w:val="auto"/>
              </w:rPr>
            </w:pPr>
          </w:p>
        </w:tc>
      </w:tr>
      <w:tr>
        <w:trPr>
          <w:trHeight w:val="90"/>
        </w:trPr>
        <w:tc>
          <w:tcPr>
            <w:tcW w:w="1320" w:type="dxa"/>
            <w:vAlign w:val="bottom"/>
            <w:tcBorders>
              <w:bottom w:val="single" w:sz="8" w:color="140582"/>
              <w:right w:val="single" w:sz="8" w:color="E2EDED"/>
            </w:tcBorders>
            <w:vMerge w:val="continue"/>
            <w:shd w:val="clear" w:color="auto" w:fill="140582"/>
          </w:tcPr>
          <w:p>
            <w:pPr>
              <w:spacing w:after="0"/>
              <w:rPr>
                <w:sz w:val="7"/>
                <w:szCs w:val="7"/>
                <w:color w:val="auto"/>
              </w:rPr>
            </w:pPr>
          </w:p>
        </w:tc>
        <w:tc>
          <w:tcPr>
            <w:tcW w:w="7260" w:type="dxa"/>
            <w:vAlign w:val="bottom"/>
            <w:tcBorders>
              <w:bottom w:val="single" w:sz="8" w:color="140582"/>
              <w:right w:val="single" w:sz="8" w:color="E2EDED"/>
            </w:tcBorders>
            <w:shd w:val="clear" w:color="auto" w:fill="140582"/>
          </w:tcPr>
          <w:p>
            <w:pPr>
              <w:spacing w:after="0"/>
              <w:rPr>
                <w:sz w:val="7"/>
                <w:szCs w:val="7"/>
                <w:color w:val="auto"/>
              </w:rPr>
            </w:pPr>
          </w:p>
        </w:tc>
        <w:tc>
          <w:tcPr>
            <w:tcW w:w="2440" w:type="dxa"/>
            <w:vAlign w:val="bottom"/>
            <w:tcBorders>
              <w:bottom w:val="single" w:sz="8" w:color="140582"/>
            </w:tcBorders>
            <w:vMerge w:val="continue"/>
            <w:shd w:val="clear" w:color="auto" w:fill="140582"/>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320" w:type="dxa"/>
            <w:vAlign w:val="bottom"/>
            <w:tcBorders>
              <w:right w:val="single" w:sz="8" w:color="E2EDED"/>
            </w:tcBorders>
            <w:shd w:val="clear" w:color="auto" w:fill="D0CDE6"/>
          </w:tcPr>
          <w:p>
            <w:pPr>
              <w:ind w:left="60"/>
              <w:spacing w:after="0"/>
              <w:rPr>
                <w:sz w:val="20"/>
                <w:szCs w:val="20"/>
                <w:color w:val="auto"/>
              </w:rPr>
            </w:pPr>
            <w:r>
              <w:rPr>
                <w:rFonts w:ascii="Arial" w:cs="Arial" w:eastAsia="Arial" w:hAnsi="Arial"/>
                <w:sz w:val="14"/>
                <w:szCs w:val="14"/>
                <w:color w:val="auto"/>
              </w:rPr>
              <w:t>1</w:t>
            </w:r>
          </w:p>
        </w:tc>
        <w:tc>
          <w:tcPr>
            <w:tcW w:w="7260" w:type="dxa"/>
            <w:vAlign w:val="bottom"/>
            <w:tcBorders>
              <w:right w:val="single" w:sz="8" w:color="E2EDED"/>
            </w:tcBorders>
            <w:shd w:val="clear" w:color="auto" w:fill="D0CDE6"/>
          </w:tcPr>
          <w:p>
            <w:pPr>
              <w:ind w:left="200"/>
              <w:spacing w:after="0"/>
              <w:rPr>
                <w:sz w:val="20"/>
                <w:szCs w:val="20"/>
                <w:color w:val="auto"/>
              </w:rPr>
            </w:pPr>
            <w:r>
              <w:rPr>
                <w:rFonts w:ascii="Arial" w:cs="Arial" w:eastAsia="Arial" w:hAnsi="Arial"/>
                <w:sz w:val="14"/>
                <w:szCs w:val="14"/>
                <w:color w:val="auto"/>
              </w:rPr>
              <w:t>Election of the three Class II director nominees named in this Proxy Statement to serve until the 2025 Annual</w:t>
            </w:r>
          </w:p>
        </w:tc>
        <w:tc>
          <w:tcPr>
            <w:tcW w:w="2440" w:type="dxa"/>
            <w:vAlign w:val="bottom"/>
            <w:shd w:val="clear" w:color="auto" w:fill="D0CDE6"/>
          </w:tcPr>
          <w:p>
            <w:pPr>
              <w:ind w:left="320"/>
              <w:spacing w:after="0"/>
              <w:rPr>
                <w:sz w:val="20"/>
                <w:szCs w:val="20"/>
                <w:color w:val="auto"/>
              </w:rPr>
            </w:pPr>
            <w:r>
              <w:rPr>
                <w:rFonts w:ascii="Arial" w:cs="Arial" w:eastAsia="Arial" w:hAnsi="Arial"/>
                <w:sz w:val="14"/>
                <w:szCs w:val="14"/>
                <w:color w:val="auto"/>
              </w:rPr>
              <w:t>“FOR” each nominee</w:t>
            </w:r>
          </w:p>
        </w:tc>
        <w:tc>
          <w:tcPr>
            <w:tcW w:w="0" w:type="dxa"/>
            <w:vAlign w:val="bottom"/>
          </w:tcPr>
          <w:p>
            <w:pPr>
              <w:spacing w:after="0"/>
              <w:rPr>
                <w:sz w:val="1"/>
                <w:szCs w:val="1"/>
                <w:color w:val="auto"/>
              </w:rPr>
            </w:pPr>
          </w:p>
        </w:tc>
      </w:tr>
      <w:tr>
        <w:trPr>
          <w:trHeight w:val="171"/>
        </w:trPr>
        <w:tc>
          <w:tcPr>
            <w:tcW w:w="1320" w:type="dxa"/>
            <w:vAlign w:val="bottom"/>
            <w:tcBorders>
              <w:right w:val="single" w:sz="8" w:color="E2EDED"/>
            </w:tcBorders>
            <w:shd w:val="clear" w:color="auto" w:fill="D0CDE6"/>
          </w:tcPr>
          <w:p>
            <w:pPr>
              <w:spacing w:after="0"/>
              <w:rPr>
                <w:sz w:val="14"/>
                <w:szCs w:val="14"/>
                <w:color w:val="auto"/>
              </w:rPr>
            </w:pPr>
          </w:p>
        </w:tc>
        <w:tc>
          <w:tcPr>
            <w:tcW w:w="7260" w:type="dxa"/>
            <w:vAlign w:val="bottom"/>
            <w:tcBorders>
              <w:right w:val="single" w:sz="8" w:color="E2EDED"/>
            </w:tcBorders>
            <w:shd w:val="clear" w:color="auto" w:fill="D0CDE6"/>
          </w:tcPr>
          <w:p>
            <w:pPr>
              <w:ind w:left="200"/>
              <w:spacing w:after="0" w:line="157" w:lineRule="exact"/>
              <w:rPr>
                <w:sz w:val="20"/>
                <w:szCs w:val="20"/>
                <w:color w:val="auto"/>
              </w:rPr>
            </w:pPr>
            <w:r>
              <w:rPr>
                <w:rFonts w:ascii="Arial" w:cs="Arial" w:eastAsia="Arial" w:hAnsi="Arial"/>
                <w:sz w:val="14"/>
                <w:szCs w:val="14"/>
                <w:color w:val="auto"/>
              </w:rPr>
              <w:t>Meeting of Shareholders</w:t>
            </w:r>
          </w:p>
        </w:tc>
        <w:tc>
          <w:tcPr>
            <w:tcW w:w="2440" w:type="dxa"/>
            <w:vAlign w:val="bottom"/>
            <w:shd w:val="clear" w:color="auto" w:fill="D0CDE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2</w:t>
            </w:r>
          </w:p>
        </w:tc>
        <w:tc>
          <w:tcPr>
            <w:tcW w:w="7260" w:type="dxa"/>
            <w:vAlign w:val="bottom"/>
            <w:tcBorders>
              <w:right w:val="single" w:sz="8" w:color="E2EDED"/>
            </w:tcBorders>
            <w:shd w:val="clear" w:color="auto" w:fill="FCFCF7"/>
          </w:tcPr>
          <w:p>
            <w:pPr>
              <w:ind w:left="200"/>
              <w:spacing w:after="0"/>
              <w:rPr>
                <w:sz w:val="20"/>
                <w:szCs w:val="20"/>
                <w:color w:val="auto"/>
              </w:rPr>
            </w:pPr>
            <w:r>
              <w:rPr>
                <w:rFonts w:ascii="Arial" w:cs="Arial" w:eastAsia="Arial" w:hAnsi="Arial"/>
                <w:sz w:val="14"/>
                <w:szCs w:val="14"/>
                <w:color w:val="auto"/>
              </w:rPr>
              <w:t>Ratification of the appointment of Ernst &amp; Young LLP as our independent registered public accounting firm for</w:t>
            </w:r>
          </w:p>
        </w:tc>
        <w:tc>
          <w:tcPr>
            <w:tcW w:w="2440" w:type="dxa"/>
            <w:vAlign w:val="bottom"/>
            <w:shd w:val="clear" w:color="auto" w:fill="FCFCF7"/>
          </w:tcPr>
          <w:p>
            <w:pPr>
              <w:ind w:left="32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57"/>
        </w:trPr>
        <w:tc>
          <w:tcPr>
            <w:tcW w:w="1320" w:type="dxa"/>
            <w:vAlign w:val="bottom"/>
            <w:tcBorders>
              <w:right w:val="single" w:sz="8" w:color="E2EDED"/>
            </w:tcBorders>
            <w:shd w:val="clear" w:color="auto" w:fill="FCFCF7"/>
          </w:tcPr>
          <w:p>
            <w:pPr>
              <w:spacing w:after="0"/>
              <w:rPr>
                <w:sz w:val="13"/>
                <w:szCs w:val="13"/>
                <w:color w:val="auto"/>
              </w:rPr>
            </w:pPr>
          </w:p>
        </w:tc>
        <w:tc>
          <w:tcPr>
            <w:tcW w:w="7260" w:type="dxa"/>
            <w:vAlign w:val="bottom"/>
            <w:tcBorders>
              <w:right w:val="single" w:sz="8" w:color="E2EDED"/>
            </w:tcBorders>
            <w:shd w:val="clear" w:color="auto" w:fill="FCFCF7"/>
          </w:tcPr>
          <w:p>
            <w:pPr>
              <w:ind w:left="200"/>
              <w:spacing w:after="0" w:line="157" w:lineRule="exact"/>
              <w:rPr>
                <w:sz w:val="20"/>
                <w:szCs w:val="20"/>
                <w:color w:val="auto"/>
              </w:rPr>
            </w:pPr>
            <w:r>
              <w:rPr>
                <w:rFonts w:ascii="Arial" w:cs="Arial" w:eastAsia="Arial" w:hAnsi="Arial"/>
                <w:sz w:val="14"/>
                <w:szCs w:val="14"/>
                <w:color w:val="auto"/>
              </w:rPr>
              <w:t>the fiscal year ending December 31, 2022</w:t>
            </w:r>
          </w:p>
        </w:tc>
        <w:tc>
          <w:tcPr>
            <w:tcW w:w="2440" w:type="dxa"/>
            <w:vAlign w:val="bottom"/>
            <w:shd w:val="clear" w:color="auto" w:fill="FCFCF7"/>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20" w:type="dxa"/>
            <w:vAlign w:val="bottom"/>
            <w:tcBorders>
              <w:right w:val="single" w:sz="8" w:color="E2EDED"/>
            </w:tcBorders>
            <w:shd w:val="clear" w:color="auto" w:fill="D0CDE6"/>
          </w:tcPr>
          <w:p>
            <w:pPr>
              <w:ind w:left="60"/>
              <w:spacing w:after="0"/>
              <w:rPr>
                <w:sz w:val="20"/>
                <w:szCs w:val="20"/>
                <w:color w:val="auto"/>
              </w:rPr>
            </w:pPr>
            <w:r>
              <w:rPr>
                <w:rFonts w:ascii="Arial" w:cs="Arial" w:eastAsia="Arial" w:hAnsi="Arial"/>
                <w:sz w:val="14"/>
                <w:szCs w:val="14"/>
                <w:color w:val="auto"/>
              </w:rPr>
              <w:t>3</w:t>
            </w:r>
          </w:p>
        </w:tc>
        <w:tc>
          <w:tcPr>
            <w:tcW w:w="7260" w:type="dxa"/>
            <w:vAlign w:val="bottom"/>
            <w:tcBorders>
              <w:right w:val="single" w:sz="8" w:color="E2EDED"/>
            </w:tcBorders>
            <w:shd w:val="clear" w:color="auto" w:fill="D0CDE6"/>
          </w:tcPr>
          <w:p>
            <w:pPr>
              <w:ind w:left="200"/>
              <w:spacing w:after="0"/>
              <w:rPr>
                <w:sz w:val="20"/>
                <w:szCs w:val="20"/>
                <w:color w:val="auto"/>
              </w:rPr>
            </w:pPr>
            <w:r>
              <w:rPr>
                <w:rFonts w:ascii="Arial" w:cs="Arial" w:eastAsia="Arial" w:hAnsi="Arial"/>
                <w:sz w:val="14"/>
                <w:szCs w:val="14"/>
                <w:color w:val="auto"/>
              </w:rPr>
              <w:t>Approval, on a non-binding advisory basis, of the compensation of our named executive officers as described</w:t>
            </w:r>
          </w:p>
        </w:tc>
        <w:tc>
          <w:tcPr>
            <w:tcW w:w="2440" w:type="dxa"/>
            <w:vAlign w:val="bottom"/>
            <w:shd w:val="clear" w:color="auto" w:fill="D0CDE6"/>
          </w:tcPr>
          <w:p>
            <w:pPr>
              <w:ind w:left="32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71"/>
        </w:trPr>
        <w:tc>
          <w:tcPr>
            <w:tcW w:w="1320" w:type="dxa"/>
            <w:vAlign w:val="bottom"/>
            <w:tcBorders>
              <w:right w:val="single" w:sz="8" w:color="E2EDED"/>
            </w:tcBorders>
            <w:shd w:val="clear" w:color="auto" w:fill="D0CDE6"/>
          </w:tcPr>
          <w:p>
            <w:pPr>
              <w:spacing w:after="0"/>
              <w:rPr>
                <w:sz w:val="14"/>
                <w:szCs w:val="14"/>
                <w:color w:val="auto"/>
              </w:rPr>
            </w:pPr>
          </w:p>
        </w:tc>
        <w:tc>
          <w:tcPr>
            <w:tcW w:w="7260" w:type="dxa"/>
            <w:vAlign w:val="bottom"/>
            <w:tcBorders>
              <w:right w:val="single" w:sz="8" w:color="E2EDED"/>
            </w:tcBorders>
            <w:shd w:val="clear" w:color="auto" w:fill="D0CDE6"/>
          </w:tcPr>
          <w:p>
            <w:pPr>
              <w:ind w:left="200"/>
              <w:spacing w:after="0" w:line="157" w:lineRule="exact"/>
              <w:rPr>
                <w:sz w:val="20"/>
                <w:szCs w:val="20"/>
                <w:color w:val="auto"/>
              </w:rPr>
            </w:pPr>
            <w:r>
              <w:rPr>
                <w:rFonts w:ascii="Arial" w:cs="Arial" w:eastAsia="Arial" w:hAnsi="Arial"/>
                <w:sz w:val="14"/>
                <w:szCs w:val="14"/>
                <w:color w:val="auto"/>
              </w:rPr>
              <w:t>in this Proxy Statement</w:t>
            </w:r>
          </w:p>
        </w:tc>
        <w:tc>
          <w:tcPr>
            <w:tcW w:w="2440" w:type="dxa"/>
            <w:vAlign w:val="bottom"/>
            <w:shd w:val="clear" w:color="auto" w:fill="D0CDE6"/>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VOTING AND SOLICITATION</w:t>
      </w:r>
    </w:p>
    <w:p>
      <w:pPr>
        <w:spacing w:after="0" w:line="1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Only holders of record of shares of the Company’s common stock, par value $0.01 (“Common Stock”), as of the close of business on March 11, 2022, the record date fixed by the Board (the “Record Date”), are entitled to notice of, and to vote at, the Annual Meeting and at any adjournments or postponements thereof. As of the Record Date, there were 115,918,364 shares of Common Stock outstanding. Each shareholder is entitled to one vote for each share of Common Stock held as of the Record Date on all matters presented at the Annual Meeting.</w:t>
      </w:r>
    </w:p>
    <w:p>
      <w:pPr>
        <w:spacing w:after="0" w:line="175" w:lineRule="exact"/>
        <w:rPr>
          <w:sz w:val="20"/>
          <w:szCs w:val="20"/>
          <w:color w:val="auto"/>
        </w:rPr>
      </w:pPr>
    </w:p>
    <w:p>
      <w:pPr>
        <w:ind w:left="120" w:right="520"/>
        <w:spacing w:after="0"/>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and broker non-votes are counted for purposes determining whether there is a quorum.</w:t>
      </w:r>
    </w:p>
    <w:p>
      <w:pPr>
        <w:spacing w:after="0" w:line="16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and in the case of Proposal 1, you may vote “for,” “against” or abstain from voting on each director nominee. Abstentions will not be counted as votes cast on an item and, therefore, will not affect the outcome of these proposals. Broker non-votes will not be counted as votes cast on Proposals 1 and 3 and,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66"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For a shareholder who holds his or her shares through an intermediary, such as a broker, bank or other nominee (referred to as “beneficial owners”), such intermediary will not be permitted to vote on Proposal 1 (the election of directors) or Proposal 3 (approval of the compensation of our named executive officers (known as a “Say-on-Pay” vote)) (this situation is called a “broker non-vote”).</w:t>
      </w:r>
    </w:p>
    <w:p>
      <w:pPr>
        <w:spacing w:after="0" w:line="2"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ACCORDINGLY, WE ENCOURAGE YOU TO VOTE YOUR SHARES ON ALL MATTERS BEING CONSIDERED AT THE ANNUAL MEETING. Notwithstanding the occurrence of a broker non-vote, the intermediary may still vote the shareholder’s shares on Proposal 2 (ratification of Ernst &amp; Young LLP as our independent auditor).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67 //</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voting requirements to elect directors and to approve each of the proposals in this Proxy Statement:</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20" w:type="dxa"/>
            <w:vAlign w:val="bottom"/>
            <w:tcBorders>
              <w:right w:val="single" w:sz="8" w:color="E2EDED"/>
            </w:tcBorders>
            <w:shd w:val="clear" w:color="auto" w:fill="140582"/>
          </w:tcPr>
          <w:p>
            <w:pPr>
              <w:ind w:left="60"/>
              <w:spacing w:after="0"/>
              <w:rPr>
                <w:sz w:val="20"/>
                <w:szCs w:val="20"/>
                <w:color w:val="auto"/>
              </w:rPr>
            </w:pPr>
            <w:r>
              <w:rPr>
                <w:rFonts w:ascii="Arial" w:cs="Arial" w:eastAsia="Arial" w:hAnsi="Arial"/>
                <w:sz w:val="13"/>
                <w:szCs w:val="13"/>
                <w:b w:val="1"/>
                <w:bCs w:val="1"/>
                <w:color w:val="FFFFFF"/>
              </w:rPr>
              <w:t>PROPOSAL</w:t>
            </w:r>
          </w:p>
        </w:tc>
        <w:tc>
          <w:tcPr>
            <w:tcW w:w="3620" w:type="dxa"/>
            <w:vAlign w:val="bottom"/>
            <w:tcBorders>
              <w:right w:val="single" w:sz="8" w:color="E2EDED"/>
            </w:tcBorders>
            <w:vMerge w:val="restart"/>
            <w:shd w:val="clear" w:color="auto" w:fill="140582"/>
          </w:tcPr>
          <w:p>
            <w:pPr>
              <w:ind w:left="1660"/>
              <w:spacing w:after="0"/>
              <w:rPr>
                <w:sz w:val="20"/>
                <w:szCs w:val="20"/>
                <w:color w:val="auto"/>
              </w:rPr>
            </w:pPr>
            <w:r>
              <w:rPr>
                <w:rFonts w:ascii="Arial" w:cs="Arial" w:eastAsia="Arial" w:hAnsi="Arial"/>
                <w:sz w:val="13"/>
                <w:szCs w:val="13"/>
                <w:b w:val="1"/>
                <w:bCs w:val="1"/>
                <w:color w:val="FFFFFF"/>
              </w:rPr>
              <w:t>PROPOSAL</w:t>
            </w:r>
          </w:p>
        </w:tc>
        <w:tc>
          <w:tcPr>
            <w:tcW w:w="3620" w:type="dxa"/>
            <w:vAlign w:val="bottom"/>
            <w:tcBorders>
              <w:right w:val="single" w:sz="8" w:color="E2EDED"/>
            </w:tcBorders>
            <w:vMerge w:val="restart"/>
            <w:shd w:val="clear" w:color="auto" w:fill="140582"/>
          </w:tcPr>
          <w:p>
            <w:pPr>
              <w:ind w:left="1540"/>
              <w:spacing w:after="0"/>
              <w:rPr>
                <w:sz w:val="20"/>
                <w:szCs w:val="20"/>
                <w:color w:val="auto"/>
              </w:rPr>
            </w:pPr>
            <w:r>
              <w:rPr>
                <w:rFonts w:ascii="Arial" w:cs="Arial" w:eastAsia="Arial" w:hAnsi="Arial"/>
                <w:sz w:val="13"/>
                <w:szCs w:val="13"/>
                <w:b w:val="1"/>
                <w:bCs w:val="1"/>
                <w:color w:val="FFFFFF"/>
              </w:rPr>
              <w:t>VOTE REQUIRED</w:t>
            </w:r>
          </w:p>
        </w:tc>
        <w:tc>
          <w:tcPr>
            <w:tcW w:w="2460" w:type="dxa"/>
            <w:vAlign w:val="bottom"/>
            <w:shd w:val="clear" w:color="auto" w:fill="140582"/>
          </w:tcPr>
          <w:p>
            <w:pPr>
              <w:jc w:val="center"/>
              <w:ind w:left="452"/>
              <w:spacing w:after="0"/>
              <w:rPr>
                <w:sz w:val="20"/>
                <w:szCs w:val="20"/>
                <w:color w:val="auto"/>
              </w:rPr>
            </w:pPr>
            <w:r>
              <w:rPr>
                <w:rFonts w:ascii="Arial" w:cs="Arial" w:eastAsia="Arial" w:hAnsi="Arial"/>
                <w:sz w:val="13"/>
                <w:szCs w:val="13"/>
                <w:b w:val="1"/>
                <w:bCs w:val="1"/>
                <w:color w:val="FFFFFF"/>
                <w:w w:val="96"/>
              </w:rPr>
              <w:t>BROKER DISCRETIONARY</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140582"/>
              <w:right w:val="single" w:sz="8" w:color="E2EDED"/>
            </w:tcBorders>
            <w:shd w:val="clear" w:color="auto" w:fill="140582"/>
          </w:tcPr>
          <w:p>
            <w:pPr>
              <w:ind w:left="60"/>
              <w:spacing w:after="0"/>
              <w:rPr>
                <w:sz w:val="20"/>
                <w:szCs w:val="20"/>
                <w:color w:val="auto"/>
              </w:rPr>
            </w:pPr>
            <w:r>
              <w:rPr>
                <w:rFonts w:ascii="Arial" w:cs="Arial" w:eastAsia="Arial" w:hAnsi="Arial"/>
                <w:sz w:val="13"/>
                <w:szCs w:val="13"/>
                <w:b w:val="1"/>
                <w:bCs w:val="1"/>
                <w:color w:val="FFFFFF"/>
              </w:rPr>
              <w:t>NUMBER</w:t>
            </w:r>
          </w:p>
        </w:tc>
        <w:tc>
          <w:tcPr>
            <w:tcW w:w="3620" w:type="dxa"/>
            <w:vAlign w:val="bottom"/>
            <w:tcBorders>
              <w:bottom w:val="single" w:sz="8" w:color="140582"/>
              <w:right w:val="single" w:sz="8" w:color="E2EDED"/>
            </w:tcBorders>
            <w:vMerge w:val="continue"/>
            <w:shd w:val="clear" w:color="auto" w:fill="140582"/>
          </w:tcPr>
          <w:p>
            <w:pPr>
              <w:spacing w:after="0"/>
              <w:rPr>
                <w:sz w:val="17"/>
                <w:szCs w:val="17"/>
                <w:color w:val="auto"/>
              </w:rPr>
            </w:pPr>
          </w:p>
        </w:tc>
        <w:tc>
          <w:tcPr>
            <w:tcW w:w="3620" w:type="dxa"/>
            <w:vAlign w:val="bottom"/>
            <w:tcBorders>
              <w:bottom w:val="single" w:sz="8" w:color="140582"/>
              <w:right w:val="single" w:sz="8" w:color="E2EDED"/>
            </w:tcBorders>
            <w:vMerge w:val="continue"/>
            <w:shd w:val="clear" w:color="auto" w:fill="140582"/>
          </w:tcPr>
          <w:p>
            <w:pPr>
              <w:spacing w:after="0"/>
              <w:rPr>
                <w:sz w:val="17"/>
                <w:szCs w:val="17"/>
                <w:color w:val="auto"/>
              </w:rPr>
            </w:pPr>
          </w:p>
        </w:tc>
        <w:tc>
          <w:tcPr>
            <w:tcW w:w="2460" w:type="dxa"/>
            <w:vAlign w:val="bottom"/>
            <w:tcBorders>
              <w:bottom w:val="single" w:sz="8" w:color="140582"/>
            </w:tcBorders>
            <w:shd w:val="clear" w:color="auto" w:fill="140582"/>
          </w:tcPr>
          <w:p>
            <w:pPr>
              <w:jc w:val="center"/>
              <w:ind w:left="432"/>
              <w:spacing w:after="0"/>
              <w:rPr>
                <w:sz w:val="20"/>
                <w:szCs w:val="20"/>
                <w:color w:val="auto"/>
              </w:rPr>
            </w:pPr>
            <w:r>
              <w:rPr>
                <w:rFonts w:ascii="Arial" w:cs="Arial" w:eastAsia="Arial" w:hAnsi="Arial"/>
                <w:sz w:val="13"/>
                <w:szCs w:val="13"/>
                <w:b w:val="1"/>
                <w:bCs w:val="1"/>
                <w:color w:val="FFFFFF"/>
                <w:w w:val="97"/>
              </w:rPr>
              <w:t>VOTING ALLOWED</w:t>
            </w:r>
          </w:p>
        </w:tc>
        <w:tc>
          <w:tcPr>
            <w:tcW w:w="0" w:type="dxa"/>
            <w:vAlign w:val="bottom"/>
          </w:tcPr>
          <w:p>
            <w:pPr>
              <w:spacing w:after="0"/>
              <w:rPr>
                <w:sz w:val="1"/>
                <w:szCs w:val="1"/>
                <w:color w:val="auto"/>
              </w:rPr>
            </w:pPr>
          </w:p>
        </w:tc>
      </w:tr>
      <w:tr>
        <w:trPr>
          <w:trHeight w:val="221"/>
        </w:trPr>
        <w:tc>
          <w:tcPr>
            <w:tcW w:w="1320" w:type="dxa"/>
            <w:vAlign w:val="bottom"/>
            <w:tcBorders>
              <w:right w:val="single" w:sz="8" w:color="E2EDED"/>
            </w:tcBorders>
            <w:shd w:val="clear" w:color="auto" w:fill="D0CDE6"/>
          </w:tcPr>
          <w:p>
            <w:pPr>
              <w:ind w:left="60"/>
              <w:spacing w:after="0"/>
              <w:rPr>
                <w:sz w:val="20"/>
                <w:szCs w:val="20"/>
                <w:color w:val="auto"/>
              </w:rPr>
            </w:pPr>
            <w:r>
              <w:rPr>
                <w:rFonts w:ascii="Arial" w:cs="Arial" w:eastAsia="Arial" w:hAnsi="Arial"/>
                <w:sz w:val="14"/>
                <w:szCs w:val="14"/>
                <w:color w:val="auto"/>
              </w:rPr>
              <w:t>1</w:t>
            </w:r>
          </w:p>
        </w:tc>
        <w:tc>
          <w:tcPr>
            <w:tcW w:w="3620" w:type="dxa"/>
            <w:vAlign w:val="bottom"/>
            <w:tcBorders>
              <w:right w:val="single" w:sz="8" w:color="E2EDED"/>
            </w:tcBorders>
            <w:shd w:val="clear" w:color="auto" w:fill="D0CDE6"/>
          </w:tcPr>
          <w:p>
            <w:pPr>
              <w:ind w:left="420"/>
              <w:spacing w:after="0"/>
              <w:rPr>
                <w:sz w:val="20"/>
                <w:szCs w:val="20"/>
                <w:color w:val="auto"/>
              </w:rPr>
            </w:pPr>
            <w:r>
              <w:rPr>
                <w:rFonts w:ascii="Arial" w:cs="Arial" w:eastAsia="Arial" w:hAnsi="Arial"/>
                <w:sz w:val="14"/>
                <w:szCs w:val="14"/>
                <w:color w:val="auto"/>
              </w:rPr>
              <w:t>Election of the three Class II directors</w:t>
            </w:r>
          </w:p>
        </w:tc>
        <w:tc>
          <w:tcPr>
            <w:tcW w:w="3620" w:type="dxa"/>
            <w:vAlign w:val="bottom"/>
            <w:tcBorders>
              <w:right w:val="single" w:sz="8" w:color="E2EDED"/>
            </w:tcBorders>
            <w:shd w:val="clear" w:color="auto" w:fill="D0CDE6"/>
          </w:tcPr>
          <w:p>
            <w:pPr>
              <w:ind w:left="520"/>
              <w:spacing w:after="0"/>
              <w:rPr>
                <w:sz w:val="20"/>
                <w:szCs w:val="20"/>
                <w:color w:val="auto"/>
              </w:rPr>
            </w:pPr>
            <w:r>
              <w:rPr>
                <w:rFonts w:ascii="Arial" w:cs="Arial" w:eastAsia="Arial" w:hAnsi="Arial"/>
                <w:sz w:val="14"/>
                <w:szCs w:val="14"/>
                <w:color w:val="auto"/>
              </w:rPr>
              <w:t>Number of votes cast in favor exceeds number</w:t>
            </w:r>
          </w:p>
        </w:tc>
        <w:tc>
          <w:tcPr>
            <w:tcW w:w="2460" w:type="dxa"/>
            <w:vAlign w:val="bottom"/>
            <w:shd w:val="clear" w:color="auto" w:fill="D0CDE6"/>
          </w:tcPr>
          <w:p>
            <w:pPr>
              <w:jc w:val="center"/>
              <w:ind w:left="452"/>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71"/>
        </w:trPr>
        <w:tc>
          <w:tcPr>
            <w:tcW w:w="1320" w:type="dxa"/>
            <w:vAlign w:val="bottom"/>
            <w:tcBorders>
              <w:right w:val="single" w:sz="8" w:color="E2EDED"/>
            </w:tcBorders>
            <w:shd w:val="clear" w:color="auto" w:fill="D0CDE6"/>
          </w:tcPr>
          <w:p>
            <w:pPr>
              <w:spacing w:after="0"/>
              <w:rPr>
                <w:sz w:val="14"/>
                <w:szCs w:val="14"/>
                <w:color w:val="auto"/>
              </w:rPr>
            </w:pPr>
          </w:p>
        </w:tc>
        <w:tc>
          <w:tcPr>
            <w:tcW w:w="3620" w:type="dxa"/>
            <w:vAlign w:val="bottom"/>
            <w:tcBorders>
              <w:right w:val="single" w:sz="8" w:color="E2EDED"/>
            </w:tcBorders>
            <w:shd w:val="clear" w:color="auto" w:fill="D0CDE6"/>
          </w:tcPr>
          <w:p>
            <w:pPr>
              <w:spacing w:after="0"/>
              <w:rPr>
                <w:sz w:val="14"/>
                <w:szCs w:val="14"/>
                <w:color w:val="auto"/>
              </w:rPr>
            </w:pPr>
          </w:p>
        </w:tc>
        <w:tc>
          <w:tcPr>
            <w:tcW w:w="3620" w:type="dxa"/>
            <w:vAlign w:val="bottom"/>
            <w:tcBorders>
              <w:right w:val="single" w:sz="8" w:color="E2EDED"/>
            </w:tcBorders>
            <w:shd w:val="clear" w:color="auto" w:fill="D0CDE6"/>
          </w:tcPr>
          <w:p>
            <w:pPr>
              <w:ind w:left="520"/>
              <w:spacing w:after="0" w:line="157" w:lineRule="exact"/>
              <w:rPr>
                <w:sz w:val="20"/>
                <w:szCs w:val="20"/>
                <w:color w:val="auto"/>
              </w:rPr>
            </w:pPr>
            <w:r>
              <w:rPr>
                <w:rFonts w:ascii="Arial" w:cs="Arial" w:eastAsia="Arial" w:hAnsi="Arial"/>
                <w:sz w:val="14"/>
                <w:szCs w:val="14"/>
                <w:color w:val="auto"/>
              </w:rPr>
              <w:t>of votes cast in opposition</w:t>
            </w:r>
          </w:p>
        </w:tc>
        <w:tc>
          <w:tcPr>
            <w:tcW w:w="2460" w:type="dxa"/>
            <w:vAlign w:val="bottom"/>
            <w:shd w:val="clear" w:color="auto" w:fill="D0CDE6"/>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2</w:t>
            </w:r>
          </w:p>
        </w:tc>
        <w:tc>
          <w:tcPr>
            <w:tcW w:w="3620" w:type="dxa"/>
            <w:vAlign w:val="bottom"/>
            <w:tcBorders>
              <w:right w:val="single" w:sz="8" w:color="E2EDED"/>
            </w:tcBorders>
            <w:shd w:val="clear" w:color="auto" w:fill="FCFCF7"/>
          </w:tcPr>
          <w:p>
            <w:pPr>
              <w:ind w:left="420"/>
              <w:spacing w:after="0"/>
              <w:rPr>
                <w:sz w:val="20"/>
                <w:szCs w:val="20"/>
                <w:color w:val="auto"/>
              </w:rPr>
            </w:pPr>
            <w:r>
              <w:rPr>
                <w:rFonts w:ascii="Arial" w:cs="Arial" w:eastAsia="Arial" w:hAnsi="Arial"/>
                <w:sz w:val="14"/>
                <w:szCs w:val="14"/>
                <w:color w:val="auto"/>
              </w:rPr>
              <w:t>Ratification of Ernst &amp; Young LLP</w:t>
            </w:r>
          </w:p>
        </w:tc>
        <w:tc>
          <w:tcPr>
            <w:tcW w:w="3620" w:type="dxa"/>
            <w:vAlign w:val="bottom"/>
            <w:tcBorders>
              <w:right w:val="single" w:sz="8" w:color="E2EDED"/>
            </w:tcBorders>
            <w:shd w:val="clear" w:color="auto" w:fill="FCFCF7"/>
          </w:tcPr>
          <w:p>
            <w:pPr>
              <w:ind w:left="520"/>
              <w:spacing w:after="0"/>
              <w:rPr>
                <w:sz w:val="20"/>
                <w:szCs w:val="20"/>
                <w:color w:val="auto"/>
              </w:rPr>
            </w:pPr>
            <w:r>
              <w:rPr>
                <w:rFonts w:ascii="Arial" w:cs="Arial" w:eastAsia="Arial" w:hAnsi="Arial"/>
                <w:sz w:val="14"/>
                <w:szCs w:val="14"/>
                <w:color w:val="auto"/>
              </w:rPr>
              <w:t>Number of votes cast in favor exceeds number</w:t>
            </w:r>
          </w:p>
        </w:tc>
        <w:tc>
          <w:tcPr>
            <w:tcW w:w="2460" w:type="dxa"/>
            <w:vAlign w:val="bottom"/>
            <w:shd w:val="clear" w:color="auto" w:fill="FCFCF7"/>
          </w:tcPr>
          <w:p>
            <w:pPr>
              <w:jc w:val="center"/>
              <w:ind w:left="432"/>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57"/>
        </w:trPr>
        <w:tc>
          <w:tcPr>
            <w:tcW w:w="1320" w:type="dxa"/>
            <w:vAlign w:val="bottom"/>
            <w:tcBorders>
              <w:right w:val="single" w:sz="8" w:color="E2EDED"/>
            </w:tcBorders>
            <w:shd w:val="clear" w:color="auto" w:fill="FCFCF7"/>
          </w:tcPr>
          <w:p>
            <w:pPr>
              <w:spacing w:after="0"/>
              <w:rPr>
                <w:sz w:val="13"/>
                <w:szCs w:val="13"/>
                <w:color w:val="auto"/>
              </w:rPr>
            </w:pPr>
          </w:p>
        </w:tc>
        <w:tc>
          <w:tcPr>
            <w:tcW w:w="3620" w:type="dxa"/>
            <w:vAlign w:val="bottom"/>
            <w:tcBorders>
              <w:right w:val="single" w:sz="8" w:color="E2EDED"/>
            </w:tcBorders>
            <w:shd w:val="clear" w:color="auto" w:fill="FCFCF7"/>
          </w:tcPr>
          <w:p>
            <w:pPr>
              <w:spacing w:after="0"/>
              <w:rPr>
                <w:sz w:val="13"/>
                <w:szCs w:val="13"/>
                <w:color w:val="auto"/>
              </w:rPr>
            </w:pPr>
          </w:p>
        </w:tc>
        <w:tc>
          <w:tcPr>
            <w:tcW w:w="3620" w:type="dxa"/>
            <w:vAlign w:val="bottom"/>
            <w:tcBorders>
              <w:right w:val="single" w:sz="8" w:color="E2EDED"/>
            </w:tcBorders>
            <w:shd w:val="clear" w:color="auto" w:fill="FCFCF7"/>
          </w:tcPr>
          <w:p>
            <w:pPr>
              <w:ind w:left="520"/>
              <w:spacing w:after="0" w:line="157" w:lineRule="exact"/>
              <w:rPr>
                <w:sz w:val="20"/>
                <w:szCs w:val="20"/>
                <w:color w:val="auto"/>
              </w:rPr>
            </w:pPr>
            <w:r>
              <w:rPr>
                <w:rFonts w:ascii="Arial" w:cs="Arial" w:eastAsia="Arial" w:hAnsi="Arial"/>
                <w:sz w:val="14"/>
                <w:szCs w:val="14"/>
                <w:color w:val="auto"/>
              </w:rPr>
              <w:t>of votes cast in opposition</w:t>
            </w:r>
          </w:p>
        </w:tc>
        <w:tc>
          <w:tcPr>
            <w:tcW w:w="2460" w:type="dxa"/>
            <w:vAlign w:val="bottom"/>
            <w:shd w:val="clear" w:color="auto" w:fill="FCFCF7"/>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320" w:type="dxa"/>
            <w:vAlign w:val="bottom"/>
            <w:tcBorders>
              <w:right w:val="single" w:sz="8" w:color="E2EDED"/>
            </w:tcBorders>
            <w:shd w:val="clear" w:color="auto" w:fill="D0CDE6"/>
          </w:tcPr>
          <w:p>
            <w:pPr>
              <w:ind w:left="60"/>
              <w:spacing w:after="0"/>
              <w:rPr>
                <w:sz w:val="20"/>
                <w:szCs w:val="20"/>
                <w:color w:val="auto"/>
              </w:rPr>
            </w:pPr>
            <w:r>
              <w:rPr>
                <w:rFonts w:ascii="Arial" w:cs="Arial" w:eastAsia="Arial" w:hAnsi="Arial"/>
                <w:sz w:val="14"/>
                <w:szCs w:val="14"/>
                <w:color w:val="auto"/>
              </w:rPr>
              <w:t>3</w:t>
            </w:r>
          </w:p>
        </w:tc>
        <w:tc>
          <w:tcPr>
            <w:tcW w:w="3620" w:type="dxa"/>
            <w:vAlign w:val="bottom"/>
            <w:tcBorders>
              <w:right w:val="single" w:sz="8" w:color="E2EDED"/>
            </w:tcBorders>
            <w:shd w:val="clear" w:color="auto" w:fill="D0CDE6"/>
          </w:tcPr>
          <w:p>
            <w:pPr>
              <w:ind w:left="420"/>
              <w:spacing w:after="0"/>
              <w:rPr>
                <w:sz w:val="20"/>
                <w:szCs w:val="20"/>
                <w:color w:val="auto"/>
              </w:rPr>
            </w:pPr>
            <w:r>
              <w:rPr>
                <w:rFonts w:ascii="Arial" w:cs="Arial" w:eastAsia="Arial" w:hAnsi="Arial"/>
                <w:sz w:val="14"/>
                <w:szCs w:val="14"/>
                <w:color w:val="auto"/>
              </w:rPr>
              <w:t>Advisory Vote to Approve the Compensation of</w:t>
            </w:r>
          </w:p>
        </w:tc>
        <w:tc>
          <w:tcPr>
            <w:tcW w:w="3620" w:type="dxa"/>
            <w:vAlign w:val="bottom"/>
            <w:tcBorders>
              <w:right w:val="single" w:sz="8" w:color="E2EDED"/>
            </w:tcBorders>
            <w:shd w:val="clear" w:color="auto" w:fill="D0CDE6"/>
          </w:tcPr>
          <w:p>
            <w:pPr>
              <w:ind w:left="520"/>
              <w:spacing w:after="0"/>
              <w:rPr>
                <w:sz w:val="20"/>
                <w:szCs w:val="20"/>
                <w:color w:val="auto"/>
              </w:rPr>
            </w:pPr>
            <w:r>
              <w:rPr>
                <w:rFonts w:ascii="Arial" w:cs="Arial" w:eastAsia="Arial" w:hAnsi="Arial"/>
                <w:sz w:val="14"/>
                <w:szCs w:val="14"/>
                <w:color w:val="auto"/>
              </w:rPr>
              <w:t>Number of votes cast in favor exceeds number</w:t>
            </w:r>
          </w:p>
        </w:tc>
        <w:tc>
          <w:tcPr>
            <w:tcW w:w="2460" w:type="dxa"/>
            <w:vAlign w:val="bottom"/>
            <w:shd w:val="clear" w:color="auto" w:fill="D0CDE6"/>
          </w:tcPr>
          <w:p>
            <w:pPr>
              <w:jc w:val="center"/>
              <w:ind w:left="452"/>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71"/>
        </w:trPr>
        <w:tc>
          <w:tcPr>
            <w:tcW w:w="1320" w:type="dxa"/>
            <w:vAlign w:val="bottom"/>
            <w:tcBorders>
              <w:right w:val="single" w:sz="8" w:color="E2EDED"/>
            </w:tcBorders>
            <w:shd w:val="clear" w:color="auto" w:fill="D0CDE6"/>
          </w:tcPr>
          <w:p>
            <w:pPr>
              <w:spacing w:after="0"/>
              <w:rPr>
                <w:sz w:val="14"/>
                <w:szCs w:val="14"/>
                <w:color w:val="auto"/>
              </w:rPr>
            </w:pPr>
          </w:p>
        </w:tc>
        <w:tc>
          <w:tcPr>
            <w:tcW w:w="3620" w:type="dxa"/>
            <w:vAlign w:val="bottom"/>
            <w:tcBorders>
              <w:right w:val="single" w:sz="8" w:color="E2EDED"/>
            </w:tcBorders>
            <w:shd w:val="clear" w:color="auto" w:fill="D0CDE6"/>
          </w:tcPr>
          <w:p>
            <w:pPr>
              <w:ind w:left="420"/>
              <w:spacing w:after="0" w:line="157" w:lineRule="exact"/>
              <w:rPr>
                <w:sz w:val="20"/>
                <w:szCs w:val="20"/>
                <w:color w:val="auto"/>
              </w:rPr>
            </w:pPr>
            <w:r>
              <w:rPr>
                <w:rFonts w:ascii="Arial" w:cs="Arial" w:eastAsia="Arial" w:hAnsi="Arial"/>
                <w:sz w:val="14"/>
                <w:szCs w:val="14"/>
                <w:color w:val="auto"/>
              </w:rPr>
              <w:t>Named Executive Officers</w:t>
            </w:r>
          </w:p>
        </w:tc>
        <w:tc>
          <w:tcPr>
            <w:tcW w:w="3620" w:type="dxa"/>
            <w:vAlign w:val="bottom"/>
            <w:tcBorders>
              <w:right w:val="single" w:sz="8" w:color="E2EDED"/>
            </w:tcBorders>
            <w:shd w:val="clear" w:color="auto" w:fill="D0CDE6"/>
          </w:tcPr>
          <w:p>
            <w:pPr>
              <w:ind w:left="520"/>
              <w:spacing w:after="0" w:line="157" w:lineRule="exact"/>
              <w:rPr>
                <w:sz w:val="20"/>
                <w:szCs w:val="20"/>
                <w:color w:val="auto"/>
              </w:rPr>
            </w:pPr>
            <w:r>
              <w:rPr>
                <w:rFonts w:ascii="Arial" w:cs="Arial" w:eastAsia="Arial" w:hAnsi="Arial"/>
                <w:sz w:val="14"/>
                <w:szCs w:val="14"/>
                <w:color w:val="auto"/>
              </w:rPr>
              <w:t>of votes cast in opposition</w:t>
            </w:r>
          </w:p>
        </w:tc>
        <w:tc>
          <w:tcPr>
            <w:tcW w:w="2460" w:type="dxa"/>
            <w:vAlign w:val="bottom"/>
            <w:shd w:val="clear" w:color="auto" w:fill="D0CDE6"/>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HOW YOU CAN VOTE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0582"/>
        </w:rPr>
        <w:t xml:space="preserve">SHAREHOLDERS OF RECORD. </w:t>
      </w:r>
      <w:r>
        <w:rPr>
          <w:rFonts w:ascii="Arial" w:cs="Arial" w:eastAsia="Arial" w:hAnsi="Arial"/>
          <w:sz w:val="18"/>
          <w:szCs w:val="18"/>
          <w:color w:val="000000"/>
        </w:rPr>
        <w:t>For shareholders of record, there are four different ways you can vote:</w:t>
      </w:r>
    </w:p>
    <w:p>
      <w:pPr>
        <w:spacing w:after="0" w:line="36" w:lineRule="exact"/>
        <w:rPr>
          <w:sz w:val="20"/>
          <w:szCs w:val="20"/>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140582"/>
        </w:rPr>
        <w:t xml:space="preserve">By Internet. </w:t>
      </w:r>
      <w:r>
        <w:rPr>
          <w:rFonts w:ascii="Arial" w:cs="Arial" w:eastAsia="Arial" w:hAnsi="Arial"/>
          <w:sz w:val="18"/>
          <w:szCs w:val="18"/>
          <w:color w:val="000000"/>
        </w:rPr>
        <w:t>To vote via the Internet, use the website on the enclosed proxy card.</w:t>
      </w:r>
    </w:p>
    <w:p>
      <w:pPr>
        <w:spacing w:after="0" w:line="36" w:lineRule="exact"/>
        <w:rPr>
          <w:rFonts w:ascii="Arial" w:cs="Arial" w:eastAsia="Arial" w:hAnsi="Arial"/>
          <w:sz w:val="18"/>
          <w:szCs w:val="18"/>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140582"/>
        </w:rPr>
        <w:t xml:space="preserve">By Telephone. </w:t>
      </w:r>
      <w:r>
        <w:rPr>
          <w:rFonts w:ascii="Arial" w:cs="Arial" w:eastAsia="Arial" w:hAnsi="Arial"/>
          <w:sz w:val="18"/>
          <w:szCs w:val="18"/>
          <w:color w:val="000000"/>
        </w:rPr>
        <w:t>To vote by telephone, call the toll-free number on the enclosed proxy card.</w:t>
      </w:r>
    </w:p>
    <w:p>
      <w:pPr>
        <w:spacing w:after="0" w:line="36" w:lineRule="exact"/>
        <w:rPr>
          <w:rFonts w:ascii="Arial" w:cs="Arial" w:eastAsia="Arial" w:hAnsi="Arial"/>
          <w:sz w:val="18"/>
          <w:szCs w:val="18"/>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140582"/>
        </w:rPr>
        <w:t xml:space="preserve">By Mail. </w:t>
      </w:r>
      <w:r>
        <w:rPr>
          <w:rFonts w:ascii="Arial" w:cs="Arial" w:eastAsia="Arial" w:hAnsi="Arial"/>
          <w:sz w:val="18"/>
          <w:szCs w:val="18"/>
          <w:color w:val="000000"/>
        </w:rPr>
        <w:t>To vote by mail, follow the instructions on the enclosed proxy card.</w:t>
      </w:r>
    </w:p>
    <w:p>
      <w:pPr>
        <w:spacing w:after="0" w:line="36" w:lineRule="exact"/>
        <w:rPr>
          <w:rFonts w:ascii="Arial" w:cs="Arial" w:eastAsia="Arial" w:hAnsi="Arial"/>
          <w:sz w:val="18"/>
          <w:szCs w:val="18"/>
          <w:color w:val="auto"/>
        </w:rPr>
      </w:pPr>
    </w:p>
    <w:p>
      <w:pPr>
        <w:ind w:left="980" w:right="140" w:hanging="432"/>
        <w:spacing w:after="0" w:line="238"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140582"/>
        </w:rPr>
        <w:t>By Participating in the Virtual Annual Meeting</w:t>
      </w:r>
      <w:r>
        <w:rPr>
          <w:rFonts w:ascii="Arial" w:cs="Arial" w:eastAsia="Arial" w:hAnsi="Arial"/>
          <w:sz w:val="18"/>
          <w:szCs w:val="18"/>
          <w:color w:val="000000"/>
        </w:rPr>
        <w:t>. To vote electronically during the virtual Annual Meeting, visit</w:t>
      </w:r>
      <w:r>
        <w:rPr>
          <w:rFonts w:ascii="Arial" w:cs="Arial" w:eastAsia="Arial" w:hAnsi="Arial"/>
          <w:sz w:val="18"/>
          <w:szCs w:val="18"/>
          <w:color w:val="140582"/>
        </w:rPr>
        <w:t xml:space="preserve"> </w:t>
      </w:r>
      <w:r>
        <w:rPr>
          <w:rFonts w:ascii="Arial" w:cs="Arial" w:eastAsia="Arial" w:hAnsi="Arial"/>
          <w:sz w:val="18"/>
          <w:szCs w:val="18"/>
          <w:color w:val="000000"/>
        </w:rPr>
        <w:t>http://www.virtualshareholdermeeting.com/WYNN2022, log in using the 16-digit control number printed in the box marked by the arrow on your Notice of Internet Availability or proxy card, click on the vote button on the screen and follow the instructions provided.</w:t>
      </w:r>
    </w:p>
    <w:p>
      <w:pPr>
        <w:spacing w:after="0" w:line="16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11:59 P.M. EASTERN TIME ON MAY 4, 2022. Regardless of the method you choose, your vote is important. Please vote by following the specific instructions on your proxy card.</w:t>
      </w:r>
    </w:p>
    <w:p>
      <w:pPr>
        <w:spacing w:after="0" w:line="16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140582"/>
        </w:rPr>
        <w:t xml:space="preserve">BENEFICIAL SHAREHOLDERS. </w:t>
      </w:r>
      <w:r>
        <w:rPr>
          <w:rFonts w:ascii="Arial" w:cs="Arial" w:eastAsia="Arial" w:hAnsi="Arial"/>
          <w:sz w:val="18"/>
          <w:szCs w:val="18"/>
          <w:color w:val="000000"/>
        </w:rPr>
        <w:t>For shareholders who own shares of the Company’s Common Stock through an intermediary, such as a</w:t>
      </w:r>
      <w:r>
        <w:rPr>
          <w:rFonts w:ascii="Arial" w:cs="Arial" w:eastAsia="Arial" w:hAnsi="Arial"/>
          <w:sz w:val="18"/>
          <w:szCs w:val="18"/>
          <w:color w:val="140582"/>
        </w:rPr>
        <w:t xml:space="preserve"> </w:t>
      </w:r>
      <w:r>
        <w:rPr>
          <w:rFonts w:ascii="Arial" w:cs="Arial" w:eastAsia="Arial" w:hAnsi="Arial"/>
          <w:sz w:val="18"/>
          <w:szCs w:val="18"/>
          <w:color w:val="000000"/>
        </w:rPr>
        <w:t>broker, bank or other 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REVOCABILITY OF PROXIES</w:t>
      </w:r>
    </w:p>
    <w:p>
      <w:pPr>
        <w:spacing w:after="0" w:line="1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b w:val="1"/>
          <w:bCs w:val="1"/>
          <w:color w:val="140582"/>
        </w:rPr>
        <w:t xml:space="preserve">SHAREHOLDERS OF RECORD. </w:t>
      </w:r>
      <w:r>
        <w:rPr>
          <w:rFonts w:ascii="Arial" w:cs="Arial" w:eastAsia="Arial" w:hAnsi="Arial"/>
          <w:sz w:val="18"/>
          <w:szCs w:val="18"/>
          <w:color w:val="000000"/>
        </w:rPr>
        <w:t>If you are a shareholder of record and you deliver a proxy pursuant to this solicitation, you may revoke</w:t>
      </w:r>
      <w:r>
        <w:rPr>
          <w:rFonts w:ascii="Arial" w:cs="Arial" w:eastAsia="Arial" w:hAnsi="Arial"/>
          <w:sz w:val="18"/>
          <w:szCs w:val="18"/>
          <w:b w:val="1"/>
          <w:bCs w:val="1"/>
          <w:color w:val="140582"/>
        </w:rPr>
        <w:t xml:space="preserve"> </w:t>
      </w:r>
      <w:r>
        <w:rPr>
          <w:rFonts w:ascii="Arial" w:cs="Arial" w:eastAsia="Arial" w:hAnsi="Arial"/>
          <w:sz w:val="18"/>
          <w:szCs w:val="18"/>
          <w:color w:val="000000"/>
        </w:rPr>
        <w:t>that proxy at any time before it is voted by (a) giving written notice to our Secretary at the address set forth below, (b) delivering to our Secretary a later dated proxy, (c) submitting another proxy by telephone or over the Internet (your latest telephone or Internet voting instructions are followed), or (d) voting electronically during the Annual Meeting. Written notice of revocation or subsequent proxy should be sent 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Wynn Resorts, Limited</w:t>
      </w:r>
    </w:p>
    <w:p>
      <w:pPr>
        <w:ind w:left="560"/>
        <w:spacing w:after="0" w:line="234" w:lineRule="auto"/>
        <w:rPr>
          <w:sz w:val="20"/>
          <w:szCs w:val="20"/>
          <w:color w:val="auto"/>
        </w:rPr>
      </w:pPr>
      <w:r>
        <w:rPr>
          <w:rFonts w:ascii="Arial" w:cs="Arial" w:eastAsia="Arial" w:hAnsi="Arial"/>
          <w:sz w:val="18"/>
          <w:szCs w:val="18"/>
          <w:color w:val="auto"/>
        </w:rPr>
        <w:t>c/o Secretary</w:t>
      </w:r>
    </w:p>
    <w:p>
      <w:pPr>
        <w:ind w:left="56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Las Vegas, Nevada 89109</w:t>
      </w:r>
    </w:p>
    <w:p>
      <w:pPr>
        <w:spacing w:after="0" w:line="185" w:lineRule="exact"/>
        <w:rPr>
          <w:sz w:val="20"/>
          <w:szCs w:val="20"/>
          <w:color w:val="auto"/>
        </w:rPr>
      </w:pPr>
    </w:p>
    <w:p>
      <w:pPr>
        <w:jc w:val="both"/>
        <w:ind w:left="120" w:right="400"/>
        <w:spacing w:after="0"/>
        <w:rPr>
          <w:sz w:val="20"/>
          <w:szCs w:val="20"/>
          <w:color w:val="auto"/>
        </w:rPr>
      </w:pPr>
      <w:r>
        <w:rPr>
          <w:rFonts w:ascii="Arial" w:cs="Arial" w:eastAsia="Arial" w:hAnsi="Arial"/>
          <w:sz w:val="18"/>
          <w:szCs w:val="18"/>
          <w:color w:val="381460"/>
        </w:rPr>
        <w:t xml:space="preserve">BENEFICIAL SHAREHOLDERS. </w:t>
      </w:r>
      <w:r>
        <w:rPr>
          <w:rFonts w:ascii="Arial" w:cs="Arial" w:eastAsia="Arial" w:hAnsi="Arial"/>
          <w:sz w:val="18"/>
          <w:szCs w:val="18"/>
          <w:color w:val="000000"/>
        </w:rPr>
        <w:t>If your shares are held through an intermediary, such as a bank, broker or other nominee, you must</w:t>
      </w:r>
      <w:r>
        <w:rPr>
          <w:rFonts w:ascii="Arial" w:cs="Arial" w:eastAsia="Arial" w:hAnsi="Arial"/>
          <w:sz w:val="18"/>
          <w:szCs w:val="18"/>
          <w:color w:val="381460"/>
        </w:rPr>
        <w:t xml:space="preserve"> </w:t>
      </w:r>
      <w:r>
        <w:rPr>
          <w:rFonts w:ascii="Arial" w:cs="Arial" w:eastAsia="Arial" w:hAnsi="Arial"/>
          <w:sz w:val="18"/>
          <w:szCs w:val="18"/>
          <w:color w:val="000000"/>
        </w:rPr>
        <w:t>contact that person if you wish to revoke previously given voting instructions. In this case, attendance at the Annual Meeting, in and of itself, does not revoke a prior proxy.</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PARTICIPATING IN THE ANNUAL MEETING</w:t>
      </w:r>
    </w:p>
    <w:p>
      <w:pPr>
        <w:spacing w:after="0" w:line="13"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b w:val="1"/>
          <w:bCs w:val="1"/>
          <w:color w:val="140582"/>
        </w:rPr>
        <w:t xml:space="preserve">CONTROL NUMBER. </w:t>
      </w:r>
      <w:r>
        <w:rPr>
          <w:rFonts w:ascii="Arial" w:cs="Arial" w:eastAsia="Arial" w:hAnsi="Arial"/>
          <w:sz w:val="18"/>
          <w:szCs w:val="18"/>
          <w:color w:val="000000"/>
        </w:rPr>
        <w:t>You will need the 16-digit control number that is printed in the box marked by the arrow on your Notice of Internet</w:t>
      </w:r>
      <w:r>
        <w:rPr>
          <w:rFonts w:ascii="Arial" w:cs="Arial" w:eastAsia="Arial" w:hAnsi="Arial"/>
          <w:sz w:val="18"/>
          <w:szCs w:val="18"/>
          <w:b w:val="1"/>
          <w:bCs w:val="1"/>
          <w:color w:val="140582"/>
        </w:rPr>
        <w:t xml:space="preserve"> </w:t>
      </w:r>
      <w:r>
        <w:rPr>
          <w:rFonts w:ascii="Arial" w:cs="Arial" w:eastAsia="Arial" w:hAnsi="Arial"/>
          <w:sz w:val="18"/>
          <w:szCs w:val="18"/>
          <w:color w:val="000000"/>
        </w:rPr>
        <w:t>Availability, proxy card or voter instruction form to attend the virtual Annual Meeting, vote and ask questions.</w:t>
      </w: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68 //</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140582"/>
        </w:rPr>
        <w:t xml:space="preserve">NOTICE OF INTERNET AVAILABILITY OF PROXY MATERIALS. </w:t>
      </w:r>
      <w:r>
        <w:rPr>
          <w:rFonts w:ascii="Arial" w:cs="Arial" w:eastAsia="Arial" w:hAnsi="Arial"/>
          <w:sz w:val="18"/>
          <w:szCs w:val="18"/>
          <w:color w:val="000000"/>
        </w:rPr>
        <w:t>Under rules adopted by the U.S. Securities and Exchange Commission</w:t>
      </w:r>
      <w:r>
        <w:rPr>
          <w:rFonts w:ascii="Arial" w:cs="Arial" w:eastAsia="Arial" w:hAnsi="Arial"/>
          <w:sz w:val="18"/>
          <w:szCs w:val="18"/>
          <w:color w:val="140582"/>
        </w:rPr>
        <w:t xml:space="preserve"> </w:t>
      </w:r>
      <w:r>
        <w:rPr>
          <w:rFonts w:ascii="Arial" w:cs="Arial" w:eastAsia="Arial" w:hAnsi="Arial"/>
          <w:sz w:val="18"/>
          <w:szCs w:val="18"/>
          <w:color w:val="000000"/>
        </w:rPr>
        <w:t>(the “SEC”), we are furnishing proxy materials to some shareholders via the Internet, instead of mailing printed copies of those materials to each shareholder. On or about March 24, 2022, we mailed to shareholders either a printed copy of our Annual Meeting materials or a Notice of Internet Availability containing instructions on how to access our Annual Meeting materials, including this Proxy Statement and our Annual Report for the fiscal year ending December 31, 2021. The Notice of Internet Availability also explains how to vote through the Internet, by telephone or electronically at the Annual Meeting.</w:t>
      </w:r>
    </w:p>
    <w:p>
      <w:pPr>
        <w:spacing w:after="0" w:line="178"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This electronic access process expedites shareholders’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PROXY PROCEDURE AND EXPENSES OF SOLICITATION</w:t>
      </w:r>
    </w:p>
    <w:p>
      <w:pPr>
        <w:spacing w:after="0" w:line="1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have retained Broadridge Financial Solutions, an independent tabulator, to receive and tabulate the proxies, to serve as an inspector of elections, and to certify the results. In addition, we have engaged Innisfree M&amp;A Incorporated (“Innisfree”), a professional proxy solicitation firm, to assist in the solicitation of proxies for the Annual Meeting. The Company has agreed to pay Innisfree a fee of $17,500, plus reimbursement for out-of-pocket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64"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70"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Solicitation may be undertaken by mail, telephone, personal contact or other similar means by directors, officers and employees without additional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SHAREHOLDER PROPOSALS</w:t>
      </w:r>
    </w:p>
    <w:p>
      <w:pPr>
        <w:spacing w:after="0" w:line="1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Shareholders intending to present a proposal at the 2023 Annual Meeting of Shareholders for inclusion in our proxy statement for that meeting pursuant to Rule 14a-8 of the Exchange Act must submit the proposal in writing to Wynn Resorts, Limited, Attention: Secretary, 3131 Las Vegas Boulevard South, Las Vegas, Nevada 89109. Such proposals must comply with the requirements of Rule 14a-8 of the Exchange Act and must be received by the Company no later than December 31, 2022.</w:t>
      </w:r>
    </w:p>
    <w:p>
      <w:pPr>
        <w:spacing w:after="0" w:line="16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our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8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Accordingly, for our 2023 Annual Meeting, notice of a nomination or proposal must be delivered to us no later than February 3, 2023 and no earlier than January 4, 2023. Nominations and proposals also must satisfy other requirements set forth in the Bylaws. If a shareholder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 of the Board may refuse to acknowledge the introduction of any shareholder proposal not made in compliance with the foregoing procedures.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69 //</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51510" cy="291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1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0582"/>
        </w:rPr>
        <w:t>ANNUAL REPORT</w:t>
      </w:r>
    </w:p>
    <w:p>
      <w:pPr>
        <w:spacing w:after="0" w:line="1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financial statements for the year ended December 31, 2021, are included in our 2021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81460"/>
        </w:rPr>
        <w:t>HOUSEHOLDING</w:t>
      </w:r>
    </w:p>
    <w:p>
      <w:pPr>
        <w:spacing w:after="0" w:line="13" w:lineRule="exact"/>
        <w:rPr>
          <w:sz w:val="20"/>
          <w:szCs w:val="20"/>
          <w:color w:val="auto"/>
        </w:rPr>
      </w:pPr>
    </w:p>
    <w:p>
      <w:pPr>
        <w:jc w:val="both"/>
        <w:ind w:left="120" w:right="40"/>
        <w:spacing w:after="0" w:line="248" w:lineRule="auto"/>
        <w:rPr>
          <w:sz w:val="20"/>
          <w:szCs w:val="20"/>
          <w:color w:val="auto"/>
        </w:rPr>
      </w:pPr>
      <w:r>
        <w:rPr>
          <w:rFonts w:ascii="Arial" w:cs="Arial" w:eastAsia="Arial" w:hAnsi="Arial"/>
          <w:sz w:val="17"/>
          <w:szCs w:val="17"/>
          <w:color w:val="auto"/>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w:t>
      </w:r>
    </w:p>
    <w:p>
      <w:pPr>
        <w:spacing w:after="0" w:line="3" w:lineRule="exact"/>
        <w:rPr>
          <w:sz w:val="20"/>
          <w:szCs w:val="20"/>
          <w:color w:val="auto"/>
        </w:rPr>
      </w:pPr>
    </w:p>
    <w:p>
      <w:pPr>
        <w:jc w:val="both"/>
        <w:ind w:left="120" w:hanging="4"/>
        <w:spacing w:after="0" w:line="238" w:lineRule="auto"/>
        <w:tabs>
          <w:tab w:leader="none" w:pos="5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81460"/>
        </w:rPr>
        <w:t>OTHER BUSINESS</w:t>
      </w:r>
    </w:p>
    <w:p>
      <w:pPr>
        <w:spacing w:after="0" w:line="1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1"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1"/>
          <w:szCs w:val="11"/>
          <w:b w:val="1"/>
          <w:bCs w:val="1"/>
          <w:color w:val="auto"/>
        </w:rPr>
        <w:t>2022 PROXY STATEMENT</w:t>
      </w:r>
      <w:r>
        <w:rPr>
          <w:sz w:val="20"/>
          <w:szCs w:val="20"/>
          <w:color w:val="auto"/>
        </w:rPr>
        <w:tab/>
      </w:r>
      <w:r>
        <w:rPr>
          <w:rFonts w:ascii="Arial" w:cs="Arial" w:eastAsia="Arial" w:hAnsi="Arial"/>
          <w:sz w:val="25"/>
          <w:szCs w:val="25"/>
          <w:color w:val="auto"/>
          <w:vertAlign w:val="subscript"/>
        </w:rPr>
        <w:t>// 70 //</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451485</wp:posOffset>
            </wp:positionV>
            <wp:extent cx="7029450" cy="915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220345</wp:posOffset>
            </wp:positionV>
            <wp:extent cx="1868805" cy="4883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68805" cy="4883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1"/>
          <w:szCs w:val="11"/>
          <w:b w:val="1"/>
          <w:bCs w:val="1"/>
          <w:i w:val="1"/>
          <w:iCs w:val="1"/>
          <w:color w:val="auto"/>
        </w:rPr>
        <w:t>WYNN RESORTS, LIMITED</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0"/>
          <w:szCs w:val="10"/>
          <w:b w:val="1"/>
          <w:bCs w:val="1"/>
          <w:i w:val="1"/>
          <w:iCs w:val="1"/>
          <w:color w:val="auto"/>
        </w:rPr>
        <w:t>ATTN: CORPORATE SECRETARY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1"/>
          <w:szCs w:val="11"/>
          <w:b w:val="1"/>
          <w:bCs w:val="1"/>
          <w:i w:val="1"/>
          <w:iCs w:val="1"/>
          <w:color w:val="auto"/>
        </w:rPr>
        <w:t>3131 LAS VEGAS BLVD. SOUTH</w:t>
      </w:r>
    </w:p>
    <w:p>
      <w:pPr>
        <w:ind w:left="340"/>
        <w:spacing w:after="0"/>
        <w:rPr>
          <w:sz w:val="20"/>
          <w:szCs w:val="20"/>
          <w:color w:val="auto"/>
        </w:rPr>
      </w:pPr>
      <w:r>
        <w:rPr>
          <w:rFonts w:ascii="Arial" w:cs="Arial" w:eastAsia="Arial" w:hAnsi="Arial"/>
          <w:sz w:val="11"/>
          <w:szCs w:val="11"/>
          <w:b w:val="1"/>
          <w:bCs w:val="1"/>
          <w:i w:val="1"/>
          <w:iCs w:val="1"/>
          <w:color w:val="auto"/>
        </w:rPr>
        <w:t>LAS VEGAS, NV 89109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 - www.proxyvote.com or scan the QR Barcode above</w:t>
      </w:r>
    </w:p>
    <w:p>
      <w:pPr>
        <w:spacing w:after="0" w:line="7" w:lineRule="exact"/>
        <w:rPr>
          <w:sz w:val="20"/>
          <w:szCs w:val="20"/>
          <w:color w:val="auto"/>
        </w:rPr>
      </w:pPr>
    </w:p>
    <w:p>
      <w:pPr>
        <w:jc w:val="both"/>
        <w:ind w:right="80"/>
        <w:spacing w:after="0" w:line="230"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on May 4, 2022. Have your proxy card in hand when you access the web site and follow the instructions to obtain your records and to create an electronic voting instruction form.</w:t>
      </w:r>
    </w:p>
    <w:p>
      <w:pPr>
        <w:spacing w:after="0" w:line="232" w:lineRule="auto"/>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www.virtualshareholdermeeting.com/WYNN2022</w:t>
      </w:r>
    </w:p>
    <w:p>
      <w:pPr>
        <w:ind w:right="340"/>
        <w:spacing w:after="0" w:line="230"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231" w:lineRule="auto"/>
        <w:rPr>
          <w:sz w:val="20"/>
          <w:szCs w:val="20"/>
          <w:color w:val="auto"/>
        </w:rPr>
      </w:pPr>
      <w:r>
        <w:rPr>
          <w:rFonts w:ascii="Arial" w:cs="Arial" w:eastAsia="Arial" w:hAnsi="Arial"/>
          <w:sz w:val="11"/>
          <w:szCs w:val="11"/>
          <w:b w:val="1"/>
          <w:bCs w:val="1"/>
          <w:color w:val="auto"/>
        </w:rPr>
        <w:t>VOTE BY PHONE - 1-800-690-6903</w:t>
      </w:r>
    </w:p>
    <w:p>
      <w:pPr>
        <w:ind w:right="340"/>
        <w:spacing w:after="0" w:line="230" w:lineRule="auto"/>
        <w:rPr>
          <w:sz w:val="20"/>
          <w:szCs w:val="20"/>
          <w:color w:val="auto"/>
        </w:rPr>
      </w:pPr>
      <w:r>
        <w:rPr>
          <w:rFonts w:ascii="Arial" w:cs="Arial" w:eastAsia="Arial" w:hAnsi="Arial"/>
          <w:sz w:val="11"/>
          <w:szCs w:val="11"/>
          <w:color w:val="auto"/>
        </w:rPr>
        <w:t>Use any touch-tone telephone to transmit your voting instructions up until 11:59 p.m. Eastern Time on May 4, 2022. Have your proxy card in hand when you call and then follow the instructions.</w:t>
      </w:r>
    </w:p>
    <w:p>
      <w:pPr>
        <w:spacing w:after="0" w:line="231" w:lineRule="auto"/>
        <w:rPr>
          <w:sz w:val="20"/>
          <w:szCs w:val="20"/>
          <w:color w:val="auto"/>
        </w:rPr>
      </w:pPr>
      <w:r>
        <w:rPr>
          <w:rFonts w:ascii="Arial" w:cs="Arial" w:eastAsia="Arial" w:hAnsi="Arial"/>
          <w:sz w:val="11"/>
          <w:szCs w:val="11"/>
          <w:b w:val="1"/>
          <w:bCs w:val="1"/>
          <w:color w:val="auto"/>
        </w:rPr>
        <w:t>VOTE BY MAIL</w:t>
      </w:r>
    </w:p>
    <w:p>
      <w:pPr>
        <w:ind w:right="40"/>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180"/>
          </w:cols>
          <w:pgMar w:left="320" w:top="459" w:right="4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VOTE, MARK BLOCKS BELOW IN BLUE OR BLACK INK AS FOLLOWS:</w:t>
      </w:r>
    </w:p>
    <w:p>
      <w:pPr>
        <w:ind w:left="8500"/>
        <w:spacing w:after="0"/>
        <w:rPr>
          <w:sz w:val="20"/>
          <w:szCs w:val="20"/>
          <w:color w:val="auto"/>
        </w:rPr>
      </w:pPr>
      <w:r>
        <w:rPr>
          <w:rFonts w:ascii="Arial" w:cs="Arial" w:eastAsia="Arial" w:hAnsi="Arial"/>
          <w:sz w:val="12"/>
          <w:szCs w:val="12"/>
          <w:color w:val="auto"/>
        </w:rPr>
        <w:t>KEEP THIS PORTION FOR YOUR RECORDS</w:t>
      </w:r>
    </w:p>
    <w:p>
      <w:pPr>
        <w:spacing w:after="0" w:line="2" w:lineRule="exact"/>
        <w:rPr>
          <w:sz w:val="20"/>
          <w:szCs w:val="20"/>
          <w:color w:val="auto"/>
        </w:rPr>
      </w:pPr>
    </w:p>
    <w:p>
      <w:pPr>
        <w:ind w:left="340" w:right="3200"/>
        <w:spacing w:after="0" w:line="231" w:lineRule="auto"/>
        <w:rPr>
          <w:sz w:val="20"/>
          <w:szCs w:val="20"/>
          <w:color w:val="auto"/>
        </w:rPr>
      </w:pPr>
      <w:r>
        <w:rPr>
          <w:rFonts w:ascii="Arial" w:cs="Arial" w:eastAsia="Arial" w:hAnsi="Arial"/>
          <w:sz w:val="18"/>
          <w:szCs w:val="18"/>
          <w:color w:val="auto"/>
        </w:rPr>
        <w:t>—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27940</wp:posOffset>
            </wp:positionV>
            <wp:extent cx="6875145" cy="36601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75145" cy="3660140"/>
                    </a:xfrm>
                    <a:prstGeom prst="rect">
                      <a:avLst/>
                    </a:prstGeom>
                    <a:noFill/>
                  </pic:spPr>
                </pic:pic>
              </a:graphicData>
            </a:graphic>
          </wp:anchor>
        </w:drawing>
      </w:r>
    </w:p>
    <w:p>
      <w:pPr>
        <w:spacing w:after="0" w:line="71" w:lineRule="exact"/>
        <w:rPr>
          <w:sz w:val="20"/>
          <w:szCs w:val="20"/>
          <w:color w:val="auto"/>
        </w:rPr>
      </w:pPr>
    </w:p>
    <w:tbl>
      <w:tblPr>
        <w:tblLayout w:type="fixed"/>
        <w:tblInd w:w="4880" w:type="dxa"/>
        <w:tblCellMar>
          <w:top w:w="0" w:type="dxa"/>
          <w:left w:w="0" w:type="dxa"/>
          <w:bottom w:w="0" w:type="dxa"/>
          <w:right w:w="0" w:type="dxa"/>
        </w:tblCellMar>
      </w:tblPr>
      <w:tr>
        <w:trPr>
          <w:trHeight w:val="149"/>
        </w:trPr>
        <w:tc>
          <w:tcPr>
            <w:tcW w:w="2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For All</w:t>
            </w:r>
          </w:p>
        </w:tc>
        <w:tc>
          <w:tcPr>
            <w:tcW w:w="2700" w:type="dxa"/>
            <w:vAlign w:val="bottom"/>
          </w:tcPr>
          <w:p>
            <w:pPr>
              <w:ind w:left="60"/>
              <w:spacing w:after="0"/>
              <w:rPr>
                <w:sz w:val="20"/>
                <w:szCs w:val="20"/>
                <w:color w:val="auto"/>
              </w:rPr>
            </w:pPr>
            <w:r>
              <w:rPr>
                <w:rFonts w:ascii="Arial" w:cs="Arial" w:eastAsia="Arial" w:hAnsi="Arial"/>
                <w:sz w:val="13"/>
                <w:szCs w:val="13"/>
                <w:color w:val="auto"/>
                <w:w w:val="99"/>
              </w:rPr>
              <w:t>To withhold authority to vote for any individual</w:t>
            </w:r>
          </w:p>
        </w:tc>
        <w:tc>
          <w:tcPr>
            <w:tcW w:w="0" w:type="dxa"/>
            <w:vAlign w:val="bottom"/>
          </w:tcPr>
          <w:p>
            <w:pPr>
              <w:spacing w:after="0"/>
              <w:rPr>
                <w:sz w:val="1"/>
                <w:szCs w:val="1"/>
                <w:color w:val="auto"/>
              </w:rPr>
            </w:pPr>
          </w:p>
        </w:tc>
      </w:tr>
      <w:tr>
        <w:trPr>
          <w:trHeight w:val="119"/>
        </w:trPr>
        <w:tc>
          <w:tcPr>
            <w:tcW w:w="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700" w:type="dxa"/>
            <w:vAlign w:val="bottom"/>
          </w:tcPr>
          <w:p>
            <w:pPr>
              <w:ind w:left="60"/>
              <w:spacing w:after="0" w:line="119" w:lineRule="exact"/>
              <w:rPr>
                <w:sz w:val="20"/>
                <w:szCs w:val="20"/>
                <w:color w:val="auto"/>
              </w:rPr>
            </w:pPr>
            <w:r>
              <w:rPr>
                <w:rFonts w:ascii="Arial" w:cs="Arial" w:eastAsia="Arial" w:hAnsi="Arial"/>
                <w:sz w:val="13"/>
                <w:szCs w:val="13"/>
                <w:color w:val="auto"/>
                <w:w w:val="96"/>
              </w:rPr>
              <w:t>nominee(s), mark “For All Except” and write the</w:t>
            </w:r>
          </w:p>
        </w:tc>
        <w:tc>
          <w:tcPr>
            <w:tcW w:w="0" w:type="dxa"/>
            <w:vAlign w:val="bottom"/>
          </w:tcPr>
          <w:p>
            <w:pPr>
              <w:spacing w:after="0"/>
              <w:rPr>
                <w:sz w:val="1"/>
                <w:szCs w:val="1"/>
                <w:color w:val="auto"/>
              </w:rPr>
            </w:pPr>
          </w:p>
        </w:tc>
      </w:tr>
      <w:tr>
        <w:trPr>
          <w:trHeight w:val="164"/>
        </w:trPr>
        <w:tc>
          <w:tcPr>
            <w:tcW w:w="260" w:type="dxa"/>
            <w:vAlign w:val="bottom"/>
          </w:tcPr>
          <w:p>
            <w:pPr>
              <w:jc w:val="center"/>
              <w:spacing w:after="0"/>
              <w:rPr>
                <w:sz w:val="20"/>
                <w:szCs w:val="20"/>
                <w:color w:val="auto"/>
              </w:rPr>
            </w:pPr>
            <w:r>
              <w:rPr>
                <w:rFonts w:ascii="Arial" w:cs="Arial" w:eastAsia="Arial" w:hAnsi="Arial"/>
                <w:sz w:val="13"/>
                <w:szCs w:val="13"/>
                <w:b w:val="1"/>
                <w:bCs w:val="1"/>
                <w:color w:val="auto"/>
              </w:rPr>
              <w:t>All</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Except</w:t>
            </w:r>
          </w:p>
        </w:tc>
        <w:tc>
          <w:tcPr>
            <w:tcW w:w="2700" w:type="dxa"/>
            <w:vAlign w:val="bottom"/>
          </w:tcPr>
          <w:p>
            <w:pPr>
              <w:ind w:left="60"/>
              <w:spacing w:after="0"/>
              <w:rPr>
                <w:sz w:val="20"/>
                <w:szCs w:val="20"/>
                <w:color w:val="auto"/>
              </w:rPr>
            </w:pPr>
            <w:r>
              <w:rPr>
                <w:rFonts w:ascii="Arial" w:cs="Arial" w:eastAsia="Arial" w:hAnsi="Arial"/>
                <w:sz w:val="13"/>
                <w:szCs w:val="13"/>
                <w:color w:val="auto"/>
                <w:w w:val="97"/>
              </w:rPr>
              <w:t>number(s) of the nominee(s) on the line below.</w:t>
            </w: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-90805</wp:posOffset>
            </wp:positionV>
            <wp:extent cx="17145" cy="32492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3249295"/>
                    </a:xfrm>
                    <a:prstGeom prst="rect">
                      <a:avLst/>
                    </a:prstGeom>
                    <a:noFill/>
                  </pic:spPr>
                </pic:pic>
              </a:graphicData>
            </a:graphic>
          </wp:anchor>
        </w:drawing>
      </w:r>
    </w:p>
    <w:p>
      <w:pPr>
        <w:spacing w:after="0" w:line="384" w:lineRule="exact"/>
        <w:rPr>
          <w:sz w:val="20"/>
          <w:szCs w:val="20"/>
          <w:color w:val="auto"/>
        </w:rPr>
      </w:pPr>
    </w:p>
    <w:p>
      <w:pPr>
        <w:ind w:left="640" w:hanging="119"/>
        <w:spacing w:after="0"/>
        <w:tabs>
          <w:tab w:leader="none" w:pos="640" w:val="left"/>
        </w:tabs>
        <w:numPr>
          <w:ilvl w:val="0"/>
          <w:numId w:val="64"/>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Nominees</w:t>
      </w:r>
    </w:p>
    <w:p>
      <w:pPr>
        <w:spacing w:after="0" w:line="177" w:lineRule="exact"/>
        <w:rPr>
          <w:sz w:val="20"/>
          <w:szCs w:val="20"/>
          <w:color w:val="auto"/>
        </w:rPr>
      </w:pPr>
    </w:p>
    <w:p>
      <w:pPr>
        <w:ind w:left="520"/>
        <w:spacing w:after="0"/>
        <w:tabs>
          <w:tab w:leader="none" w:pos="2060" w:val="left"/>
          <w:tab w:leader="none" w:pos="3720" w:val="left"/>
        </w:tabs>
        <w:rPr>
          <w:sz w:val="20"/>
          <w:szCs w:val="20"/>
          <w:color w:val="auto"/>
        </w:rPr>
      </w:pPr>
      <w:r>
        <w:rPr>
          <w:rFonts w:ascii="Arial" w:cs="Arial" w:eastAsia="Arial" w:hAnsi="Arial"/>
          <w:sz w:val="13"/>
          <w:szCs w:val="13"/>
          <w:color w:val="auto"/>
        </w:rPr>
        <w:t>01) Craig S. Billings</w:t>
      </w:r>
      <w:r>
        <w:rPr>
          <w:sz w:val="20"/>
          <w:szCs w:val="20"/>
          <w:color w:val="auto"/>
        </w:rPr>
        <w:tab/>
      </w:r>
      <w:r>
        <w:rPr>
          <w:rFonts w:ascii="Arial" w:cs="Arial" w:eastAsia="Arial" w:hAnsi="Arial"/>
          <w:sz w:val="13"/>
          <w:szCs w:val="13"/>
          <w:color w:val="auto"/>
        </w:rPr>
        <w:t>02) Margaret J. Myers</w:t>
      </w:r>
      <w:r>
        <w:rPr>
          <w:sz w:val="20"/>
          <w:szCs w:val="20"/>
          <w:color w:val="auto"/>
        </w:rPr>
        <w:tab/>
      </w:r>
      <w:r>
        <w:rPr>
          <w:rFonts w:ascii="Arial" w:cs="Arial" w:eastAsia="Arial" w:hAnsi="Arial"/>
          <w:sz w:val="12"/>
          <w:szCs w:val="12"/>
          <w:color w:val="auto"/>
        </w:rPr>
        <w:t>03) Winifred M. Webb</w:t>
      </w:r>
    </w:p>
    <w:p>
      <w:pPr>
        <w:spacing w:after="0" w:line="145" w:lineRule="exact"/>
        <w:rPr>
          <w:sz w:val="20"/>
          <w:szCs w:val="20"/>
          <w:color w:val="auto"/>
        </w:rPr>
      </w:pPr>
    </w:p>
    <w:p>
      <w:pPr>
        <w:ind w:left="520"/>
        <w:spacing w:after="0"/>
        <w:tabs>
          <w:tab w:leader="none" w:pos="9380" w:val="left"/>
          <w:tab w:leader="none" w:pos="10340" w:val="left"/>
        </w:tabs>
        <w:rPr>
          <w:sz w:val="20"/>
          <w:szCs w:val="20"/>
          <w:color w:val="auto"/>
        </w:rPr>
      </w:pPr>
      <w:r>
        <w:rPr>
          <w:rFonts w:ascii="Arial" w:cs="Arial" w:eastAsia="Arial" w:hAnsi="Arial"/>
          <w:sz w:val="13"/>
          <w:szCs w:val="13"/>
          <w:b w:val="1"/>
          <w:bCs w:val="1"/>
          <w:color w:val="auto"/>
        </w:rPr>
        <w:t>The Board of Directors recommends you vote FOR proposals 2 and 3.</w:t>
      </w:r>
      <w:r>
        <w:rPr>
          <w:sz w:val="20"/>
          <w:szCs w:val="20"/>
          <w:color w:val="auto"/>
        </w:rPr>
        <w:tab/>
      </w:r>
      <w:r>
        <w:rPr>
          <w:rFonts w:ascii="Arial" w:cs="Arial" w:eastAsia="Arial" w:hAnsi="Arial"/>
          <w:sz w:val="13"/>
          <w:szCs w:val="13"/>
          <w:b w:val="1"/>
          <w:bCs w:val="1"/>
          <w:color w:val="auto"/>
        </w:rPr>
        <w:t>For  Against</w:t>
      </w:r>
      <w:r>
        <w:rPr>
          <w:sz w:val="20"/>
          <w:szCs w:val="20"/>
          <w:color w:val="auto"/>
        </w:rPr>
        <w:tab/>
      </w:r>
      <w:r>
        <w:rPr>
          <w:rFonts w:ascii="Arial" w:cs="Arial" w:eastAsia="Arial" w:hAnsi="Arial"/>
          <w:sz w:val="12"/>
          <w:szCs w:val="12"/>
          <w:b w:val="1"/>
          <w:bCs w:val="1"/>
          <w:color w:val="auto"/>
        </w:rPr>
        <w:t>Abstain</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color w:val="auto"/>
        </w:rPr>
        <w:t>To ratify the appointment of Ernst &amp; Young LLP as our independent registered public accounting firm for 2022.</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3. </w:t>
      </w:r>
      <w:r>
        <w:rPr>
          <w:rFonts w:ascii="Arial" w:cs="Arial" w:eastAsia="Arial" w:hAnsi="Arial"/>
          <w:sz w:val="13"/>
          <w:szCs w:val="13"/>
          <w:color w:val="auto"/>
        </w:rPr>
        <w:t>To approve, on a non-binding advisory basis, the compensation of our named executive officers as described in the proxy statement.</w:t>
      </w:r>
    </w:p>
    <w:p>
      <w:pPr>
        <w:spacing w:after="0" w:line="161" w:lineRule="exact"/>
        <w:rPr>
          <w:sz w:val="20"/>
          <w:szCs w:val="20"/>
          <w:color w:val="auto"/>
        </w:rPr>
      </w:pPr>
    </w:p>
    <w:p>
      <w:pPr>
        <w:ind w:left="520" w:right="2780"/>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consider and transact such other business as may properly come before the Annual Meeting or any adjournment or postponement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120015" cy="1045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 w:right="2140"/>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7" w:lineRule="exact"/>
        <w:rPr>
          <w:sz w:val="20"/>
          <w:szCs w:val="20"/>
          <w:color w:val="auto"/>
        </w:rPr>
      </w:pPr>
    </w:p>
    <w:p>
      <w:pPr>
        <w:ind w:left="520"/>
        <w:spacing w:after="0"/>
        <w:tabs>
          <w:tab w:leader="none" w:pos="2980" w:val="left"/>
          <w:tab w:leader="none" w:pos="6340" w:val="left"/>
          <w:tab w:leader="none" w:pos="80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-90805</wp:posOffset>
            </wp:positionV>
            <wp:extent cx="6858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-90805</wp:posOffset>
            </wp:positionV>
            <wp:extent cx="6858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0033A0"/>
        </w:rPr>
        <w:t>www.proxyvote.com</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 — — — — — — — — — — — — — — — — — — — — — — — — — — — — — — —</w:t>
      </w:r>
    </w:p>
    <w:p>
      <w:pPr>
        <w:ind w:left="120"/>
        <w:spacing w:after="0"/>
        <w:rPr>
          <w:sz w:val="20"/>
          <w:szCs w:val="20"/>
          <w:color w:val="auto"/>
        </w:rPr>
      </w:pPr>
      <w:r>
        <w:rPr>
          <w:rFonts w:ascii="Arial" w:cs="Arial" w:eastAsia="Arial" w:hAnsi="Arial"/>
          <w:sz w:val="18"/>
          <w:szCs w:val="18"/>
          <w:color w:val="auto"/>
        </w:rPr>
        <w:t>—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160655</wp:posOffset>
            </wp:positionV>
            <wp:extent cx="6797675" cy="3206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97675" cy="3206115"/>
                    </a:xfrm>
                    <a:prstGeom prst="rect">
                      <a:avLst/>
                    </a:prstGeom>
                    <a:noFill/>
                  </pic:spPr>
                </pic:pic>
              </a:graphicData>
            </a:graphic>
          </wp:anchor>
        </w:drawing>
      </w:r>
    </w:p>
    <w:p>
      <w:pPr>
        <w:spacing w:after="0" w:line="25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WYNN RESORTS, LIMITED</w:t>
      </w:r>
    </w:p>
    <w:p>
      <w:pPr>
        <w:spacing w:after="0" w:line="1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Proxy for Annual Meeting of Shareholders</w:t>
      </w:r>
    </w:p>
    <w:p>
      <w:pPr>
        <w:jc w:val="center"/>
        <w:ind w:left="380"/>
        <w:spacing w:after="0" w:line="234" w:lineRule="auto"/>
        <w:rPr>
          <w:sz w:val="20"/>
          <w:szCs w:val="20"/>
          <w:color w:val="auto"/>
        </w:rPr>
      </w:pPr>
      <w:r>
        <w:rPr>
          <w:rFonts w:ascii="Arial" w:cs="Arial" w:eastAsia="Arial" w:hAnsi="Arial"/>
          <w:sz w:val="18"/>
          <w:szCs w:val="18"/>
          <w:b w:val="1"/>
          <w:bCs w:val="1"/>
          <w:color w:val="auto"/>
        </w:rPr>
        <w:t>To Be Held on May 5, 2022</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spacing w:after="0" w:line="295" w:lineRule="exact"/>
        <w:rPr>
          <w:sz w:val="20"/>
          <w:szCs w:val="20"/>
          <w:color w:val="auto"/>
        </w:rPr>
      </w:pPr>
    </w:p>
    <w:p>
      <w:pPr>
        <w:ind w:left="940" w:right="80"/>
        <w:spacing w:after="0" w:line="236" w:lineRule="auto"/>
        <w:rPr>
          <w:sz w:val="20"/>
          <w:szCs w:val="20"/>
          <w:color w:val="auto"/>
        </w:rPr>
      </w:pPr>
      <w:r>
        <w:rPr>
          <w:rFonts w:ascii="Arial" w:cs="Arial" w:eastAsia="Arial" w:hAnsi="Arial"/>
          <w:sz w:val="18"/>
          <w:szCs w:val="18"/>
          <w:color w:val="auto"/>
        </w:rPr>
        <w:t>The undersigned shareholder of Wynn Resorts, Limited, a Nevada corporation (the “Company”), hereby appoints Craig S. Billings or Ellen F. Whittemore, and each of them, as proxies for the undersigned, each with full power of substitution, to attend the Annual Meeting of Shareholders of the Company to be held virtually at www.virtualshareholdermeeting.com/WYNN2022 on May 5, 2022, at 9:00 a.m., local time, (the “Annual Meeting”),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such proxies or their substitutes may determine on any other matters that may properly come before the Annual Meeting. The undersigned hereby acknowledges receipt of the Notice of Annual Meeting of Shareholders and the accompanying Proxy Statement and revokes any proxy previously given with respect to such shares.</w:t>
      </w:r>
    </w:p>
    <w:p>
      <w:pPr>
        <w:spacing w:after="0" w:line="210" w:lineRule="exact"/>
        <w:rPr>
          <w:sz w:val="20"/>
          <w:szCs w:val="20"/>
          <w:color w:val="auto"/>
        </w:rPr>
      </w:pPr>
    </w:p>
    <w:p>
      <w:pPr>
        <w:ind w:left="940"/>
        <w:spacing w:after="0" w:line="242"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ALL NOMINEES LISTED ON PROPOSAL NO. 1, “FOR” PROPOSAL NO. 2 AND “FOR” PROPOSAL NO. 3 AND THEY WILL BE VOTED IN THE DISCRETION OF THE PROXIES OR THEIR SUBSTITUTES ON ANY OTHER MATTER AT THE ANNUAL MEETING OR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0</wp:posOffset>
            </wp:positionV>
            <wp:extent cx="6900545" cy="129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005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680"/>
      </w:cols>
      <w:pgMar w:left="320" w:top="45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2)"/>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endash "/>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endash "/>
      <w:numFmt w:val="bullet"/>
      <w:start w:val="1"/>
    </w:lvl>
  </w:abstractNum>
  <w:abstractNum w:abstractNumId="7">
    <w:nsid w:val="5072367"/>
    <w:multiLevelType w:val="hybridMultilevel"/>
    <w:lvl w:ilvl="0">
      <w:lvlJc w:val="left"/>
      <w:lvlText w:val="\endash "/>
      <w:numFmt w:val="bullet"/>
      <w:start w:val="1"/>
    </w:lvl>
  </w:abstractNum>
  <w:abstractNum w:abstractNumId="8">
    <w:nsid w:val="3804823E"/>
    <w:multiLevelType w:val="hybridMultilevel"/>
    <w:lvl w:ilvl="0">
      <w:lvlJc w:val="left"/>
      <w:lvlText w:val="\endash "/>
      <w:numFmt w:val="bullet"/>
      <w:start w:val="1"/>
    </w:lvl>
  </w:abstractNum>
  <w:abstractNum w:abstractNumId="9">
    <w:nsid w:val="77465F01"/>
    <w:multiLevelType w:val="hybridMultilevel"/>
    <w:lvl w:ilvl="0">
      <w:lvlJc w:val="left"/>
      <w:lvlText w:val="\endash "/>
      <w:numFmt w:val="bullet"/>
      <w:start w:val="1"/>
    </w:lvl>
  </w:abstractNum>
  <w:abstractNum w:abstractNumId="10">
    <w:nsid w:val="7724C67E"/>
    <w:multiLevelType w:val="hybridMultilevel"/>
    <w:lvl w:ilvl="0">
      <w:lvlJc w:val="left"/>
      <w:lvlText w:val="\endash "/>
      <w:numFmt w:val="bullet"/>
      <w:start w:val="1"/>
    </w:lvl>
  </w:abstractNum>
  <w:abstractNum w:abstractNumId="11">
    <w:nsid w:val="5C482A97"/>
    <w:multiLevelType w:val="hybridMultilevel"/>
    <w:lvl w:ilvl="0">
      <w:lvlJc w:val="left"/>
      <w:lvlText w:val="\endash "/>
      <w:numFmt w:val="bullet"/>
      <w:start w:val="1"/>
    </w:lvl>
  </w:abstractNum>
  <w:abstractNum w:abstractNumId="12">
    <w:nsid w:val="2463B9EA"/>
    <w:multiLevelType w:val="hybridMultilevel"/>
    <w:lvl w:ilvl="0">
      <w:lvlJc w:val="left"/>
      <w:lvlText w:val="\endash "/>
      <w:numFmt w:val="bullet"/>
      <w:start w:val="1"/>
    </w:lvl>
  </w:abstractNum>
  <w:abstractNum w:abstractNumId="13">
    <w:nsid w:val="5E884ADC"/>
    <w:multiLevelType w:val="hybridMultilevel"/>
    <w:lvl w:ilvl="0">
      <w:lvlJc w:val="left"/>
      <w:lvlText w:val="\endash "/>
      <w:numFmt w:val="bullet"/>
      <w:start w:val="1"/>
    </w:lvl>
  </w:abstractNum>
  <w:abstractNum w:abstractNumId="14">
    <w:nsid w:val="51EAD36B"/>
    <w:multiLevelType w:val="hybridMultilevel"/>
    <w:lvl w:ilvl="0">
      <w:lvlJc w:val="left"/>
      <w:lvlText w:val="\endash "/>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lvl w:ilvl="1">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endash "/>
      <w:numFmt w:val="bullet"/>
      <w:start w:val="1"/>
    </w:lvl>
  </w:abstractNum>
  <w:abstractNum w:abstractNumId="26">
    <w:nsid w:val="7A6D8D3C"/>
    <w:multiLevelType w:val="hybridMultilevel"/>
    <w:lvl w:ilvl="0">
      <w:lvlJc w:val="left"/>
      <w:lvlText w:val="•"/>
      <w:numFmt w:val="bullet"/>
      <w:start w:val="1"/>
    </w:lvl>
    <w:lvl w:ilvl="1">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lowerRoman"/>
      <w:start w:val="4"/>
    </w:lvl>
  </w:abstractNum>
  <w:abstractNum w:abstractNumId="39">
    <w:nsid w:val="75C6C33A"/>
    <w:multiLevelType w:val="hybridMultilevel"/>
    <w:lvl w:ilvl="0">
      <w:lvlJc w:val="left"/>
      <w:lvlText w:val="(%1)"/>
      <w:numFmt w:val="decimal"/>
      <w:start w:val="2"/>
    </w:lvl>
  </w:abstractNum>
  <w:abstractNum w:abstractNumId="40">
    <w:nsid w:val="12E685FB"/>
    <w:multiLevelType w:val="hybridMultilevel"/>
    <w:lvl w:ilvl="0">
      <w:lvlJc w:val="left"/>
      <w:lvlText w:val="(%1)"/>
      <w:numFmt w:val="decimal"/>
      <w:start w:val="4"/>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lowerRoman"/>
      <w:start w:val="1"/>
    </w:lvl>
    <w:lvl w:ilvl="1">
      <w:lvlJc w:val="left"/>
      <w:lvlText w:val="//"/>
      <w:numFmt w:val="bullet"/>
      <w:start w:val="1"/>
    </w:lvl>
  </w:abstractNum>
  <w:abstractNum w:abstractNumId="45">
    <w:nsid w:val="23F9C13C"/>
    <w:multiLevelType w:val="hybridMultilevel"/>
    <w:lvl w:ilvl="0">
      <w:lvlJc w:val="left"/>
      <w:lvlText w:val="(%1)"/>
      <w:numFmt w:val="lowerRoman"/>
      <w:start w:val="1"/>
    </w:lvl>
    <w:lvl w:ilvl="1">
      <w:lvlJc w:val="left"/>
      <w:lvlText w:val="//"/>
      <w:numFmt w:val="bullet"/>
      <w:start w:val="1"/>
    </w:lvl>
  </w:abstractNum>
  <w:abstractNum w:abstractNumId="46">
    <w:nsid w:val="649BB77C"/>
    <w:multiLevelType w:val="hybridMultilevel"/>
    <w:lvl w:ilvl="0">
      <w:lvlJc w:val="left"/>
      <w:lvlText w:val="(%1)"/>
      <w:numFmt w:val="lowerRoman"/>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5"/>
    </w:lvl>
    <w:lvl w:ilvl="1">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lowerRoman"/>
      <w:start w:val="4"/>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lvl w:ilvl="1">
      <w:lvlJc w:val="left"/>
      <w:lvlText w:val="//"/>
      <w:numFmt w:val="bullet"/>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4"/>
    </w:lvl>
  </w:abstractNum>
  <w:abstractNum w:abstractNumId="57">
    <w:nsid w:val="10233C99"/>
    <w:multiLevelType w:val="hybridMultilevel"/>
    <w:lvl w:ilvl="0">
      <w:lvlJc w:val="left"/>
      <w:lvlText w:val="(%1)"/>
      <w:numFmt w:val="lowerLetter"/>
      <w:start w:val="2"/>
    </w:lvl>
  </w:abstractNum>
  <w:abstractNum w:abstractNumId="58">
    <w:nsid w:val="3F6AB60F"/>
    <w:multiLevelType w:val="hybridMultilevel"/>
    <w:lvl w:ilvl="0">
      <w:lvlJc w:val="left"/>
      <w:lvlText w:val="(%1)"/>
      <w:numFmt w:val="decimal"/>
      <w:start w:val="1"/>
    </w:lvl>
    <w:lvl w:ilvl="1">
      <w:lvlJc w:val="left"/>
      <w:lvlText w:val="//"/>
      <w:numFmt w:val="bullet"/>
      <w:start w:val="1"/>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702"/>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2022-03-24T16:29:28Z</dcterms:created>
  <dcterms:modified xsi:type="dcterms:W3CDTF">2022-03-24T16:29:28Z</dcterms:modified>
</cp:coreProperties>
</file>