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983134107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27,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325755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983134107</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Melvin Capital Management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tcPr>
          <w:p>
            <w:pPr>
              <w:spacing w:after="0"/>
              <w:rPr>
                <w:sz w:val="21"/>
                <w:szCs w:val="21"/>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 USA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5,776,733</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5,776,733</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5,776,733*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44"/>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5.13%</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580" w:type="dxa"/>
            <w:vAlign w:val="bottom"/>
            <w:vMerge w:val="restart"/>
          </w:tcPr>
          <w:p>
            <w:pPr>
              <w:jc w:val="center"/>
              <w:ind w:left="164"/>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980" w:type="dxa"/>
            <w:vAlign w:val="bottom"/>
            <w:gridSpan w:val="6"/>
          </w:tcPr>
          <w:p>
            <w:pPr>
              <w:spacing w:after="0"/>
              <w:rPr>
                <w:sz w:val="20"/>
                <w:szCs w:val="20"/>
                <w:color w:val="auto"/>
              </w:rPr>
            </w:pPr>
            <w:r>
              <w:rPr>
                <w:rFonts w:ascii="Arial" w:cs="Arial" w:eastAsia="Arial" w:hAnsi="Arial"/>
                <w:sz w:val="18"/>
                <w:szCs w:val="18"/>
                <w:color w:val="auto"/>
              </w:rPr>
              <w:t>*Includes 3,883,900 shares subject to call options.</w:t>
            </w: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80" w:type="dxa"/>
            <w:vAlign w:val="bottom"/>
            <w:shd w:val="clear" w:color="auto" w:fill="808080"/>
          </w:tcPr>
          <w:p>
            <w:pPr>
              <w:spacing w:after="0"/>
              <w:rPr>
                <w:sz w:val="7"/>
                <w:szCs w:val="7"/>
                <w:color w:val="auto"/>
              </w:rPr>
            </w:pPr>
          </w:p>
        </w:tc>
        <w:tc>
          <w:tcPr>
            <w:tcW w:w="300" w:type="dxa"/>
            <w:vAlign w:val="bottom"/>
            <w:tcBorders>
              <w:right w:val="single" w:sz="8" w:color="808080"/>
            </w:tcBorders>
            <w:shd w:val="clear" w:color="auto" w:fill="808080"/>
          </w:tcPr>
          <w:p>
            <w:pPr>
              <w:spacing w:after="0"/>
              <w:rPr>
                <w:sz w:val="7"/>
                <w:szCs w:val="7"/>
                <w:color w:val="auto"/>
              </w:rPr>
            </w:pPr>
          </w:p>
        </w:tc>
        <w:tc>
          <w:tcPr>
            <w:tcW w:w="142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80" w:type="dxa"/>
            <w:vAlign w:val="bottom"/>
            <w:tcBorders>
              <w:right w:val="single" w:sz="8" w:color="808080"/>
            </w:tcBorders>
            <w:shd w:val="clear" w:color="auto" w:fill="808080"/>
          </w:tcPr>
          <w:p>
            <w:pPr>
              <w:spacing w:after="0"/>
              <w:rPr>
                <w:sz w:val="7"/>
                <w:szCs w:val="7"/>
                <w:color w:val="auto"/>
              </w:rPr>
            </w:pPr>
          </w:p>
        </w:tc>
        <w:tc>
          <w:tcPr>
            <w:tcW w:w="342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3" w:right="2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Wynn Resorts, Limited</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3131 Las Vegas Boulevard South, Las Vegas, Nevada 89109</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b, c) Names of Person Filing, Address of Principal Business Office,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Melvin Capital Management LP, a Delaware limited partnership located at 527 Madison Avenue, 25th Floor, New York, NY 10022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$0.01 per share (the “Common Stock”)</w:t>
      </w:r>
    </w:p>
    <w:p>
      <w:pPr>
        <w:spacing w:after="0" w:line="22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983134107</w:t>
      </w:r>
    </w:p>
    <w:p>
      <w:pPr>
        <w:spacing w:after="0" w:line="33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Information with respect to Melvin Capital Management LP’s (the “Firm”) ownership of the Common Stock as of August 28, 2018 is incorporated by reference to items (5) - (9) and (11) of the cover page for the Firm.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ind w:left="1300" w:hanging="1296"/>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ectPr>
          <w:pgSz w:w="11900" w:h="16838" w:orient="portrait"/>
          <w:cols w:equalWidth="0" w:num="1">
            <w:col w:w="11420"/>
          </w:cols>
          <w:pgMar w:left="240" w:top="663" w:right="239" w:bottom="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620"/>
          </w:cols>
          <w:pgMar w:left="1040" w:top="125"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983134107</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28,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Melvin Capital Management LP</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Evan Cohen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Evan Cohen,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sectPr>
      <w:pgSz w:w="11900" w:h="16838" w:orient="portrait"/>
      <w:cols w:equalWidth="0" w:num="1">
        <w:col w:w="11420"/>
      </w:cols>
      <w:pgMar w:left="240" w:top="4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2019-12-06T20:22:02Z</dcterms:created>
  <dcterms:modified xsi:type="dcterms:W3CDTF">2019-12-06T20:22:02Z</dcterms:modified>
</cp:coreProperties>
</file>