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295275</wp:posOffset>
            </wp:positionV>
            <wp:extent cx="28028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2890" cy="698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181610</wp:posOffset>
            </wp:positionV>
            <wp:extent cx="28028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2890" cy="698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June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198755</wp:posOffset>
            </wp:positionV>
            <wp:extent cx="28028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6985"/>
                    </a:xfrm>
                    <a:prstGeom prst="rect">
                      <a:avLst/>
                    </a:prstGeom>
                    <a:noFill/>
                  </pic:spPr>
                </pic:pic>
              </a:graphicData>
            </a:graphic>
          </wp:anchor>
        </w:drawing>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WYNN RESORTS, LIMITED</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0" w:type="dxa"/>
            <w:vAlign w:val="bottom"/>
            <w:gridSpan w:val="2"/>
          </w:tcPr>
          <w:p>
            <w:pPr>
              <w:jc w:val="center"/>
              <w:ind w:left="256"/>
              <w:spacing w:after="0"/>
              <w:rPr>
                <w:sz w:val="20"/>
                <w:szCs w:val="20"/>
                <w:color w:val="auto"/>
              </w:rPr>
            </w:pPr>
            <w:r>
              <w:rPr>
                <w:rFonts w:ascii="Arial" w:cs="Arial" w:eastAsia="Arial" w:hAnsi="Arial"/>
                <w:sz w:val="14"/>
                <w:szCs w:val="14"/>
                <w:b w:val="1"/>
                <w:bCs w:val="1"/>
                <w:color w:val="auto"/>
                <w:w w:val="88"/>
              </w:rPr>
              <w:t>Nevada</w:t>
            </w:r>
          </w:p>
        </w:tc>
        <w:tc>
          <w:tcPr>
            <w:tcW w:w="3300" w:type="dxa"/>
            <w:vAlign w:val="bottom"/>
            <w:gridSpan w:val="3"/>
          </w:tcPr>
          <w:p>
            <w:pPr>
              <w:ind w:left="1340"/>
              <w:spacing w:after="0"/>
              <w:rPr>
                <w:sz w:val="20"/>
                <w:szCs w:val="20"/>
                <w:color w:val="auto"/>
              </w:rPr>
            </w:pPr>
            <w:r>
              <w:rPr>
                <w:rFonts w:ascii="Arial" w:cs="Arial" w:eastAsia="Arial" w:hAnsi="Arial"/>
                <w:sz w:val="14"/>
                <w:szCs w:val="14"/>
                <w:b w:val="1"/>
                <w:bCs w:val="1"/>
                <w:color w:val="auto"/>
              </w:rPr>
              <w:t>000-50028</w:t>
            </w:r>
          </w:p>
        </w:tc>
        <w:tc>
          <w:tcPr>
            <w:tcW w:w="274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rPr>
              <w:t>46-0484987</w:t>
            </w:r>
          </w:p>
        </w:tc>
        <w:tc>
          <w:tcPr>
            <w:tcW w:w="1200" w:type="dxa"/>
            <w:vAlign w:val="bottom"/>
          </w:tcPr>
          <w:p>
            <w:pPr>
              <w:spacing w:after="0"/>
              <w:rPr>
                <w:sz w:val="16"/>
                <w:szCs w:val="16"/>
                <w:color w:val="auto"/>
              </w:rPr>
            </w:pPr>
          </w:p>
        </w:tc>
      </w:tr>
      <w:tr>
        <w:trPr>
          <w:trHeight w:val="142"/>
        </w:trPr>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0" w:type="dxa"/>
            <w:vAlign w:val="bottom"/>
            <w:gridSpan w:val="2"/>
          </w:tcPr>
          <w:p>
            <w:pPr>
              <w:jc w:val="center"/>
              <w:ind w:left="256"/>
              <w:spacing w:after="0"/>
              <w:rPr>
                <w:sz w:val="20"/>
                <w:szCs w:val="20"/>
                <w:color w:val="auto"/>
              </w:rPr>
            </w:pPr>
            <w:r>
              <w:rPr>
                <w:rFonts w:ascii="Arial" w:cs="Arial" w:eastAsia="Arial" w:hAnsi="Arial"/>
                <w:sz w:val="11"/>
                <w:szCs w:val="11"/>
                <w:b w:val="1"/>
                <w:bCs w:val="1"/>
                <w:color w:val="auto"/>
                <w:w w:val="93"/>
              </w:rPr>
              <w:t>(State or other jurisdiction</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60" w:type="dxa"/>
            <w:vAlign w:val="bottom"/>
          </w:tcPr>
          <w:p>
            <w:pPr>
              <w:ind w:left="100"/>
              <w:spacing w:after="0"/>
              <w:rPr>
                <w:sz w:val="20"/>
                <w:szCs w:val="20"/>
                <w:color w:val="auto"/>
              </w:rPr>
            </w:pPr>
            <w:r>
              <w:rPr>
                <w:rFonts w:ascii="Arial" w:cs="Arial" w:eastAsia="Arial" w:hAnsi="Arial"/>
                <w:sz w:val="11"/>
                <w:szCs w:val="11"/>
                <w:b w:val="1"/>
                <w:bCs w:val="1"/>
                <w:color w:val="auto"/>
              </w:rPr>
              <w:t>(Commission</w:t>
            </w:r>
          </w:p>
        </w:tc>
        <w:tc>
          <w:tcPr>
            <w:tcW w:w="100" w:type="dxa"/>
            <w:vAlign w:val="bottom"/>
          </w:tcPr>
          <w:p>
            <w:pPr>
              <w:spacing w:after="0"/>
              <w:rPr>
                <w:sz w:val="12"/>
                <w:szCs w:val="12"/>
                <w:color w:val="auto"/>
              </w:rPr>
            </w:pPr>
          </w:p>
        </w:tc>
        <w:tc>
          <w:tcPr>
            <w:tcW w:w="3840" w:type="dxa"/>
            <w:vAlign w:val="bottom"/>
            <w:gridSpan w:val="3"/>
          </w:tcPr>
          <w:p>
            <w:pPr>
              <w:jc w:val="center"/>
              <w:ind w:right="2460"/>
              <w:spacing w:after="0"/>
              <w:rPr>
                <w:sz w:val="20"/>
                <w:szCs w:val="20"/>
                <w:color w:val="auto"/>
              </w:rPr>
            </w:pPr>
            <w:r>
              <w:rPr>
                <w:rFonts w:ascii="Arial" w:cs="Arial" w:eastAsia="Arial" w:hAnsi="Arial"/>
                <w:sz w:val="11"/>
                <w:szCs w:val="11"/>
                <w:b w:val="1"/>
                <w:bCs w:val="1"/>
                <w:color w:val="auto"/>
                <w:w w:val="97"/>
              </w:rPr>
              <w:t>(I.R.S. Employer</w:t>
            </w:r>
          </w:p>
        </w:tc>
      </w:tr>
      <w:tr>
        <w:trPr>
          <w:trHeight w:val="147"/>
        </w:trPr>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0" w:type="dxa"/>
            <w:vAlign w:val="bottom"/>
            <w:gridSpan w:val="2"/>
          </w:tcPr>
          <w:p>
            <w:pPr>
              <w:jc w:val="center"/>
              <w:ind w:left="256"/>
              <w:spacing w:after="0"/>
              <w:rPr>
                <w:sz w:val="20"/>
                <w:szCs w:val="20"/>
                <w:color w:val="auto"/>
              </w:rPr>
            </w:pPr>
            <w:r>
              <w:rPr>
                <w:rFonts w:ascii="Arial" w:cs="Arial" w:eastAsia="Arial" w:hAnsi="Arial"/>
                <w:sz w:val="11"/>
                <w:szCs w:val="11"/>
                <w:b w:val="1"/>
                <w:bCs w:val="1"/>
                <w:color w:val="auto"/>
                <w:w w:val="95"/>
              </w:rPr>
              <w:t>of incorporation)</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60" w:type="dxa"/>
            <w:vAlign w:val="bottom"/>
          </w:tcPr>
          <w:p>
            <w:pPr>
              <w:ind w:left="80"/>
              <w:spacing w:after="0"/>
              <w:rPr>
                <w:sz w:val="20"/>
                <w:szCs w:val="20"/>
                <w:color w:val="auto"/>
              </w:rPr>
            </w:pPr>
            <w:r>
              <w:rPr>
                <w:rFonts w:ascii="Arial" w:cs="Arial" w:eastAsia="Arial" w:hAnsi="Arial"/>
                <w:sz w:val="11"/>
                <w:szCs w:val="11"/>
                <w:b w:val="1"/>
                <w:bCs w:val="1"/>
                <w:color w:val="auto"/>
              </w:rPr>
              <w:t>File Number)</w:t>
            </w:r>
          </w:p>
        </w:tc>
        <w:tc>
          <w:tcPr>
            <w:tcW w:w="100" w:type="dxa"/>
            <w:vAlign w:val="bottom"/>
          </w:tcPr>
          <w:p>
            <w:pPr>
              <w:spacing w:after="0"/>
              <w:rPr>
                <w:sz w:val="12"/>
                <w:szCs w:val="12"/>
                <w:color w:val="auto"/>
              </w:rPr>
            </w:pPr>
          </w:p>
        </w:tc>
        <w:tc>
          <w:tcPr>
            <w:tcW w:w="3840" w:type="dxa"/>
            <w:vAlign w:val="bottom"/>
            <w:gridSpan w:val="3"/>
          </w:tcPr>
          <w:p>
            <w:pPr>
              <w:jc w:val="center"/>
              <w:ind w:right="2440"/>
              <w:spacing w:after="0"/>
              <w:rPr>
                <w:sz w:val="20"/>
                <w:szCs w:val="20"/>
                <w:color w:val="auto"/>
              </w:rPr>
            </w:pPr>
            <w:r>
              <w:rPr>
                <w:rFonts w:ascii="Arial" w:cs="Arial" w:eastAsia="Arial" w:hAnsi="Arial"/>
                <w:sz w:val="11"/>
                <w:szCs w:val="11"/>
                <w:b w:val="1"/>
                <w:bCs w:val="1"/>
                <w:color w:val="auto"/>
                <w:w w:val="94"/>
              </w:rPr>
              <w:t>Identification No.)</w:t>
            </w:r>
          </w:p>
        </w:tc>
      </w:tr>
      <w:tr>
        <w:trPr>
          <w:trHeight w:val="199"/>
        </w:trPr>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00" w:type="dxa"/>
            <w:vAlign w:val="bottom"/>
            <w:gridSpan w:val="5"/>
          </w:tcPr>
          <w:p>
            <w:pPr>
              <w:jc w:val="center"/>
              <w:ind w:right="2919"/>
              <w:spacing w:after="0"/>
              <w:rPr>
                <w:sz w:val="20"/>
                <w:szCs w:val="20"/>
                <w:color w:val="auto"/>
              </w:rPr>
            </w:pPr>
            <w:r>
              <w:rPr>
                <w:rFonts w:ascii="Arial" w:cs="Arial" w:eastAsia="Arial" w:hAnsi="Arial"/>
                <w:sz w:val="14"/>
                <w:szCs w:val="14"/>
                <w:b w:val="1"/>
                <w:bCs w:val="1"/>
                <w:color w:val="auto"/>
                <w:w w:val="88"/>
              </w:rPr>
              <w:t>3131 Las Vegas Boulevard South</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gridSpan w:val="2"/>
          </w:tcPr>
          <w:p>
            <w:pPr>
              <w:ind w:left="400"/>
              <w:spacing w:after="0"/>
              <w:rPr>
                <w:sz w:val="20"/>
                <w:szCs w:val="20"/>
                <w:color w:val="auto"/>
              </w:rPr>
            </w:pPr>
            <w:r>
              <w:rPr>
                <w:rFonts w:ascii="Arial" w:cs="Arial" w:eastAsia="Arial" w:hAnsi="Arial"/>
                <w:sz w:val="14"/>
                <w:szCs w:val="14"/>
                <w:b w:val="1"/>
                <w:bCs w:val="1"/>
                <w:color w:val="auto"/>
              </w:rPr>
              <w:t>Las Vegas, Nevada</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40" w:type="dxa"/>
            <w:vAlign w:val="bottom"/>
            <w:gridSpan w:val="3"/>
          </w:tcPr>
          <w:p>
            <w:pPr>
              <w:jc w:val="right"/>
              <w:ind w:right="1760"/>
              <w:spacing w:after="0"/>
              <w:rPr>
                <w:sz w:val="20"/>
                <w:szCs w:val="20"/>
                <w:color w:val="auto"/>
              </w:rPr>
            </w:pPr>
            <w:r>
              <w:rPr>
                <w:rFonts w:ascii="Arial" w:cs="Arial" w:eastAsia="Arial" w:hAnsi="Arial"/>
                <w:sz w:val="14"/>
                <w:szCs w:val="14"/>
                <w:b w:val="1"/>
                <w:bCs w:val="1"/>
                <w:color w:val="auto"/>
              </w:rPr>
              <w:t>89109</w:t>
            </w:r>
          </w:p>
        </w:tc>
        <w:tc>
          <w:tcPr>
            <w:tcW w:w="1200" w:type="dxa"/>
            <w:vAlign w:val="bottom"/>
          </w:tcPr>
          <w:p>
            <w:pPr>
              <w:spacing w:after="0"/>
              <w:rPr>
                <w:sz w:val="18"/>
                <w:szCs w:val="18"/>
                <w:color w:val="auto"/>
              </w:rPr>
            </w:pPr>
          </w:p>
        </w:tc>
      </w:tr>
      <w:tr>
        <w:trPr>
          <w:trHeight w:val="172"/>
        </w:trPr>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100" w:type="dxa"/>
            <w:vAlign w:val="bottom"/>
            <w:gridSpan w:val="5"/>
          </w:tcPr>
          <w:p>
            <w:pPr>
              <w:jc w:val="center"/>
              <w:ind w:right="2919"/>
              <w:spacing w:after="0"/>
              <w:rPr>
                <w:sz w:val="20"/>
                <w:szCs w:val="20"/>
                <w:color w:val="auto"/>
              </w:rPr>
            </w:pPr>
            <w:r>
              <w:rPr>
                <w:rFonts w:ascii="Arial" w:cs="Arial" w:eastAsia="Arial" w:hAnsi="Arial"/>
                <w:sz w:val="11"/>
                <w:szCs w:val="11"/>
                <w:b w:val="1"/>
                <w:bCs w:val="1"/>
                <w:color w:val="auto"/>
                <w:w w:val="91"/>
              </w:rPr>
              <w:t>(Address of principal executive offices)</w:t>
            </w:r>
          </w:p>
        </w:tc>
        <w:tc>
          <w:tcPr>
            <w:tcW w:w="100" w:type="dxa"/>
            <w:vAlign w:val="bottom"/>
          </w:tcPr>
          <w:p>
            <w:pPr>
              <w:spacing w:after="0"/>
              <w:rPr>
                <w:sz w:val="14"/>
                <w:szCs w:val="14"/>
                <w:color w:val="auto"/>
              </w:rPr>
            </w:pPr>
          </w:p>
        </w:tc>
        <w:tc>
          <w:tcPr>
            <w:tcW w:w="3840" w:type="dxa"/>
            <w:vAlign w:val="bottom"/>
            <w:gridSpan w:val="3"/>
          </w:tcPr>
          <w:p>
            <w:pPr>
              <w:jc w:val="center"/>
              <w:ind w:right="2440"/>
              <w:spacing w:after="0"/>
              <w:rPr>
                <w:sz w:val="20"/>
                <w:szCs w:val="20"/>
                <w:color w:val="auto"/>
              </w:rPr>
            </w:pPr>
            <w:r>
              <w:rPr>
                <w:rFonts w:ascii="Arial" w:cs="Arial" w:eastAsia="Arial" w:hAnsi="Arial"/>
                <w:sz w:val="11"/>
                <w:szCs w:val="11"/>
                <w:b w:val="1"/>
                <w:bCs w:val="1"/>
                <w:color w:val="auto"/>
                <w:w w:val="95"/>
              </w:rPr>
              <w:t>(Zip Code)</w:t>
            </w:r>
          </w:p>
        </w:tc>
      </w:tr>
      <w:tr>
        <w:trPr>
          <w:trHeight w:val="575"/>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1"/>
              </w:rPr>
              <w:t>(702) 770-7555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47"/>
        </w:trPr>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20"/>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tcPr>
          <w:p>
            <w:pPr>
              <w:jc w:val="center"/>
              <w:ind w:right="1059"/>
              <w:spacing w:after="0"/>
              <w:rPr>
                <w:sz w:val="20"/>
                <w:szCs w:val="20"/>
                <w:color w:val="auto"/>
              </w:rPr>
            </w:pPr>
            <w:r>
              <w:rPr>
                <w:rFonts w:ascii="Arial" w:cs="Arial" w:eastAsia="Arial" w:hAnsi="Arial"/>
                <w:sz w:val="14"/>
                <w:szCs w:val="14"/>
                <w:b w:val="1"/>
                <w:bCs w:val="1"/>
                <w:color w:val="auto"/>
                <w:w w:val="91"/>
              </w:rPr>
              <w:t>Not Applicable</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47"/>
        </w:trPr>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(Former name or former address, if changed since last report)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93"/>
        </w:trPr>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446"/>
        </w:trPr>
        <w:tc>
          <w:tcPr>
            <w:tcW w:w="3940" w:type="dxa"/>
            <w:vAlign w:val="bottom"/>
            <w:gridSpan w:val="5"/>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5"/>
        </w:trPr>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80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1200" w:type="dxa"/>
            <w:vAlign w:val="bottom"/>
          </w:tcPr>
          <w:p>
            <w:pPr>
              <w:spacing w:after="0"/>
              <w:rPr>
                <w:sz w:val="22"/>
                <w:szCs w:val="22"/>
                <w:color w:val="auto"/>
              </w:rPr>
            </w:pPr>
          </w:p>
        </w:tc>
      </w:tr>
      <w:tr>
        <w:trPr>
          <w:trHeight w:val="224"/>
        </w:trPr>
        <w:tc>
          <w:tcPr>
            <w:tcW w:w="120" w:type="dxa"/>
            <w:vAlign w:val="bottom"/>
          </w:tcPr>
          <w:p>
            <w:pPr>
              <w:spacing w:after="0"/>
              <w:rPr>
                <w:sz w:val="19"/>
                <w:szCs w:val="19"/>
                <w:color w:val="auto"/>
              </w:rPr>
            </w:pPr>
          </w:p>
        </w:tc>
        <w:tc>
          <w:tcPr>
            <w:tcW w:w="3820" w:type="dxa"/>
            <w:vAlign w:val="bottom"/>
            <w:gridSpan w:val="4"/>
          </w:tcPr>
          <w:p>
            <w:pPr>
              <w:jc w:val="center"/>
              <w:ind w:right="840"/>
              <w:spacing w:after="0"/>
              <w:rPr>
                <w:sz w:val="20"/>
                <w:szCs w:val="20"/>
                <w:color w:val="auto"/>
              </w:rPr>
            </w:pPr>
            <w:r>
              <w:rPr>
                <w:rFonts w:ascii="Arial" w:cs="Arial" w:eastAsia="Arial" w:hAnsi="Arial"/>
                <w:sz w:val="14"/>
                <w:szCs w:val="14"/>
                <w:color w:val="auto"/>
                <w:w w:val="92"/>
              </w:rPr>
              <w:t>Common stock, par value $0.01</w:t>
            </w:r>
          </w:p>
        </w:tc>
        <w:tc>
          <w:tcPr>
            <w:tcW w:w="100" w:type="dxa"/>
            <w:vAlign w:val="bottom"/>
          </w:tcPr>
          <w:p>
            <w:pPr>
              <w:spacing w:after="0"/>
              <w:rPr>
                <w:sz w:val="19"/>
                <w:szCs w:val="19"/>
                <w:color w:val="auto"/>
              </w:rPr>
            </w:pPr>
          </w:p>
        </w:tc>
        <w:tc>
          <w:tcPr>
            <w:tcW w:w="3200" w:type="dxa"/>
            <w:vAlign w:val="bottom"/>
            <w:gridSpan w:val="2"/>
          </w:tcPr>
          <w:p>
            <w:pPr>
              <w:jc w:val="center"/>
              <w:ind w:right="2019"/>
              <w:spacing w:after="0"/>
              <w:rPr>
                <w:sz w:val="20"/>
                <w:szCs w:val="20"/>
                <w:color w:val="auto"/>
              </w:rPr>
            </w:pPr>
            <w:r>
              <w:rPr>
                <w:rFonts w:ascii="Arial" w:cs="Arial" w:eastAsia="Arial" w:hAnsi="Arial"/>
                <w:sz w:val="14"/>
                <w:szCs w:val="14"/>
                <w:color w:val="auto"/>
              </w:rPr>
              <w:t>WYNN</w:t>
            </w:r>
          </w:p>
        </w:tc>
        <w:tc>
          <w:tcPr>
            <w:tcW w:w="100" w:type="dxa"/>
            <w:vAlign w:val="bottom"/>
          </w:tcPr>
          <w:p>
            <w:pPr>
              <w:spacing w:after="0"/>
              <w:rPr>
                <w:sz w:val="19"/>
                <w:szCs w:val="19"/>
                <w:color w:val="auto"/>
              </w:rPr>
            </w:pPr>
          </w:p>
        </w:tc>
        <w:tc>
          <w:tcPr>
            <w:tcW w:w="3840" w:type="dxa"/>
            <w:vAlign w:val="bottom"/>
            <w:gridSpan w:val="3"/>
          </w:tcPr>
          <w:p>
            <w:pPr>
              <w:jc w:val="center"/>
              <w:ind w:right="1200"/>
              <w:spacing w:after="0"/>
              <w:rPr>
                <w:sz w:val="20"/>
                <w:szCs w:val="20"/>
                <w:color w:val="auto"/>
              </w:rPr>
            </w:pPr>
            <w:r>
              <w:rPr>
                <w:rFonts w:ascii="Arial" w:cs="Arial" w:eastAsia="Arial" w:hAnsi="Arial"/>
                <w:sz w:val="14"/>
                <w:szCs w:val="14"/>
                <w:color w:val="auto"/>
                <w:w w:val="92"/>
              </w:rPr>
              <w:t>Nasdaq Global Select Market</w:t>
            </w:r>
          </w:p>
        </w:tc>
      </w:tr>
      <w:tr>
        <w:trPr>
          <w:trHeight w:val="182"/>
        </w:trPr>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bl>
    <w:p>
      <w:pPr>
        <w:spacing w:after="0" w:line="25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0"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9" w:lineRule="exact"/>
        <w:rPr>
          <w:sz w:val="24"/>
          <w:szCs w:val="24"/>
          <w:color w:val="auto"/>
        </w:rPr>
      </w:pPr>
    </w:p>
    <w:p>
      <w:pPr>
        <w:spacing w:after="0" w:line="25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 w:lineRule="exact"/>
        <w:rPr>
          <w:sz w:val="24"/>
          <w:szCs w:val="24"/>
          <w:color w:val="auto"/>
        </w:rPr>
      </w:pPr>
    </w:p>
    <w:p>
      <w:pPr>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 w:name="page2"/>
    <w:bookmarkEnd w:id="1"/>
    <w:p>
      <w:pPr>
        <w:ind w:left="60"/>
        <w:spacing w:after="0"/>
        <w:tabs>
          <w:tab w:leader="none" w:pos="1380" w:val="left"/>
        </w:tabs>
        <w:rPr>
          <w:sz w:val="20"/>
          <w:szCs w:val="20"/>
          <w:color w:val="auto"/>
        </w:rPr>
      </w:pPr>
      <w:r>
        <w:rPr>
          <w:rFonts w:ascii="Arial" w:cs="Arial" w:eastAsia="Arial" w:hAnsi="Arial"/>
          <w:sz w:val="14"/>
          <w:szCs w:val="14"/>
          <w:b w:val="1"/>
          <w:bCs w:val="1"/>
          <w:color w:val="auto"/>
        </w:rPr>
        <w:t>Item 1.01</w:t>
      </w:r>
      <w:r>
        <w:rPr>
          <w:sz w:val="20"/>
          <w:szCs w:val="20"/>
          <w:color w:val="auto"/>
        </w:rPr>
        <w:tab/>
      </w:r>
      <w:r>
        <w:rPr>
          <w:rFonts w:ascii="Arial" w:cs="Arial" w:eastAsia="Arial" w:hAnsi="Arial"/>
          <w:sz w:val="13"/>
          <w:szCs w:val="13"/>
          <w:b w:val="1"/>
          <w:bCs w:val="1"/>
          <w:color w:val="auto"/>
        </w:rPr>
        <w:t>Entry into a Material Definitive Agreement.</w:t>
      </w:r>
    </w:p>
    <w:p>
      <w:pPr>
        <w:spacing w:after="0" w:line="204" w:lineRule="exact"/>
        <w:rPr>
          <w:sz w:val="20"/>
          <w:szCs w:val="20"/>
          <w:color w:val="auto"/>
        </w:rPr>
      </w:pPr>
    </w:p>
    <w:p>
      <w:pPr>
        <w:ind w:right="20" w:firstLine="382"/>
        <w:spacing w:after="0" w:line="267" w:lineRule="auto"/>
        <w:rPr>
          <w:sz w:val="20"/>
          <w:szCs w:val="20"/>
          <w:color w:val="auto"/>
        </w:rPr>
      </w:pPr>
      <w:r>
        <w:rPr>
          <w:rFonts w:ascii="Arial" w:cs="Arial" w:eastAsia="Arial" w:hAnsi="Arial"/>
          <w:sz w:val="14"/>
          <w:szCs w:val="14"/>
          <w:color w:val="auto"/>
        </w:rPr>
        <w:t>On June 19, 2020, Wynn Macau, Limited (“WML”), an indirect subsidiary of Wynn Resorts, Limited (the “Registrant”) with its ordinary shares of common stock listed on The Stock Exchange of Hong Kong Limited (the “HKSE”), entered into an Indenture, dated as of June 19, 2020 (the “Indenture”), between WML and Deutsche Bank Trust Company Americas, as trustee, pursuant to which WML issued $750.0 million aggregate principal amount of 5.500% Senior Notes due 2026 (the “Notes”).</w:t>
      </w:r>
    </w:p>
    <w:p>
      <w:pPr>
        <w:spacing w:after="0" w:line="14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WML expects to receive net proceeds of approximately $743.1 million from the offering of the Notes after deducting discounts, commissions and estimated expenses of the offering and to use the net proceeds for general corporate purposes until WML's business recovers from the effects of the COVID-19 Pandemic, and then to facilitate the repayment of a portion of the amounts outstanding under the Wynn Macau Credit Facilities. The following is a brief description of certain terms and conditions of the Indenture and the Notes.</w:t>
      </w:r>
    </w:p>
    <w:p>
      <w:pPr>
        <w:spacing w:after="0" w:line="14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At any time prior to June 15, 2022, WML may use the net cash proceeds from certain equity offerings to redeem up to 35% of the aggregate principal amount of the Notes at a redemption price equal to 105.500% of the aggregate principal amount of the Notes, plus accrued and unpaid interest, if any. At any time prior to June 15, 2022, WML may redeem the Notes in whole or in part at a redemption price equal to the greater of (a) 100% of the aggregate principal amount of the Notes to be redeemed, or (b) a make-whole amount as determined by an independent investment banker in accordance with the terms of the Indenture, in either case, plus accrued and unpaid interest.</w:t>
      </w:r>
    </w:p>
    <w:p>
      <w:pPr>
        <w:spacing w:after="0" w:line="146"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In addition, on or after June 15, 2022, WML may redeem the Notes in whole or in part at a premium decreasing annually from 104.125% of the applicable principal amount to 100.000%, plus accrued and unpaid interest. If WML undergoes a Change of Control (as defined in the Indenture), it must offer to repurchase the Notes at a price equal to 101% of the aggregate principal amount thereof, plus accrued and unpaid interest. In addition, WML may redeem the Notes, in whole but not in part, at a redemption price equal to 100% of the principal amount, plus accrued and unpaid interest, in response to any change in or amendment to certain tax laws or tax positions. Further, if a holder or beneficial owner of the Notes fails to meet certain requirements imposed by any Gaming Authority (as defined in the Indenture), WML may require the holder or beneficial owner to dispose of or redeem its Notes.</w:t>
      </w:r>
    </w:p>
    <w:p>
      <w:pPr>
        <w:spacing w:after="0" w:line="13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the Notes are issued, for a period of ten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Notes will have the right to require WML to repurchase all or any part of such holder’s Notes at a purchase price in cash equal to 100% of the principal amount thereof, plus accrued and unpaid interest.</w:t>
      </w:r>
    </w:p>
    <w:p>
      <w:pPr>
        <w:spacing w:after="0" w:line="146"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WML’s existing credit facilities. The Notes are not registered under the Securities Act of 1933, as amended (the “Securities Act”), and the Notes are subject to restrictions on transferability and resale.</w:t>
      </w:r>
    </w:p>
    <w:p>
      <w:pPr>
        <w:spacing w:after="0" w:line="146"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The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Indenture contain customary events of default, including, but not limited to: default for 30 days in the payment when due of interest on the Notes; default in the payment when due of the principal of, or premium, if any, on the Notes; failure to comply with any payment obligations relating to the repurchase by WML of the Notes upon a change of control; failure to comply with certain covenants in the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Notes then outstanding will become due and payable immediately without further action or notice.</w:t>
      </w:r>
    </w:p>
    <w:p>
      <w:pPr>
        <w:spacing w:after="0" w:line="194" w:lineRule="exact"/>
        <w:rPr>
          <w:sz w:val="20"/>
          <w:szCs w:val="20"/>
          <w:color w:val="auto"/>
        </w:rPr>
      </w:pPr>
    </w:p>
    <w:p>
      <w:pPr>
        <w:ind w:left="60"/>
        <w:spacing w:after="0"/>
        <w:tabs>
          <w:tab w:leader="none" w:pos="1380" w:val="left"/>
        </w:tabs>
        <w:rPr>
          <w:sz w:val="20"/>
          <w:szCs w:val="20"/>
          <w:color w:val="auto"/>
        </w:rPr>
      </w:pPr>
      <w:r>
        <w:rPr>
          <w:rFonts w:ascii="Arial" w:cs="Arial" w:eastAsia="Arial" w:hAnsi="Arial"/>
          <w:sz w:val="14"/>
          <w:szCs w:val="14"/>
          <w:b w:val="1"/>
          <w:bCs w:val="1"/>
          <w:color w:val="auto"/>
        </w:rPr>
        <w:t>Item 2.03</w:t>
      </w:r>
      <w:r>
        <w:rPr>
          <w:sz w:val="20"/>
          <w:szCs w:val="20"/>
          <w:color w:val="auto"/>
        </w:rPr>
        <w:tab/>
      </w:r>
      <w:r>
        <w:rPr>
          <w:rFonts w:ascii="Arial" w:cs="Arial" w:eastAsia="Arial" w:hAnsi="Arial"/>
          <w:sz w:val="12"/>
          <w:szCs w:val="12"/>
          <w:b w:val="1"/>
          <w:bCs w:val="1"/>
          <w:color w:val="auto"/>
        </w:rPr>
        <w:t>Creation of a Direct Financial Obligation.</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information set forth in Item 1.01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450215</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 w:name="page3"/>
    <w:bookmarkEnd w:id="2"/>
    <w:p>
      <w:pPr>
        <w:ind w:left="20"/>
        <w:spacing w:after="0"/>
        <w:tabs>
          <w:tab w:leader="none" w:pos="134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20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On June 19, 2020, WML filed with the HKSE (1) a notice indicating that WML submitted an application to the HKSE for the listing of and permission to deal in the Notes (the “Listing Notice”) and (2) an announcement regarding the closing of the issuance of the Notes (the “Closing Announcement”). The Registrant owns approximately 72% of WML’s ordinary shares of common stock. The Listing Notice and Closing Announcement are furnished herewith as Exhibits 99.1 and 99.2, respectively. The information contained in this Item 7.01 and the exhibits attached to this Current Report on Form 8-K shall not be deemed “filed” for purposes of Section 18 of the Securities Exchange Act of 1934, as amended, nor shall it be deemed incorporated by reference in any filing under the Securities Act, except as shall be expressly set forth by specific reference in such filing.</w:t>
      </w:r>
    </w:p>
    <w:p>
      <w:pPr>
        <w:spacing w:after="0" w:line="270"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204" w:lineRule="exact"/>
        <w:rPr>
          <w:sz w:val="20"/>
          <w:szCs w:val="20"/>
          <w:color w:val="auto"/>
        </w:rPr>
      </w:pPr>
    </w:p>
    <w:p>
      <w:pPr>
        <w:ind w:left="460" w:hanging="429"/>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w w:val="93"/>
              </w:rPr>
              <w:t>Exhibit No.</w:t>
            </w:r>
          </w:p>
        </w:tc>
        <w:tc>
          <w:tcPr>
            <w:tcW w:w="780" w:type="dxa"/>
            <w:vAlign w:val="bottom"/>
          </w:tcPr>
          <w:p>
            <w:pPr>
              <w:spacing w:after="0"/>
              <w:rPr>
                <w:sz w:val="10"/>
                <w:szCs w:val="10"/>
                <w:color w:val="auto"/>
              </w:rPr>
            </w:pPr>
          </w:p>
        </w:tc>
        <w:tc>
          <w:tcPr>
            <w:tcW w:w="992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66"/>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99.1</w:t>
            </w:r>
          </w:p>
        </w:tc>
        <w:tc>
          <w:tcPr>
            <w:tcW w:w="10700" w:type="dxa"/>
            <w:vAlign w:val="bottom"/>
            <w:gridSpan w:val="3"/>
          </w:tcPr>
          <w:p>
            <w:pPr>
              <w:ind w:left="78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Notice of Listing on The Stock Exchange of Hong Kong Limited, dated June 19, 2020</w:t>
              </w:r>
            </w:hyperlink>
          </w:p>
        </w:tc>
      </w:tr>
      <w:tr>
        <w:trPr>
          <w:trHeight w:val="212"/>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99.2</w:t>
            </w:r>
          </w:p>
        </w:tc>
        <w:tc>
          <w:tcPr>
            <w:tcW w:w="10700" w:type="dxa"/>
            <w:vAlign w:val="bottom"/>
            <w:gridSpan w:val="3"/>
          </w:tcPr>
          <w:p>
            <w:pPr>
              <w:ind w:left="780"/>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Closing Announcement of Wynn Macau, Limited, dated June 19, 2020</w:t>
              </w:r>
            </w:hyperlink>
          </w:p>
        </w:tc>
      </w:tr>
      <w:tr>
        <w:trPr>
          <w:trHeight w:val="946"/>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 w:name="page4"/>
    <w:bookmarkEnd w:id="3"/>
    <w:p>
      <w:pPr>
        <w:jc w:val="center"/>
        <w:ind w:right="-57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WYNN RESORTS, LIMITED</w:t>
      </w:r>
    </w:p>
    <w:p>
      <w:pPr>
        <w:sectPr>
          <w:pgSz w:w="11900" w:h="16838" w:orient="portrait"/>
          <w:cols w:equalWidth="0" w:num="1">
            <w:col w:w="10660"/>
          </w:cols>
          <w:pgMar w:left="320" w:top="730" w:right="91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Dated: June 19, 2020</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33020</wp:posOffset>
            </wp:positionV>
            <wp:extent cx="26276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7630" cy="698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780" w:space="720"/>
            <w:col w:w="4160"/>
          </w:cols>
          <w:pgMar w:left="320" w:top="730" w:right="919" w:bottom="1440" w:gutter="0" w:footer="0" w:header="0"/>
          <w:type w:val="continuous"/>
        </w:sectPr>
      </w:pPr>
    </w:p>
    <w:p>
      <w:pPr>
        <w:ind w:left="6580"/>
        <w:spacing w:after="0"/>
        <w:rPr>
          <w:sz w:val="20"/>
          <w:szCs w:val="20"/>
          <w:color w:val="auto"/>
        </w:rPr>
      </w:pPr>
      <w:r>
        <w:rPr>
          <w:rFonts w:ascii="Arial" w:cs="Arial" w:eastAsia="Arial" w:hAnsi="Arial"/>
          <w:sz w:val="14"/>
          <w:szCs w:val="14"/>
          <w:color w:val="auto"/>
        </w:rPr>
        <w:t>Craig S. Billings</w:t>
      </w:r>
    </w:p>
    <w:p>
      <w:pPr>
        <w:spacing w:after="0" w:line="51"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President, Chief Financial Officer and Treasurer</w:t>
      </w:r>
    </w:p>
    <w:p>
      <w:pPr>
        <w:spacing w:after="0" w:line="74"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0660"/>
          </w:cols>
          <w:pgMar w:left="320" w:top="730" w:right="919"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2020-06-19T15:14:48Z</dcterms:created>
  <dcterms:modified xsi:type="dcterms:W3CDTF">2020-06-19T15:14:48Z</dcterms:modified>
</cp:coreProperties>
</file>