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February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8.01</w:t>
            </w:r>
          </w:p>
        </w:tc>
        <w:tc>
          <w:tcPr>
            <w:tcW w:w="1400" w:type="dxa"/>
            <w:vAlign w:val="bottom"/>
            <w:vMerge w:val="restart"/>
          </w:tcPr>
          <w:p>
            <w:pPr>
              <w:ind w:left="340"/>
              <w:spacing w:after="0"/>
              <w:rPr>
                <w:sz w:val="20"/>
                <w:szCs w:val="20"/>
                <w:color w:val="auto"/>
              </w:rPr>
            </w:pPr>
            <w:r>
              <w:rPr>
                <w:rFonts w:ascii="Arial" w:cs="Arial" w:eastAsia="Arial" w:hAnsi="Arial"/>
                <w:sz w:val="18"/>
                <w:szCs w:val="18"/>
                <w:b w:val="1"/>
                <w:bCs w:val="1"/>
                <w:color w:val="auto"/>
                <w:w w:val="88"/>
              </w:rPr>
              <w:t>Other Events.</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February 11, 2015, Wynn Resorts, Limited (“Wynn Resorts”) issued a press release announcing the pricing by Wynn Las Vegas, LLC and Wynn Las Vegas Capital Corp., each an indirect wholly owned subsidiary of Wynn Resorts, of $1.8 billion aggregate principal amount of 5.5% Senior Notes due 2025 (the “Notes”). This Current Report on Form 8-K shall not constitute an offer to sell or a solicitation of an offer to buy the Notes described in the press release, nor shall there be any sale of the Notes in any state or jurisdiction in which such offer, sale or solicitation would be unlawful prior to registration or qualification under the securities laws of any such jurisdiction. A copy of the press release is attached hereto as Exhibit 99.1 and is hereby incorporated by reference.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88"/>
              </w:rPr>
              <w:t>Press release, dated February 11, 2015, of Wynn Resorts, Limited.</w:t>
            </w:r>
          </w:p>
        </w:tc>
      </w:tr>
    </w:tbl>
    <w:p>
      <w:pPr>
        <w:sectPr>
          <w:pgSz w:w="11900" w:h="16838" w:orient="portrait"/>
          <w:cols w:equalWidth="0" w:num="1">
            <w:col w:w="11400"/>
          </w:cols>
          <w:pgMar w:left="240" w:top="958"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February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240" w:type="dxa"/>
            <w:vAlign w:val="bottom"/>
          </w:tcPr>
          <w:p>
            <w:pPr>
              <w:spacing w:after="0"/>
              <w:rPr>
                <w:sz w:val="20"/>
                <w:szCs w:val="20"/>
                <w:color w:val="auto"/>
              </w:rPr>
            </w:pPr>
            <w:r>
              <w:rPr>
                <w:rFonts w:ascii="Arial" w:cs="Arial" w:eastAsia="Arial" w:hAnsi="Arial"/>
                <w:sz w:val="18"/>
                <w:szCs w:val="18"/>
                <w:color w:val="auto"/>
              </w:rPr>
              <w:t>Dated: February 11, 2015</w:t>
            </w: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Holdings, LLC</w:t>
            </w:r>
          </w:p>
        </w:tc>
      </w:tr>
      <w:tr>
        <w:trPr>
          <w:trHeight w:val="270"/>
        </w:trPr>
        <w:tc>
          <w:tcPr>
            <w:tcW w:w="42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567"/>
        </w:trPr>
        <w:tc>
          <w:tcPr>
            <w:tcW w:w="4240" w:type="dxa"/>
            <w:vAlign w:val="bottom"/>
          </w:tcPr>
          <w:p>
            <w:pPr>
              <w:spacing w:after="0"/>
              <w:rPr>
                <w:sz w:val="24"/>
                <w:szCs w:val="24"/>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Limited</w:t>
            </w:r>
          </w:p>
        </w:tc>
      </w:tr>
      <w:tr>
        <w:trPr>
          <w:trHeight w:val="270"/>
        </w:trPr>
        <w:tc>
          <w:tcPr>
            <w:tcW w:w="42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864"/>
        </w:trPr>
        <w:tc>
          <w:tcPr>
            <w:tcW w:w="4240" w:type="dxa"/>
            <w:vAlign w:val="bottom"/>
          </w:tcPr>
          <w:p>
            <w:pPr>
              <w:spacing w:after="0"/>
              <w:rPr>
                <w:sz w:val="24"/>
                <w:szCs w:val="24"/>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/s/ Stephen Cootey</w:t>
            </w:r>
          </w:p>
        </w:tc>
      </w:tr>
      <w:tr>
        <w:trPr>
          <w:trHeight w:val="27"/>
        </w:trPr>
        <w:tc>
          <w:tcPr>
            <w:tcW w:w="4240" w:type="dxa"/>
            <w:vAlign w:val="bottom"/>
          </w:tcPr>
          <w:p>
            <w:pPr>
              <w:spacing w:after="0"/>
              <w:rPr>
                <w:sz w:val="2"/>
                <w:szCs w:val="2"/>
                <w:color w:val="auto"/>
              </w:rPr>
            </w:pPr>
          </w:p>
        </w:tc>
        <w:tc>
          <w:tcPr>
            <w:tcW w:w="7140" w:type="dxa"/>
            <w:vAlign w:val="bottom"/>
            <w:gridSpan w:val="2"/>
          </w:tcPr>
          <w:p>
            <w:pPr>
              <w:spacing w:after="0"/>
              <w:rPr>
                <w:sz w:val="2"/>
                <w:szCs w:val="2"/>
                <w:color w:val="auto"/>
              </w:rPr>
            </w:pPr>
          </w:p>
        </w:tc>
      </w:tr>
      <w:tr>
        <w:trPr>
          <w:trHeight w:val="224"/>
        </w:trPr>
        <w:tc>
          <w:tcPr>
            <w:tcW w:w="4240" w:type="dxa"/>
            <w:vAlign w:val="bottom"/>
          </w:tcPr>
          <w:p>
            <w:pPr>
              <w:spacing w:after="0"/>
              <w:rPr>
                <w:sz w:val="19"/>
                <w:szCs w:val="19"/>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w w:val="77"/>
              </w:rPr>
              <w:t>Stephen</w:t>
            </w:r>
          </w:p>
        </w:tc>
        <w:tc>
          <w:tcPr>
            <w:tcW w:w="4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Cootey</w:t>
            </w:r>
          </w:p>
        </w:tc>
      </w:tr>
    </w:tbl>
    <w:p>
      <w:pPr>
        <w:spacing w:after="0" w:line="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3"/>
              </w:rPr>
              <w:t>Press release, dated February 11, 2015,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99.1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6"/>
          <w:szCs w:val="16"/>
          <w:b w:val="1"/>
          <w:bCs w:val="1"/>
          <w:color w:val="auto"/>
        </w:rPr>
        <w:t>ynn Resorts Announces Pricing of Private Offering of $1.8 billion Aggregate Principal Amount of Wynn Las Vegas 5.5% Senior Notes due 2025</w:t>
      </w:r>
    </w:p>
    <w:p>
      <w:pPr>
        <w:spacing w:after="0" w:line="24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LAS VEGAS, February 11, 2015 (BUSINESS WIRE) - Wynn Resorts, Limited (NASDAQ: WYNN) announced today the pricing by Wynn Las Vegas, LLC and Wynn Las Vegas Capital Corp. (the “issuers”), each an indirect wholly-owned subsidiary of Wynn Resorts, Limited, of $1.8 billion aggregate principal amount of 5.5% Senior Notes due 2025 (the “Notes”). The Notes will be issued at par. Wynn Las Vegas, LLC plans to use the net proceeds from the offering to purchase any and all of the issuers’ outstanding $1,226.6 million aggregate principal amount of 7¾% First Mortgage Notes due 2020 (the “7¾% Notes”) and any and all of the issuers’ outstanding $377.01 million aggregate principal amount of 7⅞% First Mortgage Notes due 2020 (the “7⅞% Notes” and, together with the 7¾% Notes, the “2020 Notes”) pursuant to the previously announced cash tender offer with respect to the 2020 Notes. In addition, Wynn Las Vegas, LLC intends to satisfy and discharge the indentures governing each of the 7¾% Notes and 7⅞% Notes and use any remaining net proceeds from the offering to redeem any 7¾% Notes and 7⅞% Notes not tendered and for general corporate purposes.</w:t>
      </w:r>
    </w:p>
    <w:p>
      <w:pPr>
        <w:spacing w:after="0" w:line="1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contains forward-looking statements, including those related to the offering of Notes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2013 and Quarterly Reports on Form 10-Q for the fiscal quarters ended March 31, 2014, June 30, 2014 and September 30, 2014 and Wynn Las Vegas, LLC’s and Wynn Resorts, Limited’s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Cootey, Chief Financial Officer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2019-12-08T01:43:01Z</dcterms:created>
  <dcterms:modified xsi:type="dcterms:W3CDTF">2019-12-08T01:43:01Z</dcterms:modified>
</cp:coreProperties>
</file>