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November 26, 2008</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549"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549" w:right="339" w:bottom="1440" w:gutter="0" w:footer="0" w:header="0"/>
          <w:type w:val="continuous"/>
        </w:sectPr>
      </w:pP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Las Vegas, Nevada 89109</w:t>
      </w: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20"/>
          </w:cols>
          <w:pgMar w:left="240" w:top="549" w:right="339" w:bottom="1440" w:gutter="0" w:footer="0" w:header="0"/>
          <w:type w:val="continuous"/>
        </w:sect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549" w:right="339" w:bottom="1440" w:gutter="0" w:footer="0" w:header="0"/>
          <w:type w:val="continuous"/>
        </w:sectPr>
      </w:pPr>
    </w:p>
    <w:p>
      <w:pPr>
        <w:spacing w:after="0" w:line="27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Written communications pursuant to Rule 425 under the Securities Act (17 CFR 230.425)</w:t>
      </w:r>
    </w:p>
    <w:p>
      <w:pPr>
        <w:spacing w:after="0" w:line="233"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Soliciting material pursuant to Rule 14a-12 under the Exchange Act (17 CFR 240.14a-12)</w:t>
      </w:r>
    </w:p>
    <w:p>
      <w:pPr>
        <w:spacing w:after="0" w:line="233"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As reported in a Current Report on Form 8-K filed by Wynn Resorts, Limited (the “Company”) on November 13, 2008, on November 13, 2008 the Company entered into an amendment (“Amendment No. 2”) to its Credit Agreement, dated as of June 21, 2007 (as amended, the “Credit Agreement”), among the Company, Deutsche Bank Trust Company Americas, as administrative agent, each lender from time to time party to the Credit Agreement and each of the other banks, financial institutions and other entities from time to time party to the Credit Agreement. As a result of Amendment No. 2, the Company is permitted from time to time to purchase loans outstanding under the Credit Agreement.</w:t>
      </w:r>
    </w:p>
    <w:p>
      <w:pPr>
        <w:spacing w:after="0" w:line="200" w:lineRule="exact"/>
        <w:rPr>
          <w:sz w:val="20"/>
          <w:szCs w:val="20"/>
          <w:color w:val="auto"/>
        </w:rPr>
      </w:pPr>
    </w:p>
    <w:p>
      <w:pPr>
        <w:spacing w:after="0" w:line="24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Pursuant to Amendment No. 2, on November 26, 2008, the Company purchased $625 million of loans under the Credit Agreement at a discounted price of 95.375%, resulting in the retirement of $625 million of principal for a payment of $596 million. The total amount purchased includes the $198.25 million of loans under the Credit Agreement that had been held by Mr. Stephen A. Wynn, Chairman of the Board of Directors and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 2008</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WYNN RESORTS, LIMITED</w:t>
      </w:r>
    </w:p>
    <w:p>
      <w:pPr>
        <w:spacing w:after="0" w:line="206" w:lineRule="exact"/>
        <w:rPr>
          <w:sz w:val="20"/>
          <w:szCs w:val="20"/>
          <w:color w:val="auto"/>
        </w:rPr>
      </w:pPr>
    </w:p>
    <w:p>
      <w:pPr>
        <w:ind w:left="4760"/>
        <w:spacing w:after="0"/>
        <w:tabs>
          <w:tab w:leader="none" w:pos="5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7620</wp:posOffset>
            </wp:positionV>
            <wp:extent cx="37217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21735" cy="17145"/>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Kim Sinatra</w:t>
      </w:r>
    </w:p>
    <w:p>
      <w:pPr>
        <w:ind w:left="5560"/>
        <w:spacing w:after="0" w:line="234" w:lineRule="auto"/>
        <w:rPr>
          <w:sz w:val="20"/>
          <w:szCs w:val="20"/>
          <w:color w:val="auto"/>
        </w:rPr>
      </w:pPr>
      <w:r>
        <w:rPr>
          <w:rFonts w:ascii="Arial" w:cs="Arial" w:eastAsia="Arial" w:hAnsi="Arial"/>
          <w:sz w:val="22"/>
          <w:szCs w:val="22"/>
          <w:color w:val="auto"/>
        </w:rPr>
        <w:t>Senior Vice President, General</w:t>
      </w:r>
    </w:p>
    <w:p>
      <w:pPr>
        <w:ind w:left="5560"/>
        <w:spacing w:after="0"/>
        <w:rPr>
          <w:sz w:val="20"/>
          <w:szCs w:val="20"/>
          <w:color w:val="auto"/>
        </w:rPr>
      </w:pPr>
      <w:r>
        <w:rPr>
          <w:rFonts w:ascii="Arial" w:cs="Arial" w:eastAsia="Arial" w:hAnsi="Arial"/>
          <w:sz w:val="22"/>
          <w:szCs w:val="22"/>
          <w:color w:val="auto"/>
        </w:rPr>
        <w:t>Counsel and Secretary</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2019-12-11T15:56:49Z</dcterms:created>
  <dcterms:modified xsi:type="dcterms:W3CDTF">2019-12-11T15:56:49Z</dcterms:modified>
</cp:coreProperties>
</file>