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819"/>
        <w:spacing w:after="0"/>
        <w:rPr>
          <w:sz w:val="20"/>
          <w:szCs w:val="20"/>
          <w:color w:val="auto"/>
        </w:rPr>
      </w:pPr>
      <w:r>
        <w:rPr>
          <w:rFonts w:ascii="Arial" w:cs="Arial" w:eastAsia="Arial" w:hAnsi="Arial"/>
          <w:sz w:val="18"/>
          <w:szCs w:val="18"/>
          <w:color w:val="auto"/>
        </w:rPr>
        <w:t>Date of Report (Date of earliest event reported): November 6, 2007</w:t>
      </w:r>
    </w:p>
    <w:p>
      <w:pPr>
        <w:spacing w:after="0" w:line="136"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086"/>
              <w:spacing w:after="0"/>
              <w:rPr>
                <w:sz w:val="20"/>
                <w:szCs w:val="20"/>
                <w:color w:val="auto"/>
              </w:rPr>
            </w:pPr>
            <w:r>
              <w:rPr>
                <w:rFonts w:ascii="Arial" w:cs="Arial" w:eastAsia="Arial" w:hAnsi="Arial"/>
                <w:sz w:val="18"/>
                <w:szCs w:val="18"/>
                <w:b w:val="1"/>
                <w:bCs w:val="1"/>
                <w:color w:val="auto"/>
                <w:w w:val="87"/>
              </w:rPr>
              <w:t>Nevada</w:t>
            </w:r>
          </w:p>
        </w:tc>
        <w:tc>
          <w:tcPr>
            <w:tcW w:w="3940" w:type="dxa"/>
            <w:vAlign w:val="bottom"/>
          </w:tcPr>
          <w:p>
            <w:pPr>
              <w:jc w:val="right"/>
              <w:ind w:right="1542"/>
              <w:spacing w:after="0"/>
              <w:rPr>
                <w:sz w:val="20"/>
                <w:szCs w:val="20"/>
                <w:color w:val="auto"/>
              </w:rPr>
            </w:pPr>
            <w:r>
              <w:rPr>
                <w:rFonts w:ascii="Arial" w:cs="Arial" w:eastAsia="Arial" w:hAnsi="Arial"/>
                <w:sz w:val="18"/>
                <w:szCs w:val="18"/>
                <w:b w:val="1"/>
                <w:bCs w:val="1"/>
                <w:color w:val="auto"/>
              </w:rPr>
              <w:t>000-50028</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00"/>
          </w:cols>
          <w:pgMar w:left="240" w:top="584" w:right="105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584"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540"/>
          </w:cols>
          <w:pgMar w:left="240" w:top="584" w:right="105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584" w:right="105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220"/>
          </w:cols>
          <w:pgMar w:left="240" w:top="58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58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584"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November 6, 2007, Wynn Las Vegas, LLC (“Wynn Las Vegas”) and Wynn Las Vegas Capital Corp. (“Capital Corp.” and, together with Wynn Las Vegas, the “Issuers”), each a direct or indirect wholly owned subsidiary of Wynn Resorts, Limited (“WRL”), issued $400,000,000 aggregate principal amount of their 6-5/8% First Mortgage Notes due 2014 (the “Additional Notes”). The Additional Notes were issued under the same indenture as the 6-5/8% First Mortgage Notes previously issued by the Issuers (the “Original Notes” and, together with the Additional Notes, the “First Mortgage Notes”).</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Additional Notes are pari passu with, and will vote on any matter submitted to noteholders with, the Original Notes. However, because the Additional Notes were issued with more than de minimis original issue discount, the Additional Notes are not fungible with the Original Notes.</w:t>
      </w:r>
    </w:p>
    <w:p>
      <w:pPr>
        <w:spacing w:after="0" w:line="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Issuers may redeem all or a portion of the First Mortgage Notes at any time on or after December 1, 2009 at a premium decreasing ratably to zero, plus accrued and unpaid interest. In addition, prior to December 1, 2007, the Issuers may redeem up to 35% of the aggregate principal amount of the First Mortgage Notes at a redemption price of 106.625% of the principal amount, plus accrued and unpaid interest, with the net proceeds of one or more qualified equity contributions made to the Issuers by WRL. If the Issuers undergo a change of control the Issuers must offer to repurchase the First Mortgage Notes at 101% of the principal amount, plus accrued and unpaid interest. If the Issuers sell certain assets or suffer an event of loss and the Issuers do not use the sale or insurance proceeds for specified purposes, the Issuers must offer to repurchase the First Mortgage Notes at 100% of the principal amount, plus accrued and unpaid interest. The First Mortgage Notes are also subject to mandatory redemption requirements imposed by gaming laws and regulations of gaming authorities in Nevada.</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First Mortgage Notes will be the Issuers’ senior secured obligations and will rank pari passu in right of payment with borrowings under Wynn Las Vegas’ credit facilities. The First Mortgage Notes are secured on an equal and ratable basis (with certain exceptions) by a first priority lien on substantially all of the Issuers’ existing and future assets, the same collateral that secures Wynn Las Vegas’ borrowings under its credit facilities. The first priority lien securing the First Mortgage Notes may be released in whole, or in part, under certain circumstances. An amended and restated intercreditor agreement imposes restrictions on the exercise of rights and remedies by the noteholders with respect to the collateral.</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First Mortgage Notes are jointly and severally guaranteed by all of the Issuers’ subsidiaries except Wynn Completion Guarantor, LLC (the “Guarantors”). The guarantees of the First Mortgage Notes are secured on an equal and ratable basis by a first priority lien on substantially all of the Guarantors’ assets, the same collateral that secures the guarantees under Wynn Las Vegas’ credit facilities.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Issuers have agreed to make an offer to exchange the Additional Notes for registered, publicly tradable notes that have substantially identical terms as the Additional Notes (see “Registration Rights Agreement” below). The Issuers expect that the Additional Notes will be eligible for trading in the Private Offerings, Resales and Trading through Automated Linkages system of NASDAQ.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Disbursement Agreement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November 6, 2007, in connection with the issuance of the Additional Notes, Wynn Las Vegas entered into a second amendment (the “Second Amendment”) to its Amended and Restated Master Disbursement Agreement, dated as of October 25, 2007, as amended by a First Amendment thereto, dated as of October 31, 2007 (as so amended, the “Disbursement Agreement”), by and among Wynn Las Vegas, Deutsche Bank Trust Company Americas, as bank agent, and Deutsche Bank Trust Company Americas, as disbursement agent. The Second Amendment makes certain technical changes to the Disbursement Agreement in connection with the issuance of the Additional Notes. Among other things, because the proceeds of the Additional Notes are available for the construction of Encore at Wynn Las Vegas, the Second Amendment eliminates the ability of Wynn Las Vegas to characterize certain unutilized capacity for the issuance of unsecured debt as available to pay costs associated with such construction.</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foregoing description of the Second Amendment is qualified in its entirety by the full text of the Second Amendment, a copy of which is attached hereto as Exhibit 10.1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Also on November 6, 2007, in connection with the issuance of the Additional Notes, the Issuers entered into a Registration Rights Agreement (the “Registration Rights Agreement”), by and among the Issuers, the Guarantors, Deutsche Bank Securities Inc. and Banc of America Securities LLC.</w:t>
      </w:r>
    </w:p>
    <w:p>
      <w:pPr>
        <w:spacing w:after="0" w:line="8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Pursuant to the Registration Rights Agreement, the Issuers and the Guarantors agreed to register with the Securities and Exchange Commission (the “SEC”) exchange notes (the “Exchange Notes”) having substantially identical terms as the Additional Notes, as part of an offer to exchange freely tradable Exchange Notes for the Additional Notes. Pursuant to the Registration Rights Agreement, the Issuers and the Guarantors agreed to file a registration statement with the SEC with respect to the exchange offer within 120 days after November 6, 2007 and to use all commercially reasonable efforts to cause the registration statement to be declared effective within 240 days after November 6, 2007. The Issuers and the Guarantors have also agreed to file a shelf registration statement for the resale of the Additional Notes if they cannot complete an exchange offer within the time periods listed above and in certain other circumstances. The Issuers and the Guarantors may be required to pay liquidated damages if they fail to comply with the registration and exchange requirements set forth in the Registration Rights Agreement.</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foregoing description of the Registration Rights Agreement is qualified in its entirety by the full text of the Registration Rights Agreement, a copy of which is attached hereto as Exhibit 10.2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is incorporated herein by reference.</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75"/>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0"/>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LLC, Deutsche Bank Trust Company Americas, as the Bank Agent, and Deutsche Bank Trust Company Americas, as the Disbursement Agent</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Registration Rights Agreement, dated as of November 6, 2007, by and among Wynn Las Vegas, LLC, Wynn Las Vegas Capital Corp., the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guarantors party thereto, Deutsche Bank Securities Inc. and Banc of America Securities LLC</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76"/>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240" w:top="274"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jc w:val="center"/>
              <w:ind w:right="1335"/>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Second Amendment to Amended and Restated Master Disbursement Agreement, dated as of November 6, 2007, by and among Wynn Las</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7"/>
              </w:rPr>
              <w:t>Vegas, LLC, Deutsche Bank Trust Company Americas, as the Bank Agent, and Deutsche Bank Trust Company Americas, as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Disbursement Agent</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Registration Rights Agreement, dated as of November 6, 2007, by and among Wynn Las Vegas, LLC, Wynn Las Vegas Capital Corp., the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guarantors party thereto, Deutsche Bank Securities Inc. and Banc of America Securities LLC</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5"/>
              <w:spacing w:after="0"/>
              <w:rPr>
                <w:sz w:val="20"/>
                <w:szCs w:val="20"/>
                <w:color w:val="auto"/>
              </w:rPr>
            </w:pPr>
            <w:r>
              <w:rPr>
                <w:rFonts w:ascii="Arial" w:cs="Arial" w:eastAsia="Arial" w:hAnsi="Arial"/>
                <w:sz w:val="18"/>
                <w:szCs w:val="18"/>
                <w:color w:val="auto"/>
              </w:rPr>
              <w:t>6</w:t>
            </w:r>
          </w:p>
        </w:tc>
      </w:tr>
    </w:tbl>
    <w:p>
      <w:pPr>
        <w:jc w:val="right"/>
        <w:ind w:right="5575"/>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DISBURSEMENT AGREEMENT</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THIS SECOND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November 6, 2007,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The undersigned are parties to that certain Amended and Restated Master Disbursement Agreement, dated as of October 25, 2007 (as amended by that certain First Amendment to Amended and Restated Master Disbursement Agreement, dated as of October 31, 2007, and as further amended, amended and restated, supplemented or otherwise modified from time to time, the “</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among the Company, the Bank Agent and the Disbursement Agent. Capitalized terms used but not otherwise defined herein shall have the meanings given in the Disbursement Agreement.</w:t>
      </w:r>
    </w:p>
    <w:p>
      <w:pPr>
        <w:spacing w:after="0" w:line="9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Amendment</w:t>
      </w:r>
      <w:r>
        <w:rPr>
          <w:rFonts w:ascii="Arial" w:cs="Arial" w:eastAsia="Arial" w:hAnsi="Arial"/>
          <w:sz w:val="18"/>
          <w:szCs w:val="18"/>
          <w:color w:val="auto"/>
        </w:rPr>
        <w:t>. The undersigned desire to amend the Disbursement Agreement to reflect certain agreements of the parties hereto, all as more particularly set forth herein.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5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a. Exhibit A to the Disbursement Agreement is hereby amended by deleting the following from the definition of “Available Funds” therein:</w:t>
      </w:r>
    </w:p>
    <w:p>
      <w:pPr>
        <w:spacing w:after="0" w:line="113"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(vii) the amount of any Senior Unsecured Debt (as defined in the Bank Credit Agreement) that could be incurred by the Company pursuant to Section 7.2(n) of the Bank Credit Agreement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Exhibit A to the Disbursement Agreement is hereby amended by adding the following definition in appropriate alphabetical order therein:</w:t>
      </w:r>
    </w:p>
    <w:p>
      <w:pPr>
        <w:sectPr>
          <w:pgSz w:w="11900" w:h="16838" w:orient="portrait"/>
          <w:cols w:equalWidth="0" w:num="1">
            <w:col w:w="11420"/>
          </w:cols>
          <w:pgMar w:left="240" w:top="125" w:right="2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““Last Project Final Completion Date” means the Phase II Final Completion Date.”</w:t>
      </w:r>
    </w:p>
    <w:p>
      <w:pPr>
        <w:spacing w:after="0" w:line="171" w:lineRule="exact"/>
        <w:rPr>
          <w:sz w:val="20"/>
          <w:szCs w:val="20"/>
          <w:color w:val="auto"/>
        </w:rPr>
      </w:pPr>
    </w:p>
    <w:p>
      <w:pPr>
        <w:ind w:left="-160" w:firstLine="464"/>
        <w:spacing w:after="0" w:line="291" w:lineRule="auto"/>
        <w:tabs>
          <w:tab w:leader="none" w:pos="47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400" w:top="280"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written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Sinatra</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tcPr>
          <w:p>
            <w:pPr>
              <w:spacing w:after="0"/>
              <w:rPr>
                <w:sz w:val="20"/>
                <w:szCs w:val="20"/>
                <w:color w:val="auto"/>
              </w:rPr>
            </w:pPr>
            <w:r>
              <w:rPr>
                <w:rFonts w:ascii="Arial" w:cs="Arial" w:eastAsia="Arial" w:hAnsi="Arial"/>
                <w:sz w:val="18"/>
                <w:szCs w:val="18"/>
                <w:color w:val="auto"/>
              </w:rPr>
              <w:t>Kim Sinatra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6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and General Counsel</w:t>
            </w:r>
          </w:p>
        </w:tc>
      </w:tr>
    </w:tbl>
    <w:p>
      <w:pPr>
        <w:spacing w:after="0" w:line="16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Second Amendment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Mary Kay Coyle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Carin Keegan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Carin Keegan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Mary Kay Coyle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Carin Keegan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Carin Keegan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Second Amendment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212090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November 6, 2007</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Wynn Las Vegas Capital Corp.,</w:t>
      </w:r>
    </w:p>
    <w:p>
      <w:pPr>
        <w:spacing w:after="0" w:line="15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Guarantor Signatories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 w:name="page12"/>
    <w:bookmarkEnd w:id="11"/>
    <w:p>
      <w:pPr>
        <w:jc w:val="both"/>
        <w:ind w:firstLine="456"/>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Registration Rights Agreement (this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is made and entered into as of November 6, 2007, by and among Wynn Las Vegas, LLC, a Nevada limited liability company, Wynn Las Vegas Capital Corp., a Nevada corporation (each an “</w:t>
      </w:r>
      <w:r>
        <w:rPr>
          <w:rFonts w:ascii="Arial" w:cs="Arial" w:eastAsia="Arial" w:hAnsi="Arial"/>
          <w:sz w:val="15"/>
          <w:szCs w:val="15"/>
          <w:b w:val="1"/>
          <w:bCs w:val="1"/>
          <w:u w:val="single" w:color="auto"/>
          <w:color w:val="auto"/>
        </w:rPr>
        <w:t>Issuer</w:t>
      </w:r>
      <w:r>
        <w:rPr>
          <w:rFonts w:ascii="Arial" w:cs="Arial" w:eastAsia="Arial" w:hAnsi="Arial"/>
          <w:sz w:val="15"/>
          <w:szCs w:val="15"/>
          <w:color w:val="auto"/>
        </w:rPr>
        <w:t>” and collectively, the “</w:t>
      </w:r>
      <w:r>
        <w:rPr>
          <w:rFonts w:ascii="Arial" w:cs="Arial" w:eastAsia="Arial" w:hAnsi="Arial"/>
          <w:sz w:val="15"/>
          <w:szCs w:val="15"/>
          <w:b w:val="1"/>
          <w:bCs w:val="1"/>
          <w:u w:val="single" w:color="auto"/>
          <w:color w:val="auto"/>
        </w:rPr>
        <w:t>Issuers</w:t>
      </w:r>
      <w:r>
        <w:rPr>
          <w:rFonts w:ascii="Arial" w:cs="Arial" w:eastAsia="Arial" w:hAnsi="Arial"/>
          <w:sz w:val="15"/>
          <w:szCs w:val="15"/>
          <w:color w:val="auto"/>
        </w:rPr>
        <w:t>”) and the guarantors listed on the signature pages hereto (the “</w:t>
      </w:r>
      <w:r>
        <w:rPr>
          <w:rFonts w:ascii="Arial" w:cs="Arial" w:eastAsia="Arial" w:hAnsi="Arial"/>
          <w:sz w:val="15"/>
          <w:szCs w:val="15"/>
          <w:b w:val="1"/>
          <w:bCs w:val="1"/>
          <w:u w:val="single" w:color="auto"/>
          <w:color w:val="auto"/>
        </w:rPr>
        <w:t>Guarantors</w:t>
      </w:r>
      <w:r>
        <w:rPr>
          <w:rFonts w:ascii="Arial" w:cs="Arial" w:eastAsia="Arial" w:hAnsi="Arial"/>
          <w:sz w:val="15"/>
          <w:szCs w:val="15"/>
          <w:color w:val="auto"/>
        </w:rPr>
        <w:t>”), and Deutsche Bank Securities Inc. and Banc of America Securities LLC (each an “</w:t>
      </w:r>
      <w:r>
        <w:rPr>
          <w:rFonts w:ascii="Arial" w:cs="Arial" w:eastAsia="Arial" w:hAnsi="Arial"/>
          <w:sz w:val="15"/>
          <w:szCs w:val="15"/>
          <w:b w:val="1"/>
          <w:bCs w:val="1"/>
          <w:u w:val="single" w:color="auto"/>
          <w:color w:val="auto"/>
        </w:rPr>
        <w:t>Initial Purchaser</w:t>
      </w:r>
      <w:r>
        <w:rPr>
          <w:rFonts w:ascii="Arial" w:cs="Arial" w:eastAsia="Arial" w:hAnsi="Arial"/>
          <w:sz w:val="15"/>
          <w:szCs w:val="15"/>
          <w:color w:val="auto"/>
        </w:rPr>
        <w:t>” and, together,</w:t>
      </w:r>
    </w:p>
    <w:p>
      <w:pPr>
        <w:spacing w:after="0" w:line="1" w:lineRule="exact"/>
        <w:rPr>
          <w:sz w:val="20"/>
          <w:szCs w:val="20"/>
          <w:color w:val="auto"/>
        </w:rPr>
      </w:pPr>
    </w:p>
    <w:p>
      <w:pPr>
        <w:jc w:val="both"/>
        <w:ind w:right="740"/>
        <w:spacing w:after="0" w:line="23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Initial Purchasers</w:t>
      </w:r>
      <w:r>
        <w:rPr>
          <w:rFonts w:ascii="Arial" w:cs="Arial" w:eastAsia="Arial" w:hAnsi="Arial"/>
          <w:sz w:val="18"/>
          <w:szCs w:val="18"/>
          <w:color w:val="auto"/>
        </w:rPr>
        <w:t xml:space="preserve">”), each of whom has agreed to purchase the Issuers’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being issued on the date hereof (the “</w:t>
      </w:r>
      <w:r>
        <w:rPr>
          <w:rFonts w:ascii="Arial" w:cs="Arial" w:eastAsia="Arial" w:hAnsi="Arial"/>
          <w:sz w:val="18"/>
          <w:szCs w:val="18"/>
          <w:b w:val="1"/>
          <w:bCs w:val="1"/>
          <w:u w:val="single" w:color="auto"/>
          <w:color w:val="auto"/>
        </w:rPr>
        <w:t>Additional Notes</w:t>
      </w:r>
      <w:r>
        <w:rPr>
          <w:rFonts w:ascii="Arial" w:cs="Arial" w:eastAsia="Arial" w:hAnsi="Arial"/>
          <w:sz w:val="18"/>
          <w:szCs w:val="18"/>
          <w:color w:val="auto"/>
        </w:rPr>
        <w:t>”) pursuant to the Purchase Agreement, dated as of November 1, 2007, (the “</w:t>
      </w:r>
      <w:r>
        <w:rPr>
          <w:rFonts w:ascii="Arial" w:cs="Arial" w:eastAsia="Arial" w:hAnsi="Arial"/>
          <w:sz w:val="18"/>
          <w:szCs w:val="18"/>
          <w:b w:val="1"/>
          <w:bCs w:val="1"/>
          <w:u w:val="single" w:color="auto"/>
          <w:color w:val="auto"/>
        </w:rPr>
        <w:t>Purchase Agreement</w:t>
      </w:r>
      <w:r>
        <w:rPr>
          <w:rFonts w:ascii="Arial" w:cs="Arial" w:eastAsia="Arial" w:hAnsi="Arial"/>
          <w:sz w:val="18"/>
          <w:szCs w:val="18"/>
          <w:color w:val="auto"/>
        </w:rPr>
        <w:t>”), by and among the Issuers, the Guarantors and the Initial Purchasers.</w:t>
      </w:r>
    </w:p>
    <w:p>
      <w:pPr>
        <w:spacing w:after="0" w:line="1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order to induce the Initial Purchasers to purchase the Additional Notes, the Issuers and the Guarantors have agreed to provide the registration rights set forth in this Agreement. The execution and delivery of this Agreement is a condition to the obligations of the Initial Purchasers set forth in Section 5 of the Purchase Agreement. Capitalized terms used herein and not otherwise defined shall have the meaning assigned to them in the indenture, dated as of December 14, 2004, as amended and supplemented by a first supplemental indenture, dated as of June 29, 2005, and a second supplemental indenture, dated as of July 29, 2005 (as amended and supplemented, the “</w:t>
      </w:r>
      <w:r>
        <w:rPr>
          <w:rFonts w:ascii="Arial" w:cs="Arial" w:eastAsia="Arial" w:hAnsi="Arial"/>
          <w:sz w:val="16"/>
          <w:szCs w:val="16"/>
          <w:b w:val="1"/>
          <w:bCs w:val="1"/>
          <w:u w:val="single" w:color="auto"/>
          <w:color w:val="auto"/>
        </w:rPr>
        <w:t>Indenture</w:t>
      </w:r>
      <w:r>
        <w:rPr>
          <w:rFonts w:ascii="Arial" w:cs="Arial" w:eastAsia="Arial" w:hAnsi="Arial"/>
          <w:sz w:val="16"/>
          <w:szCs w:val="16"/>
          <w:color w:val="auto"/>
        </w:rPr>
        <w:t>”), among the Issuers, the Guarantors and U.S. Bank National Association, as trustee (the “</w:t>
      </w:r>
      <w:r>
        <w:rPr>
          <w:rFonts w:ascii="Arial" w:cs="Arial" w:eastAsia="Arial" w:hAnsi="Arial"/>
          <w:sz w:val="16"/>
          <w:szCs w:val="16"/>
          <w:b w:val="1"/>
          <w:bCs w:val="1"/>
          <w:u w:val="single" w:color="auto"/>
          <w:color w:val="auto"/>
        </w:rPr>
        <w:t>Trustee</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hereby agree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capitalized terms shall have the following meanings: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Act</w:t>
      </w:r>
      <w:r>
        <w:rPr>
          <w:rFonts w:ascii="Arial" w:cs="Arial" w:eastAsia="Arial" w:hAnsi="Arial"/>
          <w:sz w:val="18"/>
          <w:szCs w:val="18"/>
          <w:color w:val="auto"/>
        </w:rPr>
        <w:t>: The Securities Act of 1933, as amended, and the rules and regulations of the Commission promulgated thereunder.</w:t>
      </w:r>
    </w:p>
    <w:p>
      <w:pPr>
        <w:spacing w:after="0" w:line="198"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b w:val="1"/>
          <w:bCs w:val="1"/>
          <w:u w:val="single" w:color="auto"/>
          <w:color w:val="auto"/>
        </w:rPr>
        <w:t>Additional Exchange Notes</w:t>
      </w:r>
      <w:r>
        <w:rPr>
          <w:rFonts w:ascii="Arial" w:cs="Arial" w:eastAsia="Arial" w:hAnsi="Arial"/>
          <w:sz w:val="18"/>
          <w:szCs w:val="18"/>
          <w:color w:val="auto"/>
        </w:rPr>
        <w:t>: The Issuers’ 6</w:t>
      </w:r>
      <w:r>
        <w:rPr>
          <w:rFonts w:ascii="Arial" w:cs="Arial" w:eastAsia="Arial" w:hAnsi="Arial"/>
          <w:sz w:val="18"/>
          <w:szCs w:val="18"/>
          <w:b w:val="1"/>
          <w:bCs w:val="1"/>
          <w:color w:val="auto"/>
        </w:rPr>
        <w:t xml:space="preserve">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to be issued pursuant to the Indenture either (i) in the Exchange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(ii) as contemplated by Section 6 hereof.</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As defined in Rule 144 of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Broker-Dealer</w:t>
      </w:r>
      <w:r>
        <w:rPr>
          <w:rFonts w:ascii="Arial" w:cs="Arial" w:eastAsia="Arial" w:hAnsi="Arial"/>
          <w:sz w:val="18"/>
          <w:szCs w:val="18"/>
          <w:color w:val="auto"/>
        </w:rPr>
        <w:t>: Any broker or dealer registered under the Exchange Act.</w:t>
      </w:r>
    </w:p>
    <w:p>
      <w:pPr>
        <w:spacing w:after="0" w:line="171"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Each Monday, Tuesday, Wednesday, Thursday and Friday that is not a day on which banking institutions in New York,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regulation or executive order to close.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Certificated Securities</w:t>
      </w:r>
      <w:r>
        <w:rPr>
          <w:rFonts w:ascii="Arial" w:cs="Arial" w:eastAsia="Arial" w:hAnsi="Arial"/>
          <w:sz w:val="18"/>
          <w:szCs w:val="18"/>
          <w:color w:val="auto"/>
        </w:rPr>
        <w:t>: Definitive Notes, as defined in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The date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The Securities and Exchange Commission.</w:t>
      </w:r>
    </w:p>
    <w:p>
      <w:pPr>
        <w:sectPr>
          <w:pgSz w:w="11900" w:h="16838" w:orient="portrait"/>
          <w:cols w:equalWidth="0" w:num="1">
            <w:col w:w="11420"/>
          </w:cols>
          <w:pgMar w:left="240" w:top="274" w:right="239" w:bottom="1440" w:gutter="0" w:footer="0" w:header="0"/>
        </w:sectPr>
      </w:pPr>
    </w:p>
    <w:bookmarkStart w:id="12" w:name="page13"/>
    <w:bookmarkEnd w:id="12"/>
    <w:p>
      <w:pPr>
        <w:ind w:right="20" w:firstLine="456"/>
        <w:spacing w:after="0" w:line="296"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Consummate</w:t>
      </w:r>
      <w:r>
        <w:rPr>
          <w:rFonts w:ascii="Arial" w:cs="Arial" w:eastAsia="Arial" w:hAnsi="Arial"/>
          <w:sz w:val="16"/>
          <w:szCs w:val="16"/>
          <w:color w:val="auto"/>
        </w:rPr>
        <w:t>: An Exchange Offer shall be deemed “Consummated” for purposes of this Agreement upon the occurrence of (a) the effectiveness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Act of the Exchange Offer Registration Statement relating to the Additional Exchange Notes to be issued in the Exchange Offer, (b) the maintenance of such Exchange Offer Registration Statement continuously effective and the keeping of the Exchange Offer open for a period not less than the period required pursuant to Section 3(b) hereof and (c) the delivery by the Issuers to the Registrar under the Indenture of Additional Exchange Notes in the same aggregate principal amount as the aggregate principal amount of Additional Notes validly tendered by Holders thereof pursuant to the Exchange Offer.</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Consummation Deadline</w:t>
      </w:r>
      <w:r>
        <w:rPr>
          <w:rFonts w:ascii="Arial" w:cs="Arial" w:eastAsia="Arial" w:hAnsi="Arial"/>
          <w:sz w:val="18"/>
          <w:szCs w:val="18"/>
          <w:color w:val="auto"/>
        </w:rPr>
        <w:t>: As defined in Section 3(b)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Effectiveness Deadline</w:t>
      </w:r>
      <w:r>
        <w:rPr>
          <w:rFonts w:ascii="Arial" w:cs="Arial" w:eastAsia="Arial" w:hAnsi="Arial"/>
          <w:sz w:val="18"/>
          <w:szCs w:val="18"/>
          <w:color w:val="auto"/>
        </w:rPr>
        <w:t>: The Exchange Offer Effectiveness Deadline and the Shelf Effectiveness Deadline.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Securities Exchange Act of 1934, as amended, and the rules and regulations of the Commission promulgated thereunder.</w:t>
      </w:r>
    </w:p>
    <w:p>
      <w:pPr>
        <w:spacing w:after="0" w:line="194"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u w:val="single" w:color="auto"/>
          <w:color w:val="auto"/>
        </w:rPr>
        <w:t>Exchange Offer</w:t>
      </w:r>
      <w:r>
        <w:rPr>
          <w:rFonts w:ascii="Arial" w:cs="Arial" w:eastAsia="Arial" w:hAnsi="Arial"/>
          <w:sz w:val="16"/>
          <w:szCs w:val="16"/>
          <w:color w:val="auto"/>
        </w:rPr>
        <w:t>: The exchange and issuance by the Issuers of a principal amount of Additional Exchange Notes (which shall be registered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Offer Registration Statement) equal to the outstanding principal amount of Additional Notes that are validly tendered and not withdrawn by such Holders in connection with such exchange and issuance as required by the terms of this Agreement.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 Offer Effectiveness Deadline</w:t>
      </w:r>
      <w:r>
        <w:rPr>
          <w:rFonts w:ascii="Arial" w:cs="Arial" w:eastAsia="Arial" w:hAnsi="Arial"/>
          <w:sz w:val="18"/>
          <w:szCs w:val="18"/>
          <w:color w:val="auto"/>
        </w:rPr>
        <w:t>: As defined in Section 3(a)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 Offer Filing Deadline</w:t>
      </w:r>
      <w:r>
        <w:rPr>
          <w:rFonts w:ascii="Arial" w:cs="Arial" w:eastAsia="Arial" w:hAnsi="Arial"/>
          <w:sz w:val="18"/>
          <w:szCs w:val="18"/>
          <w:color w:val="auto"/>
        </w:rPr>
        <w:t>: As defined in Section 3(a) hereof.</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u w:val="single" w:color="auto"/>
          <w:color w:val="auto"/>
        </w:rPr>
        <w:t>Exchange Offer Registration Statement</w:t>
      </w:r>
      <w:r>
        <w:rPr>
          <w:rFonts w:ascii="Arial" w:cs="Arial" w:eastAsia="Arial" w:hAnsi="Arial"/>
          <w:sz w:val="18"/>
          <w:szCs w:val="18"/>
          <w:color w:val="auto"/>
        </w:rPr>
        <w:t>: The Registration Statement required to be filed by the Issuers with the Commission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Exchange Offer, including the related Prospectus included therein, all amendments and supplements thereto (including post-effective amendments) and all exhibits and material incorporated by reference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Filing Deadline</w:t>
      </w:r>
      <w:r>
        <w:rPr>
          <w:rFonts w:ascii="Arial" w:cs="Arial" w:eastAsia="Arial" w:hAnsi="Arial"/>
          <w:sz w:val="18"/>
          <w:szCs w:val="18"/>
          <w:color w:val="auto"/>
        </w:rPr>
        <w:t>: The Exchange Offer Filing Deadline and the Shelf Filing Deadline.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As defined in Section 2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Inspectors</w:t>
      </w:r>
      <w:r>
        <w:rPr>
          <w:rFonts w:ascii="Arial" w:cs="Arial" w:eastAsia="Arial" w:hAnsi="Arial"/>
          <w:sz w:val="18"/>
          <w:szCs w:val="18"/>
          <w:color w:val="auto"/>
        </w:rPr>
        <w:t>: As defined in Section 6(c)(vii)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Collectively, the Additional Notes and the Additional Exchange Notes.</w:t>
      </w:r>
    </w:p>
    <w:p>
      <w:pPr>
        <w:spacing w:after="0" w:line="17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Any individual, corporation, partnership, joint venture, association, joint-stock company, trust, unincorporated organization,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government or any agency or political subdivision thereof or other entity.</w:t>
      </w:r>
    </w:p>
    <w:p>
      <w:pPr>
        <w:spacing w:after="0" w:line="120"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The prospectus included in a Registration Statement at the time such Registration Statement is declared effective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 prospectus that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discloses information previously omitted from a prospectus filed as part of an effective Registration Statement in reliance upon Rule 430A under the Act), as amended or supplemented by any prospectus supplement and by all other amendments thereto, including post-effective amendments or free writing prospectus (as defined in Rule 405 under the Act), and all material incorporated by reference into such Prospectus.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Recommencement Date</w:t>
      </w:r>
      <w:r>
        <w:rPr>
          <w:rFonts w:ascii="Arial" w:cs="Arial" w:eastAsia="Arial" w:hAnsi="Arial"/>
          <w:sz w:val="18"/>
          <w:szCs w:val="18"/>
          <w:color w:val="auto"/>
        </w:rPr>
        <w:t>: As defined in Section 6(d)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Records</w:t>
      </w:r>
      <w:r>
        <w:rPr>
          <w:rFonts w:ascii="Arial" w:cs="Arial" w:eastAsia="Arial" w:hAnsi="Arial"/>
          <w:sz w:val="18"/>
          <w:szCs w:val="18"/>
          <w:color w:val="auto"/>
        </w:rPr>
        <w:t>: As defined in Section 6(c)(vii)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Registration Default</w:t>
      </w:r>
      <w:r>
        <w:rPr>
          <w:rFonts w:ascii="Arial" w:cs="Arial" w:eastAsia="Arial" w:hAnsi="Arial"/>
          <w:sz w:val="18"/>
          <w:szCs w:val="18"/>
          <w:color w:val="auto"/>
        </w:rPr>
        <w:t>: As defined in Section 5 hereof.</w:t>
      </w:r>
    </w:p>
    <w:p>
      <w:pPr>
        <w:spacing w:after="0" w:line="17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Any registration statement of the Issuers and the Guarantors relating to (a) an offering of Additional Exchange Notes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 Offer Registration Statement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Regulation S</w:t>
      </w:r>
      <w:r>
        <w:rPr>
          <w:rFonts w:ascii="Arial" w:cs="Arial" w:eastAsia="Arial" w:hAnsi="Arial"/>
          <w:sz w:val="18"/>
          <w:szCs w:val="18"/>
          <w:color w:val="auto"/>
        </w:rPr>
        <w:t>: Regulation S promulgated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Rule 144 promulgated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Rule 415 promulgated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 As defined in Section 4(a)(y)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As defined in Section 4(a)(x)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Holder</w:t>
      </w:r>
      <w:r>
        <w:rPr>
          <w:rFonts w:ascii="Arial" w:cs="Arial" w:eastAsia="Arial" w:hAnsi="Arial"/>
          <w:sz w:val="18"/>
          <w:szCs w:val="18"/>
          <w:color w:val="auto"/>
        </w:rPr>
        <w:t>: As defined in Section 4(a)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As defined in Section 4(a)(x)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Suspension Notice</w:t>
      </w:r>
      <w:r>
        <w:rPr>
          <w:rFonts w:ascii="Arial" w:cs="Arial" w:eastAsia="Arial" w:hAnsi="Arial"/>
          <w:sz w:val="18"/>
          <w:szCs w:val="18"/>
          <w:color w:val="auto"/>
        </w:rPr>
        <w:t>: As defined in Section 6(d) hereof.</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u w:val="single" w:color="auto"/>
          <w:color w:val="auto"/>
        </w:rPr>
        <w:t>Suspension Period</w:t>
      </w:r>
      <w:r>
        <w:rPr>
          <w:rFonts w:ascii="Arial" w:cs="Arial" w:eastAsia="Arial" w:hAnsi="Arial"/>
          <w:sz w:val="16"/>
          <w:szCs w:val="16"/>
          <w:color w:val="auto"/>
        </w:rPr>
        <w:t>: The period of time (a) that the Issuers may delay filing and distributing (i) a post-effective amendment to (x) the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or (y) after the date on which the Exchange Offer is Consummated, the Exchange Offer Registration Statement that is required to maintain its effectiveness to permit resales of Additional Exchange Notes by Broker-Dealers as contemplated by Section 3(c) below or (ii) a supplement to any related Prospectus so that, as thereafter delivered to Holders or purchasers of Transfer Restricted Securities, the Prospectus will not contain an untrue statement of a material fact or omit to state any material fact required to be stated therein or necessary to make the statements therein, in light of the circumstances under which they were made, not misleading, if the Issuers determine reasonably and in good faith that compliance with the disclosure obligations necessary to maintain the effectiveness of such Registration Statement at such time would reasonably be expected to have a material adverse effect on the Issuers or a pending financing, acquisition,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disposition, merger or other material corporate transaction involving the Issuers or any of its subsidiaries or affiliates (it being understood that, in the case of this clause (a), the Issuers shall be required to use their commercially reasonable efforts to proceed in good faith to amend such Registration Statement or supplement to such related Prospectus as soon as practicable to describe such events or to otherwise cause such Registration Statement to become effective and the related Prospectus to again be usable at such time as so doing would not have such a material adverse effect), or (b) when, at any time prior to the date which is one year from the effective date of the Exchange Offer Registration Statement, (i) the Shelf Registration Statement or (ii) after the date on which the Exchange Offer is Consummated, the Exchange Offer Registration Statement that is required to remain effective to permit resales of Additional Exchange Notes by Broker-Dealers as contemplated by Section 3(c) below, in each case, ceases to be effective or any related Prospectus is not usable solely because the Issuers filed a post-effective amendment to any such Registration Statement to include annual audited financial information with respect to the Issuers and such post-effective amendment is not yet effective and needs to be declared effective to permit Holders to use the related Prospectus (it being understood that in the case of this clause (b), the Issuers shall be required to use their commercially reasonable efforts to cause any such post-effective amendment to become effective as soon as practicable);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Suspension Periods shall not occur for more than 45 consecutive days, or more than 75 days in the aggregate;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such Suspension Period, the Issuers shall promptly advise each Holder and purchaser and, if request by any such Person, confirm such advice in writing that such Suspension Period has been terminated.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TIA</w:t>
      </w:r>
      <w:r>
        <w:rPr>
          <w:rFonts w:ascii="Arial" w:cs="Arial" w:eastAsia="Arial" w:hAnsi="Arial"/>
          <w:sz w:val="18"/>
          <w:szCs w:val="18"/>
          <w:color w:val="auto"/>
        </w:rPr>
        <w:t>: The Trust Indenture Act of 1939 (15 U.S.C. Section 77aaa-77bbbb) as in effect on the date of the Indenture.</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u w:val="single" w:color="auto"/>
          <w:color w:val="auto"/>
        </w:rPr>
        <w:t>Transfer Restricted Securities</w:t>
      </w:r>
      <w:r>
        <w:rPr>
          <w:rFonts w:ascii="Arial" w:cs="Arial" w:eastAsia="Arial" w:hAnsi="Arial"/>
          <w:sz w:val="16"/>
          <w:szCs w:val="16"/>
          <w:color w:val="auto"/>
        </w:rPr>
        <w:t>: Each Additional Note, until the earliest to occur of (i) the date on which such Additional Note is exchanged by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a Broker-Dealer for an Additional Exchange Note in the Exchange Offer, (ii) following the exchange by a Broker-Dealer in the Exchange Offer of an Additional Note for an Additional Exchange Note, the date on which such Additional Exchange Note is sold to a purchaser who receives from such Broker-Dealer on or prior to the date of such sale a copy of the Prospectus contained in the Exchange Offer Registration Statement, (iii) the date on which such Additional Note has been effectively registered under the Act and disposed of in accordance with the Shelf Registration Statement, or (iv) the date on which such Additional Note is distributed to the public pursuant to Rule 144.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Person is deemed to be a holder of Transfer Restricted Securities (each,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Holder</w:t>
      </w:r>
      <w:r>
        <w:rPr>
          <w:rFonts w:ascii="Arial" w:cs="Arial" w:eastAsia="Arial" w:hAnsi="Arial"/>
          <w:sz w:val="16"/>
          <w:szCs w:val="16"/>
          <w:b w:val="1"/>
          <w:bCs w:val="1"/>
          <w:color w:val="auto"/>
        </w:rPr>
        <w:t>”</w:t>
      </w:r>
      <w:r>
        <w:rPr>
          <w:rFonts w:ascii="Arial" w:cs="Arial" w:eastAsia="Arial" w:hAnsi="Arial"/>
          <w:sz w:val="16"/>
          <w:szCs w:val="16"/>
          <w:color w:val="auto"/>
        </w:rPr>
        <w:t>) whenever such Person owns Transfer Restricted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REGISTERED EXCHANGE OFFER</w:t>
      </w:r>
    </w:p>
    <w:p>
      <w:pPr>
        <w:spacing w:after="0" w:line="96" w:lineRule="exact"/>
        <w:rPr>
          <w:sz w:val="20"/>
          <w:szCs w:val="20"/>
          <w:color w:val="auto"/>
        </w:rPr>
      </w:pPr>
    </w:p>
    <w:p>
      <w:pPr>
        <w:ind w:right="40" w:firstLine="464"/>
        <w:spacing w:after="0" w:line="306"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Unless the Exchange Offer shall not be permitted by applicable federal law or Commission policy (after the procedures set forth in Section 6(a)(i) below have been complied with), the Issuers and the Guarantors shall (i) cause the Exchange Offer Registration Statement to be filed with the Commission on or prior to 120 days after the Closing Date (such applicable filing deadline,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Exchange Offer Filing Deadline</w:t>
      </w:r>
      <w:r>
        <w:rPr>
          <w:rFonts w:ascii="Arial" w:cs="Arial" w:eastAsia="Arial" w:hAnsi="Arial"/>
          <w:sz w:val="16"/>
          <w:szCs w:val="16"/>
          <w:b w:val="1"/>
          <w:bCs w:val="1"/>
          <w:color w:val="auto"/>
        </w:rPr>
        <w:t>”</w:t>
      </w:r>
      <w:r>
        <w:rPr>
          <w:rFonts w:ascii="Arial" w:cs="Arial" w:eastAsia="Arial" w:hAnsi="Arial"/>
          <w:sz w:val="16"/>
          <w:szCs w:val="16"/>
          <w:color w:val="auto"/>
        </w:rPr>
        <w:t>), (ii) use all commercially reasonable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5" w:name="page16"/>
    <w:bookmarkEnd w:id="15"/>
    <w:p>
      <w:pPr>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efforts to cause such Exchange Offer Registration Statement to be declared effective by the Commission on or prior to 240 days after the Closing Date (such 240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being the “</w:t>
      </w:r>
      <w:r>
        <w:rPr>
          <w:rFonts w:ascii="Arial" w:cs="Arial" w:eastAsia="Arial" w:hAnsi="Arial"/>
          <w:sz w:val="16"/>
          <w:szCs w:val="16"/>
          <w:b w:val="1"/>
          <w:bCs w:val="1"/>
          <w:u w:val="single" w:color="auto"/>
          <w:color w:val="auto"/>
        </w:rPr>
        <w:t>Exchange Offer Effectiveness Deadline</w:t>
      </w:r>
      <w:r>
        <w:rPr>
          <w:rFonts w:ascii="Arial" w:cs="Arial" w:eastAsia="Arial" w:hAnsi="Arial"/>
          <w:sz w:val="16"/>
          <w:szCs w:val="16"/>
          <w:color w:val="auto"/>
        </w:rPr>
        <w:t>”), (iii) in connection with the foregoing, (A) file all pre-effective amendments to such Exchange Offer Registration Statement as may be necessary in order to cause it to become effective, (B) file, if applicable, a post-effective amendment to such Exchange Offer Registration Statement pursuant to Rule 430A under the Act and (C) use all commercially reasonable efforts to cause all necessary filings, if any, in connection with the registration and qualification of the Additional Exchange Notes to be made under the Blue Sky laws of such jurisdictions as are necessary to permit Consummation of the Exchange Offer, and (iv) upon the effectiveness of such Exchange Offer Registration Statement, commence and Consummate the Exchange Offer. The Exchange Offer shall be on the appropriate form permitting (i) registration of the Additional Exchange Notes to be offered in exchange for the Additional Notes that are Transfer Restricted Securities and (ii) resales of Additional Exchange Notes by Broker-Dealers that tendered Additional Notes into the Exchange Offer that such Broker-Dealer acquired for its own account as a result of market making activities or other trading activities (other than Additional Notes acquired directly from the Issuers or any of their respective Affiliates) as contemplated by Section 3(c) below.</w:t>
      </w:r>
    </w:p>
    <w:p>
      <w:pPr>
        <w:spacing w:after="0" w:line="170" w:lineRule="exact"/>
        <w:rPr>
          <w:sz w:val="20"/>
          <w:szCs w:val="20"/>
          <w:color w:val="auto"/>
        </w:rPr>
      </w:pPr>
    </w:p>
    <w:p>
      <w:pPr>
        <w:ind w:firstLine="464"/>
        <w:spacing w:after="0" w:line="268" w:lineRule="auto"/>
        <w:tabs>
          <w:tab w:leader="none" w:pos="702"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Issuers and the Guarantors shall use all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period be less than 20 Business Days. The Issuers and the Guarantors shall cause the Exchange Offer to comply with all applicable federal and state securities laws. No securities other than the Additional Exchange Notes shall be included in the Exchange Offer Registration Statement. The Issuers and the Guarantors shall use all commercially reasonable efforts to cause the Exchange Offer to be Consummated not later than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Exchange Offer Registration Statement is declared effective, or, if later,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Exchange Offer expires (such applicable deadline being the “</w:t>
      </w:r>
      <w:r>
        <w:rPr>
          <w:rFonts w:ascii="Arial" w:cs="Arial" w:eastAsia="Arial" w:hAnsi="Arial"/>
          <w:sz w:val="16"/>
          <w:szCs w:val="16"/>
          <w:b w:val="1"/>
          <w:bCs w:val="1"/>
          <w:u w:val="single" w:color="auto"/>
          <w:color w:val="auto"/>
        </w:rPr>
        <w:t>Consummation Deadline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464"/>
        <w:spacing w:after="0" w:line="291"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Additional Notes acquired directly from the Issuers or any Affiliate of the Issuers),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“Plan of Distribution” shall not name any such Broker-Dealer or disclose the amount of Transfer Restricted Securities held by any such Broker-Dealer, except to the extent required by the Commission.</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Because such Broker-Dealer may be deemed to be an “underwriter” within the meaning of the Act and must, therefore, deliver a prospectus meeting the requirements of the Act in connection with its initial sale of any Additional Exchange Notes received by such Broker-Dealer in the Exchange Offer, the Issuers and Guarantors shall permit the use of the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07" w:right="259" w:bottom="1440" w:gutter="0" w:footer="0" w:header="0"/>
        </w:sectPr>
      </w:pPr>
    </w:p>
    <w:bookmarkStart w:id="16" w:name="page17"/>
    <w:bookmarkEnd w:id="16"/>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contained in the Exchange Offer Registration Statement by such Broker-Dealer to satisfy such prospectus delivery requirement. To the extent necessary to ensure that the Prospectus contained in the Exchange Offer Registration Statement is available for sales of Additional Exchange Notes by Broker-Dealers, the Issuers and the Guarantors agree to use all commercially reasonable efforts to keep the Exchange Offer Registration Statement continuously effective, supplemented, amended and current as required by and subject to (i) the provisions of Section 6(a) and (c) hereof and (ii) any applicable Suspension Period, and in conformity with the requirements of this Agreement, the Act and the policies, rules and regulations of the Commission as announced from time to time, for a period of 180 days from the Consummation Deadline or such shorter period as will terminate when all Transfer Restricted Securities covered by such Registration Statement have been sold pursuant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Exchange Offer Registration Statement ceases to be effective during any Suspension Period, such 180-day period shall be extended by the number of days such Suspension Period is in effect. The Issuers and the Guarantors shall provide sufficient copies of the latest version of such Prospectus to such Broker-Dealers, promptly upon request, and in no event later than two Business Days after such request, at any time during such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SHELF REGISTRATION</w:t>
      </w:r>
    </w:p>
    <w:p>
      <w:pPr>
        <w:spacing w:after="0" w:line="96" w:lineRule="exact"/>
        <w:rPr>
          <w:sz w:val="20"/>
          <w:szCs w:val="20"/>
          <w:color w:val="auto"/>
        </w:rPr>
      </w:pPr>
    </w:p>
    <w:p>
      <w:pPr>
        <w:ind w:firstLine="464"/>
        <w:spacing w:after="0" w:line="290"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If (i) the Exchange Offer is not permitted by applicable law or Commission policy or (ii) any Holder of Transfer Restricted Securities shall notify the Issuers within 20 Business Days following the Consummation Deadline that (A) such Holder was prohibited by law or Commission policy from participating in the Exchange Offer, (B) such Holder may not resell the Additional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Additional Notes acquired directly from the Issuers or any of their respective Affiliates ((A) all Holders in the case of clause (i) above and (B) each such Holder described in clause (ii) above shall hereinafter be referred to as a “</w:t>
      </w:r>
      <w:r>
        <w:rPr>
          <w:rFonts w:ascii="Arial" w:cs="Arial" w:eastAsia="Arial" w:hAnsi="Arial"/>
          <w:sz w:val="16"/>
          <w:szCs w:val="16"/>
          <w:b w:val="1"/>
          <w:bCs w:val="1"/>
          <w:u w:val="single" w:color="auto"/>
          <w:color w:val="auto"/>
        </w:rPr>
        <w:t>Shelf Holder</w:t>
      </w:r>
      <w:r>
        <w:rPr>
          <w:rFonts w:ascii="Arial" w:cs="Arial" w:eastAsia="Arial" w:hAnsi="Arial"/>
          <w:sz w:val="16"/>
          <w:szCs w:val="16"/>
          <w:color w:val="auto"/>
        </w:rPr>
        <w:t>”), then the Issuers and the Guarantors shall use all commercially reasonable efforts to:</w:t>
      </w:r>
    </w:p>
    <w:p>
      <w:pPr>
        <w:spacing w:after="0" w:line="37"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cause to be filed, on or prior to 30 days after the earlier of (i) the date on which the Issuers determine that the Exchange Offer Registration Statement cannot be filed as a result of clause (a)(i) above and (ii) the date on which the Issuers receive the notice specified in clause (a)(ii) above,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Issuers and Guarantors shall not be required to file a Shelf Registration Statement prior to the date that is 150 days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(such applicable filing date, the “</w:t>
      </w: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 shelf registration statement pursuant to Rule 415 under the Act (which may be an amendment to the Exchange Offer Registration Statement, including the related Prospectus included therein, all amendments and supplements thereto (including post-effective amendments) and all exhibits and material incorporated by reference therein (the “</w:t>
      </w: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relating to all Transfer Restricted Securities, and</w:t>
      </w:r>
    </w:p>
    <w:p>
      <w:pPr>
        <w:spacing w:after="0" w:line="66" w:lineRule="exact"/>
        <w:rPr>
          <w:rFonts w:ascii="Arial" w:cs="Arial" w:eastAsia="Arial" w:hAnsi="Arial"/>
          <w:sz w:val="18"/>
          <w:szCs w:val="18"/>
          <w:color w:val="auto"/>
        </w:rPr>
      </w:pPr>
    </w:p>
    <w:p>
      <w:pPr>
        <w:ind w:left="460" w:right="460" w:firstLine="443"/>
        <w:spacing w:after="0" w:line="304" w:lineRule="auto"/>
        <w:tabs>
          <w:tab w:leader="none" w:pos="1147" w:val="left"/>
        </w:tabs>
        <w:numPr>
          <w:ilvl w:val="1"/>
          <w:numId w:val="7"/>
        </w:numPr>
        <w:rPr>
          <w:rFonts w:ascii="Arial" w:cs="Arial" w:eastAsia="Arial" w:hAnsi="Arial"/>
          <w:sz w:val="18"/>
          <w:szCs w:val="18"/>
          <w:color w:val="auto"/>
        </w:rPr>
      </w:pPr>
      <w:r>
        <w:rPr>
          <w:rFonts w:ascii="Arial" w:cs="Arial" w:eastAsia="Arial" w:hAnsi="Arial"/>
          <w:sz w:val="18"/>
          <w:szCs w:val="18"/>
          <w:color w:val="auto"/>
        </w:rPr>
        <w:t>cause such Shelf Registration Statement to become effective on or prior to 90 days after the Shelf Filing Deadline for the Shelf Registration Statement (such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the “</w:t>
      </w: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 w:name="page18"/>
    <w:bookmarkEnd w:id="17"/>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after the Issuers and Guarantors have filed an Exchange Offer Registration Statement that satisfies the requirements of Section 3(a) above, the Issuers and Guarantors are required to file and make effective a Shelf Registration Statement solely because the Exchange Offer is not permitted under applicable federal law (i.e., clause (a)(i) above), then the filing of the Exchange Offer Registration Statement shall be deemed to satisfy the requirements of clause (x)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such event, the Issuers and Guarantors shall remain obligated to meet the Shelf Effectiveness Deadline set forth in clause (y).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Issuers and the Guarantors shall use all commercially reasonable efforts to keep any Shelf Registration Statement required by this Section 4(a) continuously effective, supplemented, amended and current as required by and subject to (i) the provisions of Sections 6(b) and (c) hereof and (ii) any applicable Suspension Period, and in conformity with the requirements of this Agreement, the Act and the policies, rules and regulations of the Commission as announced from time to time, for a period of at least two years, or one year if such Shelf Registration Statement is filed at the request of a Holder or Holders, (in each case, as such time may be extended pursuant to Section 6(d) hereof) following the Closing Date, or such shorter period as will terminate when all Transfer Restricted Securities covered by such Shelf Registration Statement have been sold pursuant thereto or when all Additional Notes cease to be Transfer Restricted Securities.</w:t>
      </w:r>
    </w:p>
    <w:p>
      <w:pPr>
        <w:spacing w:after="0" w:line="37" w:lineRule="exact"/>
        <w:rPr>
          <w:sz w:val="20"/>
          <w:szCs w:val="20"/>
          <w:color w:val="auto"/>
        </w:rPr>
      </w:pPr>
    </w:p>
    <w:p>
      <w:pPr>
        <w:ind w:firstLine="464"/>
        <w:spacing w:after="0" w:line="289"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Provision by Holders of Certain Information in Connection with the Shelf Registration Statement</w:t>
      </w:r>
      <w:r>
        <w:rPr>
          <w:rFonts w:ascii="Arial" w:cs="Arial" w:eastAsia="Arial" w:hAnsi="Arial"/>
          <w:sz w:val="16"/>
          <w:szCs w:val="16"/>
          <w:color w:val="auto"/>
        </w:rPr>
        <w:t>. No Holder of Transfer Restricted Securities may include any of its Transfer Restricted Securities in any Shelf Registration Statement pursuant to this Agreement unless and until such Holder furnishes to the Issuers in writing, within 15 Business Days after receipt of a request therefor, the information required by Item 507 or 508 of Regulation S-K, as applicable, of the Act or other information reasonably requested by the Issuers and required by Regulation S-K of the Act in order to fulfill their obligations hereunder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as requested by the Commission or as required to be disclosed in order to make the information previously furnished to the Issuers by such Holder not materially misleading.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LIQUIDATED DAMAGES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(i) any Registration Statement required by this Agreement is not filed with the Commission on or prior to the applicable Filing Deadline, (ii) any such Registration Statement has not been declared effective by the Commission on or prior to the applicable Effectiveness Deadline, (iii) the Exchange Offer has not been Consummated on or prior to the Consummation Deadline or (iv) any Registration Statement required by this Agreement is filed and declared effective but shall thereafter cease to be effective or fail to be usable for its intended purpose, except during any Suspension Period, without being succeeded immediately by a post-effective amendment to such Registration Statement or another Registration Statement that cures such failure and that is itself declared effective immediately (each such event referred to in clauses (i)</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 w:name="page19"/>
    <w:bookmarkEnd w:id="18"/>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through (iv) of this Section 5, a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Registration Default</w:t>
      </w:r>
      <w:r>
        <w:rPr>
          <w:rFonts w:ascii="Arial" w:cs="Arial" w:eastAsia="Arial" w:hAnsi="Arial"/>
          <w:sz w:val="15"/>
          <w:szCs w:val="15"/>
          <w:b w:val="1"/>
          <w:bCs w:val="1"/>
          <w:color w:val="auto"/>
        </w:rPr>
        <w:t>”</w:t>
      </w:r>
      <w:r>
        <w:rPr>
          <w:rFonts w:ascii="Arial" w:cs="Arial" w:eastAsia="Arial" w:hAnsi="Arial"/>
          <w:sz w:val="15"/>
          <w:szCs w:val="15"/>
          <w:color w:val="auto"/>
        </w:rPr>
        <w:t xml:space="preserve">), then the Issuers and the Guarantors hereby jointly and severally agree to pay to each Holder of Transfer Restricted Securities affected thereby liquidated damages in an amount equal to $0.05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$0.05 per week per $1,000 in principal amount of Transfer Restricted Securities with respect to each subsequent 90-day period until all Registration Defaults have been cured, up to a maximum amount of liquidated damages of $0.50 per week per $1,000 in principal amount of Transfer Restricted Securities;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Issuers and the Guarantors shall in no event be required to pay liquidated damages for more than one Registration Default at any given time. Such interest is payable in addition to any other interest payable from time to time with respect to the Transfer Restricted Securities. Notwithstanding anything to the contrary set forth herein, (A) upon the filing of the Exchange Offer Registration Statement (and/or, if applicable, the Shelf Registration Statement), in the case of (i) above, (B) upon the effectiveness of the Exchange Offer Registration Statement (and/or, if applicable, the Shelf Registration Statement), in the case of (ii) above, (C) upon Consummation of the Exchange Offer, in the case of (iii) above, or (D)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w:t>
      </w:r>
    </w:p>
    <w:p>
      <w:pPr>
        <w:spacing w:after="0" w:line="1" w:lineRule="exact"/>
        <w:rPr>
          <w:sz w:val="20"/>
          <w:szCs w:val="20"/>
          <w:color w:val="auto"/>
        </w:rPr>
      </w:pPr>
    </w:p>
    <w:p>
      <w:pPr>
        <w:ind w:right="360" w:firstLine="8"/>
        <w:spacing w:after="0" w:line="261" w:lineRule="auto"/>
        <w:tabs>
          <w:tab w:leader="none" w:pos="297" w:val="left"/>
        </w:tabs>
        <w:numPr>
          <w:ilvl w:val="0"/>
          <w:numId w:val="9"/>
        </w:numPr>
        <w:rPr>
          <w:rFonts w:ascii="Arial" w:cs="Arial" w:eastAsia="Arial" w:hAnsi="Arial"/>
          <w:sz w:val="18"/>
          <w:szCs w:val="18"/>
          <w:color w:val="auto"/>
        </w:rPr>
      </w:pPr>
      <w:r>
        <w:rPr>
          <w:rFonts w:ascii="Arial" w:cs="Arial" w:eastAsia="Arial" w:hAnsi="Arial"/>
          <w:sz w:val="18"/>
          <w:szCs w:val="18"/>
          <w:color w:val="auto"/>
        </w:rPr>
        <w:t>above, the liquidated damages payable with respect to the Transfer Restricted Securities as a result of such clause (i), (ii), (iii) or (iv), as applicable, shall cease to accrue.</w:t>
      </w:r>
    </w:p>
    <w:p>
      <w:pPr>
        <w:spacing w:after="0" w:line="138" w:lineRule="exact"/>
        <w:rPr>
          <w:sz w:val="20"/>
          <w:szCs w:val="20"/>
          <w:color w:val="auto"/>
        </w:rPr>
      </w:pPr>
    </w:p>
    <w:p>
      <w:pPr>
        <w:jc w:val="both"/>
        <w:ind w:right="440" w:firstLine="456"/>
        <w:spacing w:after="0" w:line="323" w:lineRule="auto"/>
        <w:rPr>
          <w:sz w:val="20"/>
          <w:szCs w:val="20"/>
          <w:color w:val="auto"/>
        </w:rPr>
      </w:pPr>
      <w:r>
        <w:rPr>
          <w:rFonts w:ascii="Arial" w:cs="Arial" w:eastAsia="Arial" w:hAnsi="Arial"/>
          <w:sz w:val="15"/>
          <w:szCs w:val="15"/>
          <w:color w:val="auto"/>
        </w:rPr>
        <w:t>All accrued liquidated damages shall be paid to the Holders entitled thereto, in the manner provided for with respect to the payment of interest in the Indenture, on each Interest Payment Date (as defined in the Notes), as more fully set forth in the Indenture and the Notes. Notwithstanding the fact that any securities for which liquidated damages are due cease to be Transfer Restricted Securities, all obligations of the Issuers and the Guarantors to pay liquidated damages with respect to securities shall survive until such time as such obligations with respect to such securities shall have been satisfied in full.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REGISTRATION PROCEDURES</w:t>
      </w:r>
    </w:p>
    <w:p>
      <w:pPr>
        <w:spacing w:after="0" w:line="96" w:lineRule="exact"/>
        <w:rPr>
          <w:sz w:val="20"/>
          <w:szCs w:val="20"/>
          <w:color w:val="auto"/>
        </w:rPr>
      </w:pPr>
    </w:p>
    <w:p>
      <w:pPr>
        <w:ind w:right="140" w:firstLine="464"/>
        <w:spacing w:after="0" w:line="254"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In connection with the Exchange Offer, each Holder (if applicable) shall comply with clause (z)(ii) below and the Issuers and the Guarantors shall (x) comply with all applicable provisions of Section 6(c) below, (y) use all commercially reasonable efforts to effect such exchange and to permit the resale of Additional Exchange Notes by Broker-Dealers that tendered Additional Notes into the Exchange Offer that such Broker-Dealer acquired for its own account as a result of its market making activities or other trading activities (other than Additional Notes acquired directly from the Issuers or any of their respective Affiliates) being sold in accordance with the intended method or methods of distribution thereof, and (z) comply with all of the following provisions:</w:t>
      </w:r>
    </w:p>
    <w:p>
      <w:pPr>
        <w:spacing w:after="0" w:line="63" w:lineRule="exact"/>
        <w:rPr>
          <w:rFonts w:ascii="Arial" w:cs="Arial" w:eastAsia="Arial" w:hAnsi="Arial"/>
          <w:sz w:val="18"/>
          <w:szCs w:val="18"/>
          <w:color w:val="auto"/>
        </w:rPr>
      </w:pPr>
    </w:p>
    <w:p>
      <w:pPr>
        <w:ind w:left="460" w:firstLine="443"/>
        <w:spacing w:after="0" w:line="268"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following the date hereof there has been announced a change in Commission policy with respect to exchange offers such as the Exchange Offer that, in the reasonable opinion of counsel to the Issuers, raises a substantial question as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the Exchange Offer is permitted by applicable federal law, the Issuers and the Guarantors hereby agree to (A) seek a no-action letter or other favorable decision from the Commission allowing the Issuers and the Guarantors to Consummate an Exchange Offer for such Transfer Restricted Securities or (B) file, in accordance with Section 4(a) hereof, a Shelf Registration Statement to permit the registration and/or resale of the Transfer Restricted Securities that would otherwise be covered by the Exchange Offer Registration Statement but for the announcement of a change in Commission policy. In the case of clause (A) above, the Issuers and the Guarantors hereby agree to use all commercially reasonable efforts to pursue the issuance of such a decision to the Commission staff level. In connection with the foregoing, the Issuers and the Guarantors hereby agree to take all such other commercially reasonable actions as may be requested by the Commission or otherwise required in connection with the issuance of such decision, including, without limitation, (A) participating in telephonic conferences with the Commission, (B) delivering to the Commission staff an analysis prepared by counsel to the Issuers setting forth the legal bases, if any, upon which such counsel has concluded that such an Exchange Offer should be permitted and (C) diligently pursuing a resolution (which need not be favorable) by the Commission staff.</w:t>
      </w:r>
    </w:p>
    <w:p>
      <w:pPr>
        <w:spacing w:after="0" w:line="42" w:lineRule="exact"/>
        <w:rPr>
          <w:sz w:val="20"/>
          <w:szCs w:val="20"/>
          <w:color w:val="auto"/>
        </w:rPr>
      </w:pPr>
    </w:p>
    <w:p>
      <w:pPr>
        <w:ind w:firstLine="443"/>
        <w:spacing w:after="0" w:line="285" w:lineRule="auto"/>
        <w:tabs>
          <w:tab w:leader="none" w:pos="6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As a condition to its participation in the Exchange Offer, each Holder of Transfer Restricted Securities (including, without limitation, any Holder who is a Broker-Dealer) shall furnish, upon the request of the Issuers, prior to the Consummation of the Exchange Offer, a written representation to the Issuers and the Guarantors (which may be contained in the letter of transmittal contemplated by the Exchange Offer Registration Statement) to the effect that (A) it is not an Affiliate of either of the Issuers, (B) it is not engaged in, and does not intend to engage in, and has no arrangement or understanding with any person to participate in, a distribution of the Additional Exchange Notes to be issued in the Exchange Offer, (C) it is acquiring the Additional Exchange Notes in its ordinary course of business and (D) only if such Holder is a Broker-Dealer that will receive Additional Exchange Notes in exchange for Additional Notes in the Exchange Offer that such Broker-Dealer acquired for its own account as a result of market-making activities or other trading activities, it shall deliver the Prospectus included in the Exchange Offer Registration Statement, as required by law, in connection with any sale of such Additional Exchange Notes. As a condition to its participation in the Exchange Offer each Holder using the Exchange Offer to participate in a distribution of the Additional Exchange Notes shall acknowledge and agree that, if the resales are of Additional Exchange Notes obtained by such Holder in exchange for Additional Notes acquired directly from the Issuers or an Affiliate thereof, it (1) could not, under Commission policy as in effect on the date of this Agreement, rely on the position of the Commission enunciated in </w:t>
      </w:r>
      <w:r>
        <w:rPr>
          <w:rFonts w:ascii="Arial" w:cs="Arial" w:eastAsia="Arial" w:hAnsi="Arial"/>
          <w:sz w:val="16"/>
          <w:szCs w:val="16"/>
          <w:u w:val="single" w:color="auto"/>
          <w:color w:val="auto"/>
        </w:rPr>
        <w:t>Exxon Capital Holdings Corporation</w:t>
      </w:r>
      <w:r>
        <w:rPr>
          <w:rFonts w:ascii="Arial" w:cs="Arial" w:eastAsia="Arial" w:hAnsi="Arial"/>
          <w:sz w:val="16"/>
          <w:szCs w:val="16"/>
          <w:color w:val="auto"/>
        </w:rPr>
        <w:t xml:space="preserve"> (available May 13, 1988) and </w:t>
      </w:r>
      <w:r>
        <w:rPr>
          <w:rFonts w:ascii="Arial" w:cs="Arial" w:eastAsia="Arial" w:hAnsi="Arial"/>
          <w:sz w:val="16"/>
          <w:szCs w:val="16"/>
          <w:u w:val="single" w:color="auto"/>
          <w:color w:val="auto"/>
        </w:rPr>
        <w:t>Morgan Stanley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 Inc.</w:t>
      </w:r>
      <w:r>
        <w:rPr>
          <w:rFonts w:ascii="Arial" w:cs="Arial" w:eastAsia="Arial" w:hAnsi="Arial"/>
          <w:sz w:val="16"/>
          <w:szCs w:val="16"/>
          <w:color w:val="auto"/>
        </w:rPr>
        <w:t xml:space="preserve"> (available June 5, 1991) as interpreted in the Commission’s letter to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dated July 2, 1993, and, if applicable, any no-action letter obtained pursuant to clause (i) 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of Regulation S-K, as applicable, of the Act.</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20" w:name="page21"/>
    <w:bookmarkEnd w:id="20"/>
    <w:p>
      <w:pPr>
        <w:ind w:left="440" w:right="20" w:firstLine="443"/>
        <w:spacing w:after="0" w:line="287" w:lineRule="auto"/>
        <w:tabs>
          <w:tab w:leader="none" w:pos="1185"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extent required by Commission policies and procedures, prior to effectiveness of the Exchange Offer Registration Statement, the Issuers and the Guarantors shall provide a supplemental letter to the Commission (A) stating that the Issuers and the Guarantors are registering the Exchange Offer in reliance on the position of the Commission enunciated in </w:t>
      </w:r>
      <w:r>
        <w:rPr>
          <w:rFonts w:ascii="Arial" w:cs="Arial" w:eastAsia="Arial" w:hAnsi="Arial"/>
          <w:sz w:val="16"/>
          <w:szCs w:val="16"/>
          <w:u w:val="single" w:color="auto"/>
          <w:color w:val="auto"/>
        </w:rPr>
        <w:t>Exxon Capital Holdings Corporation</w:t>
      </w:r>
      <w:r>
        <w:rPr>
          <w:rFonts w:ascii="Arial" w:cs="Arial" w:eastAsia="Arial" w:hAnsi="Arial"/>
          <w:sz w:val="16"/>
          <w:szCs w:val="16"/>
          <w:color w:val="auto"/>
        </w:rPr>
        <w:t xml:space="preserve"> (available May 13, 1988) and </w:t>
      </w:r>
      <w:r>
        <w:rPr>
          <w:rFonts w:ascii="Arial" w:cs="Arial" w:eastAsia="Arial" w:hAnsi="Arial"/>
          <w:sz w:val="16"/>
          <w:szCs w:val="16"/>
          <w:u w:val="single" w:color="auto"/>
          <w:color w:val="auto"/>
        </w:rPr>
        <w:t>Morgan Stanley and Co.,</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w:t>
      </w:r>
      <w:r>
        <w:rPr>
          <w:rFonts w:ascii="Arial" w:cs="Arial" w:eastAsia="Arial" w:hAnsi="Arial"/>
          <w:sz w:val="16"/>
          <w:szCs w:val="16"/>
          <w:color w:val="auto"/>
        </w:rPr>
        <w:t xml:space="preserve"> (available June 5, 1991) as interpreted in the Commission’s letter to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dated July 2, 1993, and, if applicable, any no-action letter obtained pursuant to clause (i) above, (B) including a representation that neither of the Issuers nor any Guarantor has entered into any arrangement or understanding with any Person to distribute the Additional Exchange Notes to be received in the Exchange Offer and that, to the best of each Issuer’s and each Guarantor’s information and belief, each Holder participating in the Exchange Offer is acquiring the Additional Exchange Notes in its ordinary course of business and has no arrangement or understanding with any Person to participate in the distribution of the Additional Exchange Notes received in the Exchange Offer and (C) making any other commercially reasonable undertaking or representation required by the Commission as set forth in any no-action letter obtained pursuant to clause (i) above, if applicable.</w:t>
      </w:r>
    </w:p>
    <w:p>
      <w:pPr>
        <w:spacing w:after="0" w:line="122" w:lineRule="exact"/>
        <w:rPr>
          <w:rFonts w:ascii="Arial" w:cs="Arial" w:eastAsia="Arial" w:hAnsi="Arial"/>
          <w:sz w:val="16"/>
          <w:szCs w:val="16"/>
          <w:color w:val="auto"/>
        </w:rPr>
      </w:pPr>
    </w:p>
    <w:p>
      <w:pPr>
        <w:ind w:left="700" w:hanging="2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In connection with the Shelf Registration Statement, the Issuers and the Guarantors shall:</w:t>
      </w:r>
    </w:p>
    <w:p>
      <w:pPr>
        <w:spacing w:after="0" w:line="90" w:lineRule="exact"/>
        <w:rPr>
          <w:rFonts w:ascii="Arial" w:cs="Arial" w:eastAsia="Arial" w:hAnsi="Arial"/>
          <w:sz w:val="18"/>
          <w:szCs w:val="18"/>
          <w:color w:val="auto"/>
        </w:rPr>
      </w:pPr>
    </w:p>
    <w:p>
      <w:pPr>
        <w:ind w:left="440" w:right="160" w:firstLine="443"/>
        <w:spacing w:after="0" w:line="254"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comply with all the provisions of Section 6(c) below and use all commercially reasonable efforts to effect such registration to permit the sale of the Transfer Restricted Securities being sold in accordance with the intended method or methods of distribution thereof (as indicated in the information furnished to the Issuers pursuant to Section 4(b) hereof), and pursuant thereto the Issuers and the Guarantors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 and</w:t>
      </w:r>
    </w:p>
    <w:p>
      <w:pPr>
        <w:spacing w:after="0" w:line="63" w:lineRule="exact"/>
        <w:rPr>
          <w:sz w:val="20"/>
          <w:szCs w:val="20"/>
          <w:color w:val="auto"/>
        </w:rPr>
      </w:pPr>
    </w:p>
    <w:p>
      <w:pPr>
        <w:ind w:left="440" w:firstLine="443"/>
        <w:spacing w:after="0" w:line="255" w:lineRule="auto"/>
        <w:tabs>
          <w:tab w:leader="none" w:pos="11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 upon request, to any Holder or purchaser of Additional Notes covered by any Shelf Registration Statement contemplated by this Agreement, Additional Exchange Notes having an aggregate principal amount equal to the aggregate principal amount of Additional Notes sold pursuant to the Shelf Registration Statement and surrendered to the Issuers for cancellation; the Issuers shall register Additional Exchange Notes on the Shelf Registration Statement for this purpose and issue the Additional Exchange Notes to the purchaser(s) of securities subject to the Shelf Registration Statement in the names as such purchaser(s) shall designate.</w:t>
      </w:r>
    </w:p>
    <w:p>
      <w:pPr>
        <w:spacing w:after="0" w:line="142" w:lineRule="exact"/>
        <w:rPr>
          <w:rFonts w:ascii="Arial" w:cs="Arial" w:eastAsia="Arial" w:hAnsi="Arial"/>
          <w:sz w:val="18"/>
          <w:szCs w:val="18"/>
          <w:color w:val="auto"/>
        </w:rPr>
      </w:pPr>
    </w:p>
    <w:p>
      <w:pPr>
        <w:ind w:left="-20" w:right="740" w:firstLine="464"/>
        <w:spacing w:after="0" w:line="268"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connection with any Registration Statement and any related Prospectus required by this Agreement, the Issuers and the Guarantors shall:</w:t>
      </w:r>
    </w:p>
    <w:p>
      <w:pPr>
        <w:spacing w:after="0" w:line="50" w:lineRule="exact"/>
        <w:rPr>
          <w:rFonts w:ascii="Arial" w:cs="Arial" w:eastAsia="Arial" w:hAnsi="Arial"/>
          <w:sz w:val="18"/>
          <w:szCs w:val="18"/>
          <w:color w:val="auto"/>
        </w:rPr>
      </w:pPr>
    </w:p>
    <w:p>
      <w:pPr>
        <w:ind w:left="440" w:right="160" w:firstLine="443"/>
        <w:spacing w:after="0" w:line="268"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use all commercially reasonable efforts to keep such Registration Statement continuously effective and provide all requisite financial statements for the period specified in Section 3 or 4 of this Agreement, as applicable. Upon the occurrence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21" w:name="page22"/>
    <w:bookmarkEnd w:id="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event that would cause any such Registration Statement or Prospectus contained therein (A) to contain an untrue statement of material fact or omit to state any material fact necessary to make the statements therein (and in the case of the Prospectus or any supplement thereto, in light of the circumstances under which they were made) not misleading or (B) not to be effective and usable for resale of Transfer Restricted Securities during the period required by this Agreement, the Issuers and the Guarantors shall file as soon as practicable, subject to any applicable Suspension Period, an appropriate amendment to such Registration Statement curing such defect, and, if Commission review is required, use all commercially reasonable efforts to cause such amendment to be declared effective as soon as practicable.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Issuers and the Guarantors shall use all commercially reasonable efforts to obtain the withdrawal or lifting of such order at the earliest possible time;</w:t>
      </w:r>
    </w:p>
    <w:p>
      <w:pPr>
        <w:spacing w:after="0" w:line="39" w:lineRule="exact"/>
        <w:rPr>
          <w:sz w:val="20"/>
          <w:szCs w:val="20"/>
          <w:color w:val="auto"/>
        </w:rPr>
      </w:pPr>
    </w:p>
    <w:p>
      <w:pPr>
        <w:ind w:right="240" w:firstLine="438"/>
        <w:spacing w:after="0" w:line="302" w:lineRule="auto"/>
        <w:rPr>
          <w:sz w:val="20"/>
          <w:szCs w:val="20"/>
          <w:color w:val="auto"/>
        </w:rPr>
      </w:pPr>
      <w:r>
        <w:rPr>
          <w:rFonts w:ascii="Arial" w:cs="Arial" w:eastAsia="Arial" w:hAnsi="Arial"/>
          <w:sz w:val="15"/>
          <w:szCs w:val="15"/>
          <w:color w:val="auto"/>
        </w:rPr>
        <w:t>(ii)(A) prepare and file with the Commission such amendments and post-effective amendments to the applicable Registration Statement as may be necessary to keep such Registration Statement effective for the applicable period set forth in Section 3 or 4 hereof, as the case may be, subject to any applicable Suspension Period; (B) cause the Prospectus to be supplemented by any required Prospectus supplement, and as so supplemented to be filed pursuant to Rule 424 under the Act, and to comply fully with Rules 424, 430A, 430B and 462, as applicable, under the Act in a timely manner; and</w:t>
      </w:r>
    </w:p>
    <w:p>
      <w:pPr>
        <w:spacing w:after="0" w:line="3" w:lineRule="exact"/>
        <w:rPr>
          <w:sz w:val="20"/>
          <w:szCs w:val="20"/>
          <w:color w:val="auto"/>
        </w:rPr>
      </w:pPr>
    </w:p>
    <w:p>
      <w:pPr>
        <w:ind w:right="240" w:firstLine="4"/>
        <w:spacing w:after="0" w:line="255"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63" w:lineRule="exact"/>
        <w:rPr>
          <w:rFonts w:ascii="Arial" w:cs="Arial" w:eastAsia="Arial" w:hAnsi="Arial"/>
          <w:sz w:val="18"/>
          <w:szCs w:val="18"/>
          <w:color w:val="auto"/>
        </w:rPr>
      </w:pPr>
    </w:p>
    <w:p>
      <w:pPr>
        <w:ind w:right="40" w:firstLine="443"/>
        <w:spacing w:after="0" w:line="287" w:lineRule="auto"/>
        <w:tabs>
          <w:tab w:leader="none" w:pos="7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(and in the case of the Prospectus or any supplement thereto, in light of the circumstances under which they were made) not misleading, or that requires the making of any additions to or changes in</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22" w:name="page23"/>
    <w:bookmarkEnd w:id="22"/>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Prospectus in order to make the statements therein, in the light of the circumstances under which they were made, not misleading and (E) of any Suspension Period;</w:t>
      </w:r>
    </w:p>
    <w:p>
      <w:pPr>
        <w:spacing w:after="0" w:line="51" w:lineRule="exact"/>
        <w:rPr>
          <w:sz w:val="20"/>
          <w:szCs w:val="20"/>
          <w:color w:val="auto"/>
        </w:rPr>
      </w:pPr>
    </w:p>
    <w:p>
      <w:pPr>
        <w:ind w:right="60" w:firstLine="443"/>
        <w:spacing w:after="0" w:line="294" w:lineRule="auto"/>
        <w:tabs>
          <w:tab w:leader="none" w:pos="7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Section 6(c)(i), if any fact or event contemplated by Section 6(c)(iii)(D) above shall exist or have occurred, prepare as soon as practicable, subject to any applicable Suspension Period,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firstLine="443"/>
        <w:spacing w:after="0" w:line="286"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furnish to counsel for the Initial Purchasers provided in Section 7(b) (on behalf of the Holders) and to each Shelf Holder, in each case, in connection with such exchange or sale, if any, before filing with the Commission, copies of any Registration Statement (in the case of such counsel (on behalf of the Holders)) or of any Shelf Registration Statement (in the case of any such Shelf Holder) or any Prospectus included therein or any amendments or supplements to any such Registration Statement or Prospectus (including, upon request, all documents incorporated by reference after the initial filing of such Registration Statement), which documents will be subject to the review and comment of such counsel (on behalf of the Holders) or, if applicable, such Shelf Holders in connection with such sale, if any, for a period of at least three Business Days, and the Issuers shall reasonably consider and shall use all commercially reasonable efforts to reflect in each such document, when filed with the Commission, any such comments that such counsel (on behalf of the Holders) or, if applicable, such Shelf Holders shall reasonably propose prior to the expiration of such three Business 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Issuers need not furnish (A) any amendment or supplement to any Registration Statement that solely names a Holder as a selling securityholder therein or (B) the first filing of the Exchange Offer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Issuers shall furnish to any Shelf Holder any amendment of supplement to an effective Shelf Registration Statement that names such Shelf Holder as a selling securityholder therein;</w:t>
      </w:r>
    </w:p>
    <w:p>
      <w:pPr>
        <w:spacing w:after="0" w:line="46" w:lineRule="exact"/>
        <w:rPr>
          <w:rFonts w:ascii="Arial" w:cs="Arial" w:eastAsia="Arial" w:hAnsi="Arial"/>
          <w:sz w:val="16"/>
          <w:szCs w:val="16"/>
          <w:color w:val="auto"/>
        </w:rPr>
      </w:pPr>
    </w:p>
    <w:p>
      <w:pPr>
        <w:ind w:left="740" w:hanging="297"/>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request, promptly prior to the filing of any document filed with the Commission pursuant to the requirements of Section 13 or</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Section 15(d) of the Exchange Act that is to be incorporated by reference into a Registration Statement or Prospectus in connection with such exchange or sale, if any, provide copies of such document to counsel for the Initial Purchasers provided in Section 7(b) and, in connection with any Shelf Registration Statement, each Shelf Holder, and include such information in such document prior to the filing thereof as such counsel or such Shelf Holder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requirement shall not be applicable to any document to be filed by the Issuers in connection with their periodic reporting requirements under the Exchange Act, including with respect to reports to be filed on Form 8-K, Form 10-Q or Form 10-K;</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23" w:name="page24"/>
    <w:bookmarkEnd w:id="23"/>
    <w:p>
      <w:pPr>
        <w:ind w:firstLine="443"/>
        <w:spacing w:after="0" w:line="284" w:lineRule="auto"/>
        <w:tabs>
          <w:tab w:leader="none" w:pos="784"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available, upon reasonable request and at reasonable times, for inspection by each such Holder who would be an “underwriter” as a result of either (i) the sale by such Holder of Additional Notes covered by such Shelf Registration Statement or (ii) the sale during the period referred to in Section 3(c) above by a Broker-Dealer of Additional Exchange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Broker-Dealer shall not be deemed to be an underwriter solely as a result of it being required to deliver a Prospectus in connection with any resale of Additional Exchange Notes) and any attorney or accountant retained by any such Holder solely for the purpose of conducting a due diligence investigation in connection with such underwritten offering (collectively, the “</w:t>
      </w:r>
      <w:r>
        <w:rPr>
          <w:rFonts w:ascii="Arial" w:cs="Arial" w:eastAsia="Arial" w:hAnsi="Arial"/>
          <w:sz w:val="16"/>
          <w:szCs w:val="16"/>
          <w:b w:val="1"/>
          <w:bCs w:val="1"/>
          <w:u w:val="single" w:color="auto"/>
          <w:color w:val="auto"/>
        </w:rPr>
        <w:t>Inspectors</w:t>
      </w:r>
      <w:r>
        <w:rPr>
          <w:rFonts w:ascii="Arial" w:cs="Arial" w:eastAsia="Arial" w:hAnsi="Arial"/>
          <w:sz w:val="16"/>
          <w:szCs w:val="16"/>
          <w:color w:val="auto"/>
        </w:rPr>
        <w:t>”), at the offices where normally kept, during reasonable business hours, all financial and other records and pertinent corporate and organizational documents of the Issuers, the Guarantors and their respective subsidiaries (collectively, the “</w:t>
      </w:r>
      <w:r>
        <w:rPr>
          <w:rFonts w:ascii="Arial" w:cs="Arial" w:eastAsia="Arial" w:hAnsi="Arial"/>
          <w:sz w:val="16"/>
          <w:szCs w:val="16"/>
          <w:b w:val="1"/>
          <w:bCs w:val="1"/>
          <w:u w:val="single" w:color="auto"/>
          <w:color w:val="auto"/>
        </w:rPr>
        <w:t>Records</w:t>
      </w:r>
      <w:r>
        <w:rPr>
          <w:rFonts w:ascii="Arial" w:cs="Arial" w:eastAsia="Arial" w:hAnsi="Arial"/>
          <w:sz w:val="16"/>
          <w:szCs w:val="16"/>
          <w:color w:val="auto"/>
        </w:rPr>
        <w:t>”) as shall be reasonably necessary to enable them to exercise any applicable due diligence responsibilities, and cause the officers, directors and employees of the Issuers and their subsidiaries to supply all information, in each case, reasonably requested by any such Inspector in connection with such Registration Statement and make such representatives available for discussion with respect to customary due diligence matters. Records which the Issuers determine, in good faith, to be confidential and any Records which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or (iii) the information in such Records has been generally available to the public. Each selling Holder of such Transfer Restricted Securities and each such Broker-Dealer will be required to agree that information obtained by it as a result of such inspections shall be deemed confidential and shall not be used by it as the basis for any market transactions in the securities of the Issuers unless and until such information is made generally available to the public. Each selling Holder of such Transfer Restricted Securities and each such Broker-Dealer will be required to further agree that it will, upon learning that disclosure of such Records is sought in a court of competent jurisdiction, give notice to the Issuers and allow the Issuers at their expense to undertake appropriate action to prevent disclosure of the Records deemed confidential;</w:t>
      </w:r>
    </w:p>
    <w:p>
      <w:pPr>
        <w:spacing w:after="0" w:line="51" w:lineRule="exact"/>
        <w:rPr>
          <w:rFonts w:ascii="Arial" w:cs="Arial" w:eastAsia="Arial" w:hAnsi="Arial"/>
          <w:sz w:val="16"/>
          <w:szCs w:val="16"/>
          <w:color w:val="auto"/>
        </w:rPr>
      </w:pPr>
    </w:p>
    <w:p>
      <w:pPr>
        <w:ind w:right="80" w:firstLine="443"/>
        <w:spacing w:after="0" w:line="294"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reasonably requested by any Holders in connection with such exchange or sale, promptly include in any Registration Statement or Prospectus, pursuant to a supplement or post-effective amendment if necessary, such information as such Holders may reasonably request to have included therein that is required by the federal securities laws to be so included, including, without limitation, information relating to the “Plan of Distribution” concerning their Transfer Restricted Securities; and make all required filings of such Prospectus supplement or post-effective amendment as soon as practicable after the Issuers are notified of the matters to be included in such Prospectus supplement or post-effective amendment;</w:t>
      </w:r>
    </w:p>
    <w:p>
      <w:pPr>
        <w:spacing w:after="0" w:line="34" w:lineRule="exact"/>
        <w:rPr>
          <w:rFonts w:ascii="Arial" w:cs="Arial" w:eastAsia="Arial" w:hAnsi="Arial"/>
          <w:sz w:val="16"/>
          <w:szCs w:val="16"/>
          <w:color w:val="auto"/>
        </w:rPr>
      </w:pPr>
    </w:p>
    <w:p>
      <w:pPr>
        <w:ind w:right="40" w:firstLine="443"/>
        <w:spacing w:after="0" w:line="259" w:lineRule="auto"/>
        <w:tabs>
          <w:tab w:leader="none" w:pos="7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request, 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24" w:name="page25"/>
    <w:bookmarkEnd w:id="24"/>
    <w:p>
      <w:pPr>
        <w:ind w:right="160" w:firstLine="443"/>
        <w:spacing w:after="0" w:line="305" w:lineRule="auto"/>
        <w:tabs>
          <w:tab w:leader="none" w:pos="687" w:val="left"/>
        </w:tabs>
        <w:numPr>
          <w:ilvl w:val="1"/>
          <w:numId w:val="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upon request, deliver to each Holder without charge, as many copies of the Prospectus (including each preliminary prospectus) and any amendment or supplement thereto as such Persons reasonably may request;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copies shall only be provided to (A) Shelf Holders and</w:t>
      </w:r>
    </w:p>
    <w:p>
      <w:pPr>
        <w:ind w:right="20" w:firstLine="4"/>
        <w:spacing w:after="0" w:line="254" w:lineRule="auto"/>
        <w:tabs>
          <w:tab w:leader="none" w:pos="2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Broker-Dealers in order to permit the use of the Prospectus contained in the Exchange Offer Registration Statement by such Broker-Dealer to satisfy its prospectus delivery requirements. The Issuers and the Guarantors hereby consent to the use (in accordance with applicable law) of the Prospectus and any amendment or supplement thereto by each selling Holder in connection with the offering and the sale of the Transfer Restricted Securities covered by the Prospectus or any amendment or supplement thereto;</w:t>
      </w:r>
    </w:p>
    <w:p>
      <w:pPr>
        <w:spacing w:after="0" w:line="62" w:lineRule="exact"/>
        <w:rPr>
          <w:rFonts w:ascii="Arial" w:cs="Arial" w:eastAsia="Arial" w:hAnsi="Arial"/>
          <w:sz w:val="18"/>
          <w:szCs w:val="18"/>
          <w:color w:val="auto"/>
        </w:rPr>
      </w:pPr>
    </w:p>
    <w:p>
      <w:pPr>
        <w:ind w:firstLine="443"/>
        <w:spacing w:after="0" w:line="254" w:lineRule="auto"/>
        <w:tabs>
          <w:tab w:leader="none" w:pos="7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connection with an underwritten offering pursuant to a Shelf Registration Statement, upon the reasonable request of Holders aggregating at least 25% in aggregate principal amount of Transfer Restricted Securities covered by such Shelf Registration Statement, enter into such agreements (including underwriting agreements containing customary terms) and make such customary representations and warranties and take all such other actions in connection therewith in order to expedite or facilitate the disposition of the Transfer Restricted Securities pursuant to any Shelf Registration Statement contemplated by this Agreement in connection with any sale or resale pursuant to any applicable Shelf Registration Statement. In such connection, the Issuers and the Guarantors shall:</w:t>
      </w:r>
    </w:p>
    <w:p>
      <w:pPr>
        <w:spacing w:after="0" w:line="63" w:lineRule="exact"/>
        <w:rPr>
          <w:rFonts w:ascii="Arial" w:cs="Arial" w:eastAsia="Arial" w:hAnsi="Arial"/>
          <w:sz w:val="18"/>
          <w:szCs w:val="18"/>
          <w:color w:val="auto"/>
        </w:rPr>
      </w:pPr>
    </w:p>
    <w:p>
      <w:pPr>
        <w:ind w:left="460" w:right="140" w:firstLine="421"/>
        <w:spacing w:after="0" w:line="259" w:lineRule="auto"/>
        <w:tabs>
          <w:tab w:leader="none" w:pos="1167"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upon the request of any such Holder, furnish (or in the case of paragraphs (2) and (3) below, use all commercially reasonable efforts to cause to be furnished) to each such Holder participating in such underwritten offering, upon the effectiveness of the Shelf Registration Statement or upon the consummation of such underwritten offering, as the case may be:</w:t>
      </w:r>
    </w:p>
    <w:p>
      <w:pPr>
        <w:spacing w:after="0" w:line="59" w:lineRule="exact"/>
        <w:rPr>
          <w:rFonts w:ascii="Arial" w:cs="Arial" w:eastAsia="Arial" w:hAnsi="Arial"/>
          <w:sz w:val="18"/>
          <w:szCs w:val="18"/>
          <w:color w:val="auto"/>
        </w:rPr>
      </w:pPr>
    </w:p>
    <w:p>
      <w:pPr>
        <w:ind w:left="1040" w:right="180" w:firstLine="389"/>
        <w:spacing w:after="0" w:line="298" w:lineRule="auto"/>
        <w:tabs>
          <w:tab w:leader="none" w:pos="1686" w:val="left"/>
        </w:tabs>
        <w:numPr>
          <w:ilvl w:val="3"/>
          <w:numId w:val="20"/>
        </w:numPr>
        <w:rPr>
          <w:rFonts w:ascii="Arial" w:cs="Arial" w:eastAsia="Arial" w:hAnsi="Arial"/>
          <w:sz w:val="16"/>
          <w:szCs w:val="16"/>
          <w:color w:val="auto"/>
        </w:rPr>
      </w:pPr>
      <w:r>
        <w:rPr>
          <w:rFonts w:ascii="Arial" w:cs="Arial" w:eastAsia="Arial" w:hAnsi="Arial"/>
          <w:sz w:val="16"/>
          <w:szCs w:val="16"/>
          <w:color w:val="auto"/>
        </w:rPr>
        <w:t>a certificate, dated such applicable date, signed on behalf of each Issuer and each Guarantor by (x) the President or any Vice President of such Issuer and such Guarantor and (y) a principal financial or accounting officer of such Issuer and such Guarantor, in customary form, confirming, as of the date thereof, the matters set forth in Section 1(r), Section 5(h) and the first paragraph of Section 5 of the Purchase Agreement and such other similar matters as such Holders may reasonably request;</w:t>
      </w:r>
    </w:p>
    <w:p>
      <w:pPr>
        <w:spacing w:after="0" w:line="31" w:lineRule="exact"/>
        <w:rPr>
          <w:rFonts w:ascii="Arial" w:cs="Arial" w:eastAsia="Arial" w:hAnsi="Arial"/>
          <w:sz w:val="16"/>
          <w:szCs w:val="16"/>
          <w:color w:val="auto"/>
        </w:rPr>
      </w:pPr>
    </w:p>
    <w:p>
      <w:pPr>
        <w:ind w:left="1040" w:right="260" w:firstLine="389"/>
        <w:spacing w:after="0" w:line="291" w:lineRule="auto"/>
        <w:tabs>
          <w:tab w:leader="none" w:pos="1686" w:val="left"/>
        </w:tabs>
        <w:numPr>
          <w:ilvl w:val="3"/>
          <w:numId w:val="20"/>
        </w:numPr>
        <w:rPr>
          <w:rFonts w:ascii="Arial" w:cs="Arial" w:eastAsia="Arial" w:hAnsi="Arial"/>
          <w:sz w:val="16"/>
          <w:szCs w:val="16"/>
          <w:color w:val="auto"/>
        </w:rPr>
      </w:pPr>
      <w:r>
        <w:rPr>
          <w:rFonts w:ascii="Arial" w:cs="Arial" w:eastAsia="Arial" w:hAnsi="Arial"/>
          <w:sz w:val="16"/>
          <w:szCs w:val="16"/>
          <w:color w:val="auto"/>
        </w:rPr>
        <w:t>an opinion, dated the date of effectiveness of the Shelf Registration Statement or the date of consummation of such underwritten offering, as the case may be, of counsel for the Issuers and the Guarantors covering the matters similar to those set forth in the opinions required to be delivered pursuant to Sections 5(a)(i) and (ii) of the Purchase Agreement that are customarily provided to selling securityholders in an underwritten offering and such other matters as such Holders may reasonably request, and in any event including a statement to the effect that such counsel has participated in conferences with officers and other representatives of the Issuers and the Guarantors, representatives of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25" w:name="page26"/>
    <w:bookmarkEnd w:id="25"/>
    <w:p>
      <w:pPr>
        <w:ind w:left="10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public accountants for the Issuers and the Guarantors and have considered the matters required to be stated therein and the statements contained therein, although such counsel has not independently verified the accuracy, completeness or fairness of such statements; and that such counsel advises that, on the basis of the foregoing,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 Prospectus contained in such Registration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43" w:lineRule="exact"/>
        <w:rPr>
          <w:sz w:val="20"/>
          <w:szCs w:val="20"/>
          <w:color w:val="auto"/>
        </w:rPr>
      </w:pPr>
    </w:p>
    <w:p>
      <w:pPr>
        <w:ind w:left="1040" w:firstLine="389"/>
        <w:spacing w:after="0" w:line="294" w:lineRule="auto"/>
        <w:tabs>
          <w:tab w:leader="none" w:pos="1686" w:val="left"/>
        </w:tabs>
        <w:numPr>
          <w:ilvl w:val="2"/>
          <w:numId w:val="21"/>
        </w:numPr>
        <w:rPr>
          <w:rFonts w:ascii="Arial" w:cs="Arial" w:eastAsia="Arial" w:hAnsi="Arial"/>
          <w:sz w:val="16"/>
          <w:szCs w:val="16"/>
          <w:color w:val="auto"/>
        </w:rPr>
      </w:pPr>
      <w:r>
        <w:rPr>
          <w:rFonts w:ascii="Arial" w:cs="Arial" w:eastAsia="Arial" w:hAnsi="Arial"/>
          <w:sz w:val="16"/>
          <w:szCs w:val="16"/>
          <w:color w:val="auto"/>
        </w:rPr>
        <w:t>a customary comfort letter, dated the date of effectiveness of the Shelf Registration Statement or the date of consummation of such underwritten offering, as the case may be, from the Issuers’ independent accountants, in the customary form and covering matters of the type customarily covered in comfort letters to underwriters in connection with underwritten offerings, and affirming the matters set forth in the comfort letters delivered pursuant to Section 5(e) of the Purchase Agreement or (in the case of a person that does not satisfy the conditions for receipt) if a “cold comfort” letter specified in Statement of Auditing Standards No. 72, an “agreed-upon procedures letter”; and</w:t>
      </w:r>
    </w:p>
    <w:p>
      <w:pPr>
        <w:spacing w:after="0" w:line="34" w:lineRule="exact"/>
        <w:rPr>
          <w:rFonts w:ascii="Arial" w:cs="Arial" w:eastAsia="Arial" w:hAnsi="Arial"/>
          <w:sz w:val="16"/>
          <w:szCs w:val="16"/>
          <w:color w:val="auto"/>
        </w:rPr>
      </w:pPr>
    </w:p>
    <w:p>
      <w:pPr>
        <w:ind w:left="460" w:right="60" w:firstLine="421"/>
        <w:spacing w:after="0" w:line="259" w:lineRule="auto"/>
        <w:tabs>
          <w:tab w:leader="none" w:pos="11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deliver such other documents and certificates as may be reasonably requested by the such selling Holders to evidence compliance with the matters covered in clause (A) above and with any customary conditions contained in any agreement entered into by the Issuers and the Guarantors pursuant to this clause (xi);</w:t>
      </w:r>
    </w:p>
    <w:p>
      <w:pPr>
        <w:spacing w:after="0" w:line="59" w:lineRule="exact"/>
        <w:rPr>
          <w:rFonts w:ascii="Arial" w:cs="Arial" w:eastAsia="Arial" w:hAnsi="Arial"/>
          <w:sz w:val="18"/>
          <w:szCs w:val="18"/>
          <w:color w:val="auto"/>
        </w:rPr>
      </w:pPr>
    </w:p>
    <w:p>
      <w:pPr>
        <w:ind w:right="140" w:firstLine="443"/>
        <w:spacing w:after="0" w:line="256" w:lineRule="auto"/>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commercially reasonable acts or things necessary to enable the disposition in such jurisdictions of the Transfer Restricted Securities covered by the applicable Registration</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26" w:name="page27"/>
    <w:bookmarkEnd w:id="26"/>
    <w:p>
      <w:pPr>
        <w:jc w:val="both"/>
        <w:ind w:left="46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of the Issuers nor any Guarantor shall be required to register or qualify as a foreign corporation or broker dealer where it is not now so qualified or to take any action that would subject it to the service of process in suits, other than as to matters and transactions relating to the Registration Statement or to taxation, in any jurisdiction where it is not now so subject;</w:t>
      </w:r>
    </w:p>
    <w:p>
      <w:pPr>
        <w:spacing w:after="0" w:line="26" w:lineRule="exact"/>
        <w:rPr>
          <w:sz w:val="20"/>
          <w:szCs w:val="20"/>
          <w:color w:val="auto"/>
        </w:rPr>
      </w:pPr>
    </w:p>
    <w:p>
      <w:pPr>
        <w:ind w:left="460" w:right="20" w:firstLine="443"/>
        <w:spacing w:after="0" w:line="255" w:lineRule="auto"/>
        <w:tabs>
          <w:tab w:leader="none" w:pos="12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Certificated Securities are permitted pursuant to the Indenture, 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subject to compliance with the Indenture, such Transfer Restricted Securities in such denominations and such names as the selling Holders may request at least two Business Days prior to such sale of Transfer Restricted Securities;</w:t>
      </w:r>
    </w:p>
    <w:p>
      <w:pPr>
        <w:spacing w:after="0" w:line="61" w:lineRule="exact"/>
        <w:rPr>
          <w:rFonts w:ascii="Arial" w:cs="Arial" w:eastAsia="Arial" w:hAnsi="Arial"/>
          <w:sz w:val="18"/>
          <w:szCs w:val="18"/>
          <w:color w:val="auto"/>
        </w:rPr>
      </w:pPr>
    </w:p>
    <w:p>
      <w:pPr>
        <w:ind w:left="460" w:firstLine="443"/>
        <w:spacing w:after="0" w:line="306" w:lineRule="auto"/>
        <w:tabs>
          <w:tab w:leader="none" w:pos="1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use all commercially reasonable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25" w:lineRule="exact"/>
        <w:rPr>
          <w:rFonts w:ascii="Arial" w:cs="Arial" w:eastAsia="Arial" w:hAnsi="Arial"/>
          <w:sz w:val="16"/>
          <w:szCs w:val="16"/>
          <w:color w:val="auto"/>
        </w:rPr>
      </w:pPr>
    </w:p>
    <w:p>
      <w:pPr>
        <w:ind w:left="460" w:right="540" w:firstLine="443"/>
        <w:spacing w:after="0" w:line="259" w:lineRule="auto"/>
        <w:tabs>
          <w:tab w:leader="none" w:pos="1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a CUSIP number for all Transfer Restricted Securities not later than the effective date of a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2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use all commercially reasonable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 and</w:t>
      </w:r>
    </w:p>
    <w:p>
      <w:pPr>
        <w:spacing w:after="0" w:line="62" w:lineRule="exact"/>
        <w:rPr>
          <w:rFonts w:ascii="Arial" w:cs="Arial" w:eastAsia="Arial" w:hAnsi="Arial"/>
          <w:sz w:val="18"/>
          <w:szCs w:val="18"/>
          <w:color w:val="auto"/>
        </w:rPr>
      </w:pPr>
    </w:p>
    <w:p>
      <w:pPr>
        <w:ind w:left="460" w:firstLine="443"/>
        <w:spacing w:after="0" w:line="255" w:lineRule="auto"/>
        <w:tabs>
          <w:tab w:leader="none" w:pos="1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all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43" w:lineRule="exact"/>
        <w:rPr>
          <w:sz w:val="20"/>
          <w:szCs w:val="20"/>
          <w:color w:val="auto"/>
        </w:rPr>
      </w:pPr>
    </w:p>
    <w:p>
      <w:pPr>
        <w:ind w:right="10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Restrictions on Holders</w:t>
      </w:r>
      <w:r>
        <w:rPr>
          <w:rFonts w:ascii="Arial" w:cs="Arial" w:eastAsia="Arial" w:hAnsi="Arial"/>
          <w:sz w:val="18"/>
          <w:szCs w:val="18"/>
          <w:color w:val="auto"/>
        </w:rPr>
        <w:t>. Each Holder agrees by acquisition of a Transfer Restricted Security that, upon receipt of the notice referred to in Sections 6(c) (iii)(B) or (C) hereof or any notice from the Issuers of the existence of any fact of the kind described in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7" w:name="page28"/>
    <w:bookmarkEnd w:id="27"/>
    <w:p>
      <w:pPr>
        <w:ind w:right="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6(c)(iii)(D) hereof (in each case, a “</w:t>
      </w:r>
      <w:r>
        <w:rPr>
          <w:rFonts w:ascii="Arial" w:cs="Arial" w:eastAsia="Arial" w:hAnsi="Arial"/>
          <w:sz w:val="15"/>
          <w:szCs w:val="15"/>
          <w:b w:val="1"/>
          <w:bCs w:val="1"/>
          <w:u w:val="single" w:color="auto"/>
          <w:color w:val="auto"/>
        </w:rPr>
        <w:t>Suspension Notice</w:t>
      </w:r>
      <w:r>
        <w:rPr>
          <w:rFonts w:ascii="Arial" w:cs="Arial" w:eastAsia="Arial" w:hAnsi="Arial"/>
          <w:sz w:val="15"/>
          <w:szCs w:val="15"/>
          <w:color w:val="auto"/>
        </w:rPr>
        <w:t>”), such Holder will forthwith discontinue disposition of Transfer Restricted Securities pursuant to the applicable Registration Statement until (i) such Holder has received copies of the supplemented or amended Prospectus contemplated by Section 6(c)(iv) hereof, or (ii) such Holder is advised in writing by the Issuers that the use of the Prospectus may be resumed, and has received copies of any additional or supplemental filings that are incorporated by reference in the Prospectus (in each case, the “</w:t>
      </w:r>
      <w:r>
        <w:rPr>
          <w:rFonts w:ascii="Arial" w:cs="Arial" w:eastAsia="Arial" w:hAnsi="Arial"/>
          <w:sz w:val="15"/>
          <w:szCs w:val="15"/>
          <w:b w:val="1"/>
          <w:bCs w:val="1"/>
          <w:u w:val="single" w:color="auto"/>
          <w:color w:val="auto"/>
        </w:rPr>
        <w:t>Recommencement Date</w:t>
      </w:r>
      <w:r>
        <w:rPr>
          <w:rFonts w:ascii="Arial" w:cs="Arial" w:eastAsia="Arial" w:hAnsi="Arial"/>
          <w:sz w:val="15"/>
          <w:szCs w:val="15"/>
          <w:color w:val="auto"/>
        </w:rPr>
        <w:t>”). Each Holder receiving a Suspension Notice hereby agrees that it will either (i) destroy any Prospectuses, other than permanent file copies, then in such Holder’s possession which have been replaced by the Issuers with more recently dated Prospectuses or (ii) deliver to the Issuers (at the Issuers’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REGISTRATION EXPENSES</w:t>
      </w:r>
    </w:p>
    <w:p>
      <w:pPr>
        <w:spacing w:after="0" w:line="96" w:lineRule="exact"/>
        <w:rPr>
          <w:sz w:val="20"/>
          <w:szCs w:val="20"/>
          <w:color w:val="auto"/>
        </w:rPr>
      </w:pPr>
    </w:p>
    <w:p>
      <w:pPr>
        <w:ind w:firstLine="464"/>
        <w:spacing w:after="0" w:line="288"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expenses incident to the Issuers’ and the Guarantors’ performance of or compliance with this Agreement will be borne by the Issuers,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Additional Exchange Notes to be issued in the Exchange Offer and printing of Prospectuses), messenger and delivery services and telephone; (iv) reasonable fees and disbursements of counsel for the Issuers and the Guarantors and not more than one counsel for the Holders of the Transfer Restricted Securities (which counsel for the Holders shall be chosen by the Holders of a majority of the outstanding Transfer Restricted Securities); (v) all application and filing fees in connection with listing the Additional Exchange Notes on a national securities exchange or automated quotation system pursuant to the requirements hereof; and (vi) all fees and disbursements of independent certified public accountants of the Issuers and the Guarantors (including the expenses of any special audit and comfort letters required by or incident to such performance).</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Issuers will, in any event, bear their and the Guarantors’ internal expenses (including, without limitation, all salaries and expenses of their officers and employees performing legal or accounting duties), the expenses of any annual audit and the fees and expenses of any Person, including special experts, retained by the Issuers or the Guarantors.</w:t>
      </w:r>
    </w:p>
    <w:p>
      <w:pPr>
        <w:spacing w:after="0" w:line="140" w:lineRule="exact"/>
        <w:rPr>
          <w:sz w:val="20"/>
          <w:szCs w:val="20"/>
          <w:color w:val="auto"/>
        </w:rPr>
      </w:pPr>
    </w:p>
    <w:p>
      <w:pPr>
        <w:ind w:right="100" w:firstLine="464"/>
        <w:spacing w:after="0" w:line="255"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any Registration Statement required by this Agreement (including, without limitation, the Exchange Offer Registration Statement and the Shelf Registration Statement), the Issuers and the Guarantors will reimburse the Initial Purchasers and the Holders of Transfer Restricted Securities who are tendering Additional Notes in the Exchange Offer and/or selling or reselling Additional Notes or Additional Exchange Notes pursuant to the “Plan of Distribution” contained in the Exchange Offer Registration Statement or the Shelf Registration Statement, as applicable, for the reasonable fees and disbursements of not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8" w:name="page29"/>
    <w:bookmarkEnd w:id="2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than one counsel, who shall be Latham &amp; Watkins LLP, unless another firm shall be chosen by the Holders of a majority in principal amount of the Transfer Restricted Securities for whose benefit such Registration Statement is being prepared.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INDEMNIFICATION</w:t>
      </w:r>
    </w:p>
    <w:p>
      <w:pPr>
        <w:spacing w:after="0" w:line="96" w:lineRule="exact"/>
        <w:rPr>
          <w:sz w:val="20"/>
          <w:szCs w:val="20"/>
          <w:color w:val="auto"/>
        </w:rPr>
      </w:pPr>
    </w:p>
    <w:p>
      <w:pPr>
        <w:ind w:right="20" w:firstLine="464"/>
        <w:spacing w:after="0" w:line="306" w:lineRule="auto"/>
        <w:tabs>
          <w:tab w:leader="none" w:pos="695"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The Issuers and the Guarantors agree, jointly and severally, to indemnify and hold harmless each Holder, its directors, officers and each Person, if any, who controls such Holder (within the meaning of Section 15 of the Act or Section 20 of the Exchange Act), from and against any and all losses, claims, damages, liabilities and judgments (including, without limitation, any reasonable legal or other expenses incurred in connection with investigating or defending any matter, including any action that could give rise to any such losses, claims, damages, liabilities or judgments) caused by any untrue statement or alleged untrue statement of a material fact contained in any Registration Statement, preliminary prospectus or Prospectus (or any amendment or supplement thereto) provided by the Issuers to any Holder or any prospective purchaser of Additional Exchange Notes or registered Additional Notes, or caused by any omission or alleged omission to state therein a material fact required to be stated therein or necessary to make the statements therein (in the case of a preliminary prospectus or Prospectus or any supplement thereto, in the light of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indemnity does not apply to any loss, claim, damage, liability, judgment or expense to the extent arising out of an untrue statement or omission or alleged untrue statement or omission made in reliance upon and in conformity with written information expressly furnished to the Issuers by or on behalf of such Holder or any underwriter with respect to such Holder or underwriter, expressly for use in the Registration Statement (or any amendment or supplement thereto) or any Prospectus (or any amendment or supplement thereto). Any amounts advanced by the Issuers to an indemnified party pursuant to this Section 8 as a result of such losses shall be returned to the Issuers if it shall be finally determined by a court of competent jurisdiction in a judgment not subject to appeal or final review that such indemnified party was not entitled to indemnification by the Issuers. The foregoing indemnity agreement is in addition to any liability that the Issuers may otherwise have to any Holder.</w:t>
      </w:r>
    </w:p>
    <w:p>
      <w:pPr>
        <w:spacing w:after="0" w:line="108" w:lineRule="exact"/>
        <w:rPr>
          <w:rFonts w:ascii="Arial" w:cs="Arial" w:eastAsia="Arial" w:hAnsi="Arial"/>
          <w:sz w:val="15"/>
          <w:szCs w:val="15"/>
          <w:color w:val="auto"/>
        </w:rPr>
      </w:pPr>
    </w:p>
    <w:p>
      <w:pPr>
        <w:ind w:firstLine="464"/>
        <w:spacing w:after="0" w:line="309" w:lineRule="auto"/>
        <w:tabs>
          <w:tab w:leader="none" w:pos="705" w:val="left"/>
        </w:tabs>
        <w:numPr>
          <w:ilvl w:val="0"/>
          <w:numId w:val="28"/>
        </w:numPr>
        <w:rPr>
          <w:rFonts w:ascii="Arial" w:cs="Arial" w:eastAsia="Arial" w:hAnsi="Arial"/>
          <w:sz w:val="15"/>
          <w:szCs w:val="15"/>
          <w:color w:val="auto"/>
        </w:rPr>
      </w:pPr>
      <w:r>
        <w:rPr>
          <w:rFonts w:ascii="Arial" w:cs="Arial" w:eastAsia="Arial" w:hAnsi="Arial"/>
          <w:sz w:val="15"/>
          <w:szCs w:val="15"/>
          <w:color w:val="auto"/>
        </w:rPr>
        <w:t>Each Holder of Transfer Restricted Securities agrees, severally and not jointly, to indemnify and hold harmless the Issuers and the Guarantors, and their respective members, managers, directors and officers, and each person, if any, who controls (within the meaning of Section 15 of the Act or Section 20 of the Exchange Act) the Issuers, or the Guarantors to the same extent as the foregoing indemnity from the Issuers and the Guarantors set forth in section (a) above, but only with reference to information included in the Registration Statement or any Prospectus (or any amendment or supplement thereto) in reliance upon, and in conformity with, written information expressly furnished to the Issuers by or on behalf of such Holder expressly for use in any Registration Statement. In no event shall any Holder, its directors, officers or any Person who controls such Holder be liable or responsible for any amount in excess of the amount by which the total amount received by such Holder with respect to its sale of Transfer Restricted Securities pursuant to a Registration Statement exceeds (i) the amount paid by such Holder for such Transfer Restricted Securities and (ii) the amount of any damages that such Holder, its directors, officers or any Person who controls such Holder has otherwise been required to pay by reason of such untrue or alleged untrue statement of a material fact or omission or alleged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9" w:name="page30"/>
    <w:bookmarkEnd w:id="2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omission to state a material fact. The foregoing indemnity agreement is in addition to any liability that the each Holder may otherwise have to the Issuers and the Guarantors.</w:t>
      </w:r>
    </w:p>
    <w:p>
      <w:pPr>
        <w:spacing w:after="0" w:line="132" w:lineRule="exact"/>
        <w:rPr>
          <w:sz w:val="20"/>
          <w:szCs w:val="20"/>
          <w:color w:val="auto"/>
        </w:rPr>
      </w:pPr>
    </w:p>
    <w:p>
      <w:pPr>
        <w:ind w:firstLine="464"/>
        <w:spacing w:after="0" w:line="304" w:lineRule="auto"/>
        <w:tabs>
          <w:tab w:leader="none" w:pos="695"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 case any action shall be commenced involving any person in respect of which indemnity may be sought pursuant to Section 8(a) or 8(b) (the “</w:t>
      </w:r>
      <w:r>
        <w:rPr>
          <w:rFonts w:ascii="Arial" w:cs="Arial" w:eastAsia="Arial" w:hAnsi="Arial"/>
          <w:sz w:val="15"/>
          <w:szCs w:val="15"/>
          <w:b w:val="1"/>
          <w:bCs w:val="1"/>
          <w:u w:val="single" w:color="auto"/>
          <w:color w:val="auto"/>
        </w:rPr>
        <w:t>indemnified party</w:t>
      </w:r>
      <w:r>
        <w:rPr>
          <w:rFonts w:ascii="Arial" w:cs="Arial" w:eastAsia="Arial" w:hAnsi="Arial"/>
          <w:sz w:val="15"/>
          <w:szCs w:val="15"/>
          <w:color w:val="auto"/>
        </w:rPr>
        <w:t>”), the indemnified party shall promptly notify the person against whom such indemnity may be sought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in writing and the indemnifying party shall assume the defense of such action, including the employment of counsel reasonably satisfactory to the indemnified party and the payment of all reasonable fees and expenses of such counsel, as incurred (except that in the case of any action in respect of which indemnity may be sought pursuant to both Sections 8(a) and 8(b), a Holder shall not be required to assume the defense of such action pursuant to this Section 8(c), but may employ separate counsel and participate in the defense thereof, but the fees and expenses of such counsel, except as provided below, shall be at the expense of the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Holders, in the case of the parties indemnified pursuant to Section 8(a), and by the Issuers and the Guarantors, in the case of parties indemnified pursuant to Section 8(b). The indemnifying party shall indemnify and hold harmless the indemnified party from and against any and all losses, claims, damages, liabilities and judgments by reason of any settlement of any action (i) effected with the indemnifying party’s written consent or</w:t>
      </w:r>
    </w:p>
    <w:p>
      <w:pPr>
        <w:spacing w:after="0" w:line="181" w:lineRule="exact"/>
        <w:rPr>
          <w:rFonts w:ascii="Arial" w:cs="Arial" w:eastAsia="Arial" w:hAnsi="Arial"/>
          <w:sz w:val="15"/>
          <w:szCs w:val="15"/>
          <w:color w:val="auto"/>
        </w:rPr>
      </w:pPr>
    </w:p>
    <w:p>
      <w:pPr>
        <w:ind w:right="40" w:firstLine="8"/>
        <w:spacing w:after="0" w:line="287"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effected without the indemnifying party’s written consent, if the settlement is entered into more than 30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0" w:name="page31"/>
    <w:bookmarkEnd w:id="30"/>
    <w:p>
      <w:pPr>
        <w:ind w:firstLine="464"/>
        <w:spacing w:after="0" w:line="286"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Issuers and the Guarantors, on the one hand, and the Holders, on the other hand, from their sale of Transfer Restricted Securities or (ii) if the allocation provided by clause 8(d)(i) is not permitted by applicable law, in such proportion as is appropriate to reflect not only the relative benefits referred to in clause 8(d)(i) above but also the relative fault of the Issuers and the Guarantors, on the one hand, and of the Holder, on the other hand, in connection with the statements or omissions which resulted in such losses, claims, damages, liabilities or judgments, as well as any other relevant equitable considerations. The relative fault of the Issuers and the Guarantors, on the one hand, and of the Holder, on the other hand, shall be determined by reference to, among other things, whether the untrue or alleged untrue statement of a material fact or the omission or alleged omission to state a material fact relates to information supplied by such Issuer or such Guarantor, on the one hand, or by the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subject to the limitations set forth in Section 8(a), any legal or other fees or expenses reasonably incurred by such party in connection with investigating or defending any action or claim.</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Issuers, the Guarantors and each Holder agree that it would not be just and equitable if contribution pursuant to this Section 8(d)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given rise to such losses, claims, damages, liabilities or judgments. Notwithstanding the provisions of this Section 8, no Holder, its directors, its officers or any Person, if any, who controls such Holder shall be required to contribute, in the aggregate, any amount in excess of the amount by which the total received by such Holder with respect to the sale of Transfer Restricted Securities pursuant to a Registration Statement exceeds (i) the amount paid by such Holder for such Transfer Restricted Securities and (ii) the amount of any damages which such Holder has otherwise been required to pay by reason of such untrue or alleged untrue statement of a material fact or omission or alleged omission to state a material fact. No person guilty of fraudulent misrepresentation (within the meaning of Section 11(f) of the Act) shall be entitled to contribution from any person who was not guilty of such fraudulent misrepresentation. The Holders’ obligations to contribute pursuant to this Section 8(c) are several in proportion to the respective principal amount of Transfer Restricted Securities held by each Holder hereunder and not joint.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RULE 144A AND RULE 144</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Issuer and each Guarantor agrees with each Holder, for so long as any Transfer Restricted Securities remain outstanding and during any period in which such Issuer and such 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Restricted Securities pursuant to Rule 144.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MISCELLANEOUS</w:t>
      </w:r>
    </w:p>
    <w:p>
      <w:pPr>
        <w:spacing w:after="0" w:line="96" w:lineRule="exact"/>
        <w:rPr>
          <w:sz w:val="20"/>
          <w:szCs w:val="20"/>
          <w:color w:val="auto"/>
        </w:rPr>
      </w:pPr>
    </w:p>
    <w:p>
      <w:pPr>
        <w:ind w:right="140" w:firstLine="464"/>
        <w:spacing w:after="0" w:line="294"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Issuers and the Guarantors acknowledge and agree that any failure by the Issuers and/or the Guarantors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Sections 3 and 4 hereof. The Issuers and the Guarantors further agree to waive the defense in any action for specific performance that a remedy at law would be adequate.</w:t>
      </w:r>
    </w:p>
    <w:p>
      <w:pPr>
        <w:spacing w:after="0" w:line="115" w:lineRule="exact"/>
        <w:rPr>
          <w:rFonts w:ascii="Arial" w:cs="Arial" w:eastAsia="Arial" w:hAnsi="Arial"/>
          <w:sz w:val="16"/>
          <w:szCs w:val="16"/>
          <w:color w:val="auto"/>
        </w:rPr>
      </w:pPr>
    </w:p>
    <w:p>
      <w:pPr>
        <w:ind w:right="20" w:firstLine="464"/>
        <w:spacing w:after="0" w:line="323" w:lineRule="auto"/>
        <w:tabs>
          <w:tab w:leader="none" w:pos="705"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No Inconsistent Agreements</w:t>
      </w:r>
      <w:r>
        <w:rPr>
          <w:rFonts w:ascii="Arial" w:cs="Arial" w:eastAsia="Arial" w:hAnsi="Arial"/>
          <w:sz w:val="15"/>
          <w:szCs w:val="15"/>
          <w:color w:val="auto"/>
        </w:rPr>
        <w:t>. Neither of the Issuers nor any Guarantor will, on or after the date of this Agreement, enter into any agreement with respect to its securities that is inconsistent with the rights granted to the Holders in this Agreement or otherwise conflicts with the provisions hereof. The Issuers and the Guarantors represent and warrant to the Holders and the Initial Purchasers that the rights granted to the Holders hereunder do not in any way conflict with and are not inconsistent with the rights granted to the holders of the Issuers’ and the Guarantors’ securities under any agreement in effect on the date hereof.</w:t>
      </w:r>
    </w:p>
    <w:p>
      <w:pPr>
        <w:spacing w:after="0" w:line="97" w:lineRule="exact"/>
        <w:rPr>
          <w:rFonts w:ascii="Arial" w:cs="Arial" w:eastAsia="Arial" w:hAnsi="Arial"/>
          <w:sz w:val="15"/>
          <w:szCs w:val="15"/>
          <w:color w:val="auto"/>
        </w:rPr>
      </w:pPr>
    </w:p>
    <w:p>
      <w:pPr>
        <w:ind w:firstLine="464"/>
        <w:spacing w:after="0" w:line="289"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not be amended, modified or supplemented, and waivers or consents to or departures from the provisions hereof may not be given unless (i) in the case of Section 5 hereof and this Section 10(c)(i), the Issuers have obtained the written consent of Holders of all outstanding Transfer Restricted Securities and (ii) in the case of all other provisions hereof, the Issuers have obtained the written consent of Holders of a majority of the outstanding principal amount of Transfer Restricted Securities (excluding Transfer Restricted Securities held by the Issuers or their Affiliates). Notwithstanding the foregoing, a waiver or consent to or departure from the provisions hereof that relates exclusively to the rights of Holders whose Transfer Restricted Securities are 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2" w:name="page33"/>
    <w:bookmarkEnd w:id="32"/>
    <w:p>
      <w:pPr>
        <w:jc w:val="both"/>
        <w:ind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Party Beneficiary</w:t>
      </w:r>
      <w:r>
        <w:rPr>
          <w:rFonts w:ascii="Arial" w:cs="Arial" w:eastAsia="Arial" w:hAnsi="Arial"/>
          <w:sz w:val="18"/>
          <w:szCs w:val="18"/>
          <w:color w:val="auto"/>
        </w:rPr>
        <w:t>. The Holders shall be third party beneficiaries to the agreements made hereunder between the Issuers and the Guarantors, on the one hand, and the Initial Purchasers, on the other hand, and shall have the right to enforce such agreements directly to the extent they may deem such enforcement necessary or advisable to protect the rights of Holders hereunder.</w:t>
      </w:r>
    </w:p>
    <w:p>
      <w:pPr>
        <w:spacing w:after="0" w:line="140" w:lineRule="exact"/>
        <w:rPr>
          <w:rFonts w:ascii="Arial" w:cs="Arial" w:eastAsia="Arial" w:hAnsi="Arial"/>
          <w:sz w:val="18"/>
          <w:szCs w:val="18"/>
          <w:color w:val="auto"/>
        </w:rPr>
      </w:pPr>
    </w:p>
    <w:p>
      <w:pPr>
        <w:ind w:right="760"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50" w:lineRule="exact"/>
        <w:rPr>
          <w:rFonts w:ascii="Arial" w:cs="Arial" w:eastAsia="Arial" w:hAnsi="Arial"/>
          <w:sz w:val="18"/>
          <w:szCs w:val="18"/>
          <w:color w:val="auto"/>
        </w:rPr>
      </w:pPr>
    </w:p>
    <w:p>
      <w:pPr>
        <w:jc w:val="both"/>
        <w:ind w:left="460" w:right="40" w:firstLine="443"/>
        <w:spacing w:after="0" w:line="256"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to a Holder, at the most current address given by such Holder to the Issuers in accordance with the provisions of this Section 10(e), which address initially is, with respect to each Holder, the address set forth on the records of the Registrar under the Indenture, with a copy (which shall not constitute notice) to the Registrar under the Indenture and with a further copy to the Initial Purchasers, care of Deutsche Bank Securities Inc., at the address set forth in paragraph (iii) below; and</w:t>
      </w:r>
    </w:p>
    <w:p>
      <w:pPr>
        <w:spacing w:after="0" w:line="143" w:lineRule="exact"/>
        <w:rPr>
          <w:rFonts w:ascii="Arial" w:cs="Arial" w:eastAsia="Arial" w:hAnsi="Arial"/>
          <w:sz w:val="18"/>
          <w:szCs w:val="18"/>
          <w:color w:val="auto"/>
        </w:rPr>
      </w:pPr>
    </w:p>
    <w:p>
      <w:pPr>
        <w:ind w:left="1160" w:hanging="257"/>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to the Issuers or the Guarantors:</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(702) 770-1100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President</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(702) 770-1518</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further copy (which shall not constitute notice)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300 South Grand Ave., Suite 3400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(213) 687-5600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Jerome C. Coben, Esq. and Casey T. Fleck, Esq.</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if to the Initial Purchasers:</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Deutsche Bank Securities Inc.</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60 Wall Street,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10005</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 797-4869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High Yield Capital Markets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3" w:name="page34"/>
    <w:bookmarkEnd w:id="33"/>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(which shall not constitute notice)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633 West Fifth Street, Suite 4000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Los Angeles, California 90071-2007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(213) 891-8763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Pamela B. Kelly, Esq.</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by notice to the Registrar, may designate additional or different addresses for subsequent notices or communications.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Issuers shall notify the Initial Purchasers on the date the Exchange Offer Registration Statement or a Shelf Registration Statement, as the case may be, is filed with the Commission.</w:t>
      </w:r>
    </w:p>
    <w:p>
      <w:pPr>
        <w:spacing w:after="0" w:line="132" w:lineRule="exact"/>
        <w:rPr>
          <w:sz w:val="20"/>
          <w:szCs w:val="20"/>
          <w:color w:val="auto"/>
        </w:rPr>
      </w:pPr>
    </w:p>
    <w:p>
      <w:pPr>
        <w:ind w:right="60" w:firstLine="464"/>
        <w:spacing w:after="0" w:line="290" w:lineRule="auto"/>
        <w:tabs>
          <w:tab w:leader="none" w:pos="67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successors and assigns of each of the parties, including, without limitation, subsequent Holders, without the need for an express assignment; </w:t>
      </w:r>
      <w:r>
        <w:rPr>
          <w:rFonts w:ascii="Arial" w:cs="Arial" w:eastAsia="Arial" w:hAnsi="Arial"/>
          <w:sz w:val="16"/>
          <w:szCs w:val="16"/>
          <w:i w:val="1"/>
          <w:iCs w:val="1"/>
          <w:color w:val="auto"/>
        </w:rPr>
        <w:t>provided</w:t>
      </w:r>
      <w:r>
        <w:rPr>
          <w:rFonts w:ascii="Arial" w:cs="Arial" w:eastAsia="Arial" w:hAnsi="Arial"/>
          <w:sz w:val="16"/>
          <w:szCs w:val="16"/>
          <w:color w:val="auto"/>
        </w:rPr>
        <w:t>,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any restrictions on resale set forth in this Agreement, the Purchase Agreement and the Indenture, and such Person shall be entitled to receive the benefits hereof.</w:t>
      </w:r>
    </w:p>
    <w:p>
      <w:pPr>
        <w:spacing w:after="0" w:line="118" w:lineRule="exact"/>
        <w:rPr>
          <w:rFonts w:ascii="Arial" w:cs="Arial" w:eastAsia="Arial" w:hAnsi="Arial"/>
          <w:sz w:val="16"/>
          <w:szCs w:val="16"/>
          <w:color w:val="auto"/>
        </w:rPr>
      </w:pPr>
    </w:p>
    <w:p>
      <w:pPr>
        <w:ind w:firstLine="464"/>
        <w:spacing w:after="0" w:line="332"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94" w:lineRule="exact"/>
        <w:rPr>
          <w:rFonts w:ascii="Arial" w:cs="Arial" w:eastAsia="Arial" w:hAnsi="Arial"/>
          <w:sz w:val="16"/>
          <w:szCs w:val="16"/>
          <w:color w:val="auto"/>
        </w:rPr>
      </w:pPr>
    </w:p>
    <w:p>
      <w:pPr>
        <w:ind w:right="220" w:firstLine="464"/>
        <w:spacing w:after="0" w:line="332"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INCLUDING, WITHOUT LIMITATION, SECTION 5-1401 OF THE NEW YORK GENERAL OBLIGATIONS LAW.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4" w:name="page35"/>
    <w:bookmarkEnd w:id="34"/>
    <w:p>
      <w:pPr>
        <w:jc w:val="both"/>
        <w:ind w:left="-140" w:firstLine="464"/>
        <w:spacing w:after="0" w:line="259" w:lineRule="auto"/>
        <w:tabs>
          <w:tab w:leader="none" w:pos="52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40" w:lineRule="exact"/>
        <w:rPr>
          <w:rFonts w:ascii="Arial" w:cs="Arial" w:eastAsia="Arial" w:hAnsi="Arial"/>
          <w:sz w:val="18"/>
          <w:szCs w:val="18"/>
          <w:color w:val="auto"/>
        </w:rPr>
      </w:pPr>
    </w:p>
    <w:p>
      <w:pPr>
        <w:ind w:left="-140" w:right="200" w:firstLine="464"/>
        <w:spacing w:after="0" w:line="298" w:lineRule="auto"/>
        <w:tabs>
          <w:tab w:leader="none" w:pos="56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80" w:top="28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ISSUERS: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By: Wynn Resorts, Limited, a Nevada</w:t>
      </w:r>
    </w:p>
    <w:p>
      <w:pPr>
        <w:spacing w:after="0" w:line="15"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corporation, its sole member</w:t>
      </w:r>
    </w:p>
    <w:p>
      <w:pPr>
        <w:spacing w:after="0" w:line="23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10795</wp:posOffset>
            </wp:positionV>
            <wp:extent cx="2470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SVP - TREASURER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10795</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ASSISTANT SECRETARY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Registration Rights Agreement</w:t>
      </w:r>
    </w:p>
    <w:p>
      <w:pPr>
        <w:sectPr>
          <w:pgSz w:w="11900" w:h="16838" w:orient="portrait"/>
          <w:cols w:equalWidth="0" w:num="1">
            <w:col w:w="10400"/>
          </w:cols>
          <w:pgMar w:left="700" w:top="280" w:right="799" w:bottom="1440" w:gutter="0" w:footer="0" w:header="0"/>
        </w:sectPr>
      </w:pPr>
    </w:p>
    <w:bookmarkStart w:id="36" w:name="page37"/>
    <w:bookmarkEnd w:id="3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SHOW PERFORMERS,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Wynn Resort Limited, a Nevada corporation, its</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10795</wp:posOffset>
            </wp:positionV>
            <wp:extent cx="2246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SVP - 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GOLF,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Wynn Resorts, Limited, a Nevada corporation, its</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10795</wp:posOffset>
            </wp:positionV>
            <wp:extent cx="2246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SVP - TREASURER</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Registration Rights Agreement</w:t>
      </w:r>
    </w:p>
    <w:p>
      <w:pPr>
        <w:sectPr>
          <w:pgSz w:w="11900" w:h="16838" w:orient="portrait"/>
          <w:cols w:equalWidth="0" w:num="1">
            <w:col w:w="10160"/>
          </w:cols>
          <w:pgMar w:left="1440" w:top="274" w:right="299" w:bottom="1440" w:gutter="0" w:footer="0" w:header="0"/>
        </w:sectPr>
      </w:pPr>
    </w:p>
    <w:bookmarkStart w:id="37" w:name="page38"/>
    <w:bookmarkEnd w:id="3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 VEGAS JET,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Wynn Resorts, Limited, a Nevada corporation, its</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10795</wp:posOffset>
            </wp:positionV>
            <wp:extent cx="22466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SVP - 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WORLD TRAVEL,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Wynn Resorts, Limited, a Nevada corporation, its</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10795</wp:posOffset>
            </wp:positionV>
            <wp:extent cx="2246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SVP - TREASURER</w:t>
      </w:r>
    </w:p>
    <w:p>
      <w:pPr>
        <w:spacing w:after="0" w:line="165"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Registration Rights Agreement</w:t>
      </w:r>
    </w:p>
    <w:p>
      <w:pPr>
        <w:spacing w:after="0" w:line="181"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160"/>
          </w:cols>
          <w:pgMar w:left="1440" w:top="274" w:right="299" w:bottom="1440" w:gutter="0" w:footer="0" w:header="0"/>
        </w:sectPr>
      </w:pPr>
    </w:p>
    <w:bookmarkStart w:id="38" w:name="page39"/>
    <w:bookmarkEnd w:id="3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Wynn Resorts, Limited, a Nevada corporation, its</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10795</wp:posOffset>
            </wp:positionV>
            <wp:extent cx="2246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SVP - TREASURER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KEVYN,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Wynn Resorts, Limited, a Nevada corporation, its</w:t>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10795</wp:posOffset>
            </wp:positionV>
            <wp:extent cx="22466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SVP - TREASURER</w:t>
      </w:r>
    </w:p>
    <w:p>
      <w:pPr>
        <w:spacing w:after="0" w:line="165"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Registration Rights Agreement</w:t>
      </w:r>
    </w:p>
    <w:p>
      <w:pPr>
        <w:spacing w:after="0" w:line="181"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60"/>
          </w:cols>
          <w:pgMar w:left="1440" w:top="274"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Whyte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Paul Whyte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Leopold</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Simon Leopold</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LLC</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Cokinos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C. Cokinos</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Registration Rights Agreement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29</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3"/>
    </w:lvl>
  </w:abstractNum>
  <w:abstractNum w:abstractNumId="2">
    <w:nsid w:val="7C83E458"/>
    <w:multiLevelType w:val="hybridMultilevel"/>
    <w:lvl w:ilvl="0">
      <w:lvlJc w:val="left"/>
      <w:lvlText w:val="%1."/>
      <w:numFmt w:val="decimal"/>
      <w:start w:val="1"/>
    </w:lvl>
    <w:lvl w:ilvl="1">
      <w:lvlJc w:val="left"/>
      <w:lvlText w:val="%2"/>
      <w:numFmt w:val="lowerLetter"/>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2"/>
    </w:lvl>
  </w:abstractNum>
  <w:abstractNum w:abstractNumId="6">
    <w:nsid w:val="628C895D"/>
    <w:multiLevelType w:val="hybridMultilevel"/>
    <w:lvl w:ilvl="0">
      <w:lvlJc w:val="left"/>
      <w:lvlText w:val="(%1)"/>
      <w:numFmt w:val="lowerLetter"/>
      <w:start w:val="1"/>
    </w:lvl>
    <w:lvl w:ilvl="1">
      <w:lvlJc w:val="left"/>
      <w:lvlText w:val="(%2)"/>
      <w:numFmt w:val="lowerLetter"/>
      <w:start w:val="24"/>
    </w:lvl>
  </w:abstractNum>
  <w:abstractNum w:abstractNumId="7">
    <w:nsid w:val="333AB105"/>
    <w:multiLevelType w:val="hybridMultilevel"/>
    <w:lvl w:ilvl="0">
      <w:lvlJc w:val="left"/>
      <w:lvlText w:val="(%1)"/>
      <w:numFmt w:val="lowerLetter"/>
      <w:start w:val="2"/>
    </w:lvl>
  </w:abstractNum>
  <w:abstractNum w:abstractNumId="8">
    <w:nsid w:val="721DA317"/>
    <w:multiLevelType w:val="hybridMultilevel"/>
    <w:lvl w:ilvl="0">
      <w:lvlJc w:val="left"/>
      <w:lvlText w:val="(%1)"/>
      <w:numFmt w:val="lowerRoman"/>
      <w:start w:val="4"/>
    </w:lvl>
  </w:abstractNum>
  <w:abstractNum w:abstractNumId="9">
    <w:nsid w:val="2443A858"/>
    <w:multiLevelType w:val="hybridMultilevel"/>
    <w:lvl w:ilvl="0">
      <w:lvlJc w:val="left"/>
      <w:lvlText w:val="(%1)"/>
      <w:numFmt w:val="lowerLetter"/>
      <w:start w:val="1"/>
    </w:lvl>
    <w:lvl w:ilvl="1">
      <w:lvlJc w:val="left"/>
      <w:lvlText w:val="(%2)"/>
      <w:numFmt w:val="lowerLetter"/>
      <w:start w:val="9"/>
    </w:lvl>
  </w:abstractNum>
  <w:abstractNum w:abstractNumId="10">
    <w:nsid w:val="2D1D5AE9"/>
    <w:multiLevelType w:val="hybridMultilevel"/>
    <w:lvl w:ilvl="0">
      <w:lvlJc w:val="left"/>
      <w:lvlText w:val="(%1)"/>
      <w:numFmt w:val="lowerRoman"/>
      <w:start w:val="2"/>
    </w:lvl>
  </w:abstractNum>
  <w:abstractNum w:abstractNumId="11">
    <w:nsid w:val="6763845E"/>
    <w:multiLevelType w:val="hybridMultilevel"/>
    <w:lvl w:ilvl="0">
      <w:lvlJc w:val="left"/>
      <w:lvlText w:val="%1"/>
      <w:numFmt w:val="lowerLetter"/>
      <w:start w:val="1"/>
    </w:lvl>
    <w:lvl w:ilvl="1">
      <w:lvlJc w:val="left"/>
      <w:lvlText w:val="(%2)"/>
      <w:numFmt w:val="lowerLetter"/>
      <w:start w:val="61"/>
    </w:lvl>
  </w:abstractNum>
  <w:abstractNum w:abstractNumId="12">
    <w:nsid w:val="75A2A8D4"/>
    <w:multiLevelType w:val="hybridMultilevel"/>
    <w:lvl w:ilvl="0">
      <w:lvlJc w:val="left"/>
      <w:lvlText w:val="(%1)"/>
      <w:numFmt w:val="lowerLetter"/>
      <w:start w:val="2"/>
    </w:lvl>
    <w:lvl w:ilvl="1">
      <w:lvlJc w:val="left"/>
      <w:lvlText w:val="(%2)"/>
      <w:numFmt w:val="lowerLetter"/>
      <w:start w:val="9"/>
    </w:lvl>
  </w:abstractNum>
  <w:abstractNum w:abstractNumId="13">
    <w:nsid w:val="8EDBDAB"/>
    <w:multiLevelType w:val="hybridMultilevel"/>
    <w:lvl w:ilvl="0">
      <w:lvlJc w:val="left"/>
      <w:lvlText w:val="%1"/>
      <w:numFmt w:val="lowerLetter"/>
      <w:start w:val="1"/>
    </w:lvl>
    <w:lvl w:ilvl="1">
      <w:lvlJc w:val="left"/>
      <w:lvlText w:val="(%2)"/>
      <w:numFmt w:val="lowerLetter"/>
      <w:start w:val="35"/>
    </w:lvl>
  </w:abstractNum>
  <w:abstractNum w:abstractNumId="14">
    <w:nsid w:val="79838CB2"/>
    <w:multiLevelType w:val="hybridMultilevel"/>
    <w:lvl w:ilvl="0">
      <w:lvlJc w:val="left"/>
      <w:lvlText w:val="(%1)"/>
      <w:numFmt w:val="lowerLetter"/>
      <w:start w:val="3"/>
    </w:lvl>
    <w:lvl w:ilvl="1">
      <w:lvlJc w:val="left"/>
      <w:lvlText w:val="(%2)"/>
      <w:numFmt w:val="lowerLetter"/>
      <w:start w:val="9"/>
    </w:lvl>
  </w:abstractNum>
  <w:abstractNum w:abstractNumId="15">
    <w:nsid w:val="4353D0CD"/>
    <w:multiLevelType w:val="hybridMultilevel"/>
    <w:lvl w:ilvl="0">
      <w:lvlJc w:val="left"/>
      <w:lvlText w:val="(%1)"/>
      <w:numFmt w:val="upperLetter"/>
      <w:start w:val="3"/>
    </w:lvl>
    <w:lvl w:ilvl="1">
      <w:lvlJc w:val="left"/>
      <w:lvlText w:val="(%2)"/>
      <w:numFmt w:val="lowerRoman"/>
      <w:start w:val="3"/>
    </w:lvl>
  </w:abstractNum>
  <w:abstractNum w:abstractNumId="16">
    <w:nsid w:val="B03E0C6"/>
    <w:multiLevelType w:val="hybridMultilevel"/>
    <w:lvl w:ilvl="0">
      <w:lvlJc w:val="left"/>
      <w:lvlText w:val="(%1)"/>
      <w:numFmt w:val="lowerRoman"/>
      <w:start w:val="4"/>
    </w:lvl>
  </w:abstractNum>
  <w:abstractNum w:abstractNumId="17">
    <w:nsid w:val="189A769B"/>
    <w:multiLevelType w:val="hybridMultilevel"/>
    <w:lvl w:ilvl="0">
      <w:lvlJc w:val="left"/>
      <w:lvlText w:val="(%1)"/>
      <w:numFmt w:val="lowerRoman"/>
      <w:start w:val="7"/>
    </w:lvl>
  </w:abstractNum>
  <w:abstractNum w:abstractNumId="18">
    <w:nsid w:val="54E49EB4"/>
    <w:multiLevelType w:val="hybridMultilevel"/>
    <w:lvl w:ilvl="0">
      <w:lvlJc w:val="left"/>
      <w:lvlText w:val="%1"/>
      <w:numFmt w:val="upperLetter"/>
      <w:start w:val="1"/>
    </w:lvl>
    <w:lvl w:ilvl="1">
      <w:lvlJc w:val="left"/>
      <w:lvlText w:val="(%2)"/>
      <w:numFmt w:val="lowerRoman"/>
      <w:start w:val="10"/>
    </w:lvl>
    <w:lvl w:ilvl="2">
      <w:lvlJc w:val="left"/>
      <w:lvlText w:val="%3"/>
      <w:numFmt w:val="upperLetter"/>
      <w:start w:val="1"/>
    </w:lvl>
    <w:lvl w:ilvl="3">
      <w:lvlJc w:val="left"/>
      <w:lvlText w:val="%4"/>
      <w:numFmt w:val="decimal"/>
      <w:start w:val="1"/>
    </w:lvl>
  </w:abstractNum>
  <w:abstractNum w:abstractNumId="19">
    <w:nsid w:val="71F32454"/>
    <w:multiLevelType w:val="hybridMultilevel"/>
    <w:lvl w:ilvl="0">
      <w:lvlJc w:val="left"/>
      <w:lvlText w:val="(%1)"/>
      <w:numFmt w:val="upperLetter"/>
      <w:start w:val="2"/>
    </w:lvl>
    <w:lvl w:ilvl="1">
      <w:lvlJc w:val="left"/>
      <w:lvlText w:val="(%2)"/>
      <w:numFmt w:val="lowerRoman"/>
      <w:start w:val="11"/>
    </w:lvl>
    <w:lvl w:ilvl="2">
      <w:lvlJc w:val="left"/>
      <w:lvlText w:val="(%3)"/>
      <w:numFmt w:val="upperLetter"/>
      <w:start w:val="1"/>
    </w:lvl>
    <w:lvl w:ilvl="3">
      <w:lvlJc w:val="left"/>
      <w:lvlText w:val="(%4)"/>
      <w:numFmt w:val="decimal"/>
      <w:start w:val="1"/>
    </w:lvl>
  </w:abstractNum>
  <w:abstractNum w:abstractNumId="20">
    <w:nsid w:val="2CA8861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21">
    <w:nsid w:val="836C40E"/>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2">
    <w:nsid w:val="2901D82"/>
    <w:multiLevelType w:val="hybridMultilevel"/>
    <w:lvl w:ilvl="0">
      <w:lvlJc w:val="left"/>
      <w:lvlText w:val="(%1)"/>
      <w:numFmt w:val="lowerRoman"/>
      <w:start w:val="12"/>
    </w:lvl>
    <w:lvl w:ilvl="1">
      <w:lvlJc w:val="left"/>
      <w:lvlText w:val="%2"/>
      <w:numFmt w:val="upperLetter"/>
      <w:start w:val="1"/>
    </w:lvl>
    <w:lvl w:ilvl="2">
      <w:lvlJc w:val="left"/>
      <w:lvlText w:val="%3"/>
      <w:numFmt w:val="decimal"/>
      <w:start w:val="1"/>
    </w:lvl>
  </w:abstractNum>
  <w:abstractNum w:abstractNumId="23">
    <w:nsid w:val="3A95F874"/>
    <w:multiLevelType w:val="hybridMultilevel"/>
    <w:lvl w:ilvl="0">
      <w:lvlJc w:val="left"/>
      <w:lvlText w:val="(%1)"/>
      <w:numFmt w:val="lowerRoman"/>
      <w:start w:val="13"/>
    </w:lvl>
  </w:abstractNum>
  <w:abstractNum w:abstractNumId="24">
    <w:nsid w:val="8138641"/>
    <w:multiLevelType w:val="hybridMultilevel"/>
    <w:lvl w:ilvl="0">
      <w:lvlJc w:val="left"/>
      <w:lvlText w:val="(%1)"/>
      <w:numFmt w:val="lowerLetter"/>
      <w:start w:val="4"/>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2"/>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lvl w:ilvl="1">
      <w:lvlJc w:val="left"/>
      <w:lvlText w:val="(%2)"/>
      <w:numFmt w:val="lowerLetter"/>
      <w:start w:val="3"/>
    </w:lvl>
  </w:abstractNum>
  <w:abstractNum w:abstractNumId="29">
    <w:nsid w:val="22221A70"/>
    <w:multiLevelType w:val="hybridMultilevel"/>
    <w:lvl w:ilvl="0">
      <w:lvlJc w:val="left"/>
      <w:lvlText w:val="(%1)"/>
      <w:numFmt w:val="lowerLetter"/>
      <w:start w:val="35"/>
    </w:lvl>
    <w:lvl w:ilvl="1">
      <w:lvlJc w:val="left"/>
      <w:lvlText w:val="%2"/>
      <w:numFmt w:val="lowerLetter"/>
      <w:start w:val="1"/>
    </w:lvl>
  </w:abstractNum>
  <w:abstractNum w:abstractNumId="30">
    <w:nsid w:val="4516DDE9"/>
    <w:multiLevelType w:val="hybridMultilevel"/>
    <w:lvl w:ilvl="0">
      <w:lvlJc w:val="left"/>
      <w:lvlText w:val="(%1)"/>
      <w:numFmt w:val="lowerLetter"/>
      <w:start w:val="4"/>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4"/>
    </w:lvl>
    <w:lvl w:ilvl="1">
      <w:lvlJc w:val="left"/>
      <w:lvlText w:val="(%2)"/>
      <w:numFmt w:val="lowerRoman"/>
      <w:start w:val="1"/>
    </w:lvl>
  </w:abstractNum>
  <w:abstractNum w:abstractNumId="33">
    <w:nsid w:val="419AC241"/>
    <w:multiLevelType w:val="hybridMultilevel"/>
    <w:lvl w:ilvl="0">
      <w:lvlJc w:val="left"/>
      <w:lvlText w:val="(%1)"/>
      <w:numFmt w:val="lowerLetter"/>
      <w:start w:val="6"/>
    </w:lvl>
  </w:abstractNum>
  <w:abstractNum w:abstractNumId="34">
    <w:nsid w:val="5577F8E1"/>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2019-12-15T07:17:49Z</dcterms:created>
  <dcterms:modified xsi:type="dcterms:W3CDTF">2019-12-15T07:17:49Z</dcterms:modified>
</cp:coreProperties>
</file>