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83,539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were effected by the reporting person, pursuant to their Rule 10b5-1 trading plan, adopted November 24,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2021-01-06T20:07:41Z</dcterms:created>
  <dcterms:modified xsi:type="dcterms:W3CDTF">2021-01-06T20:07:41Z</dcterms:modified>
</cp:coreProperties>
</file>