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4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44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8,597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10,507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976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(5)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 (the "Plan"),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7,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the Company granted pursuant to the Plan, with 1/3 of the shares vesting on each of the three consecutive anniversary dates from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the Company granted pursuant to the Plan. Vesting of the shares is based on achievement of pre-established financial performance goals for the trailing one-, two-, and three-year periods ended December 31, 2025, 2026 and 2027, respectively, and if met, 1/3 of the shares will vest on each of the dates of February 28, 2026, 2027 and 2028.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2025-01-10T19:20:16Z</dcterms:created>
  <dcterms:modified xsi:type="dcterms:W3CDTF">2025-01-10T19:20:16Z</dcterms:modified>
</cp:coreProperties>
</file>