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May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May 5, 2016, Wynn Resorts, Limited issued a press release announcing its results of operations for the first quarter ended March 31, 2016.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May 5, 2016, the Company announced a cash dividend of $0.50 per share, payable on May 26, 2016 to stockholders of record as of May 17, 2016.</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89"/>
              </w:rPr>
              <w:t>Press release, dated May 5, 2016, of Wynn Resorts, Limited.</w:t>
            </w:r>
          </w:p>
        </w:tc>
      </w:tr>
    </w:tbl>
    <w:p>
      <w:pPr>
        <w:sectPr>
          <w:pgSz w:w="11900" w:h="16838" w:orient="portrait"/>
          <w:cols w:equalWidth="0" w:num="1">
            <w:col w:w="11360"/>
          </w:cols>
          <w:pgMar w:left="240" w:top="958" w:right="2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May 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100" w:type="dxa"/>
            <w:vAlign w:val="bottom"/>
          </w:tcPr>
          <w:p>
            <w:pPr>
              <w:spacing w:after="0"/>
              <w:rPr>
                <w:sz w:val="20"/>
                <w:szCs w:val="20"/>
                <w:color w:val="auto"/>
              </w:rPr>
            </w:pPr>
            <w:r>
              <w:rPr>
                <w:rFonts w:ascii="Arial" w:cs="Arial" w:eastAsia="Arial" w:hAnsi="Arial"/>
                <w:sz w:val="18"/>
                <w:szCs w:val="18"/>
                <w:color w:val="auto"/>
              </w:rPr>
              <w:t>Dated: May 5, 2016</w:t>
            </w: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w w:val="92"/>
              </w:rPr>
              <w:t>Wynn Las Vegas Holdings, LLC, its sole member</w:t>
            </w:r>
          </w:p>
        </w:tc>
      </w:tr>
      <w:tr>
        <w:trPr>
          <w:trHeight w:val="567"/>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sole member</w:t>
            </w:r>
          </w:p>
        </w:tc>
      </w:tr>
      <w:tr>
        <w:trPr>
          <w:trHeight w:val="526"/>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Limited, its sole</w:t>
            </w:r>
          </w:p>
        </w:tc>
      </w:tr>
      <w:tr>
        <w:trPr>
          <w:trHeight w:val="230"/>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member</w:t>
            </w:r>
          </w:p>
        </w:tc>
      </w:tr>
      <w:tr>
        <w:trPr>
          <w:trHeight w:val="567"/>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80"/>
              <w:spacing w:after="0"/>
              <w:rPr>
                <w:sz w:val="20"/>
                <w:szCs w:val="20"/>
                <w:color w:val="auto"/>
              </w:rPr>
            </w:pPr>
            <w:r>
              <w:rPr>
                <w:rFonts w:ascii="Arial" w:cs="Arial" w:eastAsia="Arial" w:hAnsi="Arial"/>
                <w:sz w:val="18"/>
                <w:szCs w:val="18"/>
                <w:color w:val="auto"/>
              </w:rPr>
              <w:t>/s/ Stephen Cootey</w:t>
            </w:r>
          </w:p>
        </w:tc>
      </w:tr>
      <w:tr>
        <w:trPr>
          <w:trHeight w:val="27"/>
        </w:trPr>
        <w:tc>
          <w:tcPr>
            <w:tcW w:w="410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r>
      <w:tr>
        <w:trPr>
          <w:trHeight w:val="224"/>
        </w:trPr>
        <w:tc>
          <w:tcPr>
            <w:tcW w:w="4100" w:type="dxa"/>
            <w:vAlign w:val="bottom"/>
          </w:tcPr>
          <w:p>
            <w:pPr>
              <w:spacing w:after="0"/>
              <w:rPr>
                <w:sz w:val="19"/>
                <w:szCs w:val="19"/>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w w:val="71"/>
              </w:rPr>
              <w:t>Stephen</w:t>
            </w:r>
          </w:p>
        </w:tc>
        <w:tc>
          <w:tcPr>
            <w:tcW w:w="3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Cootey</w:t>
            </w:r>
          </w:p>
        </w:tc>
      </w:tr>
    </w:tbl>
    <w:p>
      <w:pPr>
        <w:spacing w:after="0" w:line="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80"/>
          </w:cols>
          <w:pgMar w:left="240" w:top="796"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May 5, 2016,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First Quarter 2016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LAS VEGAS, May 5, 2016 — Wynn Resorts, Limited (Nasdaq: WYNN) today reported financial results for the first quarter ended March 31, 2016.</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revenues for the first quarter of 2016 were $997.7 million, compared to $1.09 billion in the first quarter of 2015. The decline was the result of a 13.8% decrease from our Macau Operations, partially offset by a 0.7% increase from our Las Vegas Operations. Adjusted Property EBITDA (1) was $300.3 million for the first quarter of 2016, a 7.0% decrease from $323.0 million in the first quarter of 2015.</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a US GAAP basis, net income attributable to Wynn Resorts, Limited for the first quarter of 2016 was $75.2 million, or $0.74 per diluted share, compared to a net loss attributable to Wynn Resorts, Limited of $44.6 million, or $0.44 per diluted share, in the first quarter of 2015. Adjusted net income attributable to Wynn Resorts, Limited (2) in the first quarter of 2016 was $108.8 million, or $1.07 per diluted share, compared to an adjusted net income attributable to Wynn Resorts, Limited of $70.5 million, or $0.70 per diluted share, in the first quarter of 2015. The 2016 results reflect an out-of-period adjustment related to capitalized interest that reduced interest expense by $25.6 million, increasing net income and adjusted net income attributable to Wynn Resorts, Limited by $18.5 million and diluted net income and adjusted net income per common share by $0.18. Of this adjustment to net income and adjusted net income attributable to Wynn Resorts, Limited, $3.7 million, or $0.04 per diluted share, related to the first quarter of 2015.</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share, payable on May 26, 2016 to stockholders of record on May 17,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the first quarter of 2016, net revenues were $608.2 million, a 13.8% decrease from the $705.4 million generated in the first quarter of 2015. Adjusted Property EBITDA in the first quarter of 2016 was $191.2 million, down 9.9% from $212.3 million in the first quarter of 2015.</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Table games turnover in the VIP segment was $13.47 billion for the first quarter of 2016, a 21.4% decrease from $17.13 billion in the first quarter of 2015. VIP table games win as a percentage of turnover (calculated before commissions) for the quarter was 2.81%, within the expected range of 2.7% to 3.0% and flat compared to the 2.80% experienced in the first quarter of 2015. The average number of VIP tables decreased to 189 units in the first quarter of 2016 from 252 units in the first quarter of 2015.</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Commencing in the second quarter of 2015, the Company determined that it will include the amount of cash that is deposited in a gaming table's drop box plus cash chips purchased at the casino cage in the calculation of table drop in accordance with standard Macau industry practice. Table drop in the mass market segment was $1.21 billion in the first quarter of 2016, down 5.6% from the 2015 first quarter. Table games win in the mass market segment decreased by 11.5% to $247.5 million in the first quarter of 2016. The mass market table games win percentage of 20.5% in the first quarter of 2016 was below the 21.8% experienced in the first quarter of 2015.</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Slot machine handle for the first quarter of 2016 increased 5.5% from the 2015 period to $1.10 billion, and slot win increased by 5.6% to $50.4 million.</w:t>
      </w:r>
    </w:p>
    <w:p>
      <w:pPr>
        <w:spacing w:after="0" w:line="23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During the first quarter of 2016, total non-casino revenues, before promotional allowances, decreased 13.2% to $76.7 million. We achieved an average daily rate ("ADR") of $324, down 2.1% compared to the $331 reported in the 2015 first quarter. Occupancy at Wynn Macau was 94.8%, down from 97.5% in the prior-year period. Revenue per available room ("REVPAR") decreased 5.0% to $307 in the 2016 quarter from $323 in last year’s first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first quarter of 2016, net revenues were $389.4 million, a 0.7% increase from $386.9 million in the first quarter of 2015. Adjusted Property EBITDA was $109.0 million, down 1.5% from $110.7 million in the prior year.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Table games drop of $475.2 million was down 17.2% from $573.6 million in the 2015 quarter. Table games win decreased 7.8% to $125.0 million in the first quarter of 2016. Table games win percentage was 26.3%, above the property’s expected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ind w:right="80"/>
        <w:spacing w:after="0" w:line="277" w:lineRule="auto"/>
        <w:rPr>
          <w:sz w:val="20"/>
          <w:szCs w:val="20"/>
          <w:color w:val="auto"/>
        </w:rPr>
      </w:pPr>
      <w:r>
        <w:rPr>
          <w:rFonts w:ascii="Arial" w:cs="Arial" w:eastAsia="Arial" w:hAnsi="Arial"/>
          <w:sz w:val="18"/>
          <w:szCs w:val="18"/>
          <w:color w:val="auto"/>
        </w:rPr>
        <w:t>range of 21% to 25% and above the 23.7% reported in the first quarter of 2015. Slot machine handle of $717.5 million was 5.9% below the $762.2 million in the comparable period of 2015, and slot win was up 2.4% to $49.6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2016, total non-casino revenues, before promotional allowances, increased 0.5% from the first quarter of 2015 to $271.3 million.</w:t>
      </w:r>
    </w:p>
    <w:p>
      <w:pPr>
        <w:spacing w:after="0" w:line="2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Room revenues increased 5.5% to $105.1 million during the quarter, versus $99.6 million in the first quarter of 2015. ADR increased 5.3% to $298 from $283 and occupancy decreased to 81.7% from 83.0%. REVPAR was $243 in the 2016 first quarter, 3.4% above the $235 reported in the first quarter of 2015.</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Food and beverage revenues in the first quarter of 2016 were $110.9 million, down 3.1% compared to the 2015 first quarter. Entertainment, retail and other revenues decreased 1.2% from last year’s quarter to $55.2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is currently constructing Wynn Palace, an integrated resort containing a 1,700-room hotel, a performance lake, and a wide range of amenities; including meeting, retail, food and beverage, and casino spaces, in the Cotai area of Macau. We have a $2.7 billion guaranteed maximum price ("GMP") contract for the project’s construction costs. The total project budget, including construction costs, capitalized interest, pre-opening expenses, land costs and financing fees, is approximately $4.2 billion. We expect to open Wynn Palace in the third quarter of 2016.</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first quarter of 2016, we invested approximately $177.5 million in Wynn Palace, taking the total investment to $3.7 billion through March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Boston Harbor Project in Massachusetts</w:t>
      </w:r>
    </w:p>
    <w:p>
      <w:pPr>
        <w:spacing w:after="0" w:line="229" w:lineRule="exact"/>
        <w:rPr>
          <w:sz w:val="20"/>
          <w:szCs w:val="20"/>
          <w:color w:val="auto"/>
        </w:rPr>
      </w:pPr>
    </w:p>
    <w:p>
      <w:pPr>
        <w:ind w:right="560"/>
        <w:spacing w:after="0" w:line="257" w:lineRule="auto"/>
        <w:rPr>
          <w:sz w:val="20"/>
          <w:szCs w:val="20"/>
          <w:color w:val="auto"/>
        </w:rPr>
      </w:pPr>
      <w:r>
        <w:rPr>
          <w:rFonts w:ascii="Arial" w:cs="Arial" w:eastAsia="Arial" w:hAnsi="Arial"/>
          <w:sz w:val="18"/>
          <w:szCs w:val="18"/>
          <w:color w:val="auto"/>
        </w:rPr>
        <w:t>In November 2014, the Company was awarded a gaming license to develop and construct Wynn Boston Harbor, an integrated resort in Everett, Massachusetts, adjacent to Boston. Wynn Boston Harbor will be located on a 33-acre site along the Mystic River and will contain a hotel, a waterfront boardwalk, meeting space, casino space, a spa, retail offerings and food and beverage outlets. The total project budget, including construction costs, capitalized interest, pre-opening costs and land costs, is estimated to be between $1.9 billion and $2.1 billion. We have begun site remediation, site preparation and pre-construction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investment securities at March 31, 2016 were $2.37 billion.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debt outstanding at the end of the quarter was $9.41 billion, including $4.20 billion of Macau debt, $3.17 billion of Wynn Las Vegas debt and $2.04 billion of debt at the parent company and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will hold a conference call to discuss its results on May 5, 2016 at 1:30 p.m. PT (4:30 p.m. ET). Interested parties are invited to join the call by accessing a live audio webcast at http://www.wynnresorts.com.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2015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rFonts w:ascii="Arial" w:cs="Arial" w:eastAsia="Arial" w:hAnsi="Arial"/>
          <w:sz w:val="16"/>
          <w:szCs w:val="16"/>
          <w:color w:val="auto"/>
        </w:rPr>
      </w:pPr>
    </w:p>
    <w:p>
      <w:pPr>
        <w:ind w:right="40" w:firstLine="8"/>
        <w:spacing w:after="0" w:line="271"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before pre-opening costs, loss on extinguishment of debt, change in interest rate swap fair value, change in Redemption Note fair value, property charges and other, net of noncontrolling interest and taxes in respective jurisdictions. Adjusted net income attributable to Wynn Resorts, Limited and adjusted net income attributable to Wynn Resorts, Limited per diluted share (“adjusted EPS”) are presented as supplemental disclosures because management believes that these non-GAAP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attributable to Wynn Resorts, Limited, (ii) operating income to Adjusted Property EBITDA, and (iii) Adjusted Property EBITDA to net income (loss) attributable to Wynn Resorts, Limited.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96"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732,730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826,099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132,055</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130,444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136,013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90,376</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Gross revenues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1,080,761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1,184,543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(92,305)</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997,678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1,092,238</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452,540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524,053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36,686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79,420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76,406</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40,294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117,445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122,200</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6,079</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33,769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16,091</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82,866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2,504</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839,380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907,179</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158,298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185,059</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1,692</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(77,983)</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Change in swap fair value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Redemption Note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(116,194)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1,133</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(195,764)</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109,710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105,792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(13,902)</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(30,699)</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income (loss) attributable to Wynn Resorts, Limited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75,221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(44,601)</w:t>
            </w:r>
          </w:p>
        </w:tc>
      </w:tr>
      <w:tr>
        <w:trPr>
          <w:trHeight w:val="67"/>
        </w:trPr>
        <w:tc>
          <w:tcPr>
            <w:tcW w:w="83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income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101,392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101,135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101,135</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ectPr>
          <w:pgSz w:w="11900" w:h="16838" w:orient="portrait"/>
          <w:cols w:equalWidth="0" w:num="1">
            <w:col w:w="11380"/>
          </w:cols>
          <w:pgMar w:left="260" w:top="580" w:right="25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60" w:top="580" w:right="259" w:bottom="1440" w:gutter="0" w:footer="0" w:header="0"/>
          <w:type w:val="continuous"/>
        </w:sectPr>
      </w:pPr>
    </w:p>
    <w:bookmarkStart w:id="9" w:name="page10"/>
    <w:bookmarkEnd w:id="9"/>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ATTRIBUTABLE TO WYNN RESORTS, LIMITED (in thousands, except per share data)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30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(44,601)</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Pre-opening costs, net</w:t>
            </w:r>
          </w:p>
        </w:tc>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13,448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 net</w:t>
            </w:r>
          </w:p>
        </w:tc>
        <w:tc>
          <w:tcPr>
            <w:tcW w:w="2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95,860</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Change in swap fair value, net</w:t>
            </w:r>
          </w:p>
        </w:tc>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Redemption Note fair value, net</w:t>
            </w:r>
          </w:p>
        </w:tc>
        <w:tc>
          <w:tcPr>
            <w:tcW w:w="2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Property charges and other, net</w:t>
            </w:r>
          </w:p>
        </w:tc>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 (2)</w:t>
            </w:r>
          </w:p>
        </w:tc>
        <w:tc>
          <w:tcPr>
            <w:tcW w:w="2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Adjusted net income attributable to Wynn Resorts, Limited per diluted share</w:t>
            </w:r>
          </w:p>
        </w:tc>
        <w:tc>
          <w:tcPr>
            <w:tcW w:w="2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3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67"/>
        </w:trPr>
        <w:tc>
          <w:tcPr>
            <w:tcW w:w="5600" w:type="dxa"/>
            <w:vAlign w:val="bottom"/>
            <w:tcBorders>
              <w:bottom w:val="single" w:sz="8" w:color="CCEEFF"/>
            </w:tcBorders>
          </w:tcPr>
          <w:p>
            <w:pPr>
              <w:spacing w:after="0"/>
              <w:rPr>
                <w:sz w:val="5"/>
                <w:szCs w:val="5"/>
                <w:color w:val="auto"/>
              </w:rPr>
            </w:pPr>
          </w:p>
        </w:tc>
        <w:tc>
          <w:tcPr>
            <w:tcW w:w="2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6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101,686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101,135</w:t>
            </w:r>
          </w:p>
        </w:tc>
        <w:tc>
          <w:tcPr>
            <w:tcW w:w="0" w:type="dxa"/>
            <w:vAlign w:val="bottom"/>
          </w:tcPr>
          <w:p>
            <w:pPr>
              <w:spacing w:after="0"/>
              <w:rPr>
                <w:sz w:val="1"/>
                <w:szCs w:val="1"/>
                <w:color w:val="auto"/>
              </w:rPr>
            </w:pPr>
          </w:p>
        </w:tc>
      </w:tr>
      <w:tr>
        <w:trPr>
          <w:trHeight w:val="702"/>
        </w:trPr>
        <w:tc>
          <w:tcPr>
            <w:tcW w:w="5600" w:type="dxa"/>
            <w:vAlign w:val="bottom"/>
          </w:tcPr>
          <w:p>
            <w:pPr>
              <w:spacing w:after="0"/>
              <w:rPr>
                <w:sz w:val="24"/>
                <w:szCs w:val="24"/>
                <w:color w:val="auto"/>
              </w:rPr>
            </w:pPr>
          </w:p>
        </w:tc>
        <w:tc>
          <w:tcPr>
            <w:tcW w:w="2740" w:type="dxa"/>
            <w:vAlign w:val="bottom"/>
          </w:tcPr>
          <w:p>
            <w:pPr>
              <w:jc w:val="right"/>
              <w:ind w:right="249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 AND ADJUSTED PROPERTY EBITDA TO NET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(LOSS)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2016</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Las Vegas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158,298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33,769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77,971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6,942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191,245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109,024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300,269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Las Vegas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130,946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185,059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82,866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13,691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25,642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212,342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110,677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323,019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323,019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(77,983)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swap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Increase in Redemption Note fair value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(116,194)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105,792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75,221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for win per unit per day, ADR and REVPAR)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13,469,939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17,127,666</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378,652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480,364</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21,147</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214</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Table drop (b)</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1,210,100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1,281,414</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279,560</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14,517</w:t>
            </w:r>
          </w:p>
        </w:tc>
      </w:tr>
      <w:tr>
        <w:trPr>
          <w:trHeight w:val="297"/>
        </w:trPr>
        <w:tc>
          <w:tcPr>
            <w:tcW w:w="8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649</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1,096,337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1,039,615</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47,777</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Slot machine win per unit per day (c)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818</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8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b w:val="1"/>
                <w:bCs w:val="1"/>
                <w:color w:val="auto"/>
              </w:rPr>
              <w:t>Room statistics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ADR (d)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331</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REVPAR (e)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r>
      <w:tr>
        <w:trPr>
          <w:trHeight w:val="297"/>
        </w:trPr>
        <w:tc>
          <w:tcPr>
            <w:tcW w:w="8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 (b)</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475,162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573,612</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125,046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135,679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Table games win per unit per day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6,351</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8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1,854</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717,460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762,184</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49,584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48,417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 (c)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290</w:t>
            </w:r>
          </w:p>
        </w:tc>
      </w:tr>
      <w:tr>
        <w:trPr>
          <w:trHeight w:val="297"/>
        </w:trPr>
        <w:tc>
          <w:tcPr>
            <w:tcW w:w="8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Room statistics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ADR (d)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REVPAR (e)</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235</w:t>
            </w:r>
          </w:p>
        </w:tc>
      </w:tr>
    </w:tbl>
    <w:p>
      <w:pPr>
        <w:spacing w:after="0" w:line="26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2" w:name="page13"/>
    <w:bookmarkEnd w:id="12"/>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revenues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36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revenues including the retail value of promotional allowances (less service charges, if any) by total rooms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sectPr>
      <w:pgSz w:w="11900" w:h="16838" w:orient="portrait"/>
      <w:cols w:equalWidth="0" w:num="1">
        <w:col w:w="11320"/>
      </w:cols>
      <w:pgMar w:left="24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2019-12-07T16:53:30Z</dcterms:created>
  <dcterms:modified xsi:type="dcterms:W3CDTF">2019-12-07T16:53:30Z</dcterms:modified>
</cp:coreProperties>
</file>