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-220345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ind w:left="720" w:right="200" w:hanging="685"/>
        <w:spacing w:after="0" w:line="25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-297815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59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46-0484987</w:t>
            </w:r>
          </w:p>
        </w:tc>
      </w:tr>
      <w:tr>
        <w:trPr>
          <w:trHeight w:val="178"/>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5"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4">
            <w:col w:w="1620" w:space="720"/>
            <w:col w:w="5220" w:space="720"/>
            <w:col w:w="2000" w:space="720"/>
            <w:col w:w="420"/>
          </w:cols>
          <w:pgMar w:left="240" w:top="225" w:right="239" w:bottom="1440" w:gutter="0" w:footer="0" w:header="0"/>
          <w:type w:val="continuous"/>
        </w:sectPr>
      </w:pP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63" w:lineRule="exact"/>
        <w:rPr>
          <w:sz w:val="24"/>
          <w:szCs w:val="24"/>
          <w:color w:val="auto"/>
        </w:rPr>
      </w:pPr>
    </w:p>
    <w:p>
      <w:pPr>
        <w:sectPr>
          <w:pgSz w:w="11900" w:h="16838" w:orient="portrait"/>
          <w:cols w:equalWidth="0" w:num="4">
            <w:col w:w="8620" w:space="180"/>
            <w:col w:w="260" w:space="80"/>
            <w:col w:w="160" w:space="180"/>
            <w:col w:w="1940"/>
          </w:cols>
          <w:pgMar w:left="240" w:top="225" w:right="2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7440" w:type="dxa"/>
            <w:vAlign w:val="bottom"/>
          </w:tcPr>
          <w:p>
            <w:pPr>
              <w:spacing w:after="0"/>
              <w:rPr>
                <w:sz w:val="13"/>
                <w:szCs w:val="13"/>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 at October 31, 2016</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9100" w:type="dxa"/>
            <w:vAlign w:val="bottom"/>
            <w:gridSpan w:val="3"/>
          </w:tcPr>
          <w:p>
            <w:pPr>
              <w:jc w:val="center"/>
              <w:ind w:right="61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00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101,740,911</w:t>
            </w:r>
          </w:p>
        </w:tc>
        <w:tc>
          <w:tcPr>
            <w:tcW w:w="3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44"/>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80" w:type="dxa"/>
            <w:vAlign w:val="bottom"/>
            <w:gridSpan w:val="10"/>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80" w:type="dxa"/>
            <w:vAlign w:val="bottom"/>
            <w:gridSpan w:val="10"/>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September 30, 2016 (unaudited) and December 31,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(unaudited) – Three and Nine Months Ended September 30, 2016</w:t>
              </w:r>
            </w:hyperlink>
          </w:p>
        </w:tc>
        <w:tc>
          <w:tcPr>
            <w:tcW w:w="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2015</w:t>
              </w:r>
            </w:hyperlink>
          </w:p>
        </w:tc>
        <w:tc>
          <w:tcPr>
            <w:tcW w:w="846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(unaudited) – Three and Nine Months Ended</w:t>
              </w:r>
            </w:hyperlink>
          </w:p>
        </w:tc>
        <w:tc>
          <w:tcPr>
            <w:tcW w:w="76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2016 and 2015</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Stockholders' Equity (Deficit) (unaudited) – Nine Months Ended September 30,</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2016</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(unaudited) – Nine Months Ended September 30, 2016 and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 (unaudited)</w:t>
              </w:r>
            </w:hyperlink>
          </w:p>
        </w:tc>
        <w:tc>
          <w:tcPr>
            <w:tcW w:w="7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2.</w:t>
              </w:r>
            </w:hyperlink>
          </w:p>
        </w:tc>
        <w:tc>
          <w:tcPr>
            <w:tcW w:w="860" w:type="dxa"/>
            <w:vAlign w:val="bottom"/>
            <w:gridSpan w:val="4"/>
          </w:tcPr>
          <w:p>
            <w:pPr>
              <w:spacing w:after="0"/>
              <w:rPr>
                <w:sz w:val="21"/>
                <w:szCs w:val="21"/>
                <w:color w:val="auto"/>
              </w:rPr>
            </w:pP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31</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Controls and Procedures</w:t>
              </w:r>
            </w:hyperlink>
          </w:p>
        </w:tc>
        <w:tc>
          <w:tcPr>
            <w:tcW w:w="7680" w:type="dxa"/>
            <w:vAlign w:val="bottom"/>
            <w:gridSpan w:val="1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51</w:t>
              </w:r>
            </w:hyperlink>
          </w:p>
        </w:tc>
      </w:tr>
      <w:tr>
        <w:trPr>
          <w:trHeight w:val="588"/>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1A.</w:t>
              </w:r>
            </w:hyperlink>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53</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6.</w:t>
              </w:r>
            </w:hyperlink>
          </w:p>
        </w:tc>
        <w:tc>
          <w:tcPr>
            <w:tcW w:w="860" w:type="dxa"/>
            <w:vAlign w:val="bottom"/>
            <w:gridSpan w:val="4"/>
          </w:tcPr>
          <w:p>
            <w:pPr>
              <w:spacing w:after="0"/>
              <w:rPr>
                <w:sz w:val="21"/>
                <w:szCs w:val="21"/>
                <w:color w:val="auto"/>
              </w:rPr>
            </w:pP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54</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1"/>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20"/>
        </w:trPr>
        <w:tc>
          <w:tcPr>
            <w:tcW w:w="8340" w:type="dxa"/>
            <w:vAlign w:val="bottom"/>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60"/>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1,510,808</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2,080,089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225,996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115,297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177,591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187,887</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88,728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74,493</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54,074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48,012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2,057,197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2,505,778</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8,270,047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7,477,478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202,851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2,060</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77,549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136,256</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114,184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110,972</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204,116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225,888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727</w:t>
            </w:r>
          </w:p>
        </w:tc>
      </w:tr>
      <w:tr>
        <w:trPr>
          <w:trHeight w:val="270"/>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10,925,944</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190"/>
        </w:trPr>
        <w:tc>
          <w:tcPr>
            <w:tcW w:w="8340" w:type="dxa"/>
            <w:vAlign w:val="bottom"/>
            <w:shd w:val="clear" w:color="auto" w:fill="CCEEFF"/>
          </w:tcPr>
          <w:p>
            <w:pPr>
              <w:ind w:left="360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356,533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210,372</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16,000</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529,192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436,409</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145,679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98,559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152,014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129,697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74,325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98,129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172,527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121,005</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1,430,270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1,110,171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9,440,856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9,149,665</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83,157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141,121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36,093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36,357</w:t>
            </w:r>
          </w:p>
        </w:tc>
      </w:tr>
      <w:tr>
        <w:trPr>
          <w:trHeight w:val="244"/>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10,990,376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10,437,314</w:t>
            </w:r>
          </w:p>
        </w:tc>
      </w:tr>
      <w:tr>
        <w:trPr>
          <w:trHeight w:val="19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8340" w:type="dxa"/>
            <w:vAlign w:val="bottom"/>
          </w:tcPr>
          <w:p>
            <w:pPr>
              <w:ind w:left="380"/>
              <w:spacing w:after="0" w:line="179" w:lineRule="exact"/>
              <w:rPr>
                <w:sz w:val="20"/>
                <w:szCs w:val="20"/>
                <w:color w:val="auto"/>
              </w:rPr>
            </w:pPr>
            <w:r>
              <w:rPr>
                <w:rFonts w:ascii="Times New Roman" w:cs="Times New Roman" w:eastAsia="Times New Roman" w:hAnsi="Times New Roman"/>
                <w:sz w:val="16"/>
                <w:szCs w:val="16"/>
                <w:color w:val="auto"/>
              </w:rPr>
              <w:t>Common stock, par value $0.01; 400,000,000 shares authorized; 114,899,209 and 114,610,441 shares issued; 101,740,911</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101,571,909 shares outstanding, respectively</w:t>
            </w:r>
          </w:p>
        </w:tc>
        <w:tc>
          <w:tcPr>
            <w:tcW w:w="200" w:type="dxa"/>
            <w:vAlign w:val="bottom"/>
          </w:tcPr>
          <w:p>
            <w:pPr>
              <w:spacing w:after="0"/>
              <w:rPr>
                <w:sz w:val="18"/>
                <w:szCs w:val="18"/>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1,146</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13,158,298 and 13,038,532 shares, respectively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(1,152,680)</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989,654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983,131</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1,092</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32,148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55,332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deficit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69,566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133,824</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21,845</w:t>
            </w:r>
          </w:p>
        </w:tc>
      </w:tr>
      <w:tr>
        <w:trPr>
          <w:trHeight w:val="23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10,925,944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788,219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2,263,608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2,240,321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405,427</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469,072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477,312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257,256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264,843</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1,202,054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1,080,765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3,420,983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3,387,903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(258,922)</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1,109,822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3,165,864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3,128,981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505,620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1,428,532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1,435,755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111,563</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109,333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294,480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288,519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118,554</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352,546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 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13,266</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52,433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245,428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1,032,891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2,783,096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2,622,027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76,931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152,774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382,768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506,954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47,488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(306,311)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120,847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177,048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200,643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113,429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175,903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176,730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128,175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108,069</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101,151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101,708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97"/>
        </w:trPr>
        <w:tc>
          <w:tcPr>
            <w:tcW w:w="10060" w:type="dxa"/>
            <w:vAlign w:val="bottom"/>
            <w:gridSpan w:val="10"/>
          </w:tcPr>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176,730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 securities, before and after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175,860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95,990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129,105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107,307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r>
      <w:tr>
        <w:trPr>
          <w:trHeight w:val="249"/>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January 1, 2016</w:t>
            </w:r>
          </w:p>
        </w:tc>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101,571,909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(1,152,680)</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983,131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55,332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(111,979)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133,824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21,845</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128,175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128,175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47,728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175,903</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gain on investment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1,069</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348,768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repurchased by the Company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and held as treasury shares</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(119,766)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(6,291)</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Shares of subsidiary repurchased for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 award plan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(7,580)</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(151,359)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(263,084)</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Excess tax benefits from stock-based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compensation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170</w:t>
            </w:r>
          </w:p>
        </w:tc>
      </w:tr>
      <w:tr>
        <w:trPr>
          <w:trHeight w:val="264"/>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13,728</w:t>
            </w:r>
          </w:p>
        </w:tc>
      </w:tr>
      <w:tr>
        <w:trPr>
          <w:trHeight w:val="242"/>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September 30, 2016</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101,740,911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1,149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8"/>
              </w:rPr>
              <w:t>(1,158,971)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989,654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(133,998)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(64,432)</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175,903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176,730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264,187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245,428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23,357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30,324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 and other</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12,577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126,004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13,266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3,698</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income of unconsolidated affiliates, net of distributions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interest rate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Redemption Note fair value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20,116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 and prepaid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Customer deposits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92,944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(140,918)</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680,843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345,508</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(954,709)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(1,425,943)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Return of investment in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(182,600)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182,103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intangible assets and other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4,186</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(1,015,228)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(1,425,925)</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(447,504)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505,484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4,789,374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(3,341,925)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of subsidiary repurchased for share award plan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on long-term land concession obligation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(178,906)</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(234,440)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798,070</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(281,955)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2,080,089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2,182,164</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Balance,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1,510,808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1,900,209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199,388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247,250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capitalized into construction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accounts and construction payables related to property and equipment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86,680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38,942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in dividends payable on unvested restricted stock included in accrued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1,612</w:t>
            </w:r>
          </w:p>
        </w:tc>
      </w:tr>
      <w:tr>
        <w:trPr>
          <w:trHeight w:val="33"/>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11420"/>
          </w:cols>
          <w:pgMar w:left="240" w:top="118"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0" w:gutter="0" w:footer="0" w:header="0"/>
          <w:type w:val="continuous"/>
        </w:sectPr>
      </w:pPr>
    </w:p>
    <w:bookmarkStart w:id="7" w:name="page8"/>
    <w:bookmarkEnd w:id="7"/>
    <w:p>
      <w:pPr>
        <w:jc w:val="center"/>
        <w:ind w:right="-1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8"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tab/>
        <w:t>Organization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and the Company operates the integrated Wynn Macau and Encore at Wynn Macau resort and the Wynn Palace resort, both of which are owned by an indirect wholly owned subsidiary of WML. In Las Vegas, Nevada, the Company owns 100% of and operates the integrated Wynn Las Vegas and Encore at Wynn Las Vegas resort.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Company's integrated Macau resort of Wynn Macau and Encore at Wynn Macau features two luxury hotel towers with a total of 1,008 guest rooms and suites, approximately 284,000 square feet of casino space, eight food and beverage outlets, approximately 31,000 square feet of lounge and meeting space, approximately 57,000 square feet of retail space, a rotunda show and recreation and leisure facilities.</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August 22, 2016, the Company opened Wynn Palace, an integrated resort in the Cotai area of Macau. Wynn Palace features a luxury hotel tower with 1,706 guest rooms, suites and villas, approximately 500,000 square feet of casino space, 10 food and beverage outlets, approximately 40,000 square feet of lounge and meeting space, approximately 105,000 square feet of retail space, public attractions, including a performance lake and floral art displays, and recreation and leisure facilities.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refers to these resorts collectively as its Macau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Las Vegas resort of Wynn Las Vegas and Encore at Wynn Las Vegas features two luxury hotel towers with a total of 4,748 guest rooms, suites and villas, approximately 194,000 square feet of casino space, 33 food and beverage outlets, an on-site 18-hole golf course, approximately 290,000 square feet of meeting and convention space, approximately 99,000 square feet of retail space, as well as two showrooms, three nightclubs, a beach club, and recreation and leisure facilities. The Company refers to this resort as its Las Vegas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Projects</w:t>
      </w:r>
    </w:p>
    <w:p>
      <w:pPr>
        <w:spacing w:after="0" w:line="227" w:lineRule="exact"/>
        <w:rPr>
          <w:sz w:val="20"/>
          <w:szCs w:val="20"/>
          <w:color w:val="auto"/>
        </w:rPr>
      </w:pPr>
    </w:p>
    <w:p>
      <w:pPr>
        <w:ind w:right="400" w:firstLine="405"/>
        <w:spacing w:after="0" w:line="281" w:lineRule="auto"/>
        <w:rPr>
          <w:sz w:val="20"/>
          <w:szCs w:val="20"/>
          <w:color w:val="auto"/>
        </w:rPr>
      </w:pPr>
      <w:r>
        <w:rPr>
          <w:rFonts w:ascii="Times New Roman" w:cs="Times New Roman" w:eastAsia="Times New Roman" w:hAnsi="Times New Roman"/>
          <w:sz w:val="17"/>
          <w:szCs w:val="17"/>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During the quarter, the Company commenced construction activities and continues with site remediation and site preparation. The Company expects to open Wynn Boston Harbor in the first half of 2019.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under "Summary of Significant Accounting Policies: Prior Period Adjustments") necessary for a fair presentation of the results for the interim periods have been made. The results for the three and nine months ended September 30,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right="360" w:firstLine="432"/>
        <w:spacing w:after="0" w:line="289"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majority-owned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5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 deposits on property and equipment that have been reclassified for the nine months ended September 30, 2015 was $94.3 million. The reclassification had no effect on the previously reported net cash used in investing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 denominated and foreign currency denominated securities. Cash equivalents are carried at cost, which approximates fair value. Cash equivalents of $478.0 million and $846.3 million at September 30, 2016 and December 31, 2015, respectively, were invested in bank time deposits, money market funds and commercial paper. In addition, the Company held bank deposits and cash on hand of approximately $1.03 billion and $1.23 billion as of September 30, 2016 and December 31,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Company's restricted cash consists of collateral associated with borrowings under a revolving credit facility and cash held in trust in accordance with the Company's majority owned subsidiary's share award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Short-term investments have a maturity date of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2016 and December 31, 2015, approximately 87.9% and 85.1%,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Direct and incremental costs incurred and original issue discounts and premiums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the Company's revolving credit facilities are presented in noncurrent assets on the Condensed Consolidated Balance Sheets. All other deferred financing costs are presented as a direct reduction of long-term debt on the Condensed Consolidated Balance Sheets. See the Recently Issued and Adopted Accounting Standards section below for details on the presentation change of deferred financing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the Redemption Price Promissory Note (the "Redemption Note") at fair value in accordance with applicable accounting guidance. As of September 30, 2016 and December 31, 2015, the fair value of the Redemption Note was$1.90 billion and $1.88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The commissions rebated directly or indirectly through games promoters to customers, cash discounts, other cash incentives and points earned by customers from the Company's loyalty programs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51,222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135,411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93,425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102,150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21,361</w:t>
            </w:r>
          </w:p>
        </w:tc>
      </w:tr>
      <w:tr>
        <w:trPr>
          <w:trHeight w:val="237"/>
        </w:trPr>
        <w:tc>
          <w:tcPr>
            <w:tcW w:w="5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92,232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84,480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255,119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258,922</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5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38,496</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81,878</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10,791</w:t>
            </w:r>
          </w:p>
        </w:tc>
      </w:tr>
      <w:tr>
        <w:trPr>
          <w:trHeight w:val="237"/>
        </w:trPr>
        <w:tc>
          <w:tcPr>
            <w:tcW w:w="5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49,285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132,500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131,165</w:t>
            </w: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Operations. These taxes were $320.0 million and $272.8 million for the three months ended September 30, 2016 and 2015, respectively, and $900.0 million and $893.0 million for the nine months ended September 30, 2016 and 2015,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restricted cash, available-for-sale securities, interest rate swaps,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478,039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476,802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303,545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303,545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1,903,641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1,903,641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shd w:val="clear" w:color="auto" w:fill="CCEEFF"/>
          </w:tcPr>
          <w:p>
            <w:pPr>
              <w:spacing w:after="0"/>
              <w:rPr>
                <w:sz w:val="12"/>
                <w:szCs w:val="12"/>
                <w:color w:val="auto"/>
              </w:rPr>
            </w:pPr>
          </w:p>
        </w:tc>
        <w:tc>
          <w:tcPr>
            <w:tcW w:w="1560" w:type="dxa"/>
            <w:vAlign w:val="bottom"/>
            <w:gridSpan w:val="3"/>
            <w:vMerge w:val="restart"/>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shd w:val="clear" w:color="auto" w:fill="CCEEFF"/>
          </w:tcPr>
          <w:p>
            <w:pPr>
              <w:spacing w:after="0"/>
              <w:rPr>
                <w:sz w:val="12"/>
                <w:szCs w:val="12"/>
                <w:color w:val="auto"/>
              </w:rPr>
            </w:pPr>
          </w:p>
        </w:tc>
        <w:tc>
          <w:tcPr>
            <w:tcW w:w="1560" w:type="dxa"/>
            <w:vAlign w:val="bottom"/>
            <w:gridSpan w:val="3"/>
            <w:vMerge w:val="continue"/>
            <w:shd w:val="clear" w:color="auto" w:fill="CCEEFF"/>
          </w:tcPr>
          <w:p>
            <w:pPr>
              <w:spacing w:after="0"/>
              <w:rPr>
                <w:sz w:val="12"/>
                <w:szCs w:val="12"/>
                <w:color w:val="auto"/>
              </w:rPr>
            </w:pPr>
          </w:p>
        </w:tc>
        <w:tc>
          <w:tcPr>
            <w:tcW w:w="1240" w:type="dxa"/>
            <w:vAlign w:val="bottom"/>
            <w:vMerge w:val="restart"/>
            <w:shd w:val="clear" w:color="auto" w:fill="CCEEFF"/>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shd w:val="clear" w:color="auto" w:fill="CCEEFF"/>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846,281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846,095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effective date for this guidance is for financial statements for fiscal years beginning after December 15, 2017, and interim periods within those fiscal periods and early application is permitted. The Company is currently assessing the impact the adoption of this guidance will have on its consolidated financial statements.</w:t>
      </w:r>
    </w:p>
    <w:p>
      <w:pPr>
        <w:spacing w:after="0" w:line="18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March 2016, the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300" w:right="258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occur. The effective date for this guidance is for financial statements for fiscal years beginning after December 15, 2016, and interim periods within those fiscal periods and early application is permitted. The Company does not expect the adoption of this update to have a material effect on its consolidated financial statements.</w:t>
      </w:r>
    </w:p>
    <w:p>
      <w:pPr>
        <w:spacing w:after="0" w:line="17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5"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$63.1 million incurred in connection with the issuance of the Company's long-term debt (excluding revolving credit facilities) being reclassified from noncurrent assets to a direct reduction of the long-term debt balance. The presentation of the $41.3 million of net deferred financing costs incurred in connection with the issuance of the Company's revolving credit facilities as of December 31, 2015, are not affected by the adoption of this new accounting guidance and are included in other assets on the Condensed Consolidated Balance Sheet.</w:t>
      </w:r>
    </w:p>
    <w:p>
      <w:pPr>
        <w:spacing w:after="0" w:line="19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118" w:right="29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2016, the Company identified $21.9 million and $3.7 million of additional interest that should have been capitalized instead of being expensed during the years ended December 31, 2015 and 2014, respectively. Considering both quantitative and qualitative factors, the Company has determined the amounts were immaterial to any previously issued financial statements and would be immaterial to the expected full year results for 2016. Accordingly, the Company corrected these immaterial amounts during the first quarter of the nine months ended September 30, 2016, resulting in a decrease to interest expense of $25.6 million and increases to net income attributable to Wynn Resorts, Limited of $18.5 million and basic and diluted net income per common share of $0.18. Had these amounts been corrected in the appropriate periods, it would have resulted in a decrease to interest expense of $7.9 million and increases to net income attributable to Wynn Resorts, Limited of $5.7 million and basic and diluted net income per common share of $0.05, for the three months ended September 30, 2015, and it would have resulted in a decrease to interest expense of $19.0 million and increases to net income attributable to Wynn Resorts, Limited of $13.7 million and basic and diluted net income per common share of $0.14, for the nine months ended September 30, 2015.</w:t>
      </w:r>
    </w:p>
    <w:p>
      <w:pPr>
        <w:spacing w:after="0" w:line="18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Earnings Per Share</w:t>
      </w:r>
    </w:p>
    <w:p>
      <w:pPr>
        <w:spacing w:after="0" w:line="229" w:lineRule="exact"/>
        <w:rPr>
          <w:sz w:val="20"/>
          <w:szCs w:val="20"/>
          <w:color w:val="auto"/>
        </w:rPr>
      </w:pPr>
    </w:p>
    <w:p>
      <w:pPr>
        <w:jc w:val="both"/>
        <w:ind w:right="60" w:firstLine="432"/>
        <w:spacing w:after="0" w:line="281"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(loss) attributable to Wynn Resorts, Limited by the weighted average number of common shares outstanding during the period. Diluted EPS is computed by dividing net income (loss)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6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128,175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108,069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101,151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101,581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 basic</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20" w:type="dxa"/>
            <w:vAlign w:val="bottom"/>
            <w:vMerge w:val="continue"/>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81"/>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share, diluted</w:t>
            </w:r>
          </w:p>
        </w:tc>
        <w:tc>
          <w:tcPr>
            <w:tcW w:w="2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stock options and restricted stock excluded from the</w:t>
            </w:r>
          </w:p>
        </w:tc>
        <w:tc>
          <w:tcPr>
            <w:tcW w:w="220" w:type="dxa"/>
            <w:vAlign w:val="bottom"/>
          </w:tcPr>
          <w:p>
            <w:pPr>
              <w:spacing w:after="0"/>
              <w:rPr>
                <w:sz w:val="19"/>
                <w:szCs w:val="19"/>
                <w:color w:val="auto"/>
              </w:rPr>
            </w:pPr>
          </w:p>
        </w:tc>
        <w:tc>
          <w:tcPr>
            <w:tcW w:w="11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1"/>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of diluted net income (loss) per share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2016, the Company recorded a net loss attributable to Wynn Resorts, Limited. Accordingly, the potential dilutive effect of stock options and restricted stock is anti-dilutive. As a result, basic EPS is equal to diluted EPS for the three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5 -</w:t>
        <w:tab/>
        <w:t>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230,025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229,919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243,857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242,614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63,518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303,727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303,545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252,804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251,553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432"/>
        <w:spacing w:after="0" w:line="313" w:lineRule="auto"/>
        <w:rPr>
          <w:sz w:val="20"/>
          <w:szCs w:val="20"/>
          <w:color w:val="auto"/>
        </w:rPr>
      </w:pPr>
      <w:r>
        <w:rPr>
          <w:rFonts w:ascii="Times New Roman" w:cs="Times New Roman" w:eastAsia="Times New Roman" w:hAnsi="Times New Roman"/>
          <w:sz w:val="18"/>
          <w:szCs w:val="18"/>
          <w:color w:val="auto"/>
        </w:rPr>
        <w:t>For investments with unrealized losses as of September 30, 2016 and December 31, 2015,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pacing w:after="0" w:line="14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these investment securities at September 30, 2016,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5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225,996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56,833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two years through three years</w:t>
            </w:r>
          </w:p>
        </w:tc>
        <w:tc>
          <w:tcPr>
            <w:tcW w:w="5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20,716</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303,545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226,961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254,944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177,591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187,887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827,161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804,512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7,607,136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3,975,419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316,681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3,217,117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11,319,447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10,318,079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8,270,047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7,477,478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2015, construction in progress consists primarily of costs capitalized, including interest, for the construction of Wynn Palace and Wynn Boston Harbor. On August 22, 2016, the Company opened Wynn Palace. Accordingly, amounts relating to Wynn Palace were transferred to the appropriate property and equipment categories. As of September 30, 2016, construction in progress consists primarily of costs capitalized, including interest, for the construction of Wynn Boston Harbor.</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(as amended September 2015), due September 2021; interest at LIBOR or HIBOR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1.50%—2.25% (2.42% and 2.08% at September 30, 2016 and December 31, 2015), net of debt issuance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and original issue discount of $29,840 at September 30, 2016 and $35,112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2,276,796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2,272,200</w:t>
            </w: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Revolving Credit Facility (as amended September 2015), due September 2020; interest at LIBOR or</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HIBOR plus 1.50%—2.25% (2.42% and 2.07% at September 30, 2016 and December 31, 2015)</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340,827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431,172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1/4% Senior Notes, due October 15, 2021, net of debt issuance costs and original issue premium of $7,012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 and $7,896 at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1,342,986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1,342,104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WML Finance Revolving Credit Facility, due July 2018; interest at 1.50%</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(2.28%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1.99% at September 30, 2016 and December 31, 2015), net of debt issuance costs of $16,427 at September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2016 and $15,712 at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208,906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54,288</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$6,985 at September 30, 2016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$7,791 at December 31, 2015</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892,209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$2,911 at September 30, 2016 and $3,183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497,089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496,817</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$22,027 at September 30, 2016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$23,527 at December 31, 2015</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1,777,973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1,776,473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net of fair value adjustment of $32,802 at September 30, 2016 and $52,041 at December 31, 2015</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1,903,641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1,884,402</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9,440,856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9,149,665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9,440,856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9,149,665</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Company's credit facilities include a $2.27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As of September 30, 2016, the Company had $409.2 million of available borrowing capacity under the Wynn Macau Senior Revolving Credit Facility.</w:t>
      </w:r>
    </w:p>
    <w:p>
      <w:pPr>
        <w:spacing w:after="0" w:line="180"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On September 30, 2015, the Wynn Macau Credit Facilities were amended, to, among other things, increase borrowing capacity and extend maturity dates. In connection with the amendment, the Company expensed $2.1 million of unamortized deferred financing costs that are included in loss on extinguishment of debt in the accompanying Condensed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Finance Revolving Credit Facility</w:t>
      </w:r>
    </w:p>
    <w:p>
      <w:pPr>
        <w:spacing w:after="0" w:line="18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July 18, 2016, the Company entered into a HK$1.55 billion (approximately $199.6 million) cash-collateralized revolving credit facility ("WML Finance Credit Facility") under which WML Finance I, Limited, an indirect subsidiary of WML, is the borrower. Borrowings under the WML Finance Credit Facility are in Hong Kong dollars and are used for working capital requirements and general corporate purposes.</w:t>
      </w: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WML Finance Credit Facility matures in July 2018, at which time any outstanding borrowings must be repaid. The WML Finance Credit Facility bears interest initially at 1.50% per annum, such rate calculated as the interest rate paid by the lender as the deposit bank for the cash collateral deposited and pledged with the lender plus a margin of 0.40%. Under terms of the agreement, mandatory repayment is required upon a Change in Control or Material Adverse Effect, as defined in the agreement. As of September 30, 2016, the Company has drawn the full amount under the WML Finance Credit Facility.</w:t>
      </w:r>
    </w:p>
    <w:p>
      <w:pPr>
        <w:spacing w:after="0" w:line="1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October 25, 2016, the Company amended the WML Finance Credit Facility to increase the principal amount up to HK$3.87 billion (approximately $498.9 million). The terms of borrowing for the increased principal amount under the amendment are equivalent to the terms of the original credit agreement, including the requirement for cash collateral to be deposited and pledged with the lender, and interest borne at the same rate as described above. No additional amounts have been borrowed subsequent to September 30, 2016.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2016, the Company's credit facilities include a $1.0 billion senior secured term loan facility and a $375 million senior secured revolving credit facility (the "Wynn America Credit Facilities").</w:t>
      </w:r>
    </w:p>
    <w:p>
      <w:pPr>
        <w:spacing w:after="0" w:line="16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On June 30, 2016, the Company amended the Wynn America Credit Facilities to extend the available borrowing period for $649.7 million of the existing $875 million senior secured term loan facility (the "WA Senior Term Loan Facility I") from June 30, 2016 to December 31, 2016. The available borrowing period for $55 million of the WA Senior Term Loan Facility I was not extended. The Company paid customary fees and expenses in connection with the amendment.</w:t>
      </w:r>
    </w:p>
    <w:p>
      <w:pPr>
        <w:spacing w:after="0" w:line="18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July 1, 2016, the Company amended the Wynn America Credit Facilities to increase the WA Senior Term Loan Facility I by a principal amount of $125 million with the available borrowing period ending on December 31, 2016 (such increase, the "WA Senior Term Loan Facility II"). Once drawn, borrowings under the WA Senior Term Loan Facility II have no required scheduled repayments until maturity in November 2020. The Company expects to use the additional proceeds primarily to fund the development, construction and pre-opening expenses of Wynn Boston Harbor and for general corporate purposes. Except as described above or otherwise set forth in the amendment, the WA Senior Term Loan Facility II has substantially similar terms as the WA Senior Term Loan Facility I. The Company paid customary fees and expenses in connection with the amendment.</w:t>
      </w:r>
    </w:p>
    <w:p>
      <w:pPr>
        <w:spacing w:after="0" w:line="147"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2016, the Company has drawn $225.3 million under the Wynn America Credit Facilities with available borrowing capacity of $1.14 billion, net of $10.6 million in outstanding letters of credit.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187" w:lineRule="exact"/>
        <w:rPr>
          <w:sz w:val="20"/>
          <w:szCs w:val="20"/>
          <w:color w:val="auto"/>
        </w:rPr>
      </w:pPr>
    </w:p>
    <w:p>
      <w:pPr>
        <w:ind w:right="60" w:firstLine="392"/>
        <w:spacing w:after="0" w:line="255" w:lineRule="auto"/>
        <w:rPr>
          <w:sz w:val="20"/>
          <w:szCs w:val="20"/>
          <w:color w:val="auto"/>
        </w:rPr>
      </w:pPr>
      <w:r>
        <w:rPr>
          <w:rFonts w:ascii="Times New Roman" w:cs="Times New Roman" w:eastAsia="Times New Roman" w:hAnsi="Times New Roman"/>
          <w:sz w:val="18"/>
          <w:szCs w:val="18"/>
          <w:color w:val="auto"/>
        </w:rPr>
        <w:t>On February 10, 2015, Wynn Las Vegas, LLC and Wynn Las Vegas Capital Corp., an indirect wholly owned subsidiary of Wynn Resorts, Limited commenced a cash tender offer for any and all of the outstanding aggregate principal amounts of the 7 7/8% First Mortgage Notes due May 1, 2020 (the "7 7/8% 2020 Notes") and the 7 3/4% First Mortgage Notes due August 15, 2020 (the "7 3/4% 2020 Notes" and together with the 7 7/8% 2020 Notes, the "2020 Notes"). The premium portion of the aggregate total consideration was $98.9 million and was recorded as a loss on extinguishment of debt in the accompanying Condensed Consolidated Statements of Operations. In connection with the cash tender, the Company expensed $17.2 million of unamortized deferred financing costs and original issue discount related to the 2020 Notes and incurred other fees of $0.1 million that are included in loss on extinguishment of debt in the accompanying Condensed Consolidated Statements of Operations.</w:t>
      </w:r>
    </w:p>
    <w:p>
      <w:pPr>
        <w:spacing w:after="0" w:line="18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Operations.</w:t>
      </w:r>
    </w:p>
    <w:p>
      <w:pPr>
        <w:spacing w:after="0" w:line="176" w:lineRule="exact"/>
        <w:rPr>
          <w:sz w:val="20"/>
          <w:szCs w:val="20"/>
          <w:color w:val="auto"/>
        </w:rPr>
      </w:pPr>
    </w:p>
    <w:p>
      <w:pPr>
        <w:jc w:val="both"/>
        <w:ind w:right="500" w:firstLine="392"/>
        <w:spacing w:after="0" w:line="266" w:lineRule="auto"/>
        <w:rPr>
          <w:sz w:val="20"/>
          <w:szCs w:val="20"/>
          <w:color w:val="auto"/>
        </w:rPr>
      </w:pPr>
      <w:r>
        <w:rPr>
          <w:rFonts w:ascii="Times New Roman" w:cs="Times New Roman" w:eastAsia="Times New Roman" w:hAnsi="Times New Roman"/>
          <w:sz w:val="18"/>
          <w:szCs w:val="18"/>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Condensed Consolidated Statements of Operations.</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80" w:right="260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2016, management believes the Company was in compliance with all debt 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September 30, 2016 and December 31, 2015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 billion and $6.86 billion, respectively, compared to its carrying value, excluding debt issuance costs and original issue discount and premium, of $7.62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billion and $7.36 billion, respectively. The estimated fair value of the Company's long-term debt, excluding the Redemption Note, is based on recent trades,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and indicative pricing from market information (Level 2 inputs). See Note 2 "Summary of Significant Accounting Policies" for discussion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fair value of the Redemption Note.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and foreign currency exposures. These derivative financial instruments include interest rate swaps and foreign currency forward contracts. The fair value of derivative financial instruments are recognized as assets or liabilities at each balance sheet date, with changes in fair value affecting net income (loss) as the Company's derivative financial instruments do not qualify for hedge accounting. Accordingly, changes in the fair value of derivative financial instruments are presented in the accompanying Condensed Consolidated Statements of Operations.</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seeks to manage its interest rate risk associated with variable rate borrowings, through balancing fixed-rate and variable-rate borrowings with the use of interest rate swaps. The Company currently has three interest rate swap agreements that convert a portion of its variable rate borrowings under the Wynn Macau Senior Term Loan Facility to a fixed rate. Under the agreements, the Company pays a fixed interest rate on notional amounts corresponding to borrowings in exchange for receipts on the same amount at a variable interest rate based on the applicable LIBOR or HIBOR at the time of payment.</w:t>
      </w:r>
    </w:p>
    <w:p>
      <w:pPr>
        <w:spacing w:after="0" w:line="18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receive or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8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2016, interest rate swaps of $1.1 million were included in current other accrued liabilities in the accompanying Condensed Consolidated Balance Sheet. As of December 31, 2015, interest rate swaps of $0.7 million were included in other assets and $0.1 million were included in other long-term liabilities in the accompanying Condensed Consolidated Balance Sheet. These interest rate swaps mature in July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$0.5 million and $1.0 million as of September 30, 2016 and December 31, 2015, respectively.</w:t>
      </w: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7,781</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21,369</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30,324</w:t>
            </w:r>
          </w:p>
        </w:tc>
      </w:tr>
      <w:tr>
        <w:trPr>
          <w:trHeight w:val="243"/>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30,519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On April 27, 2016, WML paid a dividend of HK$0.60 per share for a total of $401.9 million. The Company's share of this dividend was $290.1 million with a reduction of $111.8 million to noncontrolling interest in the accompanying Condensed Consolidated Balance Sheet.</w:t>
      </w:r>
    </w:p>
    <w:p>
      <w:pPr>
        <w:spacing w:after="0" w:line="162"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On March 31, 2015, WML paid a dividend of HK$1.05 per share for a total of $702.6 million. The Company's share of this dividend was $507.1 million with a reduction of $195.5 million to noncontrolling interest in the accompanying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May 2012, the Company finalized the land concession contract entered into by Wynn Resorts (Macau) S.A. ("Wynn Macau SA"), an indirect subsidiary of WML, Palo Real Estate Company Limited ("Palo") and the Macau government. Under the land concession contract, the Company leases from the Macau government approximately 51 acres of land on which Wynn Palace was built. The term of the land concession was 25 years from May 2, 2012, and it may be renewed with government approval for successive periods. In April 2016, the Company made the final payment on the $193.4 million land premium, including interest, as required by the land concession contract. With the completion of Wynn Palace, the Company is required to make annual lease payments of $1.1 million.</w:t>
      </w:r>
    </w:p>
    <w:p>
      <w:pPr>
        <w:spacing w:after="0" w:line="188"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July 2013, Wynn Macau SA and Palo,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was obligated to substantially complete the project in the first half of 2016 for a guaranteed maximum price of HK$20.6 billion (approximately $2.7 billion). Substantial completion of the project was achieved on August 22, 2016. As a result of, among other things, modifications to certain aspects of the scope of work and matters relating to sub-contractors engaged by the general contractor, certain differences arose between the parties in relation to their respective rights and obligations under the GMP contract, including with respect to the required date for achieving certain interim milestones and final completion, the Company's potential entitlement to receive liquidated damages for delay and to recover other costs and expenses incurred by it and the general contractor's potential entitlements to receive extensions of time for achievement of interim milestones and final completion and to receive additional payments. On October 28, 2016, the Company and the general contractor reached final agreement to resolve their differences and fully settle all claims in existence at the time among the parties under the GMP contract. Among other things, the general contractor agreed to complete all outstanding work necessary to achieve final completion and the Company agreed to an increase of the guaranteed maximum price under the GMP contract to HK$23.1 billion (approximately $3.0 billion). The Company's right to make warranty claims in the future is unaffected by the agreement. The performance of the general contractor continues to be backed by a full completion guarantee given by CIMIC Group</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Limited (formerly Leighton Holdings Limited), the parent company of the general contractor, as well as performance bonds for approximately 5% of the guaranteed maximum price.</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2016, the total Wynn Palace investment for the Company was $4.4 billion. This reflects the $300 million increase to the GMP under the GMP contract, pursuant to the agreement described above.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6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0"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8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aggregate principal amount thereof plus accrued and unpaid interest on the notes purchased, if any, to the date of repurchase (unless the notes have been previously called for redemption).</w:t>
      </w:r>
    </w:p>
    <w:p>
      <w:pPr>
        <w:spacing w:after="0" w:line="16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19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and February 12, 2016, the Company issued a check for the interest payment due at those times to the clerk of the court for deposit into the clerk's trust account.</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9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May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hearing to be set by the court. New discovery deadlines and trial-related dates will be set after the stay is lifted. The Company will continue to vigorously pursue its claims against the Okada Parties, and the Company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the Company directors) in February 2016 and as to Wynn Resorts in March 2016, thus upholding the motion for dismissal of the Okada Japan Parties' defamation action against the Wynn Parties.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stayed the claims asserted by the Company against Mr. Okada pending the resolution of the Redemption Action.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filed their response on May 17, 2016.</w:t>
      </w:r>
    </w:p>
    <w:p>
      <w:pPr>
        <w:spacing w:after="0" w:line="18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93"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20"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ind w:right="100" w:firstLine="392"/>
        <w:spacing w:after="0" w:line="313" w:lineRule="auto"/>
        <w:rPr>
          <w:sz w:val="20"/>
          <w:szCs w:val="20"/>
          <w:color w:val="auto"/>
        </w:rPr>
      </w:pPr>
      <w:r>
        <w:rPr>
          <w:rFonts w:ascii="Times New Roman" w:cs="Times New Roman" w:eastAsia="Times New Roman" w:hAnsi="Times New Roman"/>
          <w:sz w:val="17"/>
          <w:szCs w:val="17"/>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38" w:lineRule="exact"/>
        <w:rPr>
          <w:sz w:val="20"/>
          <w:szCs w:val="20"/>
          <w:color w:val="auto"/>
        </w:rPr>
      </w:pPr>
    </w:p>
    <w:p>
      <w:pPr>
        <w:ind w:firstLine="392"/>
        <w:spacing w:after="0" w:line="252" w:lineRule="auto"/>
        <w:rPr>
          <w:sz w:val="20"/>
          <w:szCs w:val="20"/>
          <w:color w:val="auto"/>
        </w:rPr>
      </w:pPr>
      <w:r>
        <w:rPr>
          <w:rFonts w:ascii="Times New Roman" w:cs="Times New Roman" w:eastAsia="Times New Roman" w:hAnsi="Times New Roman"/>
          <w:sz w:val="18"/>
          <w:szCs w:val="18"/>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Oral argument on these motions was heard on September 22, 2015.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MGC and Mohegan have submitted their written briefs and are now waiting for the SJC to schedule oral argument. The SJC has also granted, as of September 20, 2016, the City of Revere and IBEW's application for direct appellate review. The City of Revere and IBEW's written brief was due on October 11, 2016 and the MGC's brief is due on November 10, 2016.</w:t>
      </w:r>
    </w:p>
    <w:p>
      <w:pPr>
        <w:spacing w:after="0" w:line="195" w:lineRule="exact"/>
        <w:rPr>
          <w:sz w:val="20"/>
          <w:szCs w:val="20"/>
          <w:color w:val="auto"/>
        </w:rPr>
      </w:pPr>
    </w:p>
    <w:p>
      <w:pPr>
        <w:ind w:right="60" w:firstLine="392"/>
        <w:spacing w:after="0" w:line="256" w:lineRule="auto"/>
        <w:rPr>
          <w:sz w:val="20"/>
          <w:szCs w:val="20"/>
          <w:color w:val="auto"/>
        </w:rPr>
      </w:pPr>
      <w:r>
        <w:rPr>
          <w:rFonts w:ascii="Times New Roman" w:cs="Times New Roman" w:eastAsia="Times New Roman" w:hAnsi="Times New Roman"/>
          <w:sz w:val="18"/>
          <w:szCs w:val="18"/>
          <w:color w:val="auto"/>
        </w:rPr>
        <w:t>Somerville Action: On December 4, 2014, the City of Somerville filed a complaint similar to the one in the Revere Action against the MGC and each of the five gaming commissioners in Suffolk Superior Court. The case was previously stayed at the City of Somerville's request, pending the results of the Massachusetts Department of Environmental Protection's review of Wynn MA's proposed project and the required mitigation actions. However, on July 12, 2016, the City of Somerville filed an amended complaint to add information about certain environmental filings and events over the last year. On August 22, 2016 the City of Somerville and Wynn MA entered into a Settlement Agreement and Release pursuant to which all actions among the City of Somerville, Wynn MA and the MGC were resolved. As part of that Settlement Agreement, this action has been dismissed with prejudice.</w:t>
      </w:r>
    </w:p>
    <w:p>
      <w:pPr>
        <w:spacing w:after="0" w:line="18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Wynn Boston Harbor. On May 20, 2015, the City of Boston filed an amended complaint requesting the court to nullify and vacate all decisions made by the MGC leading to and resulting in the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was not named in the above complaints. The MGC retained private legal representation at its own nontaxpayer-funded expense.</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August 28, 2015, the Secretary of Energy and Environmental Affairs issued a certificate determining that Wynn MA's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All City of Boston claims have been resolved by settlement between Wynn MA and the City of Boston.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Wynn MA responded to the complaint in June 2016. As stated above, on August 22, 2016, the City of Somerville and Wynn MA entered into a Settlement Agreement and Release. As part of that Settlement Agreement, this action has been dismissed with prejudice.</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February 11, 2016, the City of Somerville filed an appeal challenging the draft waterways license ("Chapter 91 License") issued by the Massachusetts Department of Environmental Protection ("MassDEP") on January 22, 2016, contending that it failed to conform to applicable regulations. The Chapter 91 License authorized Wynn MA's proposed remediation and redevelopment of the project site. An administrative hearing was held on June 2, 2016. On July 15, 2016, MassDEP's Office of Appeals and Dispute Resolution issued a recommended final decision approving Wynn MA's Chapter 91 License, subject to certain conditions. The recommended final decision was adopted by MassDEP's Commissioner on July 22, 2016, with minor modifications. On August 3, 2016, MassDEP issued the final Chapter 91 License to Wynn MA. As a result of the final issuance, Wynn MA has commenced construction activities. As stated above, on August 22, 2016, the City of Somerville and Wynn MA entered into a Settlement Agreement and Release. As part of that Settlement Agreement, the City of Somerville and Wynn MA agreed not to seek judicial review of the Commissioner's Final Decision in the Chapter 91 appeal.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2016 and 2015, the Company recorded a tax expense of $0.1 million and $7.4 million, respectively. For the nine months ended September 30, 2016 and 2015, the Company recorded a tax expense of $1.1 million and $23.9 million, respectively. The Company's income tax expense for the three and nine months ended September 30, 2016 and 2015 is primarily related to changes in the domestic valuation allowance for U.S. foreign tax credits ("FTCs").</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the Company no longer considers its portion of the tax earnings and profits of WML to be permanently invested. The Company has not provided deferred U.S. income taxes or foreign withholding taxes on temporary differences as U.S. FTCs should be sufficient to eliminate any U.S. federal income tax in the event of repatriation. For the nine months ended September 30, 2016 and 2015, the Company recognized income tax benefits related to excess tax deductions associated with stock compensation costs of $0.2 million and $0.7 million, respectively.</w:t>
      </w:r>
    </w:p>
    <w:p>
      <w:pPr>
        <w:spacing w:after="0" w:line="18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relies solely on the reversal of net taxable temporary differences. The valuation allowance for FTCs was determined by scheduling the existing U.S. taxable temporary differences that are expected to reverse and result in foreign source income during the 10-year FTC carryover period.</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2020. For the three months ended September 30, 2016 and 2015, the Company was exempt from the payment of $2.2 million and $8.7 million, respectively, in such taxes. For the nine months ended September 30, 2016 and 2015, the Company was exempt from the payment of such taxes totaling $23.1 million and $32.6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8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government that provides for an annual payment of 15.5 million Macau patacas (approximately $1.9 million) as complementary tax due by shareholders on dividend distributions. This agreement on dividends was effective through December 31, 2015. In August 2016, Wynn Macau SA received an extension of the agreement for an additional five years applicable to tax years 2016 through 2020. The extension agreement provides for an annual payment of 12.8 million Macau patacas (approximately $1.6 million).</w:t>
      </w:r>
    </w:p>
    <w:p>
      <w:pPr>
        <w:spacing w:after="0" w:line="180"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 has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at Wynn Macau are managed as a single integrated resort and have been aggregated as one reportable segment ("Wynn Macau"). Wynn Palace is presented as one reportable segment and combined with Wynn Macau (collectively, "Macau Operations") for geographical presentation.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following tables, the assets of Wynn Boston Harbor are included in Corporate and Other. Other Macau primarily represents the Company's Macau holding company. The following tables present the Company's segment information (in thousands):</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585,116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1,907,425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682,719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585,116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1,930,277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1,907,425</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1,235,587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1,221,556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3,165,864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3,128,981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151,009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532,643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548,555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176,556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162,822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558,190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548,555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117,069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360,193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349,783</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305,435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279,891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918,383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898,338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245,428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59,286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228,504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127,117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535,615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391,384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152,774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382,768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506,954</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 Redemption Note fair value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non-operating income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200,643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176,730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128,175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w:t>
      </w:r>
    </w:p>
    <w:p>
      <w:pPr>
        <w:sectPr>
          <w:pgSz w:w="11900" w:h="16838" w:orient="portrait"/>
          <w:cols w:equalWidth="0" w:num="1">
            <w:col w:w="11420"/>
          </w:cols>
          <w:pgMar w:left="240" w:top="118"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300" w:lineRule="auto"/>
        <w:rPr>
          <w:sz w:val="20"/>
          <w:szCs w:val="20"/>
          <w:color w:val="auto"/>
        </w:rPr>
      </w:pPr>
      <w:r>
        <w:rPr>
          <w:rFonts w:ascii="Times New Roman" w:cs="Times New Roman" w:eastAsia="Times New Roman" w:hAnsi="Times New Roman"/>
          <w:sz w:val="18"/>
          <w:szCs w:val="18"/>
          <w:color w:val="auto"/>
        </w:rPr>
        <w:t>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1,331,312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4,346,063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3,439,041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570,959</w:t>
            </w:r>
          </w:p>
        </w:tc>
      </w:tr>
      <w:tr>
        <w:trPr>
          <w:trHeight w:val="237"/>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5,548,053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5,341,312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3,139,847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3,145,713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2,238,044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1,972,134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10,925,944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10,459,159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w:t>
      </w:r>
    </w:p>
    <w:p>
      <w:pPr>
        <w:spacing w:after="0" w:line="229"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On November 2, 2016, the Company announced a cash dividend of $0.50 per share, payable on November 29, 2016 to stockholders of record as of November 17,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approximately 72% of Wynn Macau, Limited ("WML") and we operate the integrated Wynn Macau and Encore at Wynn Macau resort and the Wynn Palace resort, both of which are owned by an indirect wholly owned subsidiary of WML. In Las Vegas, Nevada, we own 100% of and operate Wynn Las Vegas and Encore at Wynn Las Vegas resort, which we refer to as our Las Vegas Operations. We are also developing Wynn Boston Harbor, an integrated casino resort in Everett, Massachusetts.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operate Wynn Macau | Encore and Wynn Palace under a 20-year casino concession agreement granted by the Macau government in June 2002. We lease from the Macau government approximately 16 acres of land in downtown Macau's inner harbor where Wynn Macau | Encore is located and 51 acres of land in the Cotai area of Macau, where Wynn Palace is located.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Macau | Encore features the following as of October 15, 2016:</w:t>
      </w:r>
    </w:p>
    <w:p>
      <w:pPr>
        <w:spacing w:after="0" w:line="279" w:lineRule="exact"/>
        <w:rPr>
          <w:sz w:val="20"/>
          <w:szCs w:val="20"/>
          <w:color w:val="auto"/>
        </w:rPr>
      </w:pPr>
    </w:p>
    <w:p>
      <w:pPr>
        <w:ind w:left="1300" w:right="1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267 table games and 862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lounge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rotunda show featuring a Chinese zodiac-inspired ceiling along with gold "prosperity tree" and "dragon of fortune" attractions.</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Palace features the following as of October 15, 2016:</w:t>
      </w:r>
    </w:p>
    <w:p>
      <w:pPr>
        <w:spacing w:after="0" w:line="279"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500,000 square feet of casino space, offering 24-hour gaming and a full range of games with 346 table games and 1,082 slot machines, including private gaming salons and sky casinos;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luxury hotel with a total of 1,706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105,000 square feet of high-end, brand-name retail shopping;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40,000 square feet of lounge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 gondola ride, health club, spa, salon and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attractions including a performance lake and floral art displays.</w:t>
      </w:r>
    </w:p>
    <w:p>
      <w:pPr>
        <w:spacing w:after="0" w:line="27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Wynn Las Vegas | Encore is located at the intersection of the Las Vegas Strip and Sands Avenue, and occupies approximately 215 acres of land fronting the Las Vegas Strip. In addition, we own approximately 18 acres across Sands Avenue,</w:t>
      </w:r>
    </w:p>
    <w:p>
      <w:pPr>
        <w:sectPr>
          <w:pgSz w:w="11900" w:h="16838" w:orient="portrait"/>
          <w:cols w:equalWidth="0" w:num="1">
            <w:col w:w="11380"/>
          </w:cols>
          <w:pgMar w:left="240" w:top="118" w:right="279" w:bottom="1440" w:gutter="0" w:footer="0" w:header="0"/>
        </w:sect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18" w:right="27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portion of which is utilized for employee parking and an office building, and approximately five acres adjacent to the golf course on which an office building is located.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Las Vegas | Encore features the following as of October 15, 2016:</w:t>
      </w:r>
    </w:p>
    <w:p>
      <w:pPr>
        <w:spacing w:after="0" w:line="387" w:lineRule="exact"/>
        <w:rPr>
          <w:sz w:val="20"/>
          <w:szCs w:val="20"/>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194,000 square feet of casino space, offering 24-hour gaming and a full range of games with 235 table games and 1,901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two full service spas and salons, and a wedding chapel; and</w:t>
      </w:r>
    </w:p>
    <w:p>
      <w:pPr>
        <w:spacing w:after="0" w:line="53"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specially designed theater presenting "Le Rêve-The Dream," a water-based theatrical production and a theater presenting "Steve Wynn's ShowStoppers," a Broadway-style entertainment production.</w:t>
      </w:r>
    </w:p>
    <w:p>
      <w:pPr>
        <w:spacing w:after="0" w:line="21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2" w:lineRule="exact"/>
        <w:rPr>
          <w:sz w:val="20"/>
          <w:szCs w:val="20"/>
          <w:color w:val="auto"/>
        </w:rPr>
      </w:pPr>
    </w:p>
    <w:p>
      <w:pPr>
        <w:ind w:right="60" w:firstLine="432"/>
        <w:spacing w:after="0" w:line="313" w:lineRule="auto"/>
        <w:rPr>
          <w:sz w:val="20"/>
          <w:szCs w:val="20"/>
          <w:color w:val="auto"/>
        </w:rPr>
      </w:pPr>
      <w:r>
        <w:rPr>
          <w:rFonts w:ascii="Times New Roman" w:cs="Times New Roman" w:eastAsia="Times New Roman" w:hAnsi="Times New Roman"/>
          <w:sz w:val="17"/>
          <w:szCs w:val="17"/>
          <w:color w:val="auto"/>
        </w:rPr>
        <w:t>In October 2015, we closed the Ferrari and Maserati automobile dealership inside Wynn Las Vegas. We are in the process of replacing the dealership and adjacent space with more than 75,000 square feet of additional high-end, brand-name retail space, which we expect to open in the fourth quarter of 2017.</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Development projects</w:t>
      </w:r>
    </w:p>
    <w:p>
      <w:pPr>
        <w:spacing w:after="0" w:line="227" w:lineRule="exact"/>
        <w:rPr>
          <w:sz w:val="20"/>
          <w:szCs w:val="20"/>
          <w:color w:val="auto"/>
        </w:rPr>
      </w:pPr>
    </w:p>
    <w:p>
      <w:pPr>
        <w:ind w:right="540" w:firstLine="405"/>
        <w:spacing w:after="0" w:line="277" w:lineRule="auto"/>
        <w:rPr>
          <w:sz w:val="20"/>
          <w:szCs w:val="20"/>
          <w:color w:val="auto"/>
        </w:rPr>
      </w:pPr>
      <w:r>
        <w:rPr>
          <w:rFonts w:ascii="Times New Roman" w:cs="Times New Roman" w:eastAsia="Times New Roman" w:hAnsi="Times New Roman"/>
          <w:sz w:val="17"/>
          <w:szCs w:val="17"/>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expenses and land costs, is estimated to be between $1.9 billion and $2.1 billion. During the quarter, we commenced construction activities and continue with site remediation and site preparation. We expect to open Wynn Boston Harbor in the first half of 2019.</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are presented. Below are definitions of these key operating measures discussed:</w:t>
      </w:r>
    </w:p>
    <w:p>
      <w:pPr>
        <w:spacing w:after="0" w:line="207" w:lineRule="exact"/>
        <w:rPr>
          <w:sz w:val="20"/>
          <w:szCs w:val="20"/>
          <w:color w:val="auto"/>
        </w:rPr>
      </w:pPr>
    </w:p>
    <w:p>
      <w:pPr>
        <w:ind w:left="1300" w:right="18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Macau Operations is the amount of cash that is deposited in a gaming table's drop box plus cash chips purchased at the casino cage.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3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118" w:right="27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800" w:hanging="644"/>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 at our resorts.</w:t>
      </w:r>
    </w:p>
    <w:p>
      <w:pPr>
        <w:spacing w:after="0" w:line="225"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non-negotiable chips, commonly referred to as rolling chips, from the casino cage. Non-negotiable chips can only be used to make wagers. Winning wagers are paid in cash chips. The loss of the non-negotiable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measurements from our VIP and mass market operations are not comparable as the measurement method used in our mass market operations tracks the initial purchase of chips at the table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third quarter 2016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74"/>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020" w:type="dxa"/>
            <w:vAlign w:val="bottom"/>
            <w:gridSpan w:val="2"/>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1"/>
                <w:szCs w:val="11"/>
                <w:color w:val="auto"/>
              </w:rPr>
            </w:pPr>
          </w:p>
        </w:tc>
        <w:tc>
          <w:tcPr>
            <w:tcW w:w="1140" w:type="dxa"/>
            <w:vAlign w:val="bottom"/>
          </w:tcPr>
          <w:p>
            <w:pPr>
              <w:jc w:val="right"/>
              <w:ind w:right="456"/>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900" w:type="dxa"/>
            <w:vAlign w:val="bottom"/>
          </w:tcPr>
          <w:p>
            <w:pPr>
              <w:jc w:val="right"/>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1,109,822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3,165,864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3,128,981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96,210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128,175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108,069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305,435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279,891</w:t>
            </w:r>
          </w:p>
        </w:tc>
        <w:tc>
          <w:tcPr>
            <w:tcW w:w="1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918,383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898,338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for the three and nine months ended September 30, 2016 include 40 days of operations for Wynn Palace, which opened on August 22, 2016.</w:t>
      </w:r>
    </w:p>
    <w:p>
      <w:pPr>
        <w:spacing w:after="0" w:line="22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2016, we experienced a net loss attributable to Wynn Resorts, Limited of $17.4 million and diluted net loss per share of $0.17 compared to a net income attributable to Wynn Resorts, Limited of $96.2 million and diluted net income per share of $0.95 for the same period of 2015. The net loss attributable to Wynn Resorts, Limited for the three months ended September 30, 2016 was primarily due to an increase in pre-opening costs of $51.3 million associated with the opening of Wynn Palace and a $15.3 million exit fee incurred by our Las Vegas Operations for the right to procure energy from the wholesale energy markets instead of from the local public electric utility. Adjusted Property EBITDA increased by $25.5 million, or 9.1%, for the three months ended September 30, 2016, compared to the same period of 2015, as a result of $25.5 million from Wynn Palace.</w:t>
      </w:r>
    </w:p>
    <w:p>
      <w:pPr>
        <w:spacing w:after="0" w:line="188"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our net income attributable to Wynn Resorts, Limited was $128.2 million, an increase of 18.6% over the same period of 2015, resulting in diluted net income per share of $1.26. Adjusted Property EBITDA increased by 2.2% for the nine months ended September 30, 2016 when compared to the same period in 2015, mainly due to increased revenues associated with the opening of Wynn Palace and an increase of 3.0% from our Las Vegas Operations, partially offset by a 2.9% decrease from Wynn Macau.</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September 30, 2016 compared to the three months ended September 30,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518,094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585,116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682,719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585,116</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427,103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411,169</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1,109,822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996,285</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11.4%, or $113.5 million, for the three months ended September 30, 2016 when compared to the same period in 2015. The increase is primarily due to $164.6 million from Wynn Palace and an increase of $15.9 million from our Las Vegas Operations, partially offset by a decrease of $67.0 million from Wynn Macau.</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788,219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700,014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321,603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296,271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1,109,822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996,285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71.0% of total net revenues for the three months ended September 30, 2016, compared to 70.3% for the same period of 2015, while non-casino revenues were 29.0% of total net revenues, compared to 29.7% for the same period of 2015.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Casino revenues increased 12.6%, or $88.2 million, for the three months ended September 30, 2016 when compared to the same period in 2015. The increase is primarily due to $146.7 million from Wynn Palace, partially offset by a $59.5 million decrease from Wynn Macau. The decline in casino revenues from Wynn Macau was driven by a decrease in business volumes from both our VIP and mass market operations, with a decrease in VIP turnover of 10.5%, table drop of 7.6% and slot machine handle of 17.4%. The business volume decrease for Wynn Macau was primarily driven by the continued impact from the current economic and political conditions in Macau and China, as well as impact from recent resort openings in the Cotai area of Macau, including Wynn Palace. We experienced a VIP win as a percentage of turnover of 3.34% for the three months ended September 30, 2016, compared to 3.17% for the same period of 2015, which partially offset the business volume decrease in our VIP operations.</w:t>
      </w:r>
    </w:p>
    <w:p>
      <w:pPr>
        <w:spacing w:after="0" w:line="1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transferred 250 table games from Wynn Macau for operation at Wynn Palace. The transfer of these tables from Wynn Macau to Wynn Palace resulted in a reduction in the average number of table games for Wynn Macau. As of October 15, 2016, we had a total of 267 table games at Wynn Macau and 346 at Wynn Palace.</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488,346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547,865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10,941,100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12,218,445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365,047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387,082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1,105,938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1,196,940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205,179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234,697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681,552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824,646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29,327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41,876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146,708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146,708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120,455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120,455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42,117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42,117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204,515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204,515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60" w:type="dxa"/>
            <w:vAlign w:val="bottom"/>
          </w:tcPr>
          <w:p>
            <w:pPr>
              <w:jc w:val="right"/>
              <w:ind w:right="35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3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153,166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152,149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483,382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491,616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119,388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24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818,719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764,263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54,456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52,460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8.6%, or $25.3 million, to $321.6 million for the three months ended September 30, 2016, from $296.3 million for the same period of 2015, primarily due to the opening of Wynn Palace during the quarter and an increase of 9.1% in room revenues from our Las Vegas Operations.</w:t>
      </w:r>
    </w:p>
    <w:p>
      <w:pPr>
        <w:spacing w:after="0" w:line="17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Room revenues increased 14.3% or $19.1 million, to $152.6 million for the three months ended September 30, 2016, from $133.5 million for the same period of 2015, primarily attributable to $14.2 million from Wynn Palace and an increase of $9.4 million from our Las Vegas Operations, partially offset by a decrease of $4.5 million from Wynn Macau. The increase experienced by our Las Vegas Operations was driven by an ADR increase of 4.7% and a 1.7 percentage point increase in occupancy while the decrease from Wynn Macau was a result of an ADR decline of 14.8%.</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5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180" w:type="dxa"/>
            <w:vAlign w:val="bottom"/>
          </w:tcPr>
          <w:p>
            <w:pPr>
              <w:jc w:val="right"/>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30,674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14,239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112,185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102,786</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0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occupancy, which is presented as a percentage point change.</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Wynn Palace opened on August 22, 2016.</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4.8%, or $7.7 million, to $168.0 million for the three months ended September 30, 2016, from $160.3 million for the same period of 2015, primarily due to $7.7 million from Wynn Palace.</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revenues increased 7.2%, or $6.2 million, to $93.2 million for the three months ended September 30, 2016, from $87.0 million for the same period of 2015. The increase is primarily due to $12.0 million from Wynn Palace, partially offset by a decline of $5.5 million in revenue from retail shops at Wynn Macau.</w:t>
      </w:r>
    </w:p>
    <w:p>
      <w:pPr>
        <w:spacing w:after="0" w:line="176"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increased 9.2%, or $7.8 million, to $92.2 million for the three months ended September 30, 2016, from $84.5 million for the same period of 2015. As a percentage of total casino revenues, promotional allowances were 11.7% for the three months ended September 30, 2016, compared to 12.1%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Operating costs and expenses increased 22.5%, or $189.4 million, to $1.03 billion for the three months ended September 30, 2016, from $843.5 million for the same period of 2015, driven by an increase in casino expenses of $60.5 million, pre-opening costs of $51.3 million, general and administrative expenses of $27.6 million and depreciation and amortization of $25.9 million, all primarily related to the opening of Wynn Palace.</w:t>
      </w:r>
    </w:p>
    <w:p>
      <w:pPr>
        <w:spacing w:after="0" w:line="17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Casino expenses increased 13.6%, or $60.5 million for the three months ended September 30, 2016 when compared to $445.2 million in same period of 2015. The increase was commensurate with the 12.6% increase in casino revenues.</w:t>
      </w:r>
    </w:p>
    <w:p>
      <w:pPr>
        <w:spacing w:after="0" w:line="162"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Room expenses increased 7.8%, or $2.9 million, to $40.2 million for the three months ended September 30, 2016, from $37.3 million for the same period of 2015. The increase was primarily attributable to $4.8 million from Wynn Palace and an increase of $1.6 million from our Las Vegas Operations, partially offset by a decrease of $3.5 million from Wynn Macau.</w:t>
      </w:r>
    </w:p>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8.1%, or $8.2 million, to $109.3 million for the three months ended September 30, 2016, from $101.2 million for the same period of 2015, mainly due to Wynn Palace.</w:t>
      </w:r>
    </w:p>
    <w:p>
      <w:pPr>
        <w:spacing w:after="0" w:line="162"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were relatively flat during the period with $40.2 million for the three months ended September 30, 2016, compared to $39.3 million for the same period of 2015.</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23.6%, or $27.6 million, to $144.2 million for the three months ended September 30, 2016, from $116.6 million for the same period of 2015. The increase was primarily due to $20.5 million in general and administrative expenses from Wynn Palace and an increase of $7.9 million in corporate related expenses.</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$5.3 million to a benefit of $2.4 million for the three months ended September 30, 2016, from an expense of $2.9 million for the same period of 2015. We experienced a benefit during the three months ended September 30, 2016 due to increased casino accounts receivable collections, primarily from Wynn Macau.</w:t>
      </w:r>
    </w:p>
    <w:p>
      <w:pPr>
        <w:spacing w:after="0" w:line="176"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$70.8 million for the three months ended September 30, 2016, compared to $19.5 million for the same period of 2015. During the three months ended September 30, 2016, we incurred pre-opening costs of $65.5 million and $5.2 million related to Wynn Palace and Wynn Boston Harbor, respectively. During the three months ended September 30, 2015, we incurred pre-opening costs of $13.7 million and $5.8 million related to Wynn Palace and Wynn Boston Harbor, respectively.</w:t>
      </w:r>
    </w:p>
    <w:p>
      <w:pPr>
        <w:spacing w:after="0" w:line="18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32.0%, or $25.9 million, to $106.5 million for the three months ended September 30, 2016, from $80.6 million for the same period of 2015. The increase is primarily attributable to the opening of Wynn Palace with associated building and furniture, fixtures and equipment placed in service.</w:t>
      </w:r>
    </w:p>
    <w:p>
      <w:pPr>
        <w:spacing w:after="0" w:line="176"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Property charges and other were $18.5 million for the three months ended September 30, 2016, compared to $1.0 million for the same period of 2015. During the three months ended September 30, 2016, our Las Vegas Operations incurred an exit fee of $15.3 million for the right to procure energy from the wholesale energy markets instead of from the local public electric utility. The majority of the remaining expenses for the three months ended September 30, 2016 were due to asset abandonment charges primarily associated with Wynn Macau and our Las Vegas Operations.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96,895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86,705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(17,226)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(12,626)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97"/>
        </w:trPr>
        <w:tc>
          <w:tcPr>
            <w:tcW w:w="1020" w:type="dxa"/>
            <w:vAlign w:val="bottom"/>
            <w:tcBorders>
              <w:bottom w:val="single" w:sz="8" w:color="CCEEFF"/>
            </w:tcBorders>
          </w:tcPr>
          <w:p>
            <w:pPr>
              <w:spacing w:after="0"/>
              <w:rPr>
                <w:sz w:val="24"/>
                <w:szCs w:val="24"/>
                <w:color w:val="auto"/>
              </w:rPr>
            </w:pPr>
          </w:p>
        </w:tc>
        <w:tc>
          <w:tcPr>
            <w:tcW w:w="56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79,669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74,079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11"/>
        </w:trPr>
        <w:tc>
          <w:tcPr>
            <w:tcW w:w="102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9,593,292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8,194,029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Interest expense increased 7.5%, or $5.6 million for the three months ended September 30, 2016 when compared to the same period of 2015, primarily due to a $10.2 million increase in interest cost, partially offset by an increase in capitalized interest of $4.6 million. Our interest cost increased due to an increase in our weighted average total debt balance for the three months ended September 30, 2016 when compared to the same period of 2015, partially offset by a decrease in our weighted average interest rate. During the first quarter of 2016, we corrected immaterial amounts of additional interest that should have been capitalized instead of being expensed during the years ended December 31, 2015 and 2014. Had these amounts been corrected in the appropriate periods, the capitalized interest for the three months ended September 30, 2015, would have been $7.9 million higher. For further information, see Item 1 —"Notes to Condensed Consolidated Financial Statements," Note 2 "Summary of Significant Accounting Policies."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incurred a loss of $22.2 million for the three months ended September 30, 2016, and gain of $47.5 million for the same period of 2015, from the change in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4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We incurred a loss of $6.0 million on the extinguishment of debt for the three months ended September 30, 2015. In connection with the August 2015 redemption of the untendered 7 3/4% First Mortgage Notes due August 15, 2020 (the "7 3/4% 2020 Notes"), we incurred a loss of $3.9 million from the premium paid and write-off of unamortized deferred financing costs. In addition, we incurred a loss of $2.1 million related to the write-off of unamortized deferred financing costs associated with the amendment of our Wynn Macau credit facilities. We incurred no loss on extinguishment of debt for the three months ended September 30, 2016.</w:t>
      </w:r>
    </w:p>
    <w:p>
      <w:pPr>
        <w:spacing w:after="0" w:line="14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incurred a gain of $1.2 million and a loss of $1.3 million for the three months ended September 30, 2016 and 2015, respectively, from the change in the fair value of our interest rate swaps. For further information on our interest rate swaps, see Item 3 — "Quantitative and Qualitative Disclosures about Market Risk."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was $3.7 million for the three months ended September 30, 2016, compared to $1.5 million for the three months ended September 30,</w:t>
      </w:r>
    </w:p>
    <w:p>
      <w:pPr>
        <w:spacing w:after="0" w:line="27"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2015. During 2016 and 2015,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2016 and 2015, we recorded a tax expense of $0.1 million and $7.4 million, respectively, primarily related to changes in the domestic valuation allowance for U.S. foreign tax credits ("FTCs").</w:t>
      </w:r>
    </w:p>
    <w:p>
      <w:pPr>
        <w:spacing w:after="0" w:line="10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we no longer consider our portion of the tax earnings and profits of WML to be permanently invested. We have not provided deferred U.S. income taxes or foreign withholding taxes on temporary differences as U.S. FTCs should be sufficient to eliminate any U.S. federal income tax in the event of repatriation. For the three months ended September 30, 2016 and 2015, we recognized income tax benefits related to excess tax deductions associated with stock compensation costs of $0.1 million and $0.3 million, respectively.</w:t>
      </w:r>
    </w:p>
    <w:p>
      <w:pPr>
        <w:spacing w:after="0" w:line="12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Wynn Resorts (Macau) S.A. ("Wynn Macau SA") has received a 5-year exemption from Macau's Complementary Tax on casino gaming profits through December 31, 2020. During the three months ended September 30, 2016 and 2015, we were</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exempt from the payment of $2.2 million and $8.7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176"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government that provides for an annual payment of 15.5 million Macau patacas (approximately $1.9 million) as complementary tax due by shareholders on dividend distributions. This agreement on dividends was effective through December 31, 2015. In August 2016, Wynn Macau SA received an extension of the agreement for an additional five years applicable to tax years 2016 through 2020. The extension agreement provides for an annual payment of 12.8 million Macau patacas (approximately $1.6 million).</w:t>
      </w:r>
    </w:p>
    <w:p>
      <w:pPr>
        <w:spacing w:after="0" w:line="180"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Real Estate Company Limited. In June 2016, the Financial Services Bureau concluded its examination with no changes.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w:t>
      </w:r>
    </w:p>
    <w:p>
      <w:pPr>
        <w:spacing w:after="0" w:line="227"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had a net loss attributable to noncontrolling interest of $1.9 million for the three months ended September 30, 2016, compared to a net income attributable to noncontrolling interest of $17.2 million for the same period of 2015. These amounts represent the noncontrolling interest's share of net income (loss) from WML.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nine months ended September 30, 2016 compared to the nine months ended September 30,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1,765,652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1,907,425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1,930,277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1,907,425</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1,235,587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1,221,556</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3,165,864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3,128,981</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1.2%, or $36.9 million for the nine months ended September 30, 2016 when compared to the same period in 2015. The increase is primarily due to net revenues of $164.6 million from Wynn Palace and a $15.6 million increase in non-casino revenues from our Las Vegas Operations, partially offset by a $121.8 million decrease in casino revenues and a $20.0 million decrease in entertainment, retail, and other revenues from Wynn Macau.</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jc w:val="right"/>
              <w:ind w:right="5720"/>
              <w:spacing w:after="0"/>
              <w:rPr>
                <w:rFonts w:ascii="Times New Roman" w:cs="Times New Roman" w:eastAsia="Times New Roman" w:hAnsi="Times New Roman"/>
                <w:sz w:val="14"/>
                <w:szCs w:val="14"/>
                <w:color w:val="0000EE"/>
                <w:w w:val="99"/>
              </w:rPr>
            </w:pPr>
            <w:hyperlink w:anchor="page2">
              <w:r>
                <w:rPr>
                  <w:rFonts w:ascii="Times New Roman" w:cs="Times New Roman" w:eastAsia="Times New Roman" w:hAnsi="Times New Roman"/>
                  <w:sz w:val="14"/>
                  <w:szCs w:val="14"/>
                  <w:color w:val="0000EE"/>
                  <w:w w:val="99"/>
                </w:rPr>
                <w:t>Table of Contents</w:t>
              </w:r>
            </w:hyperlink>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gridSpan w:val="2"/>
            <w:shd w:val="clear" w:color="auto" w:fill="CCEEFF"/>
          </w:tcPr>
          <w:p>
            <w:pPr>
              <w:jc w:val="right"/>
              <w:ind w:right="57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2,263,608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2,240,321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902,256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888,660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3,165,864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3,128,981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71.5% of total net revenues for the nine months ended September 30, 2016, compared to 71.6% for the same period of 2015, while non-casino revenues were 28.5% of total net revenues, compared to 28.4% for the same period of 2015.</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400" w:firstLine="432"/>
        <w:spacing w:after="0" w:line="255" w:lineRule="auto"/>
        <w:rPr>
          <w:sz w:val="20"/>
          <w:szCs w:val="20"/>
          <w:color w:val="auto"/>
        </w:rPr>
      </w:pPr>
      <w:r>
        <w:rPr>
          <w:rFonts w:ascii="Times New Roman" w:cs="Times New Roman" w:eastAsia="Times New Roman" w:hAnsi="Times New Roman"/>
          <w:sz w:val="18"/>
          <w:szCs w:val="18"/>
          <w:color w:val="auto"/>
        </w:rPr>
        <w:t>Casino revenues increased 1.0%, or $23.3 million, to $2.26 billion for the nine months ended September 30, 2016, from $2.24 billion for the same period of 2015. The increase is primarily due to casino revenues of $146.7 million from Wynn Palace, partially offset by a $121.8 million decrease from Wynn Macau. The decline in casino revenues from Wynn Macau was driven by a decrease in business volumes from both our VIP and mass market operations, with a decrease in VIP turnover of 19.2%, table drop of 5.0% and slot handle of 10.6%. The business volume decrease for Wynn Macau was primarily driven by the continued impact from the current economic and political conditions in Macau and China, as well as impact from recent resort openings in the Cotai area of Macau, including Wynn Palace. We experienced a VIP win as a percentage of turnover of 3.35% for the nine months ended September 30, 2016, compared to 2.94% for the same period of 2015, which partially offset the business volume decrease in our VIP operations.</w:t>
      </w:r>
    </w:p>
    <w:p>
      <w:pPr>
        <w:spacing w:after="0" w:line="189"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1,669,871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1,791,704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36,252,239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44,883,114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(8,630,875)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1,214,675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1,320,650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3,489,272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3,672,269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(182,997)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687,876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722,877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2,584,342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2,891,818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113,098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140,791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81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 (continued):</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146,708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146,708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4,150,448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4,150,448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120,455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275,898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275,898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204,515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204,515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12,610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447,030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448,617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1,385,963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1,574,537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340,572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351,647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2,286,559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2,238,594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150,786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154,041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1.5%, or $13.6 million, to $902.3 million for the nine months ended September 30, 2016, from $888.7 million for the same period of 2015, primarily due to the opening of Wynn Palace during the third quarter of 2016 and an increase of 6.3% in room revenues from our Las Vegas Operations, partially offset by a 17.2% decline in non-casino revenues at Wynn Macau.</w:t>
      </w:r>
    </w:p>
    <w:p>
      <w:pPr>
        <w:spacing w:after="0" w:line="17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Room revenues increased 6.3%, or $25.6 million, to $431.0 million for the nine months ended September 30, 2016, from $405.4 million for the same period of 2015, primarily attributable to an increase of $19.6 million from our Las Vegas Operations and $14.2 million from Wynn Palace, partially offset by a decrease of $8.3 million from Wynn Macau. The increase experienced by our Las Vegas Operations was driven by an ADR increase of 5.7% while the decrease from Wynn Macau was a result of an ADR decline of 5.9% and a 2.8 percentage point decrease in occupancy.</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(1)</w:t>
            </w:r>
          </w:p>
        </w:tc>
      </w:tr>
      <w:tr>
        <w:trPr>
          <w:trHeight w:val="249"/>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85,915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94,167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330,893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311,260</w:t>
            </w:r>
          </w:p>
        </w:tc>
        <w:tc>
          <w:tcPr>
            <w:tcW w:w="1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08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occupancy, which is presented as a percentage point change.</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Wynn Palace opened on August 22, 2016.</w:t>
      </w:r>
    </w:p>
    <w:p>
      <w:pPr>
        <w:spacing w:after="0" w:line="219"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decreased 1.7%, or $8.2 million, to $469.1 million for the nine months ended September 30, 2016, from $477.3 million for the same period of 2015, primarily due to decreases of $9.1 million and $6.8 million from our Las Vegas Operations and Wynn Macau, respectively, partially offset by $7.7 million from Wynn Palace. Our Las Vegas Operations decreased primarily due to a decline in revenues at our nightclubs and the decrease from Wynn Macau was mainly from a decline in revenues at our restaurants.</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revenues decreased 2.9%, or $7.6 million, to $257.3 million for the nine months ended September 30, 2016, from $264.8 million for the same period of 2015. The decrease is primarily due to a $20.0 million decrease in revenue from retail shops at Wynn Macau, partially offset by $12.0 million from Wynn Palace.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decreased 1.5%, or $3.8 million, to $255.1 million for the nine months ended September 30, 2016, from $258.9 million for the same period of 2015. As a percentage of total casino revenues, promotional allowances were 11.3% for the nine months ended September 30, 2016, compared to 11.6%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Operating costs and expenses increased 6.1%, or $161.1 million, to $2.78 billion for the nine months ended September 30, 2016, from $2.62 billion for the same period of 2015, driven by increases in pre-opening costs of $98.1 million, general and administrative expenses of $28.6 million and depreciation and amortization of $18.8 million, all primarily related to the opening of Wynn Palace.</w:t>
      </w:r>
    </w:p>
    <w:p>
      <w:pPr>
        <w:spacing w:after="0" w:line="176"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Casino expenses were relatively flat for the period with $1.43 billion for the nine months ended September 30, 2016, compared to $1.44 billion for the same period of 2015.</w:t>
      </w:r>
    </w:p>
    <w:p>
      <w:pPr>
        <w:spacing w:after="0" w:line="16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3.9%, or $4.4 million, to $115.9 million for the nine months ended September 30, 2016, from $111.6 million for the same period of 2015. The increase was commensurate with the 6.3% increase in room revenues.</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2.1%, or $6.0 million, to $294.5 million for the nine months ended September 30, 2016, from $288.5 million for the same period of 2015, primarily related to Wynn Palace.</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2.0%, or $2.4 million, to $116.1 million for the nine months ended September 30, 2016, from $118.6 million for the same period of 2015. The decrease was commensurate with the 2.9% decrease in entertainment, retail, and other revenues.</w:t>
      </w:r>
    </w:p>
    <w:p>
      <w:pPr>
        <w:spacing w:after="0" w:line="162"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8.1%, or $28.6 million, to $381.2 million for the nine months ended September 30, 2016, compared to $352.5 million for the same period of 2015. The increase was primarily due to $20.5 million from Wynn Palace, and increases in general and administrative expenses from our Las Vegas Operations and corporate related expenses.</w:t>
      </w:r>
    </w:p>
    <w:p>
      <w:pPr>
        <w:spacing w:after="0" w:line="176"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$12.5 million to $0.8 million for the nine months ended September 30, 2016, compared to $13.3 million for the same period of 2015. The change in the provision was primarily due to increased collections of casino accounts receivable at Wynn Macau, which included the collection of an account that resulted in a $6.7 million reversal of the previously recorded allowance for doubtful accounts.</w:t>
      </w:r>
    </w:p>
    <w:p>
      <w:pPr>
        <w:spacing w:after="0" w:line="176"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$150.5 million for the nine months ended September 30, 2016, compared to $52.4 million for the same period of 2015. During the nine months ended September 30, 2016, we incurred pre-opening costs of $131.1 million related to Wynn Palace, $17.2 million related to Wynn Boston Harbor and $2.2 million at Wynn Las Vegas. During the nine months ended September 30, 2015, we incurred pre-opening costs of $34.2 million and $18.2 million related to Wynn Palace and Wynn Boston Harbor, respectively.</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7.6%, or $18.8 million, to $264.2 million for the nine months ended September 30, 2016, from $245.4 million for the same period of 2015. The increase was attributable to $30.2 million from Wynn Palace primarily from the opening and associated building and furniture, fixtures and equipment placed in service, partially offset by a decrease of $13.8 million at Wynn Macau. The majority of the Wynn Macau decrease was due to a change in estimated useful lives of buildings and improvements, which was effective September 1, 2015, to more accurately reflect the estimated periods during which these assets are expected to remain in service.</w:t>
      </w:r>
    </w:p>
    <w:p>
      <w:pPr>
        <w:spacing w:after="0" w:line="18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Property charges and other were $31.4 million for the nine months ended September 30, 2016, compared to $4.0 million for the same period of 2015. During the nine months ended September 30, 2016, our Las Vegas Operations incurred a $15.3 million exit fee for the right to leave the public electric utility and $9.0 million in asset abandonment charges associated with the current construction of more than 75,000 square feet of additional high-end, brand-name retail space. The majority of the remaining expenses for the nine months ended September 30, 2016 were due to losses from the sale of assets and asset abandonment charges at Wynn Macau and our Las Vegas Operations.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286,126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262,536</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(92,428)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(35,238)</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193,698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227,298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9,515,177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7,923,703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664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Interest expense decreased 14.8%, or $33.6 million for the nine months ended September 30, 2016 when compared to the same period of 2015, primarily due to an increase in capitalized interest of $57.2 million, partially offset by an increase in interest cost of $23.6 million. During the first quarter of 2016, we corrected immaterial amounts of additional interest of $25.6 million that should have been capitalized instead of being expensed during the years ended December 31, 2015 and 2014. Had these amounts been corrected in the appropriate periods, the capitalized interest for the nine months ended September 30, 2015, would have been $19.0 million higher. For further information, see Item 1—"Notes to Condensed Consolidated Financial Statements," Note 2 "Summary of Significant Accounting Policies." Interest cost increased $23.6 million for the nine months ended September 30, 2016 when compared to the same period of 2015, primarily due to an increase in our weighted average total debt balance, partially offset by a decrease in our weighted average interest rate.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We incurred a loss of $19.2 million for the nine months ended September 30, 2016, and a gain of $47.5 million for the same period of 2015, from the change in fair value of the Redemption Note. The change in fair value is a result of changes in certain variables to calculate the estimated fair value. For further information on the fair value of the Redemption Note, see Item 1—"Notes to Condensed Consolidated Financial Statements," Note 2 "Summary of Significant Accounting Policies."</w:t>
      </w:r>
    </w:p>
    <w:p>
      <w:pPr>
        <w:spacing w:after="0" w:line="140"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incurred a loss of $126.0 million on the extinguishment of debt for the nine months ended September 30, 2015, in connection with the cash tender offer for the 7 7/8% First Mortgage Notes due May 1, 2020 (the "7 7/8% 2020 Notes") and the 7 3/4% 2020 Notes (together the "2020 Notes"), subsequent redemption of the untendered 2020 Notes and amendment of our Wynn Macau credit facilities. We expensed $98.9 million for the consideration to holders who tendered the 2020 Notes, $17.2 million of unamortized deferred financing costs and original issue discount and incurred other fees of $0.1 million. In connection with the redemption of the remaining principal amount of the untendered 2020 Notes, we recorded a loss for the premium portion of the consideration of $5.9 million and expensed $1.8 million of unamortized deferred financing costs and original discount. In connection with the amendment of the Wynn Macau credit facilities, we expensed $2.1 million of unamortized deferred financing costs. We incurred no loss on extinguishment of debt for the nine months ended September 30, 2016.</w:t>
      </w:r>
    </w:p>
    <w:p>
      <w:pPr>
        <w:spacing w:after="0" w:line="14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incurred losses of $1.7 million and $7.0 million for the nine months ended September 30, 2016 and 2015, respectively, from the change in the fair value of our interest rate swaps. For further information on our interest rate swaps, see Item 3 — "Quantitative and Qualitative Disclosures about Market Risk."</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$9.9 million for the nine months ended September 30, 2016, compared to $4.7 million for the same period of 2015. During 2016 and 2015,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2016 and 2015, we recorded a tax expense of $1.1 million and $23.9 million, respectively, primarily related to changes in the domestic valuation allowance for U.S. FTCs.</w:t>
      </w:r>
    </w:p>
    <w:p>
      <w:pPr>
        <w:spacing w:after="0" w:line="10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we no longer consider our portion of the tax earnings and profits of WML to be permanently invested. We have not provided deferred U.S. income taxes or foreign withholding taxes on temporary differences as U.S. FTCs should be sufficient to eliminate any U.S. federal income tax in the event of repatriation. For the nine months ended September 30, 2016 and 2015, we recognized income tax benefits related to excess tax deductions associated with stock compensation costs of $0.2 million and $0.7 million, respectively.</w:t>
      </w:r>
    </w:p>
    <w:p>
      <w:pPr>
        <w:spacing w:after="0" w:line="12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2020. During the nine months ended September 30, 2016 and 2015, we were exempt from the payment of $23.1 million and $32.6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was $47.7 million for the nine months ended September 30, 2016, compared to $68.7 million for the nine months ended September 30, 2015. These amounts represent the noncontrolling interest's share of net income from WML.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1—"Notes to Condensed Consolidated Financial Statements," Note 15 "Segment Information." That footnote also presents a reconciliation of Adjusted Property EBITDA to net income (loss) attributable to Wynn Resorts, Limited.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151,009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532,643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548,555</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Palace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128,879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117,069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360,193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349,783</w:t>
            </w:r>
          </w:p>
        </w:tc>
      </w:tr>
      <w:tr>
        <w:trPr>
          <w:trHeight w:val="27"/>
        </w:trPr>
        <w:tc>
          <w:tcPr>
            <w:tcW w:w="5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Wynn Macau decreased 7.3% for the three months ended September 30, 2016 and decreased 2.9% for the nine months ended September 30, 2016, compared to the same period of 2015, primarily due to casino revenue performance driven by year-over-year declines in VIP turnover, table drop and slot machine handle.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Property EBITDA at Wynn Palace was $25.5 million from 40 days of operations during the three months ended September 30, 2016.</w:t>
      </w:r>
    </w:p>
    <w:p>
      <w:pPr>
        <w:spacing w:after="0" w:line="22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our Las Vegas Operations increased 10.1% for the three months ended September 30, 2016 and 3.0% for the nine months ended September 30, 2016 when compared to the same period of 2015. The increase was primarily attributable to an increase in non-casino revenues driven largely by an increase in room revenue.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nine months ended September 30, 2016 was $680.8 million, compared to $345.5 million for the same period of 2015. The increase was primarily due to the change in ordinary working capital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60"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2016 was $1.02 billion, compared to $1.43 billion for the same period of 2015 and was primarily attributable to capital expenditures, net of construction payables and retention. Capital expenditures, net of construction payables and retention, were $954.7 million for the nine months ended September 30, 2016, consisting primarily of $690.0 million for Wynn Palace and $121.0 million for Wynn Boston Harbor. For the nine months ended September 30, 2015, capital expenditures, net of construction payables and retention, of $1.43 billion, were primarily for Wynn Palace.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2016 was $234.4 million, compared to net cash provided by financing activities of $798.1 million for the same the period of 2015. During the nine months ended September 30, 2016, we used cash in financing activities of $263.7 million for the payment of dividends and $240.4 million for the repayment of our Wynn Macau senior secured revolving credit facility. In addition, $200.8 million of cash was restricted as collateral associated with our WML Finance revolving credit facility. These uses of cash were partially offset by $505.5 million proceeds provided from borrowings under our credit facilities. Net cash provided by financing activities for the nine months ended September 30, 2015 consisted primarily of $2.3 billion in proceeds received in connection with the amendment of our Wynn Macau credit facilities and $1.8 billion provided upon issuance of 5 1/2% Senior Notes due 2025, offset by the purchase of $3.34 billion of our 2020 Notes pursuant to a cash tender offer and subsequent redemption of the untendered 7 7/8% 2020 Notes, dividends paid of $447.5 million, and payments of $178.9 million in financing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of September 30, 2016, we had $1.51 billion of cash and cash equivalents and $303.5 million of available-for-sale investments in corporate bonds, commercial paper and U.S. governmental agency bonds. Cash and cash equivalents include cash on hand, cash in bank and fixed deposits, investments in money market funds, domestic and foreign bank time deposits and commercial paper, all with original maturities of less than 90 days. Our cash is available for operations, debt service and retirement, development activities, general corporate purposes and enhancements to our resorts. Of these amounts, WML (of which we own approximately 72%) and its subsidiaries held $325.5 million in cash. If our portion of this cash was repatriated to the U.S. on September 30, 2016, it would be subject to minimal U.S. taxes in the year of repatriation. Wynn Las Vegas, LLC held cash balances of $168.8 million. Wynn Resorts, Limited (including its subsidiaries other than Wynn Las Vegas, LLC and WML), which is not a guarantor of the debt of its subsidiaries, held $1.02 billion and $303.5 million of cash and available-for-sale investments, respectively.</w:t>
      </w:r>
    </w:p>
    <w:p>
      <w:pPr>
        <w:spacing w:after="0" w:line="18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consist of a $2.27 billion equivalent fully funded senior secured term loan facility and a $750 million equivalent senior secured revolving credit facility. Borrowings under the Wynn Macau credit facilities consist of both United States dollar and Hong Kong dollar tranches and were used to refinance Wynn Macau SA's existing indebtedness, and will be used to fund the construction and development of Wynn Palace and for general corporate purposes. As of September 30, 2016, we had $409.2 million of available borrowing capacity under the senior secured revolving credit facility.</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The Wynn America credit facilities consist of a $375 million senior secured revolving credit facility and a $1.0 billion delay draw senior secured term loan facility (together, the "Wynn America Credit Facilities"). Borrowings under the Wynn America Credit Facilities will be used to fund the design, development, construction and pre-opening expenses of Wynn Boston Harbor and for general corporate purposes. On June 21, 2016, we amended the Wynn America Credit Facilities to extend the available borrowing period for $649.7 million of the delay draw senior secured term loan facility from June 30, 2016 to December 31, 2016. On July 1, 2016, we amended the Wynn America Credit Facilities to increase the existing $875 million senior secured term loan facility (the "WA Senior Term Loan Facility I") by a principal amount of $125 million with the available borrowing period ending on December 31, 2016 (such increase, the "WA Senior Term Loan Facility II"). Once drawn, borrowings under the WA Senior Term Loan Facility II have no required scheduled repayments until maturity in November 2020. As of September 30, 2016, the available borrowing capacity under the Wynn America Credit Facilities was $1.14 billion, net of $10.6 million in outstanding letters of credit.</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WML Finance I, Limited credit facility consists of a HK$1.55 billion (approximately $199.6 million) cash-collateralized revolving credit facility ("WML Finance Credit Facility"). Borrowings under the WML Finance Credit Facility are in Hong Kong dollars and are used for working capital requirements and general corporate purposes. On October 25, 2016, we amended the WML Finance Credit Facility to increase the principal amount up to HK$3.87 billion (approximately $498.9 million). The terms of the borrowing for the increased principal amount under the amendment are equivalent to the terms of the original credit agreement, including the requirement for cash collateral to be deposited and pledged with the lender, and interest borne at the same rate. As of September 30, 2016, the Company has drawn the full amount of the original credit agreement. No additional amounts have been borrowed subsequent to September 30, 2016.</w:t>
      </w:r>
    </w:p>
    <w:p>
      <w:pPr>
        <w:spacing w:after="0" w:line="189" w:lineRule="exact"/>
        <w:rPr>
          <w:sz w:val="20"/>
          <w:szCs w:val="20"/>
          <w:color w:val="auto"/>
        </w:rPr>
      </w:pPr>
    </w:p>
    <w:p>
      <w:pPr>
        <w:jc w:val="both"/>
        <w:ind w:right="240" w:firstLine="432"/>
        <w:spacing w:after="0" w:line="261"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 Wynn Boston Harbor, with the available borrowing capacity under our bank credit facilities.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At September 30, 2016, we had outstanding letters of credit totaling $10.6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right="18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nine months ended September 30, 2016 to our contractual obligations or off-balance sheet arrangements as disclosed in our Annual Report on Form 10-K for the year ended December 31, 2015.</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jc w:val="both"/>
        <w:ind w:right="80" w:firstLine="432"/>
        <w:spacing w:after="0" w:line="289" w:lineRule="auto"/>
        <w:rPr>
          <w:sz w:val="20"/>
          <w:szCs w:val="20"/>
          <w:color w:val="auto"/>
        </w:rPr>
      </w:pPr>
      <w:r>
        <w:rPr>
          <w:rFonts w:ascii="Times New Roman" w:cs="Times New Roman" w:eastAsia="Times New Roman" w:hAnsi="Times New Roman"/>
          <w:sz w:val="17"/>
          <w:szCs w:val="17"/>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5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see Item 1—"Notes to Condensed Consolidated Financial Statements," Note 13 "Commitments and Contingencies."</w:t>
      </w:r>
    </w:p>
    <w:p>
      <w:pPr>
        <w:spacing w:after="0" w:line="22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7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a result of an increase in repurchase authority from the Board of Directors on April 14, 2016, we currently have authorization to repurchase up to $1 billion of the Company's outstanding shares.</w:t>
      </w:r>
    </w:p>
    <w:p>
      <w:pPr>
        <w:spacing w:after="0" w:line="18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2015. There have been no significant changes to these policies for the nine months ended September 30,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1—"Notes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2015 and other factors we describe from time to time in our periodic filings with the Securities and Exchange Commission ("SEC"), such as:</w:t>
      </w:r>
    </w:p>
    <w:p>
      <w:pPr>
        <w:spacing w:after="0" w:line="180" w:lineRule="exact"/>
        <w:rPr>
          <w:sz w:val="20"/>
          <w:szCs w:val="20"/>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960" w:right="220" w:hanging="655"/>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particularly in China, which may impact levels of travel, leisure and consumer spending;</w:t>
      </w:r>
    </w:p>
    <w:p>
      <w:pPr>
        <w:ind w:left="1960" w:right="400" w:hanging="655"/>
        <w:spacing w:after="0" w:line="265" w:lineRule="auto"/>
        <w:tabs>
          <w:tab w:leader="none" w:pos="1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960" w:right="20" w:hanging="655"/>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in Macau and government labor and gaming policies, unexpected cost increases, transportation infrastructure, environmental regulation and our ability to secure federal, state and local permits and approvals necessary for our construction projects);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960" w:right="640" w:hanging="655"/>
        <w:spacing w:after="0" w:line="250"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gaming promoters;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960" w:right="540" w:hanging="655"/>
        <w:spacing w:after="0" w:line="250"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(including the Chinese government's ongoing anti-corruption campaign) and the cost of compliance or failure to comply with applicable laws and regulations;</w:t>
      </w: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960" w:right="100" w:hanging="655"/>
        <w:spacing w:after="0" w:line="250"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pay us dividends and distributions;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certain jurisdictions;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are, and will continue to be, recognized as a change in interest rate swap fair value in our Condensed Consolidated Statements of Operations, as the swaps do not qualify for hedge accounting.</w:t>
      </w:r>
    </w:p>
    <w:p>
      <w:pPr>
        <w:spacing w:after="0" w:line="180"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Facility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incurred under the Wynn Macau Senior Term Loan Facility in exchange for receipts on the same amount at a variable-rate based on the applicable LIBOR at the time of payment. This interest rate swap fixes the all-in interest rate on such amounts at 2.18% to 2.93%. This interest rate swap agreement matures in July 2017.</w:t>
      </w:r>
    </w:p>
    <w:p>
      <w:pPr>
        <w:spacing w:after="0" w:line="180"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2016, interest rate swaps of $1.1 million were included in current other accrued liabilities in the accompanying Condensed Consolidated Balance Sheet. As of December 31, 2015, interest rate swaps of $0.7 million were included in other assets and $0.1 million were included in other long-term liabilities in the accompanying Condensed Consolidated Balance Sheet.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2016, approximately 77.8% of our long-term debt was based on fixed rates, including the notional amounts related to interest rate swaps. Based on our borrowings as of September 30, 2016, an assumed 100 basis point change in the variable rates would cause our annual interest cost to change by $21.2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jc w:val="both"/>
        <w:ind w:right="740" w:firstLine="432"/>
        <w:spacing w:after="0" w:line="266" w:lineRule="auto"/>
        <w:rPr>
          <w:sz w:val="20"/>
          <w:szCs w:val="20"/>
          <w:color w:val="auto"/>
        </w:rPr>
      </w:pPr>
      <w:r>
        <w:rPr>
          <w:rFonts w:ascii="Times New Roman" w:cs="Times New Roman" w:eastAsia="Times New Roman" w:hAnsi="Times New Roman"/>
          <w:sz w:val="18"/>
          <w:szCs w:val="18"/>
          <w:color w:val="auto"/>
        </w:rPr>
        <w:t>We manage exposure to foreign currency risks associated with future scheduled interest payments through the use of foreign currency forward contracts. These contracts involve the exchange of one currency for a second currency at a future date and are with a counter-party, which is a major international financial institution.</w:t>
      </w:r>
    </w:p>
    <w:p>
      <w:pPr>
        <w:spacing w:after="0" w:line="17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Based on our balances at September 30, 2016, an assumed 1% change in the dollar/Hong Kong dollar exchange rate would cause a foreign currency transaction gain/loss of approximately $30.0 million.</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firstLine="440"/>
        <w:spacing w:after="0" w:line="253" w:lineRule="auto"/>
        <w:tabs>
          <w:tab w:leader="none" w:pos="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ind w:right="120" w:firstLine="440"/>
        <w:spacing w:after="0" w:line="261"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The only change in the Company's internal control over financial reporting that occurred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quarter covered by this Quarterly Report on Form 10-Q that had a material effect, or was reasonably likely to have a material effect on the Company's internal control over financial reporting, related to the opening of Wynn Palace on August 22, 2016. We have implemented controls and procedures at Wynn Palace similar to those in effect at our other properties.</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is cooperating with CCAC's request.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2015. There were no material changes to those risk factors during the nine months ended September 30, 2016.</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third quarter of 2016,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80"/>
          </w:cols>
          <w:pgMar w:left="240" w:top="118" w:right="37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ind w:left="1080" w:right="10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w:t>
        <w:tab/>
        <w:t>Third Amended and Restated Articles of Incorporation of the Registrant. (Incorporated by reference from the Quarterly Report on Form 10-Q filed by the Registrant on May 8, 2015.)</w:t>
      </w:r>
    </w:p>
    <w:p>
      <w:pPr>
        <w:spacing w:after="0" w:line="2" w:lineRule="exact"/>
        <w:rPr>
          <w:sz w:val="20"/>
          <w:szCs w:val="20"/>
          <w:color w:val="auto"/>
        </w:rPr>
      </w:pPr>
    </w:p>
    <w:p>
      <w:pPr>
        <w:ind w:left="1080" w:right="40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3.2</w:t>
        <w:tab/>
        <w:t>Eighth Amended and Restated Bylaws of the Registrant. (Incorporated by reference from the Quarterly Report on Form 10-Q filed by the Registrant on November 6, 2015.)</w:t>
      </w:r>
    </w:p>
    <w:p>
      <w:pPr>
        <w:spacing w:after="0" w:line="2" w:lineRule="exact"/>
        <w:rPr>
          <w:sz w:val="20"/>
          <w:szCs w:val="20"/>
          <w:color w:val="auto"/>
        </w:rPr>
      </w:pPr>
    </w:p>
    <w:p>
      <w:pPr>
        <w:ind w:left="1080" w:right="20" w:hanging="48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Fourth Amendment to Credit Agreement, dated as of July 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 (Incorporated by reference from the Quarterly Report on Form 10-Q filed by the Registrant on August 9, 2016.)</w:t>
      </w:r>
    </w:p>
    <w:p>
      <w:pPr>
        <w:spacing w:after="0" w:line="18" w:lineRule="exact"/>
        <w:rPr>
          <w:sz w:val="20"/>
          <w:szCs w:val="20"/>
          <w:color w:val="auto"/>
        </w:rPr>
      </w:pPr>
    </w:p>
    <w:p>
      <w:pPr>
        <w:ind w:left="1080" w:right="364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Periodic Report Pursuant to Rule 13a – 14(a) and Rule 15d – 14(a).</w:t>
      </w:r>
    </w:p>
    <w:p>
      <w:pPr>
        <w:spacing w:after="0" w:line="2" w:lineRule="exact"/>
        <w:rPr>
          <w:sz w:val="20"/>
          <w:szCs w:val="20"/>
          <w:color w:val="auto"/>
        </w:rPr>
      </w:pPr>
    </w:p>
    <w:p>
      <w:pPr>
        <w:ind w:left="1080" w:right="370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Periodic Report Pursuant to Rule 13a – 14(a) and Rule 15d – 14(a).</w:t>
      </w:r>
    </w:p>
    <w:p>
      <w:pPr>
        <w:spacing w:after="0" w:line="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quarter ended September 30, 2016, filed with the SEC on November 4, 2016 formatted in Extensible Business Reporting Language (XBRL): (i) the Condensed Consolidated Balance Sheets at September 30, 2016 and December 31, 2015, (ii) the Condensed Consolidated Statements of Operations for the three and nine months ended September 30, 2016 and 2015, (iii) the Condensed Consolidated Statements of Comprehensive Income (Loss) for the three and nine months ended September 30, 2016 and 2015, (iv) the Condensed Consolidated Statement of Stockholders' Equity (Deficit) at September 30, 2016, (v) the Condensed Consolidated Statements of Cash Flows for the nine months ended September 30, 2016 and 2015, and (vi) Notes to Condensed Consolidated Financial Statements.</w:t>
      </w:r>
    </w:p>
    <w:p>
      <w:pPr>
        <w:spacing w:after="0" w:line="2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118" w:right="27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November 4,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80"/>
          </w:cols>
          <w:pgMar w:left="240" w:top="118" w:right="8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657"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September 30, 2016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87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November 4, 2016</w:t>
            </w:r>
          </w:p>
        </w:tc>
      </w:tr>
      <w:tr>
        <w:trPr>
          <w:trHeight w:val="405"/>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November 4, 2016</w:t>
            </w:r>
          </w:p>
        </w:tc>
      </w:tr>
    </w:tbl>
    <w:p>
      <w:pPr>
        <w:spacing w:after="0" w:line="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2019-12-29T08:48:23Z</dcterms:created>
  <dcterms:modified xsi:type="dcterms:W3CDTF">2019-12-29T08:48:23Z</dcterms:modified>
</cp:coreProperties>
</file>