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_____________________</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May 17, 2011</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29" w:right="239" w:bottom="1440" w:gutter="0" w:footer="0" w:header="0"/>
        </w:sectPr>
      </w:pP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000-50028</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46-0484987</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700" w:space="720"/>
            <w:col w:w="2880" w:space="720"/>
            <w:col w:w="3400"/>
          </w:cols>
          <w:pgMar w:left="240" w:top="229" w:right="239" w:bottom="1440" w:gutter="0" w:footer="0" w:header="0"/>
          <w:type w:val="continuous"/>
        </w:sectPr>
      </w:pPr>
    </w:p>
    <w:p>
      <w:pPr>
        <w:ind w:left="130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420"/>
          </w:cols>
          <w:pgMar w:left="240" w:top="229" w:right="239" w:bottom="1440" w:gutter="0" w:footer="0" w:header="0"/>
          <w:type w:val="continuous"/>
        </w:sectPr>
      </w:pPr>
    </w:p>
    <w:p>
      <w:pPr>
        <w:spacing w:after="0" w:line="257" w:lineRule="exact"/>
        <w:rPr>
          <w:sz w:val="24"/>
          <w:szCs w:val="24"/>
          <w:color w:val="auto"/>
        </w:rPr>
      </w:pPr>
    </w:p>
    <w:p>
      <w:pPr>
        <w:ind w:left="2580"/>
        <w:spacing w:after="0"/>
        <w:rPr>
          <w:sz w:val="20"/>
          <w:szCs w:val="20"/>
          <w:color w:val="auto"/>
        </w:rPr>
      </w:pPr>
      <w:r>
        <w:rPr>
          <w:rFonts w:ascii="Arial" w:cs="Arial" w:eastAsia="Arial" w:hAnsi="Arial"/>
          <w:sz w:val="15"/>
          <w:szCs w:val="15"/>
          <w:b w:val="1"/>
          <w:bCs w:val="1"/>
          <w:color w:val="auto"/>
        </w:rPr>
        <w:t>3131 Las Vegas Boulevard South</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62" w:lineRule="exact"/>
        <w:rPr>
          <w:sz w:val="24"/>
          <w:szCs w:val="24"/>
          <w:color w:val="auto"/>
        </w:rPr>
      </w:pPr>
    </w:p>
    <w:p>
      <w:pPr>
        <w:sectPr>
          <w:pgSz w:w="11900" w:h="16838" w:orient="portrait"/>
          <w:cols w:equalWidth="0" w:num="2">
            <w:col w:w="8600" w:space="720"/>
            <w:col w:w="2100"/>
          </w:cols>
          <w:pgMar w:left="240" w:top="229" w:right="239" w:bottom="1440" w:gutter="0" w:footer="0" w:header="0"/>
          <w:type w:val="continuous"/>
        </w:sectPr>
      </w:pPr>
    </w:p>
    <w:p>
      <w:pPr>
        <w:ind w:left="3120"/>
        <w:spacing w:after="0"/>
        <w:rPr>
          <w:sz w:val="20"/>
          <w:szCs w:val="20"/>
          <w:color w:val="auto"/>
        </w:rPr>
      </w:pPr>
      <w:r>
        <w:rPr>
          <w:rFonts w:ascii="Arial" w:cs="Arial" w:eastAsia="Arial" w:hAnsi="Arial"/>
          <w:sz w:val="15"/>
          <w:szCs w:val="15"/>
          <w:b w:val="1"/>
          <w:bCs w:val="1"/>
          <w:color w:val="auto"/>
        </w:rPr>
        <w:t>Las Vegas, Nevada</w:t>
      </w:r>
    </w:p>
    <w:p>
      <w:pPr>
        <w:sectPr>
          <w:pgSz w:w="11900" w:h="16838" w:orient="portrait"/>
          <w:cols w:equalWidth="0" w:num="1">
            <w:col w:w="11420"/>
          </w:cols>
          <w:pgMar w:left="240" w:top="229" w:right="239" w:bottom="1440" w:gutter="0" w:footer="0" w:header="0"/>
          <w:type w:val="continuous"/>
        </w:sectPr>
      </w:pPr>
    </w:p>
    <w:p>
      <w:pPr>
        <w:spacing w:after="0" w:line="44"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420" w:space="720"/>
            <w:col w:w="2280"/>
          </w:cols>
          <w:pgMar w:left="240" w:top="229" w:right="2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229" w:right="239" w:bottom="1440" w:gutter="0" w:footer="0" w:header="0"/>
          <w:type w:val="continuous"/>
        </w:sect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May 17, 2011, Wynn Resorts, Limited (“WRL”) held its Annual Meeting of Stockholders. The following matters were presented at the meeting and received the votes indicated: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No. 1 – Election of Directors (Class III)</w:t>
      </w:r>
    </w:p>
    <w:p>
      <w:pPr>
        <w:spacing w:after="0" w:line="25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To elect the following four Class III directors, each to serve until the 2014 Annual Meeting of Stockholders and until his successor is elected and qualified, or until such director’s earlier death, resignation or removal:</w:t>
      </w:r>
    </w:p>
    <w:p>
      <w:pPr>
        <w:spacing w:after="0" w:line="193" w:lineRule="exact"/>
        <w:rPr>
          <w:sz w:val="20"/>
          <w:szCs w:val="20"/>
          <w:color w:val="auto"/>
        </w:rPr>
      </w:pPr>
    </w:p>
    <w:tbl>
      <w:tblPr>
        <w:tblLayout w:type="fixed"/>
        <w:tblInd w:w="620" w:type="dxa"/>
        <w:tblCellMar>
          <w:top w:w="0" w:type="dxa"/>
          <w:left w:w="0" w:type="dxa"/>
          <w:bottom w:w="0" w:type="dxa"/>
          <w:right w:w="0" w:type="dxa"/>
        </w:tblCellMar>
      </w:tblPr>
      <w:tr>
        <w:trPr>
          <w:trHeight w:val="241"/>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Director</w:t>
            </w:r>
          </w:p>
        </w:tc>
        <w:tc>
          <w:tcPr>
            <w:tcW w:w="278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Votes For</w:t>
            </w:r>
          </w:p>
        </w:tc>
        <w:tc>
          <w:tcPr>
            <w:tcW w:w="260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Votes Withheld</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Russell Goldsmith</w:t>
            </w:r>
          </w:p>
        </w:tc>
        <w:tc>
          <w:tcPr>
            <w:tcW w:w="2780" w:type="dxa"/>
            <w:vAlign w:val="bottom"/>
          </w:tcPr>
          <w:p>
            <w:pPr>
              <w:jc w:val="center"/>
              <w:ind w:left="390"/>
              <w:spacing w:after="0" w:line="201" w:lineRule="exact"/>
              <w:rPr>
                <w:sz w:val="20"/>
                <w:szCs w:val="20"/>
                <w:color w:val="auto"/>
              </w:rPr>
            </w:pPr>
            <w:r>
              <w:rPr>
                <w:rFonts w:ascii="Arial" w:cs="Arial" w:eastAsia="Arial" w:hAnsi="Arial"/>
                <w:sz w:val="18"/>
                <w:szCs w:val="18"/>
                <w:color w:val="auto"/>
                <w:w w:val="89"/>
              </w:rPr>
              <w:t>100,241,441</w:t>
            </w:r>
          </w:p>
        </w:tc>
        <w:tc>
          <w:tcPr>
            <w:tcW w:w="2600" w:type="dxa"/>
            <w:vAlign w:val="bottom"/>
          </w:tcPr>
          <w:p>
            <w:pPr>
              <w:jc w:val="center"/>
              <w:spacing w:after="0" w:line="201" w:lineRule="exact"/>
              <w:rPr>
                <w:sz w:val="20"/>
                <w:szCs w:val="20"/>
                <w:color w:val="auto"/>
              </w:rPr>
            </w:pPr>
            <w:r>
              <w:rPr>
                <w:rFonts w:ascii="Arial" w:cs="Arial" w:eastAsia="Arial" w:hAnsi="Arial"/>
                <w:sz w:val="18"/>
                <w:szCs w:val="18"/>
                <w:color w:val="auto"/>
                <w:w w:val="89"/>
              </w:rPr>
              <w:t>4,358,619</w:t>
            </w:r>
          </w:p>
        </w:tc>
        <w:tc>
          <w:tcPr>
            <w:tcW w:w="2920" w:type="dxa"/>
            <w:vAlign w:val="bottom"/>
          </w:tcPr>
          <w:p>
            <w:pPr>
              <w:jc w:val="center"/>
              <w:spacing w:after="0" w:line="201" w:lineRule="exact"/>
              <w:rPr>
                <w:sz w:val="20"/>
                <w:szCs w:val="20"/>
                <w:color w:val="auto"/>
              </w:rPr>
            </w:pPr>
            <w:r>
              <w:rPr>
                <w:rFonts w:ascii="Arial" w:cs="Arial" w:eastAsia="Arial" w:hAnsi="Arial"/>
                <w:sz w:val="18"/>
                <w:szCs w:val="18"/>
                <w:color w:val="auto"/>
                <w:w w:val="89"/>
              </w:rPr>
              <w:t>5,946,265</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Robert J. Miller</w:t>
            </w:r>
          </w:p>
        </w:tc>
        <w:tc>
          <w:tcPr>
            <w:tcW w:w="2780" w:type="dxa"/>
            <w:vAlign w:val="bottom"/>
          </w:tcPr>
          <w:p>
            <w:pPr>
              <w:jc w:val="center"/>
              <w:ind w:left="390"/>
              <w:spacing w:after="0"/>
              <w:rPr>
                <w:sz w:val="20"/>
                <w:szCs w:val="20"/>
                <w:color w:val="auto"/>
              </w:rPr>
            </w:pPr>
            <w:r>
              <w:rPr>
                <w:rFonts w:ascii="Arial" w:cs="Arial" w:eastAsia="Arial" w:hAnsi="Arial"/>
                <w:sz w:val="18"/>
                <w:szCs w:val="18"/>
                <w:color w:val="auto"/>
                <w:w w:val="89"/>
              </w:rPr>
              <w:t>102,812,732</w:t>
            </w:r>
          </w:p>
        </w:tc>
        <w:tc>
          <w:tcPr>
            <w:tcW w:w="2600" w:type="dxa"/>
            <w:vAlign w:val="bottom"/>
          </w:tcPr>
          <w:p>
            <w:pPr>
              <w:jc w:val="center"/>
              <w:spacing w:after="0"/>
              <w:rPr>
                <w:sz w:val="20"/>
                <w:szCs w:val="20"/>
                <w:color w:val="auto"/>
              </w:rPr>
            </w:pPr>
            <w:r>
              <w:rPr>
                <w:rFonts w:ascii="Arial" w:cs="Arial" w:eastAsia="Arial" w:hAnsi="Arial"/>
                <w:sz w:val="18"/>
                <w:szCs w:val="18"/>
                <w:color w:val="auto"/>
                <w:w w:val="89"/>
              </w:rPr>
              <w:t>1,787,328</w:t>
            </w: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5,946,265</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Kazuo Okada</w:t>
            </w:r>
          </w:p>
        </w:tc>
        <w:tc>
          <w:tcPr>
            <w:tcW w:w="2780" w:type="dxa"/>
            <w:vAlign w:val="bottom"/>
          </w:tcPr>
          <w:p>
            <w:pPr>
              <w:jc w:val="center"/>
              <w:ind w:left="410"/>
              <w:spacing w:after="0"/>
              <w:rPr>
                <w:sz w:val="20"/>
                <w:szCs w:val="20"/>
                <w:color w:val="auto"/>
              </w:rPr>
            </w:pPr>
            <w:r>
              <w:rPr>
                <w:rFonts w:ascii="Arial" w:cs="Arial" w:eastAsia="Arial" w:hAnsi="Arial"/>
                <w:sz w:val="18"/>
                <w:szCs w:val="18"/>
                <w:color w:val="auto"/>
                <w:w w:val="88"/>
              </w:rPr>
              <w:t>79,086,243</w:t>
            </w:r>
          </w:p>
        </w:tc>
        <w:tc>
          <w:tcPr>
            <w:tcW w:w="2600" w:type="dxa"/>
            <w:vAlign w:val="bottom"/>
          </w:tcPr>
          <w:p>
            <w:pPr>
              <w:jc w:val="center"/>
              <w:spacing w:after="0"/>
              <w:rPr>
                <w:sz w:val="20"/>
                <w:szCs w:val="20"/>
                <w:color w:val="auto"/>
              </w:rPr>
            </w:pPr>
            <w:r>
              <w:rPr>
                <w:rFonts w:ascii="Arial" w:cs="Arial" w:eastAsia="Arial" w:hAnsi="Arial"/>
                <w:sz w:val="18"/>
                <w:szCs w:val="18"/>
                <w:color w:val="auto"/>
                <w:w w:val="88"/>
              </w:rPr>
              <w:t>25,513,817</w:t>
            </w: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5,946,265</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Allan Zeman</w:t>
            </w:r>
          </w:p>
        </w:tc>
        <w:tc>
          <w:tcPr>
            <w:tcW w:w="2780" w:type="dxa"/>
            <w:vAlign w:val="bottom"/>
          </w:tcPr>
          <w:p>
            <w:pPr>
              <w:jc w:val="center"/>
              <w:ind w:left="390"/>
              <w:spacing w:after="0"/>
              <w:rPr>
                <w:sz w:val="20"/>
                <w:szCs w:val="20"/>
                <w:color w:val="auto"/>
              </w:rPr>
            </w:pPr>
            <w:r>
              <w:rPr>
                <w:rFonts w:ascii="Arial" w:cs="Arial" w:eastAsia="Arial" w:hAnsi="Arial"/>
                <w:sz w:val="18"/>
                <w:szCs w:val="18"/>
                <w:color w:val="auto"/>
                <w:w w:val="89"/>
              </w:rPr>
              <w:t>100,287,318</w:t>
            </w:r>
          </w:p>
        </w:tc>
        <w:tc>
          <w:tcPr>
            <w:tcW w:w="2600" w:type="dxa"/>
            <w:vAlign w:val="bottom"/>
          </w:tcPr>
          <w:p>
            <w:pPr>
              <w:jc w:val="center"/>
              <w:spacing w:after="0"/>
              <w:rPr>
                <w:sz w:val="20"/>
                <w:szCs w:val="20"/>
                <w:color w:val="auto"/>
              </w:rPr>
            </w:pPr>
            <w:r>
              <w:rPr>
                <w:rFonts w:ascii="Arial" w:cs="Arial" w:eastAsia="Arial" w:hAnsi="Arial"/>
                <w:sz w:val="18"/>
                <w:szCs w:val="18"/>
                <w:color w:val="auto"/>
                <w:w w:val="89"/>
              </w:rPr>
              <w:t>4,312,742</w:t>
            </w: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5,946,265</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Class I directors remain in office with their term expiring in 2012 – Linda Chen, John A. Moran, Marc D. Schorr and Elaine P.</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Wynn. The following Class II directors remain in office with their term expiring in 2013 – Stephen A. Wynn, Ray R. Irani, Alvin V. Shoemaker and 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Boone Wayson.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No. 2 – Advisory Resolution on Executive Compensation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 approve an advisory resolution on WRL’s executive compensation as reported in WRL’s proxy statement for the 2011 Annual Meeting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Stockholders:</w:t>
      </w:r>
    </w:p>
    <w:p>
      <w:pPr>
        <w:spacing w:after="0" w:line="234" w:lineRule="exact"/>
        <w:rPr>
          <w:sz w:val="20"/>
          <w:szCs w:val="20"/>
          <w:color w:val="auto"/>
        </w:rPr>
      </w:pPr>
    </w:p>
    <w:tbl>
      <w:tblPr>
        <w:tblLayout w:type="fixed"/>
        <w:tblInd w:w="620" w:type="dxa"/>
        <w:tblCellMar>
          <w:top w:w="0" w:type="dxa"/>
          <w:left w:w="0" w:type="dxa"/>
          <w:bottom w:w="0" w:type="dxa"/>
          <w:right w:w="0" w:type="dxa"/>
        </w:tblCellMar>
      </w:tblPr>
      <w:tr>
        <w:trPr>
          <w:trHeight w:val="241"/>
        </w:trPr>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24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Abstain</w:t>
            </w: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30"/>
        </w:trPr>
        <w:tc>
          <w:tcPr>
            <w:tcW w:w="2460" w:type="dxa"/>
            <w:vAlign w:val="bottom"/>
          </w:tcPr>
          <w:p>
            <w:pPr>
              <w:jc w:val="right"/>
              <w:ind w:right="710"/>
              <w:spacing w:after="0"/>
              <w:rPr>
                <w:sz w:val="20"/>
                <w:szCs w:val="20"/>
                <w:color w:val="auto"/>
              </w:rPr>
            </w:pPr>
            <w:r>
              <w:rPr>
                <w:rFonts w:ascii="Arial" w:cs="Arial" w:eastAsia="Arial" w:hAnsi="Arial"/>
                <w:sz w:val="18"/>
                <w:szCs w:val="18"/>
                <w:color w:val="auto"/>
              </w:rPr>
              <w:t>82,884,313</w:t>
            </w:r>
          </w:p>
        </w:tc>
        <w:tc>
          <w:tcPr>
            <w:tcW w:w="2460" w:type="dxa"/>
            <w:vAlign w:val="bottom"/>
          </w:tcPr>
          <w:p>
            <w:pPr>
              <w:jc w:val="right"/>
              <w:ind w:right="770"/>
              <w:spacing w:after="0"/>
              <w:rPr>
                <w:sz w:val="20"/>
                <w:szCs w:val="20"/>
                <w:color w:val="auto"/>
              </w:rPr>
            </w:pPr>
            <w:r>
              <w:rPr>
                <w:rFonts w:ascii="Arial" w:cs="Arial" w:eastAsia="Arial" w:hAnsi="Arial"/>
                <w:sz w:val="18"/>
                <w:szCs w:val="18"/>
                <w:color w:val="auto"/>
              </w:rPr>
              <w:t>21,517,987</w:t>
            </w:r>
          </w:p>
        </w:tc>
        <w:tc>
          <w:tcPr>
            <w:tcW w:w="2460" w:type="dxa"/>
            <w:vAlign w:val="bottom"/>
          </w:tcPr>
          <w:p>
            <w:pPr>
              <w:ind w:left="880"/>
              <w:spacing w:after="0"/>
              <w:rPr>
                <w:sz w:val="20"/>
                <w:szCs w:val="20"/>
                <w:color w:val="auto"/>
              </w:rPr>
            </w:pPr>
            <w:r>
              <w:rPr>
                <w:rFonts w:ascii="Arial" w:cs="Arial" w:eastAsia="Arial" w:hAnsi="Arial"/>
                <w:sz w:val="18"/>
                <w:szCs w:val="18"/>
                <w:color w:val="auto"/>
              </w:rPr>
              <w:t>197,759</w:t>
            </w:r>
          </w:p>
        </w:tc>
        <w:tc>
          <w:tcPr>
            <w:tcW w:w="3420" w:type="dxa"/>
            <w:vAlign w:val="bottom"/>
          </w:tcPr>
          <w:p>
            <w:pPr>
              <w:jc w:val="right"/>
              <w:ind w:right="1270"/>
              <w:spacing w:after="0"/>
              <w:rPr>
                <w:sz w:val="20"/>
                <w:szCs w:val="20"/>
                <w:color w:val="auto"/>
              </w:rPr>
            </w:pPr>
            <w:r>
              <w:rPr>
                <w:rFonts w:ascii="Arial" w:cs="Arial" w:eastAsia="Arial" w:hAnsi="Arial"/>
                <w:sz w:val="18"/>
                <w:szCs w:val="18"/>
                <w:color w:val="auto"/>
              </w:rPr>
              <w:t>5,946,266</w:t>
            </w: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No. 3 – Advisory Vote on the Frequency of Future Advisory Votes on Executive Compensation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vote on an advisory basis on whether future advisory votes on executive compensation should occur every year, every two years or every three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 Years</w:t>
            </w:r>
          </w:p>
        </w:tc>
        <w:tc>
          <w:tcPr>
            <w:tcW w:w="20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2 Years</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 Year</w:t>
            </w:r>
          </w:p>
        </w:tc>
        <w:tc>
          <w:tcPr>
            <w:tcW w:w="19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Abstain</w:t>
            </w:r>
          </w:p>
        </w:tc>
        <w:tc>
          <w:tcPr>
            <w:tcW w:w="23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1"/>
              </w:rPr>
              <w:t>Broker Non-Votes</w:t>
            </w:r>
          </w:p>
        </w:tc>
      </w:tr>
      <w:tr>
        <w:trPr>
          <w:trHeight w:val="230"/>
        </w:trPr>
        <w:tc>
          <w:tcPr>
            <w:tcW w:w="580" w:type="dxa"/>
            <w:vAlign w:val="bottom"/>
          </w:tcPr>
          <w:p>
            <w:pPr>
              <w:spacing w:after="0"/>
              <w:rPr>
                <w:sz w:val="20"/>
                <w:szCs w:val="20"/>
                <w:color w:val="auto"/>
              </w:rPr>
            </w:pPr>
          </w:p>
        </w:tc>
        <w:tc>
          <w:tcPr>
            <w:tcW w:w="2240" w:type="dxa"/>
            <w:vAlign w:val="bottom"/>
          </w:tcPr>
          <w:p>
            <w:pPr>
              <w:jc w:val="right"/>
              <w:ind w:right="650"/>
              <w:spacing w:after="0"/>
              <w:rPr>
                <w:sz w:val="20"/>
                <w:szCs w:val="20"/>
                <w:color w:val="auto"/>
              </w:rPr>
            </w:pPr>
            <w:r>
              <w:rPr>
                <w:rFonts w:ascii="Arial" w:cs="Arial" w:eastAsia="Arial" w:hAnsi="Arial"/>
                <w:sz w:val="18"/>
                <w:szCs w:val="18"/>
                <w:color w:val="auto"/>
              </w:rPr>
              <w:t>72,874,903</w:t>
            </w:r>
          </w:p>
        </w:tc>
        <w:tc>
          <w:tcPr>
            <w:tcW w:w="2060" w:type="dxa"/>
            <w:vAlign w:val="bottom"/>
          </w:tcPr>
          <w:p>
            <w:pPr>
              <w:ind w:left="740"/>
              <w:spacing w:after="0"/>
              <w:rPr>
                <w:sz w:val="20"/>
                <w:szCs w:val="20"/>
                <w:color w:val="auto"/>
              </w:rPr>
            </w:pPr>
            <w:r>
              <w:rPr>
                <w:rFonts w:ascii="Arial" w:cs="Arial" w:eastAsia="Arial" w:hAnsi="Arial"/>
                <w:sz w:val="18"/>
                <w:szCs w:val="18"/>
                <w:color w:val="auto"/>
              </w:rPr>
              <w:t>110,908</w:t>
            </w:r>
          </w:p>
        </w:tc>
        <w:tc>
          <w:tcPr>
            <w:tcW w:w="2280" w:type="dxa"/>
            <w:vAlign w:val="bottom"/>
          </w:tcPr>
          <w:p>
            <w:pPr>
              <w:jc w:val="right"/>
              <w:ind w:right="650"/>
              <w:spacing w:after="0"/>
              <w:rPr>
                <w:sz w:val="20"/>
                <w:szCs w:val="20"/>
                <w:color w:val="auto"/>
              </w:rPr>
            </w:pPr>
            <w:r>
              <w:rPr>
                <w:rFonts w:ascii="Arial" w:cs="Arial" w:eastAsia="Arial" w:hAnsi="Arial"/>
                <w:sz w:val="18"/>
                <w:szCs w:val="18"/>
                <w:color w:val="auto"/>
              </w:rPr>
              <w:t>30,245,420</w:t>
            </w:r>
          </w:p>
        </w:tc>
        <w:tc>
          <w:tcPr>
            <w:tcW w:w="1900" w:type="dxa"/>
            <w:vAlign w:val="bottom"/>
          </w:tcPr>
          <w:p>
            <w:pPr>
              <w:ind w:left="720"/>
              <w:spacing w:after="0"/>
              <w:rPr>
                <w:sz w:val="20"/>
                <w:szCs w:val="20"/>
                <w:color w:val="auto"/>
              </w:rPr>
            </w:pPr>
            <w:r>
              <w:rPr>
                <w:rFonts w:ascii="Arial" w:cs="Arial" w:eastAsia="Arial" w:hAnsi="Arial"/>
                <w:sz w:val="18"/>
                <w:szCs w:val="18"/>
                <w:color w:val="auto"/>
              </w:rPr>
              <w:t>717,596</w:t>
            </w:r>
          </w:p>
        </w:tc>
        <w:tc>
          <w:tcPr>
            <w:tcW w:w="2360" w:type="dxa"/>
            <w:vAlign w:val="bottom"/>
          </w:tcPr>
          <w:p>
            <w:pPr>
              <w:jc w:val="right"/>
              <w:ind w:right="610"/>
              <w:spacing w:after="0"/>
              <w:rPr>
                <w:sz w:val="20"/>
                <w:szCs w:val="20"/>
                <w:color w:val="auto"/>
              </w:rPr>
            </w:pPr>
            <w:r>
              <w:rPr>
                <w:rFonts w:ascii="Arial" w:cs="Arial" w:eastAsia="Arial" w:hAnsi="Arial"/>
                <w:sz w:val="18"/>
                <w:szCs w:val="18"/>
                <w:color w:val="auto"/>
              </w:rPr>
              <w:t>6,597,498</w:t>
            </w:r>
          </w:p>
        </w:tc>
      </w:tr>
      <w:tr>
        <w:trPr>
          <w:trHeight w:val="887"/>
        </w:trPr>
        <w:tc>
          <w:tcPr>
            <w:tcW w:w="58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ind w:left="660"/>
        <w:spacing w:after="0"/>
        <w:rPr>
          <w:sz w:val="20"/>
          <w:szCs w:val="20"/>
          <w:color w:val="auto"/>
        </w:rPr>
      </w:pPr>
      <w:r>
        <w:rPr>
          <w:rFonts w:ascii="Arial" w:cs="Arial" w:eastAsia="Arial" w:hAnsi="Arial"/>
          <w:sz w:val="18"/>
          <w:szCs w:val="18"/>
          <w:i w:val="1"/>
          <w:iCs w:val="1"/>
          <w:color w:val="auto"/>
        </w:rPr>
        <w:t>Proposal No. 4 – Amendment to WRL’s 2002 Stock Incentive Plan</w:t>
      </w:r>
    </w:p>
    <w:p>
      <w:pPr>
        <w:spacing w:after="0" w:line="25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To approve an amendment to WRL’s 2002 Stock Incentive Plan (the “2002 Plan”) to remove the provision from section 4(b)(ii) of the 2002 Plan that states “the Administrator shall have no authority to grant an Option or Stock Award to any Employee, Consultant or Director who owns more than five percent of the issued and outstanding Common Stock”:</w:t>
      </w:r>
    </w:p>
    <w:p>
      <w:pPr>
        <w:spacing w:after="0" w:line="204" w:lineRule="exact"/>
        <w:rPr>
          <w:sz w:val="20"/>
          <w:szCs w:val="20"/>
          <w:color w:val="auto"/>
        </w:rPr>
      </w:pPr>
    </w:p>
    <w:tbl>
      <w:tblPr>
        <w:tblLayout w:type="fixed"/>
        <w:tblInd w:w="620" w:type="dxa"/>
        <w:tblCellMar>
          <w:top w:w="0" w:type="dxa"/>
          <w:left w:w="0" w:type="dxa"/>
          <w:bottom w:w="0" w:type="dxa"/>
          <w:right w:w="0" w:type="dxa"/>
        </w:tblCellMar>
      </w:tblPr>
      <w:tr>
        <w:trPr>
          <w:trHeight w:val="241"/>
        </w:trPr>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2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Abstain</w:t>
            </w: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30"/>
        </w:trPr>
        <w:tc>
          <w:tcPr>
            <w:tcW w:w="2460" w:type="dxa"/>
            <w:vAlign w:val="bottom"/>
          </w:tcPr>
          <w:p>
            <w:pPr>
              <w:jc w:val="right"/>
              <w:ind w:right="710"/>
              <w:spacing w:after="0"/>
              <w:rPr>
                <w:sz w:val="20"/>
                <w:szCs w:val="20"/>
                <w:color w:val="auto"/>
              </w:rPr>
            </w:pPr>
            <w:r>
              <w:rPr>
                <w:rFonts w:ascii="Arial" w:cs="Arial" w:eastAsia="Arial" w:hAnsi="Arial"/>
                <w:sz w:val="18"/>
                <w:szCs w:val="18"/>
                <w:color w:val="auto"/>
              </w:rPr>
              <w:t>90,156,429</w:t>
            </w:r>
          </w:p>
        </w:tc>
        <w:tc>
          <w:tcPr>
            <w:tcW w:w="2460" w:type="dxa"/>
            <w:vAlign w:val="bottom"/>
          </w:tcPr>
          <w:p>
            <w:pPr>
              <w:jc w:val="right"/>
              <w:ind w:right="770"/>
              <w:spacing w:after="0"/>
              <w:rPr>
                <w:sz w:val="20"/>
                <w:szCs w:val="20"/>
                <w:color w:val="auto"/>
              </w:rPr>
            </w:pPr>
            <w:r>
              <w:rPr>
                <w:rFonts w:ascii="Arial" w:cs="Arial" w:eastAsia="Arial" w:hAnsi="Arial"/>
                <w:sz w:val="18"/>
                <w:szCs w:val="18"/>
                <w:color w:val="auto"/>
              </w:rPr>
              <w:t>14,415,670</w:t>
            </w:r>
          </w:p>
        </w:tc>
        <w:tc>
          <w:tcPr>
            <w:tcW w:w="2460" w:type="dxa"/>
            <w:vAlign w:val="bottom"/>
          </w:tcPr>
          <w:p>
            <w:pPr>
              <w:jc w:val="right"/>
              <w:ind w:right="950"/>
              <w:spacing w:after="0"/>
              <w:rPr>
                <w:sz w:val="20"/>
                <w:szCs w:val="20"/>
                <w:color w:val="auto"/>
              </w:rPr>
            </w:pPr>
            <w:r>
              <w:rPr>
                <w:rFonts w:ascii="Arial" w:cs="Arial" w:eastAsia="Arial" w:hAnsi="Arial"/>
                <w:sz w:val="18"/>
                <w:szCs w:val="18"/>
                <w:color w:val="auto"/>
              </w:rPr>
              <w:t>27,958</w:t>
            </w:r>
          </w:p>
        </w:tc>
        <w:tc>
          <w:tcPr>
            <w:tcW w:w="3420" w:type="dxa"/>
            <w:vAlign w:val="bottom"/>
          </w:tcPr>
          <w:p>
            <w:pPr>
              <w:jc w:val="right"/>
              <w:ind w:right="1270"/>
              <w:spacing w:after="0"/>
              <w:rPr>
                <w:sz w:val="20"/>
                <w:szCs w:val="20"/>
                <w:color w:val="auto"/>
              </w:rPr>
            </w:pPr>
            <w:r>
              <w:rPr>
                <w:rFonts w:ascii="Arial" w:cs="Arial" w:eastAsia="Arial" w:hAnsi="Arial"/>
                <w:sz w:val="18"/>
                <w:szCs w:val="18"/>
                <w:color w:val="auto"/>
              </w:rPr>
              <w:t>5,946,268</w:t>
            </w: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No. 5 – Ratification of Appointment of Independent Public Accountants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ratify the Audit Committee’s selection of Ernst &amp; Young LLP as the independent auditors for WRL and its subsidiaries for 2011:</w:t>
      </w:r>
    </w:p>
    <w:p>
      <w:pPr>
        <w:spacing w:after="0" w:line="248" w:lineRule="exact"/>
        <w:rPr>
          <w:sz w:val="20"/>
          <w:szCs w:val="20"/>
          <w:color w:val="auto"/>
        </w:rPr>
      </w:pPr>
    </w:p>
    <w:tbl>
      <w:tblPr>
        <w:tblLayout w:type="fixed"/>
        <w:tblInd w:w="620" w:type="dxa"/>
        <w:tblCellMar>
          <w:top w:w="0" w:type="dxa"/>
          <w:left w:w="0" w:type="dxa"/>
          <w:bottom w:w="0" w:type="dxa"/>
          <w:right w:w="0" w:type="dxa"/>
        </w:tblCellMar>
      </w:tblPr>
      <w:tr>
        <w:trPr>
          <w:trHeight w:val="241"/>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25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Abstain</w:t>
            </w: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30"/>
        </w:trPr>
        <w:tc>
          <w:tcPr>
            <w:tcW w:w="2520" w:type="dxa"/>
            <w:vAlign w:val="bottom"/>
          </w:tcPr>
          <w:p>
            <w:pPr>
              <w:jc w:val="right"/>
              <w:ind w:right="730"/>
              <w:spacing w:after="0"/>
              <w:rPr>
                <w:sz w:val="20"/>
                <w:szCs w:val="20"/>
                <w:color w:val="auto"/>
              </w:rPr>
            </w:pPr>
            <w:r>
              <w:rPr>
                <w:rFonts w:ascii="Arial" w:cs="Arial" w:eastAsia="Arial" w:hAnsi="Arial"/>
                <w:sz w:val="18"/>
                <w:szCs w:val="18"/>
                <w:color w:val="auto"/>
              </w:rPr>
              <w:t>110,476,414</w:t>
            </w:r>
          </w:p>
        </w:tc>
        <w:tc>
          <w:tcPr>
            <w:tcW w:w="2360" w:type="dxa"/>
            <w:vAlign w:val="bottom"/>
          </w:tcPr>
          <w:p>
            <w:pPr>
              <w:jc w:val="right"/>
              <w:ind w:right="870"/>
              <w:spacing w:after="0"/>
              <w:rPr>
                <w:sz w:val="20"/>
                <w:szCs w:val="20"/>
                <w:color w:val="auto"/>
              </w:rPr>
            </w:pPr>
            <w:r>
              <w:rPr>
                <w:rFonts w:ascii="Arial" w:cs="Arial" w:eastAsia="Arial" w:hAnsi="Arial"/>
                <w:sz w:val="18"/>
                <w:szCs w:val="18"/>
                <w:color w:val="auto"/>
              </w:rPr>
              <w:t>55,142</w:t>
            </w:r>
          </w:p>
        </w:tc>
        <w:tc>
          <w:tcPr>
            <w:tcW w:w="2500" w:type="dxa"/>
            <w:vAlign w:val="bottom"/>
          </w:tcPr>
          <w:p>
            <w:pPr>
              <w:jc w:val="right"/>
              <w:ind w:right="950"/>
              <w:spacing w:after="0"/>
              <w:rPr>
                <w:sz w:val="20"/>
                <w:szCs w:val="20"/>
                <w:color w:val="auto"/>
              </w:rPr>
            </w:pPr>
            <w:r>
              <w:rPr>
                <w:rFonts w:ascii="Arial" w:cs="Arial" w:eastAsia="Arial" w:hAnsi="Arial"/>
                <w:sz w:val="18"/>
                <w:szCs w:val="18"/>
                <w:color w:val="auto"/>
              </w:rPr>
              <w:t>14,769</w:t>
            </w:r>
          </w:p>
        </w:tc>
        <w:tc>
          <w:tcPr>
            <w:tcW w:w="3420" w:type="dxa"/>
            <w:vAlign w:val="bottom"/>
          </w:tcPr>
          <w:p>
            <w:pPr>
              <w:jc w:val="right"/>
              <w:ind w:right="1590"/>
              <w:spacing w:after="0"/>
              <w:rPr>
                <w:sz w:val="20"/>
                <w:szCs w:val="20"/>
                <w:color w:val="auto"/>
              </w:rPr>
            </w:pPr>
            <w:r>
              <w:rPr>
                <w:rFonts w:ascii="Arial" w:cs="Arial" w:eastAsia="Arial" w:hAnsi="Arial"/>
                <w:sz w:val="18"/>
                <w:szCs w:val="18"/>
                <w:color w:val="auto"/>
              </w:rPr>
              <w:t>0</w:t>
            </w: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No. 6 – was not presented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17, 2011</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558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30359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Matt Maddox</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Treasurer</w:t>
      </w:r>
    </w:p>
    <w:sectPr>
      <w:pgSz w:w="11900" w:h="16838" w:orient="portrait"/>
      <w:cols w:equalWidth="0" w:num="1">
        <w:col w:w="11420"/>
      </w:cols>
      <w:pgMar w:left="240" w:top="7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2019-12-10T22:54:13Z</dcterms:created>
  <dcterms:modified xsi:type="dcterms:W3CDTF">2019-12-10T22:54:13Z</dcterms:modified>
</cp:coreProperties>
</file>