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720" w:right="200" w:hanging="685"/>
        <w:spacing w:after="0" w:line="248"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0" w:type="dxa"/>
            <w:vAlign w:val="bottom"/>
          </w:tcPr>
          <w:p>
            <w:pPr>
              <w:jc w:val="center"/>
              <w:ind w:right="376"/>
              <w:spacing w:after="0"/>
              <w:rPr>
                <w:sz w:val="20"/>
                <w:szCs w:val="20"/>
                <w:color w:val="auto"/>
              </w:rPr>
            </w:pPr>
            <w:r>
              <w:rPr>
                <w:rFonts w:ascii="Arial" w:cs="Arial" w:eastAsia="Arial" w:hAnsi="Arial"/>
                <w:sz w:val="18"/>
                <w:szCs w:val="18"/>
                <w:b w:val="1"/>
                <w:bCs w:val="1"/>
                <w:color w:val="auto"/>
                <w:w w:val="90"/>
              </w:rPr>
              <w:t>Nevada</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880" w:type="dxa"/>
            <w:vAlign w:val="bottom"/>
          </w:tcPr>
          <w:p>
            <w:pPr>
              <w:spacing w:after="0"/>
              <w:rPr>
                <w:sz w:val="15"/>
                <w:szCs w:val="15"/>
                <w:color w:val="auto"/>
              </w:rPr>
            </w:pPr>
          </w:p>
        </w:tc>
        <w:tc>
          <w:tcPr>
            <w:tcW w:w="2960" w:type="dxa"/>
            <w:vAlign w:val="bottom"/>
            <w:gridSpan w:val="2"/>
          </w:tcPr>
          <w:p>
            <w:pPr>
              <w:jc w:val="center"/>
              <w:ind w:left="822"/>
              <w:spacing w:after="0"/>
              <w:rPr>
                <w:sz w:val="20"/>
                <w:szCs w:val="20"/>
                <w:color w:val="auto"/>
              </w:rPr>
            </w:pPr>
            <w:r>
              <w:rPr>
                <w:rFonts w:ascii="Arial" w:cs="Arial" w:eastAsia="Arial" w:hAnsi="Arial"/>
                <w:sz w:val="14"/>
                <w:szCs w:val="14"/>
                <w:b w:val="1"/>
                <w:bCs w:val="1"/>
                <w:color w:val="auto"/>
                <w:w w:val="92"/>
              </w:rPr>
              <w:t>(State or other jurisdiction of</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tcPr>
          <w:p>
            <w:pPr>
              <w:jc w:val="center"/>
              <w:ind w:right="6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880" w:type="dxa"/>
            <w:vAlign w:val="bottom"/>
          </w:tcPr>
          <w:p>
            <w:pPr>
              <w:spacing w:after="0"/>
              <w:rPr>
                <w:sz w:val="16"/>
                <w:szCs w:val="16"/>
                <w:color w:val="auto"/>
              </w:rPr>
            </w:pPr>
          </w:p>
        </w:tc>
        <w:tc>
          <w:tcPr>
            <w:tcW w:w="2960" w:type="dxa"/>
            <w:vAlign w:val="bottom"/>
            <w:gridSpan w:val="2"/>
          </w:tcPr>
          <w:p>
            <w:pPr>
              <w:jc w:val="center"/>
              <w:ind w:left="822"/>
              <w:spacing w:after="0"/>
              <w:rPr>
                <w:sz w:val="20"/>
                <w:szCs w:val="20"/>
                <w:color w:val="auto"/>
              </w:rPr>
            </w:pPr>
            <w:r>
              <w:rPr>
                <w:rFonts w:ascii="Arial" w:cs="Arial" w:eastAsia="Arial" w:hAnsi="Arial"/>
                <w:sz w:val="14"/>
                <w:szCs w:val="14"/>
                <w:b w:val="1"/>
                <w:bCs w:val="1"/>
                <w:color w:val="auto"/>
                <w:w w:val="93"/>
              </w:rPr>
              <w:t>incorporation or organization)</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tcPr>
          <w:p>
            <w:pPr>
              <w:jc w:val="center"/>
              <w:ind w:right="682"/>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240" w:type="dxa"/>
            <w:vAlign w:val="bottom"/>
            <w:gridSpan w:val="7"/>
          </w:tcPr>
          <w:p>
            <w:pPr>
              <w:jc w:val="center"/>
              <w:ind w:right="1202"/>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80" w:type="dxa"/>
            <w:vAlign w:val="bottom"/>
            <w:gridSpan w:val="5"/>
          </w:tcPr>
          <w:p>
            <w:pPr>
              <w:jc w:val="center"/>
              <w:ind w:right="2962"/>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8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(702) 770-7555</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186"/>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80" w:type="dxa"/>
            <w:vAlign w:val="bottom"/>
            <w:gridSpan w:val="5"/>
          </w:tcPr>
          <w:p>
            <w:pPr>
              <w:jc w:val="center"/>
              <w:ind w:right="2962"/>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60" w:type="dxa"/>
            <w:vAlign w:val="bottom"/>
          </w:tcPr>
          <w:p>
            <w:pPr>
              <w:spacing w:after="0"/>
              <w:rPr>
                <w:sz w:val="22"/>
                <w:szCs w:val="22"/>
                <w:color w:val="auto"/>
              </w:rPr>
            </w:pPr>
          </w:p>
        </w:tc>
      </w:tr>
      <w:tr>
        <w:trPr>
          <w:trHeight w:val="187"/>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jc w:val="center"/>
              <w:ind w:right="550"/>
              <w:spacing w:after="0" w:line="187" w:lineRule="exact"/>
              <w:rPr>
                <w:sz w:val="20"/>
                <w:szCs w:val="20"/>
                <w:color w:val="auto"/>
              </w:rPr>
            </w:pPr>
            <w:r>
              <w:rPr>
                <w:rFonts w:ascii="Arial" w:cs="Arial" w:eastAsia="Arial" w:hAnsi="Arial"/>
                <w:sz w:val="18"/>
                <w:szCs w:val="18"/>
                <w:b w:val="1"/>
                <w:bCs w:val="1"/>
                <w:color w:val="auto"/>
                <w:w w:val="96"/>
              </w:rPr>
              <w:t>N/A</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86"/>
        </w:trPr>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40" w:type="dxa"/>
            <w:vAlign w:val="bottom"/>
            <w:gridSpan w:val="7"/>
          </w:tcPr>
          <w:p>
            <w:pPr>
              <w:jc w:val="center"/>
              <w:ind w:right="1222"/>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377"/>
        </w:trPr>
        <w:tc>
          <w:tcPr>
            <w:tcW w:w="670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38"/>
        </w:trPr>
        <w:tc>
          <w:tcPr>
            <w:tcW w:w="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0" w:type="dxa"/>
            <w:vAlign w:val="bottom"/>
          </w:tcPr>
          <w:p>
            <w:pPr>
              <w:spacing w:after="0"/>
              <w:rPr>
                <w:sz w:val="24"/>
                <w:szCs w:val="24"/>
                <w:color w:val="auto"/>
              </w:rPr>
            </w:pPr>
          </w:p>
        </w:tc>
        <w:tc>
          <w:tcPr>
            <w:tcW w:w="2860" w:type="dxa"/>
            <w:vAlign w:val="bottom"/>
            <w:gridSpan w:val="3"/>
          </w:tcPr>
          <w:p>
            <w:pPr>
              <w:jc w:val="center"/>
              <w:ind w:right="1150"/>
              <w:spacing w:after="0"/>
              <w:rPr>
                <w:sz w:val="20"/>
                <w:szCs w:val="20"/>
                <w:color w:val="auto"/>
              </w:rPr>
            </w:pPr>
            <w:r>
              <w:rPr>
                <w:rFonts w:ascii="Arial" w:cs="Arial" w:eastAsia="Arial" w:hAnsi="Arial"/>
                <w:sz w:val="18"/>
                <w:szCs w:val="18"/>
                <w:b w:val="1"/>
                <w:bCs w:val="1"/>
                <w:color w:val="auto"/>
                <w:w w:val="89"/>
              </w:rPr>
              <w:t>Trading Symbol(s)</w:t>
            </w:r>
          </w:p>
        </w:tc>
        <w:tc>
          <w:tcPr>
            <w:tcW w:w="37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291"/>
        </w:trPr>
        <w:tc>
          <w:tcPr>
            <w:tcW w:w="3840" w:type="dxa"/>
            <w:vAlign w:val="bottom"/>
            <w:gridSpan w:val="3"/>
          </w:tcPr>
          <w:p>
            <w:pPr>
              <w:jc w:val="center"/>
              <w:ind w:right="656"/>
              <w:spacing w:after="0"/>
              <w:rPr>
                <w:sz w:val="20"/>
                <w:szCs w:val="20"/>
                <w:color w:val="auto"/>
              </w:rPr>
            </w:pPr>
            <w:r>
              <w:rPr>
                <w:rFonts w:ascii="Arial" w:cs="Arial" w:eastAsia="Arial" w:hAnsi="Arial"/>
                <w:sz w:val="18"/>
                <w:szCs w:val="18"/>
                <w:color w:val="auto"/>
                <w:w w:val="90"/>
              </w:rPr>
              <w:t>Common stock, par value $0.01</w:t>
            </w:r>
          </w:p>
        </w:tc>
        <w:tc>
          <w:tcPr>
            <w:tcW w:w="160" w:type="dxa"/>
            <w:vAlign w:val="bottom"/>
          </w:tcPr>
          <w:p>
            <w:pPr>
              <w:spacing w:after="0"/>
              <w:rPr>
                <w:sz w:val="24"/>
                <w:szCs w:val="24"/>
                <w:color w:val="auto"/>
              </w:rPr>
            </w:pPr>
          </w:p>
        </w:tc>
        <w:tc>
          <w:tcPr>
            <w:tcW w:w="2700" w:type="dxa"/>
            <w:vAlign w:val="bottom"/>
            <w:gridSpan w:val="2"/>
          </w:tcPr>
          <w:p>
            <w:pPr>
              <w:jc w:val="center"/>
              <w:ind w:right="1330"/>
              <w:spacing w:after="0"/>
              <w:rPr>
                <w:sz w:val="20"/>
                <w:szCs w:val="20"/>
                <w:color w:val="auto"/>
              </w:rPr>
            </w:pPr>
            <w:r>
              <w:rPr>
                <w:rFonts w:ascii="Arial" w:cs="Arial" w:eastAsia="Arial" w:hAnsi="Arial"/>
                <w:sz w:val="18"/>
                <w:szCs w:val="18"/>
                <w:color w:val="auto"/>
              </w:rPr>
              <w:t>WYNN</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jc w:val="center"/>
              <w:ind w:right="222"/>
              <w:spacing w:after="0"/>
              <w:rPr>
                <w:sz w:val="20"/>
                <w:szCs w:val="20"/>
                <w:color w:val="auto"/>
              </w:rPr>
            </w:pPr>
            <w:r>
              <w:rPr>
                <w:rFonts w:ascii="Arial" w:cs="Arial" w:eastAsia="Arial" w:hAnsi="Arial"/>
                <w:sz w:val="18"/>
                <w:szCs w:val="18"/>
                <w:color w:val="auto"/>
                <w:w w:val="90"/>
              </w:rPr>
              <w:t>Nasdaq Global Select Market</w:t>
            </w:r>
          </w:p>
        </w:tc>
      </w:tr>
    </w:tbl>
    <w:p>
      <w:pPr>
        <w:spacing w:after="0" w:line="229" w:lineRule="exact"/>
        <w:rPr>
          <w:sz w:val="24"/>
          <w:szCs w:val="24"/>
          <w:color w:val="auto"/>
        </w:rPr>
      </w:pPr>
    </w:p>
    <w:p>
      <w:pPr>
        <w:jc w:val="both"/>
        <w:ind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432"/>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32"/>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in Rule 12b-2 of the Exchange Act.</w:t>
            </w:r>
          </w:p>
        </w:tc>
        <w:tc>
          <w:tcPr>
            <w:tcW w:w="52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1"/>
        </w:trPr>
        <w:tc>
          <w:tcPr>
            <w:tcW w:w="200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ind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540"/>
        <w:spacing w:after="0" w:line="23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204" w:lineRule="exact"/>
        <w:rPr>
          <w:sz w:val="24"/>
          <w:szCs w:val="24"/>
          <w:color w:val="auto"/>
        </w:rPr>
      </w:pPr>
    </w:p>
    <w:tbl>
      <w:tblPr>
        <w:tblLayout w:type="fixed"/>
        <w:tblInd w:w="3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3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October 31, 2019</w:t>
            </w:r>
          </w:p>
        </w:tc>
      </w:tr>
      <w:tr>
        <w:trPr>
          <w:trHeight w:val="264"/>
        </w:trPr>
        <w:tc>
          <w:tcPr>
            <w:tcW w:w="5220" w:type="dxa"/>
            <w:vAlign w:val="bottom"/>
            <w:gridSpan w:val="3"/>
          </w:tcPr>
          <w:p>
            <w:pPr>
              <w:jc w:val="center"/>
              <w:ind w:right="2920"/>
              <w:spacing w:after="0"/>
              <w:rPr>
                <w:sz w:val="20"/>
                <w:szCs w:val="20"/>
                <w:color w:val="auto"/>
              </w:rPr>
            </w:pPr>
            <w:r>
              <w:rPr>
                <w:rFonts w:ascii="Arial" w:cs="Arial" w:eastAsia="Arial" w:hAnsi="Arial"/>
                <w:sz w:val="18"/>
                <w:szCs w:val="18"/>
                <w:color w:val="auto"/>
                <w:w w:val="90"/>
              </w:rPr>
              <w:t>Common stock, par value $0.01</w:t>
            </w:r>
          </w:p>
        </w:tc>
        <w:tc>
          <w:tcPr>
            <w:tcW w:w="4920" w:type="dxa"/>
            <w:vAlign w:val="bottom"/>
            <w:gridSpan w:val="2"/>
          </w:tcPr>
          <w:p>
            <w:pPr>
              <w:jc w:val="right"/>
              <w:ind w:right="468"/>
              <w:spacing w:after="0"/>
              <w:rPr>
                <w:sz w:val="20"/>
                <w:szCs w:val="20"/>
                <w:color w:val="auto"/>
              </w:rPr>
            </w:pPr>
            <w:r>
              <w:rPr>
                <w:rFonts w:ascii="Arial" w:cs="Arial" w:eastAsia="Arial" w:hAnsi="Arial"/>
                <w:sz w:val="18"/>
                <w:szCs w:val="18"/>
                <w:color w:val="auto"/>
              </w:rPr>
              <w:t>107,354,606</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60" w:type="dxa"/>
            <w:vAlign w:val="bottom"/>
          </w:tcPr>
          <w:p>
            <w:pPr>
              <w:spacing w:after="0"/>
              <w:rPr>
                <w:sz w:val="20"/>
                <w:szCs w:val="20"/>
                <w:color w:val="auto"/>
              </w:rPr>
            </w:pPr>
          </w:p>
        </w:tc>
        <w:tc>
          <w:tcPr>
            <w:tcW w:w="946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4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tcPr>
          <w:p>
            <w:pPr>
              <w:spacing w:after="0"/>
              <w:rPr>
                <w:sz w:val="19"/>
                <w:szCs w:val="19"/>
                <w:color w:val="auto"/>
              </w:rPr>
            </w:pPr>
          </w:p>
        </w:tc>
        <w:tc>
          <w:tcPr>
            <w:tcW w:w="94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1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30, 2019 (unaudited) and December 31, 2018</w:t>
              </w:r>
            </w:hyperlink>
          </w:p>
        </w:tc>
        <w:tc>
          <w:tcPr>
            <w:tcW w:w="196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(unaudited) - Three and Nine Months Ended September 30, 2019</w:t>
              </w:r>
            </w:hyperlink>
          </w:p>
        </w:tc>
        <w:tc>
          <w:tcPr>
            <w:tcW w:w="7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2018</w:t>
              </w:r>
            </w:hyperlink>
          </w:p>
        </w:tc>
        <w:tc>
          <w:tcPr>
            <w:tcW w:w="846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4"/>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Comprehensive Income (Loss) (unaudited) - Three and Nine Months Ended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2019 and 2018</w:t>
              </w:r>
            </w:hyperlink>
          </w:p>
        </w:tc>
        <w:tc>
          <w:tcPr>
            <w:tcW w:w="80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4"/>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Stockholders’ Equity (unaudited) - Three and Nine Months Ended September</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2019 and 2018</w:t>
              </w:r>
            </w:hyperlink>
          </w:p>
        </w:tc>
        <w:tc>
          <w:tcPr>
            <w:tcW w:w="6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Nine Months Ended September 30, 2019 and 2018</w:t>
              </w:r>
            </w:hyperlink>
          </w:p>
        </w:tc>
        <w:tc>
          <w:tcPr>
            <w:tcW w:w="7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20"/>
        </w:trPr>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860" w:type="dxa"/>
            <w:vAlign w:val="bottom"/>
          </w:tcPr>
          <w:p>
            <w:pPr>
              <w:spacing w:after="0"/>
              <w:rPr>
                <w:sz w:val="21"/>
                <w:szCs w:val="21"/>
                <w:color w:val="auto"/>
              </w:rPr>
            </w:pPr>
          </w:p>
        </w:tc>
        <w:tc>
          <w:tcPr>
            <w:tcW w:w="946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r>
      <w:tr>
        <w:trPr>
          <w:trHeight w:val="250"/>
        </w:trPr>
        <w:tc>
          <w:tcPr>
            <w:tcW w:w="340" w:type="dxa"/>
            <w:vAlign w:val="bottom"/>
          </w:tcPr>
          <w:p>
            <w:pPr>
              <w:spacing w:after="0"/>
              <w:rPr>
                <w:sz w:val="21"/>
                <w:szCs w:val="21"/>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3.</w:t>
              </w:r>
            </w:hyperlink>
          </w:p>
        </w:tc>
        <w:tc>
          <w:tcPr>
            <w:tcW w:w="860" w:type="dxa"/>
            <w:vAlign w:val="bottom"/>
          </w:tcPr>
          <w:p>
            <w:pPr>
              <w:spacing w:after="0"/>
              <w:rPr>
                <w:sz w:val="21"/>
                <w:szCs w:val="21"/>
                <w:color w:val="auto"/>
              </w:rPr>
            </w:pPr>
          </w:p>
        </w:tc>
        <w:tc>
          <w:tcPr>
            <w:tcW w:w="6440" w:type="dxa"/>
            <w:vAlign w:val="bottom"/>
            <w:tcBorders>
              <w:top w:val="single" w:sz="8" w:color="0000EE"/>
            </w:tcBorders>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30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50</w:t>
              </w:r>
            </w:hyperlink>
          </w:p>
        </w:tc>
      </w:tr>
      <w:tr>
        <w:trPr>
          <w:trHeight w:val="250"/>
        </w:trPr>
        <w:tc>
          <w:tcPr>
            <w:tcW w:w="34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860" w:type="dxa"/>
            <w:vAlign w:val="bottom"/>
          </w:tcPr>
          <w:p>
            <w:pPr>
              <w:spacing w:after="0"/>
              <w:rPr>
                <w:sz w:val="21"/>
                <w:szCs w:val="21"/>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1"/>
                <w:szCs w:val="21"/>
                <w:color w:val="auto"/>
              </w:rPr>
            </w:pPr>
          </w:p>
        </w:tc>
        <w:tc>
          <w:tcPr>
            <w:tcW w:w="5100" w:type="dxa"/>
            <w:vAlign w:val="bottom"/>
            <w:gridSpan w:val="8"/>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bl>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72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6"/>
          </w:tcPr>
          <w:p>
            <w:pPr>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20"/>
                <w:szCs w:val="20"/>
                <w:color w:val="auto"/>
              </w:rPr>
            </w:pPr>
          </w:p>
        </w:tc>
      </w:tr>
      <w:tr>
        <w:trPr>
          <w:trHeight w:val="230"/>
        </w:trPr>
        <w:tc>
          <w:tcPr>
            <w:tcW w:w="34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1.</w:t>
              </w:r>
            </w:hyperlink>
          </w:p>
        </w:tc>
        <w:tc>
          <w:tcPr>
            <w:tcW w:w="860" w:type="dxa"/>
            <w:vAlign w:val="bottom"/>
            <w:gridSpan w:val="3"/>
          </w:tcPr>
          <w:p>
            <w:pPr>
              <w:spacing w:after="0"/>
              <w:rPr>
                <w:sz w:val="19"/>
                <w:szCs w:val="19"/>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Legal Proceedings</w:t>
              </w:r>
            </w:hyperlink>
          </w:p>
        </w:tc>
        <w:tc>
          <w:tcPr>
            <w:tcW w:w="8120" w:type="dxa"/>
            <w:vAlign w:val="bottom"/>
            <w:gridSpan w:val="2"/>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r>
      <w:tr>
        <w:trPr>
          <w:trHeight w:val="250"/>
        </w:trPr>
        <w:tc>
          <w:tcPr>
            <w:tcW w:w="3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1A.</w:t>
              </w:r>
            </w:hyperlink>
          </w:p>
        </w:tc>
        <w:tc>
          <w:tcPr>
            <w:tcW w:w="946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180" w:type="dxa"/>
            <w:vAlign w:val="bottom"/>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r>
      <w:tr>
        <w:trPr>
          <w:trHeight w:val="20"/>
        </w:trPr>
        <w:tc>
          <w:tcPr>
            <w:tcW w:w="3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2"/>
          </w:tcPr>
          <w:p>
            <w:pPr>
              <w:spacing w:after="0"/>
              <w:rPr>
                <w:sz w:val="21"/>
                <w:szCs w:val="21"/>
                <w:color w:val="auto"/>
              </w:rPr>
            </w:pPr>
          </w:p>
        </w:tc>
        <w:tc>
          <w:tcPr>
            <w:tcW w:w="43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51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r>
      <w:tr>
        <w:trPr>
          <w:trHeight w:val="250"/>
        </w:trPr>
        <w:tc>
          <w:tcPr>
            <w:tcW w:w="34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860" w:type="dxa"/>
            <w:vAlign w:val="bottom"/>
            <w:gridSpan w:val="3"/>
          </w:tcPr>
          <w:p>
            <w:pPr>
              <w:spacing w:after="0"/>
              <w:rPr>
                <w:sz w:val="21"/>
                <w:szCs w:val="21"/>
                <w:color w:val="auto"/>
              </w:rPr>
            </w:pP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Other Information</w:t>
              </w:r>
            </w:hyperlink>
          </w:p>
        </w:tc>
        <w:tc>
          <w:tcPr>
            <w:tcW w:w="814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52</w:t>
              </w:r>
            </w:hyperlink>
          </w:p>
        </w:tc>
      </w:tr>
      <w:tr>
        <w:trPr>
          <w:trHeight w:val="250"/>
        </w:trPr>
        <w:tc>
          <w:tcPr>
            <w:tcW w:w="3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6.</w:t>
              </w:r>
            </w:hyperlink>
          </w:p>
        </w:tc>
        <w:tc>
          <w:tcPr>
            <w:tcW w:w="860" w:type="dxa"/>
            <w:vAlign w:val="bottom"/>
            <w:gridSpan w:val="3"/>
          </w:tcPr>
          <w:p>
            <w:pPr>
              <w:spacing w:after="0"/>
              <w:rPr>
                <w:sz w:val="21"/>
                <w:szCs w:val="21"/>
                <w:color w:val="auto"/>
              </w:rPr>
            </w:pPr>
          </w:p>
        </w:tc>
        <w:tc>
          <w:tcPr>
            <w:tcW w:w="946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80" w:type="dxa"/>
            <w:vAlign w:val="bottom"/>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r>
      <w:tr>
        <w:trPr>
          <w:trHeight w:val="20"/>
        </w:trPr>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38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w:t>
              </w:r>
            </w:hyperlink>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80" w:type="dxa"/>
            <w:vAlign w:val="bottom"/>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r>
      <w:tr>
        <w:trPr>
          <w:trHeight w:val="669"/>
        </w:trPr>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5"/>
          </w:tcPr>
          <w:p>
            <w:pPr>
              <w:ind w:left="3980"/>
              <w:spacing w:after="0"/>
              <w:rPr>
                <w:sz w:val="20"/>
                <w:szCs w:val="20"/>
                <w:color w:val="auto"/>
              </w:rPr>
            </w:pPr>
            <w:r>
              <w:rPr>
                <w:rFonts w:ascii="Arial" w:cs="Arial" w:eastAsia="Arial" w:hAnsi="Arial"/>
                <w:sz w:val="18"/>
                <w:szCs w:val="18"/>
                <w:color w:val="auto"/>
              </w:rPr>
              <w:t>2</w:t>
            </w:r>
          </w:p>
        </w:tc>
        <w:tc>
          <w:tcPr>
            <w:tcW w:w="5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1,676,110</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2,215,001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286,611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276,644</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80,486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66,627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68,045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83,104</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2,111,252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2,641,376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9,621,268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9,385,920</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6,182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4,322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148,972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222,506</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444,157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719,614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736,452</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225,613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225,693</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13,277,058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13,216,269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420"/>
          </w:cols>
          <w:pgMar w:left="240" w:top="121" w:right="239" w:bottom="1440" w:gutter="0" w:footer="0" w:header="0"/>
        </w:sectPr>
      </w:pPr>
    </w:p>
    <w:p>
      <w:pPr>
        <w:ind w:left="380"/>
        <w:spacing w:after="0"/>
        <w:rPr>
          <w:sz w:val="20"/>
          <w:szCs w:val="20"/>
          <w:color w:val="auto"/>
        </w:rPr>
      </w:pPr>
      <w:r>
        <w:rPr>
          <w:rFonts w:ascii="Arial" w:cs="Arial" w:eastAsia="Arial" w:hAnsi="Arial"/>
          <w:sz w:val="15"/>
          <w:szCs w:val="15"/>
          <w:color w:val="auto"/>
        </w:rPr>
        <w:t>Accounts and construction payables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Accrued compensation and benefits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operating lease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Commitments and contingencies (Note 14)</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tabs>
          <w:tab w:leader="none" w:pos="820" w:val="left"/>
          <w:tab w:leader="none" w:pos="16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292,140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321,796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24130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956,744</w:t>
      </w:r>
      <w:r>
        <w:rPr>
          <w:sz w:val="20"/>
          <w:szCs w:val="20"/>
          <w:color w:val="auto"/>
        </w:rPr>
        <w:tab/>
      </w:r>
      <w:r>
        <w:rPr>
          <w:rFonts w:ascii="Arial" w:cs="Arial" w:eastAsia="Arial" w:hAnsi="Arial"/>
          <w:sz w:val="13"/>
          <w:szCs w:val="13"/>
          <w:color w:val="auto"/>
        </w:rPr>
        <w:t>955,450</w:t>
      </w:r>
    </w:p>
    <w:p>
      <w:pPr>
        <w:spacing w:after="0" w:line="121"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188,496</w:t>
      </w:r>
      <w:r>
        <w:rPr>
          <w:sz w:val="20"/>
          <w:szCs w:val="20"/>
          <w:color w:val="auto"/>
        </w:rPr>
        <w:tab/>
      </w:r>
      <w:r>
        <w:rPr>
          <w:rFonts w:ascii="Arial" w:cs="Arial" w:eastAsia="Arial" w:hAnsi="Arial"/>
          <w:sz w:val="13"/>
          <w:szCs w:val="13"/>
          <w:color w:val="auto"/>
        </w:rPr>
        <w:t>247,341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162,752</w:t>
      </w:r>
      <w:r>
        <w:rPr>
          <w:sz w:val="20"/>
          <w:szCs w:val="20"/>
          <w:color w:val="auto"/>
        </w:rPr>
        <w:tab/>
      </w:r>
      <w:r>
        <w:rPr>
          <w:rFonts w:ascii="Arial" w:cs="Arial" w:eastAsia="Arial" w:hAnsi="Arial"/>
          <w:sz w:val="13"/>
          <w:szCs w:val="13"/>
          <w:color w:val="auto"/>
        </w:rPr>
        <w:t>163,966</w:t>
      </w:r>
    </w:p>
    <w:p>
      <w:pPr>
        <w:spacing w:after="0" w:line="121"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74,340</w:t>
      </w:r>
      <w:r>
        <w:rPr>
          <w:sz w:val="20"/>
          <w:szCs w:val="20"/>
          <w:color w:val="auto"/>
        </w:rPr>
        <w:tab/>
      </w:r>
      <w:r>
        <w:rPr>
          <w:rFonts w:ascii="Arial" w:cs="Arial" w:eastAsia="Arial" w:hAnsi="Arial"/>
          <w:sz w:val="13"/>
          <w:szCs w:val="13"/>
          <w:color w:val="auto"/>
        </w:rPr>
        <w:t>61,595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jc w:val="both"/>
        <w:ind w:left="860"/>
        <w:spacing w:after="0"/>
        <w:tabs>
          <w:tab w:leader="none" w:pos="2500" w:val="left"/>
        </w:tabs>
        <w:rPr>
          <w:sz w:val="20"/>
          <w:szCs w:val="20"/>
          <w:color w:val="auto"/>
        </w:rPr>
      </w:pPr>
      <w:r>
        <w:rPr>
          <w:rFonts w:ascii="Arial" w:cs="Arial" w:eastAsia="Arial" w:hAnsi="Arial"/>
          <w:sz w:val="16"/>
          <w:szCs w:val="16"/>
          <w:color w:val="auto"/>
        </w:rPr>
        <w:t>116,118</w:t>
      </w:r>
      <w:r>
        <w:rPr>
          <w:sz w:val="20"/>
          <w:szCs w:val="20"/>
          <w:color w:val="auto"/>
        </w:rPr>
        <w:tab/>
      </w:r>
      <w:r>
        <w:rPr>
          <w:rFonts w:ascii="Arial" w:cs="Arial" w:eastAsia="Arial" w:hAnsi="Arial"/>
          <w:sz w:val="16"/>
          <w:szCs w:val="16"/>
          <w:color w:val="auto"/>
        </w:rPr>
        <w:t>11,960</w:t>
      </w:r>
    </w:p>
    <w:p>
      <w:pPr>
        <w:spacing w:after="0" w:line="86" w:lineRule="exact"/>
        <w:rPr>
          <w:sz w:val="20"/>
          <w:szCs w:val="20"/>
          <w:color w:val="auto"/>
        </w:rPr>
      </w:pPr>
    </w:p>
    <w:p>
      <w:pPr>
        <w:jc w:val="both"/>
        <w:ind w:left="840"/>
        <w:spacing w:after="0"/>
        <w:tabs>
          <w:tab w:leader="none" w:pos="2420" w:val="left"/>
        </w:tabs>
        <w:rPr>
          <w:sz w:val="20"/>
          <w:szCs w:val="20"/>
          <w:color w:val="auto"/>
        </w:rPr>
      </w:pPr>
      <w:r>
        <w:rPr>
          <w:rFonts w:ascii="Arial" w:cs="Arial" w:eastAsia="Arial" w:hAnsi="Arial"/>
          <w:sz w:val="16"/>
          <w:szCs w:val="16"/>
          <w:color w:val="auto"/>
        </w:rPr>
        <w:t>139,794</w:t>
      </w:r>
      <w:r>
        <w:rPr>
          <w:sz w:val="20"/>
          <w:szCs w:val="20"/>
          <w:color w:val="auto"/>
        </w:rPr>
        <w:tab/>
      </w:r>
      <w:r>
        <w:rPr>
          <w:rFonts w:ascii="Arial" w:cs="Arial" w:eastAsia="Arial" w:hAnsi="Arial"/>
          <w:sz w:val="16"/>
          <w:szCs w:val="16"/>
          <w:color w:val="auto"/>
        </w:rPr>
        <w:t>119,955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24130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b w:val="1"/>
          <w:bCs w:val="1"/>
          <w:color w:val="auto"/>
        </w:rPr>
        <w:t>1,930,384</w:t>
      </w:r>
      <w:r>
        <w:rPr>
          <w:sz w:val="20"/>
          <w:szCs w:val="20"/>
          <w:color w:val="auto"/>
        </w:rPr>
        <w:tab/>
      </w:r>
      <w:r>
        <w:rPr>
          <w:rFonts w:ascii="Arial" w:cs="Arial" w:eastAsia="Arial" w:hAnsi="Arial"/>
          <w:sz w:val="13"/>
          <w:szCs w:val="13"/>
          <w:b w:val="1"/>
          <w:bCs w:val="1"/>
          <w:color w:val="auto"/>
        </w:rPr>
        <w:t>1,882,063</w:t>
      </w:r>
    </w:p>
    <w:p>
      <w:pPr>
        <w:spacing w:after="0" w:line="125"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color w:val="auto"/>
        </w:rPr>
        <w:t>9,421,845</w:t>
      </w:r>
      <w:r>
        <w:rPr>
          <w:sz w:val="20"/>
          <w:szCs w:val="20"/>
          <w:color w:val="auto"/>
        </w:rPr>
        <w:tab/>
      </w:r>
      <w:r>
        <w:rPr>
          <w:rFonts w:ascii="Arial" w:cs="Arial" w:eastAsia="Arial" w:hAnsi="Arial"/>
          <w:sz w:val="13"/>
          <w:szCs w:val="13"/>
          <w:color w:val="auto"/>
        </w:rPr>
        <w:t>9,411,140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840"/>
        <w:spacing w:after="0"/>
        <w:tabs>
          <w:tab w:leader="none" w:pos="2780" w:val="left"/>
        </w:tabs>
        <w:rPr>
          <w:sz w:val="20"/>
          <w:szCs w:val="20"/>
          <w:color w:val="auto"/>
        </w:rPr>
      </w:pPr>
      <w:r>
        <w:rPr>
          <w:rFonts w:ascii="Arial" w:cs="Arial" w:eastAsia="Arial" w:hAnsi="Arial"/>
          <w:sz w:val="16"/>
          <w:szCs w:val="16"/>
          <w:color w:val="auto"/>
        </w:rPr>
        <w:t>149,970</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108,980</w:t>
      </w:r>
      <w:r>
        <w:rPr>
          <w:sz w:val="20"/>
          <w:szCs w:val="20"/>
          <w:color w:val="auto"/>
        </w:rPr>
        <w:tab/>
      </w:r>
      <w:r>
        <w:rPr>
          <w:rFonts w:ascii="Arial" w:cs="Arial" w:eastAsia="Arial" w:hAnsi="Arial"/>
          <w:sz w:val="13"/>
          <w:szCs w:val="13"/>
          <w:color w:val="auto"/>
        </w:rPr>
        <w:t>108,277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45720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jc w:val="both"/>
        <w:ind w:left="660"/>
        <w:spacing w:after="0"/>
        <w:tabs>
          <w:tab w:leader="none" w:pos="2240" w:val="left"/>
        </w:tabs>
        <w:rPr>
          <w:sz w:val="20"/>
          <w:szCs w:val="20"/>
          <w:color w:val="auto"/>
        </w:rPr>
      </w:pPr>
      <w:r>
        <w:rPr>
          <w:rFonts w:ascii="Arial" w:cs="Arial" w:eastAsia="Arial" w:hAnsi="Arial"/>
          <w:sz w:val="16"/>
          <w:szCs w:val="16"/>
          <w:b w:val="1"/>
          <w:bCs w:val="1"/>
          <w:color w:val="auto"/>
        </w:rPr>
        <w:t>11,611,179</w:t>
      </w:r>
      <w:r>
        <w:rPr>
          <w:sz w:val="20"/>
          <w:szCs w:val="20"/>
          <w:color w:val="auto"/>
        </w:rPr>
        <w:tab/>
      </w:r>
      <w:r>
        <w:rPr>
          <w:rFonts w:ascii="Arial" w:cs="Arial" w:eastAsia="Arial" w:hAnsi="Arial"/>
          <w:sz w:val="16"/>
          <w:szCs w:val="16"/>
          <w:b w:val="1"/>
          <w:bCs w:val="1"/>
          <w:color w:val="auto"/>
        </w:rPr>
        <w:t>11,401,480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198120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26670</wp:posOffset>
            </wp:positionV>
            <wp:extent cx="19551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122,826,131 and 122,115,585 shares issued; 107,362,502</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107,232,026 shares outstanding, respectively</w:t>
            </w:r>
          </w:p>
        </w:tc>
        <w:tc>
          <w:tcPr>
            <w:tcW w:w="3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1,228</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1,221</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15,463,629 and 14,883,559 shares, respectively</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(1,409,717)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(1,344,012)</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2,507,870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2,457,079</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(1,950)</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822,070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921,785</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1,918,751</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2,034,123</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(252,872)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(219,334)</w:t>
            </w: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1,665,879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1,814,789</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13,277,058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13,216,269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1,108,364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1,222,029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3,435,968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3,564,195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595,953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559,405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228,508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193,874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619,749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580,963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110,125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305,970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325,511</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b w:val="1"/>
                <w:bCs w:val="1"/>
                <w:color w:val="auto"/>
              </w:rPr>
              <w:t>Total operating revenues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1,647,762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1,709,072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4,957,640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5,030,074</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722,692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783,171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2,197,750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2,254,766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189,837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196,661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162,311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527,502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468,265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138,647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246,442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192,327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665,988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545,543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35,255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172,998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137,458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449,824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411,685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30,672</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1,469,927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1,418,089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4,305,913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4,540,813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177,835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290,983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651,727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489,261</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(300,981)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(281,132)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(303,458)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(326,318)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46,610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215,888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348,269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162,943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124,631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26,883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219,772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328,848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287,574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(180,010)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156,115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195,927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107,564</w:t>
            </w: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net income (loss)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108,064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106,791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106,162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106,721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328,848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287,574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r>
      <w:tr>
        <w:trPr>
          <w:trHeight w:val="229"/>
        </w:trPr>
        <w:tc>
          <w:tcPr>
            <w:tcW w:w="5620" w:type="dxa"/>
            <w:vAlign w:val="bottom"/>
          </w:tcPr>
          <w:p>
            <w:pPr>
              <w:ind w:left="380"/>
              <w:spacing w:after="0"/>
              <w:rPr>
                <w:sz w:val="20"/>
                <w:szCs w:val="20"/>
                <w:color w:val="auto"/>
              </w:rPr>
            </w:pPr>
            <w:r>
              <w:rPr>
                <w:rFonts w:ascii="Arial" w:cs="Arial" w:eastAsia="Arial" w:hAnsi="Arial"/>
                <w:sz w:val="18"/>
                <w:szCs w:val="18"/>
                <w:color w:val="auto"/>
                <w:w w:val="95"/>
              </w:rPr>
              <w:t>Change in net unrealized (loss) gain on investment securities, before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and after tax</w:t>
            </w:r>
          </w:p>
        </w:tc>
        <w:tc>
          <w:tcPr>
            <w:tcW w:w="2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1,292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credit risk adjustment, net of tax of $2,735</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25,894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219,578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327,809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295,956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Less: comprehensive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(179,419)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w w:val="95"/>
              </w:rPr>
              <w:t>Comprehensive income (loss) attributable to Wynn Resorts, Limited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(4,210)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155,970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195,177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116,537</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ind w:left="440"/>
              <w:spacing w:after="0"/>
              <w:rPr>
                <w:sz w:val="20"/>
                <w:szCs w:val="20"/>
                <w:color w:val="auto"/>
              </w:rPr>
            </w:pPr>
            <w:r>
              <w:rPr>
                <w:rFonts w:ascii="Arial" w:cs="Arial" w:eastAsia="Arial" w:hAnsi="Arial"/>
                <w:sz w:val="13"/>
                <w:szCs w:val="13"/>
                <w:b w:val="1"/>
                <w:bCs w:val="1"/>
                <w:color w:val="auto"/>
                <w:w w:val="87"/>
              </w:rPr>
              <w:t>For the Three Months Ended September 30, 2019</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July 1, 2019</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107,610,356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1,228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(1,379,644)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2,498,316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932,907</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2,050,821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(199,882)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1,850,939</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(3,496)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(3,496)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30,379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26,883</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36,000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2,151</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27,276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(27,809)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(283,321)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(30,073)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(30,073)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(30,073)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(107,341)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(107,341)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(82,949)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(190,290)</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7,403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7,403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8,256</w:t>
            </w:r>
          </w:p>
        </w:tc>
      </w:tr>
      <w:tr>
        <w:trPr>
          <w:trHeight w:val="242"/>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September 30, 2019</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107,362,502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(1,409,717)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2,507,870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822,070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1,918,751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(252,872)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1,665,879</w:t>
            </w: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9"/>
          </w:tcPr>
          <w:p>
            <w:pPr>
              <w:ind w:left="440"/>
              <w:spacing w:after="0"/>
              <w:rPr>
                <w:sz w:val="20"/>
                <w:szCs w:val="20"/>
                <w:color w:val="auto"/>
              </w:rPr>
            </w:pPr>
            <w:r>
              <w:rPr>
                <w:rFonts w:ascii="Arial" w:cs="Arial" w:eastAsia="Arial" w:hAnsi="Arial"/>
                <w:sz w:val="13"/>
                <w:szCs w:val="13"/>
                <w:b w:val="1"/>
                <w:bCs w:val="1"/>
                <w:color w:val="auto"/>
                <w:w w:val="87"/>
              </w:rPr>
              <w:t>For the Three Months Ended September 30, 2018</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July 1, 2018</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108,642,371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1,220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(1,184,967)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2,435,720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462,950</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1,712,985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106,610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1,819,595</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156,115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156,115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63,657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219,772</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Change in net unrealized loss on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investment securities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126,190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9,741</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27</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(60,714)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(15,460)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(81,294)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(81,294)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(138,258)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(219,552)</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(297,261)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(297,261)</w:t>
            </w: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9,871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9,871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10,462</w:t>
            </w:r>
          </w:p>
        </w:tc>
      </w:tr>
      <w:tr>
        <w:trPr>
          <w:trHeight w:val="242"/>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September 30, 2018</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108,731,082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(1,187,273)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2,455,357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537,771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1,804,993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1,540,283</w:t>
            </w: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ind w:left="460"/>
              <w:spacing w:after="0"/>
              <w:rPr>
                <w:sz w:val="20"/>
                <w:szCs w:val="20"/>
                <w:color w:val="auto"/>
              </w:rPr>
            </w:pPr>
            <w:r>
              <w:rPr>
                <w:rFonts w:ascii="Arial" w:cs="Arial" w:eastAsia="Arial" w:hAnsi="Arial"/>
                <w:sz w:val="13"/>
                <w:szCs w:val="13"/>
                <w:b w:val="1"/>
                <w:bCs w:val="1"/>
                <w:color w:val="auto"/>
                <w:w w:val="88"/>
              </w:rPr>
              <w:t>For the Nine Months Ended September 30, 2019</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2019</w:t>
            </w: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107,232,026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(1,344,012)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2,457,079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921,785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2,034,123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(219,334)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1,814,789</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195,927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195,927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132,921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328,848</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293,690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14,693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14,696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14,696</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456,505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15,133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(39,649)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(580,070)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(65,705)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(65,705)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(65,705)</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(295,642)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(295,642)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(165,849)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(461,491)</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w:t>
            </w: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21,754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21,754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2,619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24,373</w:t>
            </w:r>
          </w:p>
        </w:tc>
      </w:tr>
      <w:tr>
        <w:trPr>
          <w:trHeight w:val="242"/>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September 30, 2019</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107,362,502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(1,409,717)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2,507,870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822,070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1,918,751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(252,872)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1,665,879</w:t>
            </w: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8"/>
          </w:tcPr>
          <w:p>
            <w:pPr>
              <w:ind w:left="460"/>
              <w:spacing w:after="0"/>
              <w:rPr>
                <w:sz w:val="20"/>
                <w:szCs w:val="20"/>
                <w:color w:val="auto"/>
              </w:rPr>
            </w:pPr>
            <w:r>
              <w:rPr>
                <w:rFonts w:ascii="Arial" w:cs="Arial" w:eastAsia="Arial" w:hAnsi="Arial"/>
                <w:sz w:val="13"/>
                <w:szCs w:val="13"/>
                <w:b w:val="1"/>
                <w:bCs w:val="1"/>
                <w:color w:val="auto"/>
                <w:w w:val="88"/>
              </w:rPr>
              <w:t>For the Nine Months Ended September 30, 2018</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64"/>
        </w:trPr>
        <w:tc>
          <w:tcPr>
            <w:tcW w:w="2080" w:type="dxa"/>
            <w:vAlign w:val="bottom"/>
          </w:tcPr>
          <w:p>
            <w:pPr>
              <w:spacing w:after="0"/>
              <w:rPr>
                <w:sz w:val="22"/>
                <w:szCs w:val="22"/>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30"/>
        </w:trPr>
        <w:tc>
          <w:tcPr>
            <w:tcW w:w="20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other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08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0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2018</w:t>
            </w:r>
          </w:p>
        </w:tc>
        <w:tc>
          <w:tcPr>
            <w:tcW w:w="9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103,005,866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(1,184,468)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1,497,928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635,067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947,846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130,504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1,078,350</w:t>
            </w:r>
          </w:p>
        </w:tc>
      </w:tr>
      <w:tr>
        <w:trPr>
          <w:trHeight w:val="148"/>
        </w:trPr>
        <w:tc>
          <w:tcPr>
            <w:tcW w:w="2080" w:type="dxa"/>
            <w:vAlign w:val="bottom"/>
          </w:tcPr>
          <w:p>
            <w:pPr>
              <w:ind w:left="40"/>
              <w:spacing w:after="0" w:line="148" w:lineRule="exact"/>
              <w:rPr>
                <w:sz w:val="20"/>
                <w:szCs w:val="20"/>
                <w:color w:val="auto"/>
              </w:rPr>
            </w:pPr>
            <w:r>
              <w:rPr>
                <w:rFonts w:ascii="Arial" w:cs="Arial" w:eastAsia="Arial" w:hAnsi="Arial"/>
                <w:sz w:val="13"/>
                <w:szCs w:val="13"/>
                <w:color w:val="auto"/>
              </w:rPr>
              <w:t>Cumulative effect, change in</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2080" w:type="dxa"/>
            <w:vAlign w:val="bottom"/>
          </w:tcPr>
          <w:p>
            <w:pPr>
              <w:ind w:left="40"/>
              <w:spacing w:after="0" w:line="135" w:lineRule="exact"/>
              <w:rPr>
                <w:sz w:val="20"/>
                <w:szCs w:val="20"/>
                <w:color w:val="auto"/>
              </w:rPr>
            </w:pPr>
            <w:r>
              <w:rPr>
                <w:rFonts w:ascii="Arial" w:cs="Arial" w:eastAsia="Arial" w:hAnsi="Arial"/>
                <w:sz w:val="13"/>
                <w:szCs w:val="13"/>
                <w:color w:val="auto"/>
                <w:w w:val="93"/>
              </w:rPr>
              <w:t>accounting for credit risk, net of tax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8"/>
        </w:trPr>
        <w:tc>
          <w:tcPr>
            <w:tcW w:w="2080" w:type="dxa"/>
            <w:vAlign w:val="bottom"/>
          </w:tcPr>
          <w:p>
            <w:pPr>
              <w:ind w:left="40"/>
              <w:spacing w:after="0"/>
              <w:rPr>
                <w:sz w:val="20"/>
                <w:szCs w:val="20"/>
                <w:color w:val="auto"/>
              </w:rPr>
            </w:pPr>
            <w:r>
              <w:rPr>
                <w:rFonts w:ascii="Arial" w:cs="Arial" w:eastAsia="Arial" w:hAnsi="Arial"/>
                <w:sz w:val="13"/>
                <w:szCs w:val="13"/>
                <w:color w:val="auto"/>
              </w:rPr>
              <w:t>$2,735</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107,564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107,564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180,010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287,574</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(2,121)</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net unrealized loss 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securities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Redemption Note settlement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9,211</w:t>
            </w: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238,780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20,313</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920" w:type="dxa"/>
            <w:vAlign w:val="bottom"/>
          </w:tcPr>
          <w:p>
            <w:pPr>
              <w:jc w:val="right"/>
              <w:ind w:right="56"/>
              <w:spacing w:after="0"/>
              <w:rPr>
                <w:sz w:val="20"/>
                <w:szCs w:val="20"/>
                <w:color w:val="auto"/>
              </w:rPr>
            </w:pPr>
            <w:r>
              <w:rPr>
                <w:rFonts w:ascii="Arial" w:cs="Arial" w:eastAsia="Arial" w:hAnsi="Arial"/>
                <w:sz w:val="13"/>
                <w:szCs w:val="13"/>
                <w:color w:val="auto"/>
              </w:rPr>
              <w:t>5,300,000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56"/>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915,187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915,240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915,240</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280,834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1,799</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tcPr>
          <w:p>
            <w:pPr>
              <w:jc w:val="right"/>
              <w:ind w:right="16"/>
              <w:spacing w:after="0"/>
              <w:rPr>
                <w:sz w:val="20"/>
                <w:szCs w:val="20"/>
                <w:color w:val="auto"/>
              </w:rPr>
            </w:pPr>
            <w:r>
              <w:rPr>
                <w:rFonts w:ascii="Arial" w:cs="Arial" w:eastAsia="Arial" w:hAnsi="Arial"/>
                <w:sz w:val="13"/>
                <w:szCs w:val="13"/>
                <w:color w:val="auto"/>
              </w:rPr>
              <w:t>(75,908)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(18,490)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w:t>
            </w:r>
          </w:p>
        </w:tc>
      </w:tr>
      <w:tr>
        <w:trPr>
          <w:trHeight w:val="262"/>
        </w:trPr>
        <w:tc>
          <w:tcPr>
            <w:tcW w:w="208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(214,071)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(214,071)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(276,583)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(490,654)</w:t>
            </w:r>
          </w:p>
        </w:tc>
      </w:tr>
      <w:tr>
        <w:trPr>
          <w:trHeight w:val="278"/>
        </w:trPr>
        <w:tc>
          <w:tcPr>
            <w:tcW w:w="20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Distribution to noncontrolling 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(301,113)</w:t>
            </w:r>
          </w:p>
        </w:tc>
      </w:tr>
      <w:tr>
        <w:trPr>
          <w:trHeight w:val="264"/>
        </w:trPr>
        <w:tc>
          <w:tcPr>
            <w:tcW w:w="208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21,141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21,141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2,056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23,197</w:t>
            </w:r>
          </w:p>
        </w:tc>
      </w:tr>
      <w:tr>
        <w:trPr>
          <w:trHeight w:val="242"/>
        </w:trPr>
        <w:tc>
          <w:tcPr>
            <w:tcW w:w="2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September 30, 2018</w:t>
            </w:r>
          </w:p>
        </w:tc>
        <w:tc>
          <w:tcPr>
            <w:tcW w:w="9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108,731,082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(1,187,273)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2,455,357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537,771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1,804,993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1,540,283</w:t>
            </w:r>
          </w:p>
        </w:tc>
      </w:tr>
      <w:tr>
        <w:trPr>
          <w:trHeight w:val="20"/>
        </w:trPr>
        <w:tc>
          <w:tcPr>
            <w:tcW w:w="2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3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31115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121" w:right="239" w:bottom="0" w:gutter="0" w:footer="0" w:header="0"/>
        </w:sectPr>
      </w:pP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issuance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 for doubtful accounts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derivatives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Redemption Note fair value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charges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cash from changes in:</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 prepaid expenses and other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 and accrued expenses</w:t>
      </w:r>
    </w:p>
    <w:p>
      <w:pPr>
        <w:spacing w:after="0" w:line="8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expenditures, net of construction payables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intangible and other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the sale or maturity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investment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328,848</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287,574</w:t>
            </w:r>
          </w:p>
        </w:tc>
      </w:tr>
      <w:tr>
        <w:trPr>
          <w:trHeight w:val="540"/>
        </w:trPr>
        <w:tc>
          <w:tcPr>
            <w:tcW w:w="46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449,824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411,685</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16,838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(123,516)</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30,444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28,762</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22,171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25,241</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12,196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2,364</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13,039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2,586</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6,914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70"/>
        </w:trPr>
        <w:tc>
          <w:tcPr>
            <w:tcW w:w="46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69,331</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21,238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30,464</w:t>
            </w:r>
          </w:p>
        </w:tc>
      </w:tr>
      <w:tr>
        <w:trPr>
          <w:trHeight w:val="540"/>
        </w:trPr>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(23,046)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(11,038)</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(17,380)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1,145</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2,355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(212,459)</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(14,304)</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779,885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497,889</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01"/>
        </w:trPr>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(878,335)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(1,154,255)</w:t>
            </w:r>
          </w:p>
        </w:tc>
      </w:tr>
      <w:tr>
        <w:trPr>
          <w:trHeight w:val="270"/>
        </w:trPr>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(102,388)</w:t>
            </w:r>
          </w:p>
        </w:tc>
      </w:tr>
      <w:tr>
        <w:trPr>
          <w:trHeight w:val="270"/>
        </w:trPr>
        <w:tc>
          <w:tcPr>
            <w:tcW w:w="46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359,461</w:t>
            </w:r>
          </w:p>
        </w:tc>
      </w:tr>
      <w:tr>
        <w:trPr>
          <w:trHeight w:val="270"/>
        </w:trPr>
        <w:tc>
          <w:tcPr>
            <w:tcW w:w="46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(34,098)</w:t>
            </w:r>
          </w:p>
        </w:tc>
      </w:tr>
      <w:tr>
        <w:trPr>
          <w:trHeight w:val="270"/>
        </w:trPr>
        <w:tc>
          <w:tcPr>
            <w:tcW w:w="46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2,387</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(883,743)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(928,893)</w:t>
            </w:r>
          </w:p>
        </w:tc>
      </w:tr>
      <w:tr>
        <w:trPr>
          <w:trHeight w:val="33"/>
        </w:trPr>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2,549,072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2,288,605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1500" w:type="dxa"/>
            <w:vAlign w:val="bottom"/>
          </w:tcPr>
          <w:p>
            <w:pPr>
              <w:jc w:val="right"/>
              <w:spacing w:after="0"/>
              <w:rPr>
                <w:sz w:val="20"/>
                <w:szCs w:val="20"/>
                <w:color w:val="auto"/>
              </w:rPr>
            </w:pPr>
            <w:r>
              <w:rPr>
                <w:rFonts w:ascii="Arial" w:cs="Arial" w:eastAsia="Arial" w:hAnsi="Arial"/>
                <w:sz w:val="16"/>
                <w:szCs w:val="16"/>
                <w:color w:val="auto"/>
              </w:rPr>
              <w:t>(2,443,367)</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(3,030,526)</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 receivable from sale of ownership interest in subsidiary</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915,187</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 of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Finance lease payment</w:t>
            </w:r>
          </w:p>
        </w:tc>
        <w:tc>
          <w:tcPr>
            <w:tcW w:w="15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14,696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20,313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1500" w:type="dxa"/>
            <w:vAlign w:val="bottom"/>
          </w:tcPr>
          <w:p>
            <w:pPr>
              <w:jc w:val="right"/>
              <w:spacing w:after="0"/>
              <w:rPr>
                <w:sz w:val="20"/>
                <w:szCs w:val="20"/>
                <w:color w:val="auto"/>
              </w:rPr>
            </w:pPr>
            <w:r>
              <w:rPr>
                <w:rFonts w:ascii="Arial" w:cs="Arial" w:eastAsia="Arial" w:hAnsi="Arial"/>
                <w:sz w:val="16"/>
                <w:szCs w:val="16"/>
                <w:color w:val="auto"/>
              </w:rPr>
              <w:t>(460,139)</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(350,694)</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 to noncontrolling interest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(301,113)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to acquire derivatives</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(3,900)</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financing costs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(22,359)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(33,787)</w:t>
            </w: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b w:val="1"/>
                <w:bCs w:val="1"/>
                <w:color w:val="auto"/>
              </w:rPr>
              <w:t>Net cash used in financing activities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(431,563)</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(423,720)</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(1,610)</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1,090</w:t>
            </w:r>
          </w:p>
        </w:tc>
      </w:tr>
      <w:tr>
        <w:trPr>
          <w:trHeight w:val="20"/>
        </w:trPr>
        <w:tc>
          <w:tcPr>
            <w:tcW w:w="8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Decrease in cash, cash equivalents and restricted cash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both"/>
        <w:ind w:left="780"/>
        <w:spacing w:after="0"/>
        <w:tabs>
          <w:tab w:leader="none" w:pos="2360" w:val="left"/>
        </w:tabs>
        <w:rPr>
          <w:sz w:val="20"/>
          <w:szCs w:val="20"/>
          <w:color w:val="auto"/>
        </w:rPr>
      </w:pPr>
      <w:r>
        <w:rPr>
          <w:rFonts w:ascii="Arial" w:cs="Arial" w:eastAsia="Arial" w:hAnsi="Arial"/>
          <w:sz w:val="16"/>
          <w:szCs w:val="16"/>
          <w:b w:val="1"/>
          <w:bCs w:val="1"/>
          <w:color w:val="auto"/>
        </w:rPr>
        <w:t>(537,031)</w:t>
      </w:r>
      <w:r>
        <w:rPr>
          <w:sz w:val="20"/>
          <w:szCs w:val="20"/>
          <w:color w:val="auto"/>
        </w:rPr>
        <w:tab/>
      </w:r>
      <w:r>
        <w:rPr>
          <w:rFonts w:ascii="Arial" w:cs="Arial" w:eastAsia="Arial" w:hAnsi="Arial"/>
          <w:sz w:val="16"/>
          <w:szCs w:val="16"/>
          <w:b w:val="1"/>
          <w:bCs w:val="1"/>
          <w:color w:val="auto"/>
        </w:rPr>
        <w:t>(853,634)</w:t>
      </w:r>
    </w:p>
    <w:p>
      <w:pPr>
        <w:spacing w:after="0" w:line="86" w:lineRule="exact"/>
        <w:rPr>
          <w:sz w:val="20"/>
          <w:szCs w:val="20"/>
          <w:color w:val="auto"/>
        </w:rPr>
      </w:pPr>
    </w:p>
    <w:p>
      <w:pPr>
        <w:ind w:left="720"/>
        <w:spacing w:after="0"/>
        <w:tabs>
          <w:tab w:leader="none" w:pos="2280" w:val="left"/>
        </w:tabs>
        <w:rPr>
          <w:sz w:val="20"/>
          <w:szCs w:val="20"/>
          <w:color w:val="auto"/>
        </w:rPr>
      </w:pPr>
      <w:r>
        <w:rPr>
          <w:rFonts w:ascii="Arial" w:cs="Arial" w:eastAsia="Arial" w:hAnsi="Arial"/>
          <w:sz w:val="15"/>
          <w:szCs w:val="15"/>
          <w:b w:val="1"/>
          <w:bCs w:val="1"/>
          <w:color w:val="auto"/>
        </w:rPr>
        <w:t>2,219,323</w:t>
      </w:r>
      <w:r>
        <w:rPr>
          <w:sz w:val="20"/>
          <w:szCs w:val="20"/>
          <w:color w:val="auto"/>
        </w:rPr>
        <w:tab/>
      </w:r>
      <w:r>
        <w:rPr>
          <w:rFonts w:ascii="Arial" w:cs="Arial" w:eastAsia="Arial" w:hAnsi="Arial"/>
          <w:sz w:val="15"/>
          <w:szCs w:val="15"/>
          <w:b w:val="1"/>
          <w:bCs w:val="1"/>
          <w:color w:val="auto"/>
        </w:rPr>
        <w:t>2,806,634</w:t>
      </w:r>
    </w:p>
    <w:p>
      <w:pPr>
        <w:spacing w:after="0" w:line="98" w:lineRule="exact"/>
        <w:rPr>
          <w:sz w:val="20"/>
          <w:szCs w:val="20"/>
          <w:color w:val="auto"/>
        </w:rPr>
      </w:pPr>
    </w:p>
    <w:p>
      <w:pPr>
        <w:spacing w:after="0"/>
        <w:tabs>
          <w:tab w:leader="none" w:pos="700" w:val="left"/>
          <w:tab w:leader="none" w:pos="1600" w:val="left"/>
          <w:tab w:leader="none" w:pos="22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1,682,292</w:t>
        <w:tab/>
        <w:t>$</w:t>
      </w:r>
      <w:r>
        <w:rPr>
          <w:sz w:val="20"/>
          <w:szCs w:val="20"/>
          <w:color w:val="auto"/>
        </w:rPr>
        <w:tab/>
      </w:r>
      <w:r>
        <w:rPr>
          <w:rFonts w:ascii="Arial" w:cs="Arial" w:eastAsia="Arial" w:hAnsi="Arial"/>
          <w:sz w:val="14"/>
          <w:szCs w:val="14"/>
          <w:b w:val="1"/>
          <w:bCs w:val="1"/>
          <w:color w:val="auto"/>
        </w:rPr>
        <w:t>1,953,000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54610</wp:posOffset>
            </wp:positionV>
            <wp:extent cx="1955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3060"/>
          </w:cols>
          <w:pgMar w:left="240" w:top="121" w:right="239" w:bottom="0" w:gutter="0" w:footer="0" w:header="0"/>
          <w:type w:val="continuous"/>
        </w:sectPr>
      </w:pP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cash flow disclosures: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60" w:type="dxa"/>
            <w:vAlign w:val="bottom"/>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265,873</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276,989</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Capitalized stock-based compensation</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Liability settled with shares of common stock</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15,134</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1,800</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202,375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174,530</w:t>
            </w: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Other liabilities related to intangible assets</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13,463</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Financing costs included in accounts payable and other liabilities</w:t>
            </w:r>
          </w:p>
        </w:tc>
        <w:tc>
          <w:tcPr>
            <w:tcW w:w="1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2,093</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80"/>
              <w:spacing w:after="0"/>
              <w:rPr>
                <w:sz w:val="20"/>
                <w:szCs w:val="20"/>
                <w:color w:val="auto"/>
              </w:rPr>
            </w:pPr>
            <w:r>
              <w:rPr>
                <w:rFonts w:ascii="Arial" w:cs="Arial" w:eastAsia="Arial" w:hAnsi="Arial"/>
                <w:sz w:val="16"/>
                <w:szCs w:val="16"/>
                <w:color w:val="auto"/>
              </w:rPr>
              <w:t>Dividends payable on unvested restricted stock included in other accrued liabilities</w:t>
            </w: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6,306</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3,164</w:t>
            </w:r>
          </w:p>
        </w:tc>
      </w:tr>
      <w:tr>
        <w:trPr>
          <w:trHeight w:val="33"/>
        </w:trPr>
        <w:tc>
          <w:tcPr>
            <w:tcW w:w="7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7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Dividends payable to noncontrolling interests</w:t>
            </w:r>
          </w:p>
        </w:tc>
        <w:tc>
          <w:tcPr>
            <w:tcW w:w="17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138,816</w:t>
            </w:r>
          </w:p>
        </w:tc>
      </w:tr>
      <w:tr>
        <w:trPr>
          <w:trHeight w:val="33"/>
        </w:trPr>
        <w:tc>
          <w:tcPr>
            <w:tcW w:w="70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341" w:right="1440"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Wynn Resorts, Limited, a Nevada corporation (together with its subsidiaries, "Wynn Resorts" or the "Company") is a designer, developer, owner and operator of destination casino resorts. 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20, 2019, and concurrently with the Refinancing Transactions (as defined and discussed in Note 6, "Long-Term Debt"), Wynn Resorts contributed all of its equity interests in Wynn Group Asia, Inc. ("Wynn Asia") to Wynn Resorts Finance, LLC, which was formerly known as Wynn America, LLC ("WRF"), making Wynn Asia a wholly owned subsidiary of WRF. WRF is an indirect wholly owned subsidiary of Wynn Resorts. Wynn Asia is a holding company that holds Wynn Resorts' approximately 72% controlling interest in WML.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currently constructing an approximately 430,000 square foot meeting and convention facility at Wynn Las Vegas. The facility will feature approximately 217,000 square feet of state-of-the-art meeting and convention space available for group reservations. The Company expects to open the additional meeting and convention facility in the first quarter of 2020. The Company opened the newly reconfigured Wynn Las Vegas golf course on October 11, 2019.</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2019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15 "Retail Joint Venture." All significant intercompany accounts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is the lessee under non-cancelable real estate and equipment leases. Beginning on January 1, 2019 (the date of the Company's adoption of Topic 842, as defined and discussed further in "Recently Adopted Accounting Standards"),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to determine the present value of lease payments. The Company does not record an asset or liability for operating leases with a term of less than one year. Variable lease costs generally arise from changes in an index, such as the consumer price index. Variable lease costs are expensed as incurred and are not included in the determination of lease assets or liabilities. Prior to the adoption of Topic 842 on January 1, 2019, the Company did not record an asset or liability for any of its operating leases.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Lessor Arrangements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is the lessor under non-cancelable operating leases for retail and food and beverage outlet space at its integrated resorts, which represents approximately 101,000, 59,000, 142,000, and 36,000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 Revenue is recorded in entertainment, retail and other revenue on the Condensed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$543.9 million and $638.4 million for the three months ended September 30, 2019 and 2018, and $1.69 billion and $1.81 billion for the nine months ended September 30,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expenses</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Pre-opening expenses represent personnel, advertising, and other costs incurred prior to the opening of new ventures and are expensed as incurred. During the nine months ended September 30, 2019 and 2018, the Company incurred pre-opening expenses primarily in connection with the development of Encore Boston Harbor.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No. 2016-02, Leases ("Topic 842"), which requires recognition of lease assets and liabilities on the balance sheet and disclosure of additional information about leasing activities. The Company adopted this standard using a modified retrospective transition approach with an initial application date of January 1, 2019. As a result, prior periods were not retrospectively adjusted and are not comparable to current periods. The Company elected the practical expedient permitting lessees to carry forward historical lease classifications for existing arrangements. The following is a summary of the significant impacts on the Company's balance sheet as of January 1, 2019:</w:t>
      </w:r>
    </w:p>
    <w:p>
      <w:pPr>
        <w:spacing w:after="0" w:line="193"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recognized operating lease assets and liabilities of $154.1 million, which represented the discounted future minimum lease payments of all existing leases on the initial application date.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carrying amount of a definite-lived intangible asset, which related to a leasehold interest in land and totaled $88.1 million, was reclassified to operating lease assets.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Leasehold interests in land, net, which totaled $206.9 million, were reclassified to operating lease assets from property and equipment, net.</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Certain other initial direct cost assets, prepaid lease assets, and deferred rent accrued liabilities were reclassified to operating lease assets.</w:t>
      </w:r>
    </w:p>
    <w:p>
      <w:pPr>
        <w:spacing w:after="0" w:line="23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the Company elected to carry forward historical lease classifications, an arrangement concluded to contain a capital lease under the previous standard was deemed a finance lease under Topic 842, with no resultant change in accounting other than the reclassification of associated initial direct costs from other assets to property and equipment, net. There was no impact on the Company's operating income, net income or cash flows as a result of adopting Topic 842.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will be required to use a forward-looking expected loss model rather than the incurred loss model for recognizing credit losses which reflects losses that are probable. The new guidance will be effective for the Company beginning January 1, 2020. Application of the amendments is through a cumulative-effect adjustment to retained earnings as of the effective date. The Company is currently assessing the impact that the adoption of the new guidance will have on its Consolidated Financial Statements, but does not expect that it will have a material impact.</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1,191,948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1,455,744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484,162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759,257</w:t>
            </w:r>
          </w:p>
        </w:tc>
      </w:tr>
      <w:tr>
        <w:trPr>
          <w:trHeight w:val="237"/>
        </w:trPr>
        <w:tc>
          <w:tcPr>
            <w:tcW w:w="8340" w:type="dxa"/>
            <w:vAlign w:val="bottom"/>
          </w:tcPr>
          <w:p>
            <w:pPr>
              <w:ind w:left="260"/>
              <w:spacing w:after="0"/>
              <w:rPr>
                <w:sz w:val="20"/>
                <w:szCs w:val="20"/>
                <w:color w:val="auto"/>
              </w:rPr>
            </w:pPr>
            <w:r>
              <w:rPr>
                <w:rFonts w:ascii="Arial" w:cs="Arial" w:eastAsia="Arial" w:hAnsi="Arial"/>
                <w:sz w:val="18"/>
                <w:szCs w:val="18"/>
                <w:b w:val="1"/>
                <w:bCs w:val="1"/>
                <w:color w:val="auto"/>
              </w:rPr>
              <w:t>Total cash and cash equivalents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1,676,110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2,215,001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1,682,292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2,219,323</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obligations and cash held in a trust in accordance with WML's share award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229,594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22,086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57,658</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319,492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309,338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(32,694)</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286,611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276,644</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2019 and December 31, 2018, approximately 80.2% and 85.0%, respectively, of the Company's markers were due from customers residing outside the United States, primarily in Asia. Business or economic conditions or other significant events in the countries in which our customers reside could affect the collectability of such receivables.</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9,288,609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7,707,467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1,225,849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1,141,032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2,923,900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2,288,370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313,516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445,098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1,912,801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13,994,079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13,473,809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(4,372,811)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(4,087,889)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9,621,268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9,385,920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2019, construction in progress consisted primarily of costs capitalized, including interest, for the construction of the additional meeting and convention space at Wynn Las Vegas. As of December 31, 2018, construction in progress consisted primarily of costs capitalized, including interest, for the construction of Encore Boston Harbor. On June 23, 2019, Encore Boston Harbor opened and its associated construction in progress balance was placed into service.</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capitalized interest of $3.3 million for the three months ended September 30, 2019, primarily in connection with the construction of the additional meeting and convention space at Wynn Las Vegas. The Company capitalized interest of $16.2 million for the three months ended September 30, 2018, and $50.2 million and $37.7 million for the nine months ended September 30, 2019 and 2018, respectively, primarily in connection with the construction of Encore Boston Harbor.</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Beginning January 1, 2019, leasehold interests in land, net of related accumulated amortization were reclassified to operating lease assets with the adoption of Topic 842.</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Wynn Macau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Senior Term Loan Facility, due 2022 </w:t>
            </w: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2,296,999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 xml:space="preserve">Senior Revolving Credit Facility, due 2022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448,982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623,921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 7/8% Senior Notes, due 2024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 1/2% Senior Notes, due 2027</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750,000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WRF Senior Secured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WRF Term Loan, due 2024</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WRF Revolver, due 2024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WLV 4 1/4% Senior Notes, due 2023</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WLV 5 1/2% Senior Notes, due 2025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1,780,000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WLV 5 1/4% Senior Notes, due 2027</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880,000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WRF 5 1/8% Senior Notes, due 2029</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(4)</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615,000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Wynn America Senior Term Loan Facility, due 2021 </w:t>
            </w: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994,780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Wynn Resorts Term Loan, due 2024 </w:t>
            </w:r>
            <w:r>
              <w:rPr>
                <w:rFonts w:ascii="Arial" w:cs="Arial" w:eastAsia="Arial" w:hAnsi="Arial"/>
                <w:sz w:val="14"/>
                <w:szCs w:val="14"/>
                <w:color w:val="auto"/>
              </w:rPr>
              <w:t>(5)</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9,644,741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9,540,700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(117,600)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9,537,963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9,423,100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(11,960)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9,421,845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9,411,140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60" w:hanging="252"/>
        <w:spacing w:after="0" w:line="250" w:lineRule="auto"/>
        <w:tabs>
          <w:tab w:leader="none" w:pos="234"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$1.31 billion and $990.8 million of the Wynn Macau Senior Term Loan Facility bears interest at a rate of LIBOR plus 1.75% per year and HIBOR plus 1.75% per year, respectively. As of September 30, 2019, the weighted average interest rate was approximately 3.73%.</w:t>
      </w:r>
    </w:p>
    <w:p>
      <w:pPr>
        <w:ind w:left="260" w:right="20" w:hanging="252"/>
        <w:spacing w:after="0" w:line="241" w:lineRule="auto"/>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$256.5 million and $192.4 million of the Wynn Macau Senior Revolving Credit Facility bears interest at a rate of LIBOR plus 1.75% per year and HIBOR plus 1.75% per year, respectively. As of September 30, 2019, the weighted average interest rate was approximately 3.80%, and the available borrowing capacity was $298.3 million.</w:t>
      </w:r>
    </w:p>
    <w:p>
      <w:pPr>
        <w:ind w:left="260" w:right="20" w:hanging="252"/>
        <w:spacing w:after="0" w:line="241" w:lineRule="auto"/>
        <w:tabs>
          <w:tab w:leader="none" w:pos="22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Wynn Resorts Finance Credit Facilities bear interest at a rate of LIBOR plus 1.75% per year. As of September 30, 2019, the interest rate was 3.80%. Additionally, as of September 30, 2019, the available borrowing capacity under the Revolving Credit Facility was $806.9 million, net of $18.1 million in outstanding letters of credit.</w:t>
      </w: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September 30, 2019, the interest rate was 3.80%.</w:t>
      </w:r>
    </w:p>
    <w:p>
      <w:pPr>
        <w:spacing w:after="0" w:line="1" w:lineRule="exact"/>
        <w:rPr>
          <w:rFonts w:ascii="Arial" w:cs="Arial" w:eastAsia="Arial" w:hAnsi="Arial"/>
          <w:sz w:val="14"/>
          <w:szCs w:val="14"/>
          <w:color w:val="auto"/>
        </w:rPr>
      </w:pPr>
    </w:p>
    <w:p>
      <w:pPr>
        <w:ind w:left="260" w:right="20" w:hanging="252"/>
        <w:spacing w:after="0" w:line="255" w:lineRule="auto"/>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Wynn America Credit Facilities, which included the Wynn America Senior Term Loan Facility, and the Wynn Resorts Term Loan were prepaid in full on September 20, 2019, in connection with the Refinancing Transactions, as defined and discussed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September 20, 2019, WRF and its subsidiary Wynn Resorts Capital Corp. (collectively with WRF, the "WRF Issuers"), each an indirect wholly owned subsidiary of the Company, issued $750.0 million aggregate principal amount of 5 1/8% Senior Notes due 2029 (the "2029 Notes") pursuant to an indenture (the "2029 Indenture") among the WRF Issuers, the guarantors party thereto, and U.S. Bank National Association, as trustee (the "Trustee"), in a private offering. The 2029 Notes were issued at par.</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Concurrently with the issuance of the 2029 Notes, WRF entered into a credit agreement (the "WRF Credit Agreement") providing for a new first lien term loan facility in an aggregate principal amount of $1.0 billion (the "WRF Term Loan") and a new first lien revolving credit facility in an aggregate principal amount of $850.0 million (the "WRF Revolver" and together with the WRF Term Loan, the "WRF Senior Secured Credit Facilities") (the WRF Senior Secured Credit Facilities and 2029 Notes are collectively referred to as the "Refinancing Transactions").</w:t>
      </w:r>
    </w:p>
    <w:p>
      <w:pPr>
        <w:sectPr>
          <w:pgSz w:w="11900" w:h="16838" w:orient="portrait"/>
          <w:cols w:equalWidth="0" w:num="1">
            <w:col w:w="11420"/>
          </w:cols>
          <w:pgMar w:left="240" w:top="122" w:right="239" w:bottom="1440" w:gutter="0" w:footer="0" w:header="0"/>
        </w:sect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WRF used the net proceeds from the Refinancing Transactions to refinance the existing Wynn America credit facilities and the Wynn Resorts term loan and to pay related fees and expenses totaling $18.8 million, of which $14.8 million was recorded as debt issuance costs within the Condensed Consolidated Balance Sheet. The Company recognized the Refinancing Transactions primarily as a modification of existing debt with the related unamortized debt issuance costs reallocated to the new debt instruments. For those components of debt that were deemed extinguished, the Company recognized a loss on extinguishment of debt of $12.2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Senior Secured Credit Facilities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Subject to certain exceptions, the WRF Senior Secured Credit Facilities bear interest at LIBOR plus 1.75% per annum. The annual fee required to pay for unborrowed amounts under the WRF Revolver, if any, is 0.25% per annum, payable quarterly in arrears, calculated based on the daily average of the unborrowed amounts under such credit facilities. The Company is required to make quarterly repayments on the WRF Term Loan of $12.5 million beginning in the fourth quarter of 2019, with any remaining principal amount outstanding repayable in full on September 20, 2024.</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Wynn Resorts Finance is subject to financial covenants, including maintaining a Consolidated First Lien Net Leverage Ratio, as defined in the WRF Credit Agreement. Commencing with the fourth quarter of 2019, the Consolidated Senior Secured Net Leverage Ratio is not to exceed 3.75 to 1.00.</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2029 Notes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2029 Notes will mature on October 1, 2029 and bear interest at the rate of 5 1/8% per annum, payable in arrears semi-annually on April 1 and October 1 of each year, beginning on April 1, 2020. The WRF Issuers may redeem some or all of the 2029 Notes at any time at a redemption price equal to 100% of the aggregate principal amount of the 2029 Notes to be redeemed plus a make-whole premium, as defined in the 2029 Indenture, and accrued and unpaid interest. On or after July 1, 2029, the WRF Issuers may redeem some or all of the 2029 Notes at the redemption prices set forth in the 2029 Indenture plus accrued and unpaid interest. In the event of a change of control triggering event, the WRF Issuers will be required to offer to repurchase the 2029 Notes at 101% of the principal amount, plus accrued and unpaid interest, if any, to, but not including, the repurchase date. The 2029 Notes are also subject to disposition and redemption requirements imposed by gaming laws and regulations of applicable gaming regulatory authorities.</w:t>
      </w:r>
    </w:p>
    <w:p>
      <w:pPr>
        <w:spacing w:after="0" w:line="16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2029 Notes are the WRF Issuers' senior unsecured obligations and rank pari passu in right of payment with the WLV senior notes due 2023, 2025, and 2027, and rank equally in right of payment with Wynn Las Vegas' guarantee of the WRF Senior Secured Credit Facilities, and rank senior in right of payment to all of the Issuers' existing and future subordinated debt. The 2029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2029 Notes, including WML and its subsidiaries.</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2029 Notes are jointly and severally guaranteed by each of WRF's existing domestic restricted subsidiaries that guarantee indebtedness under the Credit Agreement, including Wynn Las Vegas, LLC and each of its subsidiaries that guarantees its existing senior notes due 2023, 2025, and 2027.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2029 Indenture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2029 Indenture.</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2029 Indenture also contains customary events of default, including, but not limited to, failure to make required payments, failure to comply with certain covenants, certain events of bankruptcy and insolvency, and failure to pay certain judgments. An event of default under the 2029 Indenture allows either the Trustee or the holders of at least 25% in aggregate principal amount of the 2029 Notes, as applicable, issued under such 2029 Indenture to accelerate the amounts due under the 2029 Notes, or in the case of bankruptcy or insolvency, will automatically cause the acceleration of the amounts due under the 2029 Notes.</w:t>
      </w:r>
    </w:p>
    <w:p>
      <w:pPr>
        <w:spacing w:after="0" w:line="188"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2029 Notes were offered pursuant to an exemption under the Securities Act of 1933, as amended (the "Securities Act"). The 2029 Notes were offered only to qualified institutional buyers in reliance on Rule 144A under the Securities Act or outside the United States to certain persons in reliance on Regulation S under the Securities Act. The 2029 Notes have not been and will not be registered under the Securities Act or under any state securities laws. Therefore, the 2029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On September 20, 2019, the Wynn America credit facilities were repaid in full in connection with the Refinancing Transactions and the Wynn America credit agreement was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Term Loan</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On October 30, 2018, the Company and certain subsidiaries of the Company entered into a credit agreement (as subsequently amended, the "WRL Credit Agreement") to provide for a $500.0 million six year term loan facility (the "WRL Term Loan I"). On March 8, 2019, the Company, certain subsidiaries of the Company, and certain incremental term facility lenders entered into an incremental joinder agreement that amended the WRL Credit Agreement to, among other things, provide the Company with an additional $250.0 million term loan (the "WRL Term Loan II," and, collectively with the WRL Term Loan I, the "Wynn Resorts Term Loan"), on substantially similar terms as the WRL Term Loan I. On September 20, 2019, the Wynn Resorts Term Loan was prepaid in full in connection with the Refinancing Transactions and the WRL Credit Agreement was terminated.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8, 2019, in connection with the WRL Term Loan II, the Company agreed to terminate the remaining $250.0 million of the lenders' commitments under the commitment letter. Accordingly, there are no remaining commitments under the commitment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On March 30, 2018, the Company also paid an additional $463.6 million in settlement of certain legal claims concerning the Redemption Note, which is recorded as a litigation settlement expense on the Condensed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2019, management believes the Company was in compliance with all debt covenants.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estimated fair value of the Company's long-term debt as of September 30, 2019 and December 31, 2018, was approximately $9.81 billion and $8.97 billion, respectively, compared to its carrying value, excluding debt issuance costs and original issue discount and premium, of $9.64 billion and $9.54 billion, respectively. The estimated fair value of the Company's long-term debt is based on recent trades, if available, and indicative pricing from market information (Level 2 inputs).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February 26, 2019, the Company paid a cash dividend of $0.75 and on May 30, 2019 and August 27, 2019, the Company paid cash dividends of $1.00 per share, respectively. During the three and nine months ended September 30, 2019, the Company recorded $107.3 million and $295.6 million, respectively, as a reduction of retained earnings from cash dividends declared.</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February 27, 2018, the Company paid a cash dividend of $0.50 and on May 29, 2018 and August 28, 2018, the Company paid cash dividends of $0.75 per share, respectively. During the three and nine months ended September 30, 2018, the Company recorded $81.4 million and $214.1 million, respectively, as a reduction of retained earnings from cash dividends declared.</w:t>
      </w:r>
    </w:p>
    <w:p>
      <w:pPr>
        <w:spacing w:after="0" w:line="181" w:lineRule="exact"/>
        <w:rPr>
          <w:sz w:val="20"/>
          <w:szCs w:val="20"/>
          <w:color w:val="auto"/>
        </w:rPr>
      </w:pPr>
    </w:p>
    <w:p>
      <w:pPr>
        <w:ind w:left="60" w:firstLine="405"/>
        <w:spacing w:after="0" w:line="277" w:lineRule="auto"/>
        <w:rPr>
          <w:sz w:val="20"/>
          <w:szCs w:val="20"/>
          <w:color w:val="auto"/>
        </w:rPr>
      </w:pPr>
      <w:r>
        <w:rPr>
          <w:rFonts w:ascii="Arial" w:cs="Arial" w:eastAsia="Arial" w:hAnsi="Arial"/>
          <w:sz w:val="18"/>
          <w:szCs w:val="18"/>
          <w:color w:val="auto"/>
        </w:rPr>
        <w:t>On November 6, 2019, the Company announced a cash dividend of $1.00 per share, payable on November 22, 2019, to stockholders of record as of November 14,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On September 16, 2019, WML paid a cash dividend of HK$0.45 per share for a total of $298.0 million. The Company's share of this dividend was $215.1 million with a reduction of $82.9 million to noncontrolling interest in the accompanying Condensed Consolidated Balance Sheet.</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June 19, 2019, WML paid a cash dividend of HK$0.45 per share for a total of $298.0 million. The Company's share of this dividend was $215.0 million with a reduction of $82.9 million to noncontrolling interest in the accompanying Condensed Consolidated Balance Sheet.</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August 17, 2018 WML announced a cash dividend of HK$0.75 per share for a total of $496.6 million, which was paid on October 5, 2018. The Company's share of this dividend was $358.3 million with a reduction of $138.3 million to noncontrolling interest in the accompanying Condensed Consolidated Balance Sheet.</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25, 2018, WML paid a cash dividend of HK$0.75 per share for a total of $497.1 million. The Company's share of this dividend was $358.8 million with a reduction of $138.3 million to noncontrolling interest in the accompanying Condensed Consolidated Balance Sheet.</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and nine months ended September 30, 2019, the Retail Joint Venture made aggregate distributions of $1.0 million and $3.7 million, respectively, to its non-controlling interest holder made in the normal course of business. During the three and nine months ended September 30, 2018, the Retail Joint Venture made aggregate distributions of $297.3 million, and $301.1 million, respectively, to its non-controlling interest holder in connection with the distribution of the net proceeds of the Retail Term Loan and distributions made in the normal course of business. For more information on the Retail Joint Venture, see Note 15, "Retail Joint Venture".</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 and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Foreign</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translation</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2019</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September 30, 2019</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2"/>
                <w:szCs w:val="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Redemption Note</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Amounts reclassified to net income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8,973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right="60" w:hanging="252"/>
        <w:spacing w:after="0" w:line="250" w:lineRule="auto"/>
        <w:tabs>
          <w:tab w:leader="none" w:pos="221"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On January 1, 2018, the Company adopted Accounting Standards Update ("ASU") No. 2016-01, </w:t>
      </w:r>
      <w:r>
        <w:rPr>
          <w:rFonts w:ascii="Arial" w:cs="Arial" w:eastAsia="Arial" w:hAnsi="Arial"/>
          <w:sz w:val="14"/>
          <w:szCs w:val="14"/>
          <w:i w:val="1"/>
          <w:iCs w:val="1"/>
          <w:color w:val="auto"/>
        </w:rPr>
        <w:t>Financial Instruments</w:t>
      </w:r>
      <w:r>
        <w:rPr>
          <w:rFonts w:ascii="Arial" w:cs="Arial" w:eastAsia="Arial" w:hAnsi="Arial"/>
          <w:sz w:val="14"/>
          <w:szCs w:val="14"/>
          <w:color w:val="auto"/>
        </w:rPr>
        <w:t>. The adjustment to the beginning balance represents the cumulative effect of the change in instrument-specific credit risk on the Redemption Note.</w:t>
      </w:r>
    </w:p>
    <w:p>
      <w:pPr>
        <w:ind w:left="260" w:right="380" w:hanging="252"/>
        <w:spacing w:after="0" w:line="255" w:lineRule="auto"/>
        <w:tabs>
          <w:tab w:leader="none" w:pos="22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amounts reclassified to net income include $1.8 million for other-than-temporary impairment losses and $1.0 million in realized losses, both related to investment securities, and a $1.5 million realized gain related to the repayment of the Redemption Note.</w:t>
      </w: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8 -</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484,162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484,162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6,182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7,533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7,533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759,257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759,257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b w:val="1"/>
                <w:bCs w:val="1"/>
                <w:color w:val="auto"/>
              </w:rPr>
              <w:t>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Customer Contract Liabilities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Increase/</w:t>
            </w: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60" w:type="dxa"/>
            <w:vAlign w:val="bottom"/>
          </w:tcPr>
          <w:p>
            <w:pPr>
              <w:jc w:val="right"/>
              <w:ind w:right="21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6"/>
                <w:szCs w:val="16"/>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Casino outstanding chips and front money deposits</w:t>
            </w: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907,598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905,561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2,037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785,988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991,957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(205,969)</w:t>
            </w:r>
          </w:p>
        </w:tc>
        <w:tc>
          <w:tcPr>
            <w:tcW w:w="0" w:type="dxa"/>
            <w:vAlign w:val="bottom"/>
          </w:tcPr>
          <w:p>
            <w:pPr>
              <w:spacing w:after="0"/>
              <w:rPr>
                <w:sz w:val="1"/>
                <w:szCs w:val="1"/>
                <w:color w:val="auto"/>
              </w:rPr>
            </w:pPr>
          </w:p>
        </w:tc>
      </w:tr>
      <w:tr>
        <w:trPr>
          <w:trHeight w:val="194"/>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(1)</w:t>
            </w:r>
          </w:p>
        </w:tc>
        <w:tc>
          <w:tcPr>
            <w:tcW w:w="34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43,086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42,036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48,065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22,918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18,756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982,899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978,600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4,299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860,424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1,071,208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(210,784)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left="260" w:hanging="252"/>
        <w:spacing w:after="0" w:line="247"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Casino outstanding chips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spacing w:after="0" w:line="1" w:lineRule="exact"/>
        <w:rPr>
          <w:rFonts w:ascii="Arial" w:cs="Arial" w:eastAsia="Arial" w:hAnsi="Arial"/>
          <w:sz w:val="14"/>
          <w:szCs w:val="14"/>
          <w:color w:val="auto"/>
        </w:rPr>
      </w:pPr>
    </w:p>
    <w:p>
      <w:pPr>
        <w:jc w:val="both"/>
        <w:ind w:left="260" w:hanging="252"/>
        <w:spacing w:after="0" w:line="260" w:lineRule="auto"/>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41"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55"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ectPr>
          <w:pgSz w:w="11900" w:h="16838" w:orient="portrait"/>
          <w:cols w:equalWidth="0" w:num="1">
            <w:col w:w="11420"/>
          </w:cols>
          <w:pgMar w:left="240" w:top="122" w:right="239" w:bottom="1440" w:gutter="0" w:footer="0" w:header="0"/>
        </w:sectPr>
      </w:pP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line="59"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Rooms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22,540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497</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28,762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10,357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30,672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28,768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$2.1 million and $1.3 million for the three months ended September 30, 2019 and 2018, respectively, and $6.3 million and $5.5 million for the nine months ended September 30, 2019 and 2018,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recorded an income tax expense of $19.7 million and an income tax benefit of $3.9 million for the three months ended September 30, 2019 and 2018, respectively. The Company recorded an income tax expense of $19.4 million and an income tax benefit of $124.6 million for the nine months ended September 30, 2019 and 2018, respectively. The 2019 income tax expense primarily related to the increase in the valuation allowance for U.S foreign tax credits and the 2018 income tax benefit primarily related to the settlement of the Redemption Note.</w:t>
      </w:r>
    </w:p>
    <w:p>
      <w:pPr>
        <w:spacing w:after="0" w:line="17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and the duration of statutory carryforward periods.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Wynn Macau SA received a five year exemption from Macau's 12% Complementary Tax on casino gaming profits through December 31, 2020. Accordingly, for the three months ended September 30, 2019 and 2018, the Company was exempt from the payment of such taxes totaling $13.4 million and $26.8 million, respectively. For the nine months ended September 30, 2019 and 2018, the Company was exempt from the payment of such taxes totaling $56.0 million and $73.7 million, respectively. The Company's non-gaming profits remain subject to the Macau Complementary Tax and its casino winnings remain subject to the Macau special gaming tax and other levies in accordance with its concession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common shares outstanding during the period.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156,115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195,927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107,564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106,162</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shd w:val="clear" w:color="auto" w:fill="CCEEFF"/>
          </w:tcPr>
          <w:p>
            <w:pPr>
              <w:ind w:left="280"/>
              <w:spacing w:after="0" w:line="205" w:lineRule="exact"/>
              <w:rPr>
                <w:sz w:val="20"/>
                <w:szCs w:val="20"/>
                <w:color w:val="auto"/>
              </w:rPr>
            </w:pPr>
            <w:r>
              <w:rPr>
                <w:rFonts w:ascii="Arial" w:cs="Arial" w:eastAsia="Arial" w:hAnsi="Arial"/>
                <w:sz w:val="18"/>
                <w:szCs w:val="18"/>
                <w:b w:val="1"/>
                <w:bCs w:val="1"/>
                <w:color w:val="auto"/>
              </w:rPr>
              <w:t>Weighted average common and common equivalent shares</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106,707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108,533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107,024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106,721</w:t>
            </w:r>
          </w:p>
        </w:tc>
        <w:tc>
          <w:tcPr>
            <w:tcW w:w="0" w:type="dxa"/>
            <w:vAlign w:val="bottom"/>
          </w:tcPr>
          <w:p>
            <w:pPr>
              <w:spacing w:after="0"/>
              <w:rPr>
                <w:sz w:val="1"/>
                <w:szCs w:val="1"/>
                <w:color w:val="auto"/>
              </w:rPr>
            </w:pPr>
          </w:p>
        </w:tc>
      </w:tr>
      <w:tr>
        <w:trPr>
          <w:trHeight w:val="241"/>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Net income (loss) attributable to Wynn Resorts, Limited per common</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 basic</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280"/>
              <w:spacing w:after="0"/>
              <w:rPr>
                <w:sz w:val="20"/>
                <w:szCs w:val="20"/>
                <w:color w:val="auto"/>
              </w:rPr>
            </w:pPr>
            <w:r>
              <w:rPr>
                <w:rFonts w:ascii="Arial" w:cs="Arial" w:eastAsia="Arial" w:hAnsi="Arial"/>
                <w:sz w:val="18"/>
                <w:szCs w:val="18"/>
                <w:color w:val="auto"/>
                <w:w w:val="97"/>
              </w:rPr>
              <w:t>Net income (loss) attributable to Wynn Resorts, Limited per common</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vMerge w:val="continue"/>
          </w:tcPr>
          <w:p>
            <w:pPr>
              <w:spacing w:after="0"/>
              <w:rPr>
                <w:sz w:val="16"/>
                <w:szCs w:val="16"/>
                <w:color w:val="auto"/>
              </w:rPr>
            </w:pPr>
          </w:p>
        </w:tc>
        <w:tc>
          <w:tcPr>
            <w:tcW w:w="22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(0.03)</w:t>
            </w:r>
          </w:p>
        </w:tc>
        <w:tc>
          <w:tcPr>
            <w:tcW w:w="100" w:type="dxa"/>
            <w:vAlign w:val="bottom"/>
          </w:tcPr>
          <w:p>
            <w:pPr>
              <w:spacing w:after="0"/>
              <w:rPr>
                <w:sz w:val="16"/>
                <w:szCs w:val="16"/>
                <w:color w:val="auto"/>
              </w:rPr>
            </w:pPr>
          </w:p>
        </w:tc>
        <w:tc>
          <w:tcPr>
            <w:tcW w:w="34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line="189" w:lineRule="exact"/>
              <w:rPr>
                <w:sz w:val="20"/>
                <w:szCs w:val="20"/>
                <w:color w:val="auto"/>
              </w:rPr>
            </w:pPr>
            <w:r>
              <w:rPr>
                <w:rFonts w:ascii="Arial" w:cs="Arial" w:eastAsia="Arial" w:hAnsi="Arial"/>
                <w:sz w:val="18"/>
                <w:szCs w:val="18"/>
                <w:color w:val="auto"/>
              </w:rPr>
              <w:t>1.44</w:t>
            </w:r>
          </w:p>
        </w:tc>
        <w:tc>
          <w:tcPr>
            <w:tcW w:w="120" w:type="dxa"/>
            <w:vAlign w:val="bottom"/>
          </w:tcPr>
          <w:p>
            <w:pPr>
              <w:spacing w:after="0"/>
              <w:rPr>
                <w:sz w:val="16"/>
                <w:szCs w:val="16"/>
                <w:color w:val="auto"/>
              </w:rPr>
            </w:pPr>
          </w:p>
        </w:tc>
        <w:tc>
          <w:tcPr>
            <w:tcW w:w="240" w:type="dxa"/>
            <w:vAlign w:val="bottom"/>
          </w:tcPr>
          <w:p>
            <w:pPr>
              <w:jc w:val="right"/>
              <w:ind w:right="30"/>
              <w:spacing w:after="0" w:line="189"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line="189" w:lineRule="exact"/>
              <w:rPr>
                <w:sz w:val="20"/>
                <w:szCs w:val="20"/>
                <w:color w:val="auto"/>
              </w:rPr>
            </w:pPr>
            <w:r>
              <w:rPr>
                <w:rFonts w:ascii="Arial" w:cs="Arial" w:eastAsia="Arial" w:hAnsi="Arial"/>
                <w:sz w:val="18"/>
                <w:szCs w:val="18"/>
                <w:color w:val="auto"/>
              </w:rPr>
              <w:t>1.83</w:t>
            </w:r>
          </w:p>
        </w:tc>
        <w:tc>
          <w:tcPr>
            <w:tcW w:w="100" w:type="dxa"/>
            <w:vAlign w:val="bottom"/>
          </w:tcPr>
          <w:p>
            <w:pPr>
              <w:spacing w:after="0"/>
              <w:rPr>
                <w:sz w:val="16"/>
                <w:szCs w:val="16"/>
                <w:color w:val="auto"/>
              </w:rPr>
            </w:pPr>
          </w:p>
        </w:tc>
        <w:tc>
          <w:tcPr>
            <w:tcW w:w="34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line="18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600" w:type="dxa"/>
            <w:vAlign w:val="bottom"/>
          </w:tcPr>
          <w:p>
            <w:pPr>
              <w:ind w:left="280"/>
              <w:spacing w:after="0"/>
              <w:rPr>
                <w:sz w:val="20"/>
                <w:szCs w:val="20"/>
                <w:color w:val="auto"/>
              </w:rPr>
            </w:pPr>
            <w:r>
              <w:rPr>
                <w:rFonts w:ascii="Arial" w:cs="Arial" w:eastAsia="Arial" w:hAnsi="Arial"/>
                <w:sz w:val="18"/>
                <w:szCs w:val="18"/>
                <w:color w:val="auto"/>
              </w:rPr>
              <w:t>share, diluted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121" w:right="239" w:bottom="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2947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Anti-dilutive stock options and restricted stock excluded from the</w:t>
            </w:r>
          </w:p>
        </w:tc>
        <w:tc>
          <w:tcPr>
            <w:tcW w:w="1660" w:type="dxa"/>
            <w:vAlign w:val="bottom"/>
            <w:vMerge w:val="restart"/>
          </w:tcPr>
          <w:p>
            <w:pPr>
              <w:jc w:val="right"/>
              <w:ind w:right="510"/>
              <w:spacing w:after="0"/>
              <w:rPr>
                <w:sz w:val="20"/>
                <w:szCs w:val="20"/>
                <w:color w:val="auto"/>
              </w:rPr>
            </w:pPr>
            <w:r>
              <w:rPr>
                <w:rFonts w:ascii="Arial" w:cs="Arial" w:eastAsia="Arial" w:hAnsi="Arial"/>
                <w:sz w:val="18"/>
                <w:szCs w:val="18"/>
                <w:color w:val="auto"/>
              </w:rPr>
              <w:t>850</w:t>
            </w:r>
          </w:p>
        </w:tc>
        <w:tc>
          <w:tcPr>
            <w:tcW w:w="1480" w:type="dxa"/>
            <w:vAlign w:val="bottom"/>
            <w:vMerge w:val="restart"/>
          </w:tcPr>
          <w:p>
            <w:pPr>
              <w:jc w:val="right"/>
              <w:ind w:right="510"/>
              <w:spacing w:after="0"/>
              <w:rPr>
                <w:sz w:val="20"/>
                <w:szCs w:val="20"/>
                <w:color w:val="auto"/>
              </w:rPr>
            </w:pPr>
            <w:r>
              <w:rPr>
                <w:rFonts w:ascii="Arial" w:cs="Arial" w:eastAsia="Arial" w:hAnsi="Arial"/>
                <w:sz w:val="18"/>
                <w:szCs w:val="18"/>
                <w:color w:val="auto"/>
              </w:rPr>
              <w:t>234</w:t>
            </w:r>
          </w:p>
        </w:tc>
        <w:tc>
          <w:tcPr>
            <w:tcW w:w="1480" w:type="dxa"/>
            <w:vAlign w:val="bottom"/>
            <w:vMerge w:val="restart"/>
          </w:tcPr>
          <w:p>
            <w:pPr>
              <w:jc w:val="right"/>
              <w:ind w:right="510"/>
              <w:spacing w:after="0"/>
              <w:rPr>
                <w:sz w:val="20"/>
                <w:szCs w:val="20"/>
                <w:color w:val="auto"/>
              </w:rPr>
            </w:pPr>
            <w:r>
              <w:rPr>
                <w:rFonts w:ascii="Arial" w:cs="Arial" w:eastAsia="Arial" w:hAnsi="Arial"/>
                <w:sz w:val="18"/>
                <w:szCs w:val="18"/>
                <w:color w:val="auto"/>
              </w:rPr>
              <w:t>379</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calculation of diluted net income per share</w:t>
            </w:r>
          </w:p>
        </w:tc>
        <w:tc>
          <w:tcPr>
            <w:tcW w:w="166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8890</wp:posOffset>
            </wp:positionV>
            <wp:extent cx="367919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791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520" w:top="517" w:right="3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balance sheet classification of the Company's lease assets and liabilities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540" w:type="dxa"/>
            <w:vAlign w:val="bottom"/>
            <w:gridSpan w:val="2"/>
          </w:tcPr>
          <w:p>
            <w:pPr>
              <w:ind w:left="860"/>
              <w:spacing w:after="0"/>
              <w:rPr>
                <w:sz w:val="20"/>
                <w:szCs w:val="20"/>
                <w:color w:val="auto"/>
              </w:rPr>
            </w:pPr>
            <w:r>
              <w:rPr>
                <w:rFonts w:ascii="Arial" w:cs="Arial" w:eastAsia="Arial" w:hAnsi="Arial"/>
                <w:sz w:val="14"/>
                <w:szCs w:val="14"/>
                <w:b w:val="1"/>
                <w:bCs w:val="1"/>
                <w:color w:val="auto"/>
              </w:rPr>
              <w:t>Balance Sheet Classification</w:t>
            </w:r>
          </w:p>
        </w:tc>
        <w:tc>
          <w:tcPr>
            <w:tcW w:w="420" w:type="dxa"/>
            <w:vAlign w:val="bottom"/>
          </w:tcPr>
          <w:p>
            <w:pPr>
              <w:spacing w:after="0"/>
              <w:rPr>
                <w:sz w:val="16"/>
                <w:szCs w:val="16"/>
                <w:color w:val="auto"/>
              </w:rPr>
            </w:pPr>
          </w:p>
        </w:tc>
        <w:tc>
          <w:tcPr>
            <w:tcW w:w="2200" w:type="dxa"/>
            <w:vAlign w:val="bottom"/>
          </w:tcPr>
          <w:p>
            <w:pPr>
              <w:jc w:val="right"/>
              <w:ind w:right="613"/>
              <w:spacing w:after="0"/>
              <w:rPr>
                <w:sz w:val="20"/>
                <w:szCs w:val="20"/>
                <w:color w:val="auto"/>
              </w:rPr>
            </w:pPr>
            <w:r>
              <w:rPr>
                <w:rFonts w:ascii="Arial" w:cs="Arial" w:eastAsia="Arial" w:hAnsi="Arial"/>
                <w:sz w:val="14"/>
                <w:szCs w:val="14"/>
                <w:b w:val="1"/>
                <w:bCs w:val="1"/>
                <w:color w:val="auto"/>
              </w:rPr>
              <w:t>September 30, 2019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444,157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26,411</w:t>
            </w: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162</w:t>
            </w: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149,970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ind w:right="13"/>
              <w:spacing w:after="0"/>
              <w:rPr>
                <w:sz w:val="20"/>
                <w:szCs w:val="20"/>
                <w:color w:val="auto"/>
              </w:rPr>
            </w:pPr>
            <w:r>
              <w:rPr>
                <w:rFonts w:ascii="Arial" w:cs="Arial" w:eastAsia="Arial" w:hAnsi="Arial"/>
                <w:sz w:val="18"/>
                <w:szCs w:val="18"/>
                <w:color w:val="auto"/>
              </w:rPr>
              <w:t>17,789</w:t>
            </w: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disclose the components of the Company's lease cost, supplemental cash flow disclosures, and other information regarding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Company's lease arrangements (dollars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6"/>
                <w:szCs w:val="16"/>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September 30, 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Lease cost:</w:t>
            </w:r>
          </w:p>
        </w:tc>
        <w:tc>
          <w:tcPr>
            <w:tcW w:w="2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24,691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6,836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17,576</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leasehold interests in land</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9,956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1,209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3,685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interest cost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785</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lease cost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20,101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56,693</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640"/>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September 30, 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disclosures: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arising from obtaining operating lease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29,261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Finance lease liabilities arising from obtaining finance lease assets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1,413</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Cash used in operating activities - Operating leases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23,073</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used in financing activities -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r>
      <w:tr>
        <w:trPr>
          <w:trHeight w:val="534"/>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30, 2019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37.8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95"/>
              <w:spacing w:after="0"/>
              <w:rPr>
                <w:sz w:val="20"/>
                <w:szCs w:val="20"/>
                <w:color w:val="auto"/>
              </w:rPr>
            </w:pPr>
            <w:r>
              <w:rPr>
                <w:rFonts w:ascii="Arial" w:cs="Arial" w:eastAsia="Arial" w:hAnsi="Arial"/>
                <w:sz w:val="18"/>
                <w:szCs w:val="18"/>
                <w:color w:val="auto"/>
              </w:rPr>
              <w:t>42.9 years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7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an analysis of lease liability maturities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Pr>
          <w:p>
            <w:pPr>
              <w:spacing w:after="0"/>
              <w:rPr>
                <w:sz w:val="16"/>
                <w:szCs w:val="16"/>
                <w:color w:val="auto"/>
              </w:rPr>
            </w:pPr>
          </w:p>
        </w:tc>
        <w:tc>
          <w:tcPr>
            <w:tcW w:w="1540" w:type="dxa"/>
            <w:vAlign w:val="bottom"/>
          </w:tcPr>
          <w:p>
            <w:pPr>
              <w:jc w:val="right"/>
              <w:ind w:right="351"/>
              <w:spacing w:after="0"/>
              <w:rPr>
                <w:sz w:val="20"/>
                <w:szCs w:val="20"/>
                <w:color w:val="auto"/>
              </w:rPr>
            </w:pPr>
            <w:r>
              <w:rPr>
                <w:rFonts w:ascii="Arial" w:cs="Arial" w:eastAsia="Arial" w:hAnsi="Arial"/>
                <w:sz w:val="14"/>
                <w:szCs w:val="14"/>
                <w:b w:val="1"/>
                <w:bCs w:val="1"/>
                <w:color w:val="auto"/>
              </w:rPr>
              <w:t>Finance Leases</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nine months ended September 30, 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26,424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1,203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18,106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1,203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481,084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67,490</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undiscounted cash flows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572,623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72,602</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lease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Long-term lease liabilities</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149,970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17,789</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165,772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17,951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Interest on lease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406,851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54,651</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Undeveloped Land - Las Vegas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leases approximately 16 acres of undeveloped land on Las Vegas Boulevard directly across from Wynn Las Vegas in Las Vegas, Nevada, which expires in 2097. The ground lease payments, which increase at a fixed rate over the term of the lease, are $3.8 million per year until 2023 and total payments of $367.8 million thereafter. As of September 30, 2019, the liability associated with this lease was $62.5 million.</w:t>
      </w:r>
    </w:p>
    <w:p>
      <w:pPr>
        <w:spacing w:after="0" w:line="16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At September 30, 2019, operating lease assets included approximately $87.2 million related to an amount allocated to the leasehold interest in land upon the acquisition of a group of assets in 2018. The Company expects that the amortization of this amount will be $1.1 million each year from 2020 through 2096 and $0.7 million in 2097.</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Land Concessions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$1.6 million per year through 2023 and total payments of $17.0 million thereafter through 2037. At September 30, 2019, the total liability associated with these leases was $15.7 million.</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30, 2019, operating lease assets included $194.2 million of leasehold interests in land related to the Wynn Palace and Wynn Macau land concessions. The Company expects that the amortization associated with these leasehold interests will be approximately $12.5 million per year from 2020 through 2028 and approximately $9.1 million per year thereafter through 2037.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60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92,204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Contingent rental income</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13,589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11,177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40,505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39,795</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rental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47,232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41,078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140,527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131,999</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future minimum rentals to be received under operating leases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nine months ended September 30,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34,889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144,887</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87,673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69,826</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53,091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162,779</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future minimum rentals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553,145</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Massachusetts Gaming License Related Actions</w:t>
      </w:r>
    </w:p>
    <w:p>
      <w:pPr>
        <w:spacing w:after="0" w:line="225"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LLC ("Wynn MA") the award winner of the Greater Boston (Region A) gaming license (the "Boston area license"). On November 7, 2014, the gaming license became effective.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Massachusetts Gaming Commission Investigation and Adjudicatory Hearing</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On January 31, 2018, the Investigations &amp; Enforcement Bureau ("IEB") of the MGC announced it had commenced an investigation into the Company's ongoing suitability as a gaming licensee in that jurisdiction related to the alleged inappropriate workplace conduct by the Company’s former CEO Stephen A. Wynn. The Company fully cooperated with the IEB's investigation. After a three-day adjudicatory hearing before the MGC, the MGC concluded that the Company and Wynn MA are suitable to maintain a Massachusetts gaming license, subject to a fine of $35.0 million, which the Company paid during the three months ended June 30, 2019, and the Company's fulfillment of other conditions set forth in the MGC decision.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Revere Action</w:t>
      </w:r>
    </w:p>
    <w:p>
      <w:pPr>
        <w:spacing w:after="0" w:line="22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On October 16, 2014, the City of Revere, the host community to the unsuccessful bidder for the Boston area license, the International Brotherhood of Electrical Workers, Local 103 ("IBEW"),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 (2) Mohegan's claim for procedural error. On July 12, 2019, the Suffolk Superior Court granted the MGC's motion for summary judgment and dismissed the open meeting law claim, leaving only Mohegan's procedural claim.</w:t>
      </w:r>
    </w:p>
    <w:p>
      <w:pPr>
        <w:spacing w:after="0" w:line="179"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On August 2, 2019, Mohegan filed a motion to file a second amended complaint, to add new claims related to the MGC's allegedly inadequate 2013 investigation, using information, documents and testimony from the Massachusetts Gaming Commission Investigation and Adjudicatory Hearing. On October 15, 2019, the court granted Mohegan's motion to amend and allowed it to file a second amended intervenor's complaint.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Wynn MA was not named in the Revere Action. The MGC retained private legal representation at its own nontaxpayer-funded expense.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Suffolk Action</w:t>
      </w:r>
    </w:p>
    <w:p>
      <w:pPr>
        <w:spacing w:after="0" w:line="225"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On September 17, 2018, Sterling Suffolk Racecourse, LLC, owner of the property proposed for location of a casino by an unsuccessful bidder for the Boston area license filed a complaint in the United States District Court, District of Massachusetts, against the Company, Wynn MA, certain current and former officers of the Company, FBT Everett Realty, LLC, former owner of the land on which Encore Boston Harbor is located ("FBT"), and Paul Lohnes, a member of FBT. The complaint alleges, among other things, the defendants violated the RICO Act, conspired to circumvent the application process for the Boston area license and violated Massachusetts law with respect to unfair methods of competition. The plaintiff seeks $1.0 billion in compensatory damages and treble damages. All defendants filed motions to dismiss the complaint. On May 7, 2019, the court held a hearing on the motions to dismiss and stayed all discovery pending a decision on the motions.</w:t>
      </w:r>
    </w:p>
    <w:p>
      <w:pPr>
        <w:spacing w:after="0" w:line="189"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The Company will vigorously defend against the claims asserted. This action is in preliminary stages and management has determined that based on proceedings to date, it is currently unable to determine the probability of the outcome of this action or the range of reasonably possible loss, if any.</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Nevada Gaming Control Board Investigation</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On January 25, 2019, the Nevada Gaming Control Board filed a complaint against the Company and its indirect subsidiary, Wynn Las Vegas, LLC ("NGCB Respondents"), related to the alleged inappropriate personal conduct by Stephen A. Wynn in the workplace. Simultaneously, the NGCB Respondents entered into a Stipulation for Settlement of the complaint, under which, among other things, the NGCB Respondents agreed to pay a fine in an amount to be determined by the Nevada Gaming Commission, and the Nevada Gaming Control Board agreed not to seek to revoke or limit the NGCB Respondents' licenses, findings of suitability or any other gaming approvals. On February 26, 2019, the Nevada Gaming Commission approved the Stipulation for Settlement and fined the Company $20.0 million, which was paid during the three months ended March 31, 2019.</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Derivative Litigation</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 number of stockholder derivative actions have been filed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Stephen A. Wynn in the workplace. On September 19, 2018, the Board established a Special Litigation Committee (the "SLC") to investigate the allegations in the State Derivative Case (as defined below).</w:t>
      </w:r>
    </w:p>
    <w:p>
      <w:pPr>
        <w:spacing w:after="0" w:line="18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The actions filed in the Eighth Judicial District Court of Clark County, Nevada have been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 On October 26, 2018, the SLC filed a motion to intervene and stay the State Derivative Case pending completion of its investigation, which the court granted (the "SLC Stay"). A status hearing considering a number of matters related to the State Derivative Case is scheduled for November 13, 2019.</w:t>
      </w:r>
    </w:p>
    <w:p>
      <w:pPr>
        <w:spacing w:after="0" w:line="187"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("Federal Derivative Case"), which also claim corporate waste and violation of Section 14(a) of the Exchange Act. In June 2018, the Company filed a motion to dismiss and a motion to stay pending resolution of the Securities Action (described below). On March 29, 2019, the Court granted the Company's request for a stay.</w:t>
      </w:r>
    </w:p>
    <w:p>
      <w:pPr>
        <w:spacing w:after="0" w:line="187"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On March 25, 2019, a separate stockholder derivative action was filed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 Company. On June 10, 2019, the Company filed a motion to dismiss, or alternatively to consolidate this action into the Federal Derivative Case, which is stayed. The motion is currently pending before the court.</w:t>
      </w:r>
    </w:p>
    <w:p>
      <w:pPr>
        <w:spacing w:after="0" w:line="171" w:lineRule="exact"/>
        <w:rPr>
          <w:sz w:val="20"/>
          <w:szCs w:val="20"/>
          <w:color w:val="auto"/>
        </w:rPr>
      </w:pPr>
    </w:p>
    <w:p>
      <w:pPr>
        <w:jc w:val="both"/>
        <w:ind w:firstLine="378"/>
        <w:spacing w:after="0" w:line="272" w:lineRule="auto"/>
        <w:rPr>
          <w:sz w:val="20"/>
          <w:szCs w:val="20"/>
          <w:color w:val="auto"/>
        </w:rPr>
      </w:pPr>
      <w:r>
        <w:rPr>
          <w:rFonts w:ascii="Arial" w:cs="Arial" w:eastAsia="Arial" w:hAnsi="Arial"/>
          <w:sz w:val="17"/>
          <w:szCs w:val="17"/>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On July 26, 2019, the plaintiff voluntarily dismissed Matt Maddox, Stephen A. Wynn, Kimmarie Sinatra, John J. Hagenbuch, Ray R. Irani, Jay L. Johnson, Robert J. Miller, Patricia Mulroy, Clark T. Randt, Jr., Alvin V. Shoemaker, J. Edward Virtue, D. Boone Wayson, and one of the Company's law firms from the action. On September 19, 2019, the court entered an order consolidating this action into the State Derivative Case, the effect of which the Company is seeking clarification.</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Individual Stockholder Actions</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A number of stockholders have filed individual actions in the Eighth Judicial District Court of Clark County, Nevada against certain current and former members of the Company's Board of Directors and certain of the Company's current and former officers ("Individual Stockholder Actions"). Each of the complaints alleges that defendants, among other things, breached their fiduciary duties in failing to detect, prevent and remedy alleged inappropriate personal conduct by Stephen A. Wynn in the workplace causing injury to each of the individual stockholders.</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January 29, 2019, the defendants filed motions to dismiss each of the Individual Stockholder Actions. The court held a hearing on defendants' motions to dismiss on September 18, 2019, and took the matter under advisement.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Securities Action</w:t>
      </w:r>
    </w:p>
    <w:p>
      <w:pPr>
        <w:spacing w:after="0" w:line="225"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The defendants have filed motions to dismiss, which are currently pending before the court.</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Aruze and Affiliates Litigation</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On February 18, 2012, the Board of Directors of Wynn Resorts determined that Universal Entertainment Corp., Aruze (together with Universal Entertainment Corp, the "Universal Parties") and Kazuo Okada, and the related parties (collectively, the "Okada Parties") were "unsuitable persons" under the Company's articles and redeemed and canceled Aruze's 24,549,222 shares of Wynn Resorts' common stock, and, pursuant to its articles of incorporation, Wynn Resorts issued the Redemption Note to Aruze in redemption of the shares. The next day, Wynn Resorts filed an action alleging breaches of fiduciary duty and related claims (the "Redemption Action"). The Okada Parties denied the claims and asserted counterclaims.</w:t>
      </w:r>
    </w:p>
    <w:p>
      <w:pPr>
        <w:spacing w:after="0" w:line="173"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On March 8, 2018, the Company entered into a settlement agreement (the "Settlement Agreement") by and between the Company and its individual directors and officers (the "Wynn Parties"), and the Universal Parties. The Settlement Agreement resolved all legal proceedings pending between the settling parties in the Redemption Action. The Universal Parties further released any claims against the Wynn Parties and their affiliates in any other jurisdiction, including a proceeding pending in Macau against Wynn Resorts (Macau) S.A. ("Wynn Macau SA") and certain related individuals ("Macau Litigation"). Subsequently the Company voluntarily dismissed its claim for breach of fiduciary duty against Kazuo Okada.</w:t>
      </w:r>
    </w:p>
    <w:p>
      <w:pPr>
        <w:spacing w:after="0" w:line="173"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In 2015, the Okada Parties filed a complaint in the Court of First Instance of Macau ("Macau Court") against Wynn Macau SA and certain individuals who are or were directors of Wynn Macau SA or WML (collectively, the "Wynn Macau Parties"). On July 11, 2017, the Macau Court dismissed all of the Okada Parties' claims as unfounded, fined the Okada Parties, and ordered the Okada Parties to pay for court costs and the Wynn Macau Parties' attorney's fees. On or about October 16, 2017, the Okada Parties formally appealed in Macau. On February 21, 2019, the Macau Appellate Panel dismissed the appeal. Mr. Okada, who was at that time the only remaining claimant after the Universal Parties' withdrawal pursuant to the Settlement Agreement, failed to appeal within the prescribed time, resulting in the final resolution of the lawsuit in favor of the Wynn Macau Parties.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Derivative Litigation Related to Redemption Action</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Two state derivative actions were commenced against the Company and all members of its Board of Directors in the Eighth Judicial District Court of Clark County, Nevada by the IBEW Local 98 Pension Fund and Danny Hinson (collectively, the "Derivative Plaintiffs") regarding the Redemption Action. On March 15, 2019, the parties filed a stipulation and order to dismiss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action, with prejudice, which the court entered on March 18, 2019. Neither the Company nor any of the individual defendants made any form of payment in exchange for the dismissal of the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Retail Joint Venture</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2019 and December 31, 2018, the Retail Joint Venture had total assets of $95.3 million and $85.0 million, respectively, and total liabilities of $629.3 million and $619.6 million, respectively. As of September 30, 2019 and December 31, 2018, the Retail Joint Venture's liabilities included long-term debt of $611.6 million and $611.1 million, respectively, net of debt issuance costs, related to the outstanding borrowings under the Retail Term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On June 23, 2019, the Company opened Encore Boston Harbor, an integrated resort in Everett, Massachusetts. Encore Boston Harbor is presented as one reportable segment.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also reviews construction and development activities for each of its projects under development, in addition to its reportable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Macau primarily represents the assets for the Company's Macau holding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497,657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625,586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1,649,377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1,719,072</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125,461</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27,619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87,691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80,519</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85,259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91,952</w:t>
            </w:r>
          </w:p>
        </w:tc>
      </w:tr>
      <w:tr>
        <w:trPr>
          <w:trHeight w:val="237"/>
        </w:trPr>
        <w:tc>
          <w:tcPr>
            <w:tcW w:w="5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598,171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730,572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1,953,709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2,017,004</w:t>
            </w:r>
          </w:p>
        </w:tc>
      </w:tr>
      <w:tr>
        <w:trPr>
          <w:trHeight w:val="27"/>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408,820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503,557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1,340,266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1,515,859</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83,575</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60,688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55,193</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86,518</w:t>
            </w:r>
          </w:p>
        </w:tc>
      </w:tr>
      <w:tr>
        <w:trPr>
          <w:trHeight w:val="237"/>
        </w:trPr>
        <w:tc>
          <w:tcPr>
            <w:tcW w:w="5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474,281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579,620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1,544,646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1,741,145</w:t>
            </w:r>
          </w:p>
        </w:tc>
      </w:tr>
      <w:tr>
        <w:trPr>
          <w:trHeight w:val="27"/>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1,072,452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1,310,192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3,498,355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3,758,149</w:t>
            </w:r>
          </w:p>
        </w:tc>
      </w:tr>
      <w:tr>
        <w:trPr>
          <w:trHeight w:val="318"/>
        </w:trPr>
        <w:tc>
          <w:tcPr>
            <w:tcW w:w="5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87,002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92,886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318,439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329,264</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350,369</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149,708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148,562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438,525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445,251</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147,041</w:t>
            </w:r>
          </w:p>
        </w:tc>
      </w:tr>
      <w:tr>
        <w:trPr>
          <w:trHeight w:val="237"/>
        </w:trPr>
        <w:tc>
          <w:tcPr>
            <w:tcW w:w="5120" w:type="dxa"/>
            <w:vAlign w:val="bottom"/>
          </w:tcPr>
          <w:p>
            <w:pPr>
              <w:ind w:left="620"/>
              <w:spacing w:after="0"/>
              <w:rPr>
                <w:sz w:val="20"/>
                <w:szCs w:val="20"/>
                <w:color w:val="auto"/>
              </w:rPr>
            </w:pPr>
            <w:r>
              <w:rPr>
                <w:rFonts w:ascii="Arial" w:cs="Arial" w:eastAsia="Arial" w:hAnsi="Arial"/>
                <w:sz w:val="18"/>
                <w:szCs w:val="18"/>
                <w:b w:val="1"/>
                <w:bCs w:val="1"/>
                <w:color w:val="auto"/>
              </w:rPr>
              <w:t>Total Las Vegas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399,506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398,880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1,264,681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1,271,925</w:t>
            </w:r>
          </w:p>
        </w:tc>
      </w:tr>
      <w:tr>
        <w:trPr>
          <w:trHeight w:val="27"/>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5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14,088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175,804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194,604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r>
      <w:tr>
        <w:trPr>
          <w:trHeight w:val="318"/>
        </w:trPr>
        <w:tc>
          <w:tcPr>
            <w:tcW w:w="5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1,647,762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1,709,072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4,957,640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5,030,074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617,317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138,989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478,751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565,677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301,156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409,069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1,030,669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1,182,994</w:t>
            </w:r>
          </w:p>
        </w:tc>
      </w:tr>
      <w:tr>
        <w:trPr>
          <w:trHeight w:val="243"/>
        </w:trPr>
        <w:tc>
          <w:tcPr>
            <w:tcW w:w="516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88,046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95,298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333,747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362,051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Encore Boston Harbor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396,946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504,367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1,372,306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1,545,045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463,557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35,255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172,998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137,458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449,824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411,685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26,005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123,849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86,350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28,265</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219,111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213,384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720,579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1,055,784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177,835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290,983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651,727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489,261</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(114,652)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(281,132)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(69,331)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gain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(131,225)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(303,458)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(326,318)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46,610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215,888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348,269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162,943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124,631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26,883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219,772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328,848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287,574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(180,010)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(3,496)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156,115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195,927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107,564</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13, "Leases".</w:t>
      </w:r>
    </w:p>
    <w:p>
      <w:pPr>
        <w:spacing w:after="0" w:line="13" w:lineRule="exact"/>
        <w:rPr>
          <w:rFonts w:ascii="Arial" w:cs="Arial" w:eastAsia="Arial" w:hAnsi="Arial"/>
          <w:sz w:val="14"/>
          <w:szCs w:val="14"/>
          <w:color w:val="auto"/>
        </w:rPr>
      </w:pPr>
    </w:p>
    <w:p>
      <w:pPr>
        <w:jc w:val="both"/>
        <w:ind w:left="260" w:hanging="252"/>
        <w:spacing w:after="0" w:line="260" w:lineRule="auto"/>
        <w:tabs>
          <w:tab w:leader="none" w:pos="22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Property EBITDA is net income (loss) before interest, income taxes, depreciation and amortization, litigation settlement expense, pre-opening expenses, property charges and other, management and license fees, corporate expenses and other, stock-based compensation, (loss)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1" w:lineRule="exact"/>
        <w:rPr>
          <w:rFonts w:ascii="Arial" w:cs="Arial" w:eastAsia="Arial" w:hAnsi="Arial"/>
          <w:sz w:val="13"/>
          <w:szCs w:val="13"/>
          <w:color w:val="auto"/>
        </w:rPr>
      </w:pPr>
    </w:p>
    <w:p>
      <w:pPr>
        <w:ind w:left="260" w:right="260" w:hanging="252"/>
        <w:spacing w:after="0" w:line="255"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$0.7 million included in pre-opening expenses for the nine months ended September 30, 2019, and $0.2 million and $0.5 million for the three and nine months ended September 30, 2018, respectively.</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3,730,804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3,858,904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1,680,088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1,903,921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68,487</w:t>
            </w:r>
          </w:p>
        </w:tc>
      </w:tr>
      <w:tr>
        <w:trPr>
          <w:trHeight w:val="237"/>
        </w:trPr>
        <w:tc>
          <w:tcPr>
            <w:tcW w:w="834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5,482,377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5,831,312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2,835,398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2,792,508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Encore Boston Harbor</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2,481,267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1,865,286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2,478,016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2,727,163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13,277,058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13,216,269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2018.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a designer, developer, owner and operator of destination casino resorts. In the Macau Special Administrative Region of the People's Republic of China ("Macau"), we own approximately 72% of Wynn Macau, Limited ("WML"), which includes the operations of the Wynn Palace and Wynn Macau resorts, which we refer to as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and the Retail Joint Venture as our Las Vegas Operations. On June 23, 2019, we opened Encore Boston Harbor, an integrated resort in Everett, Massachusetts.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51 acres of land in the Cotai area of Macau where Wynn Palace is located and 16 acres of land in downtown Macau's inner harbor where Wynn Macau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September 30, 2019:</w:t>
      </w:r>
    </w:p>
    <w:p>
      <w:pPr>
        <w:spacing w:after="0" w:line="131" w:lineRule="exact"/>
        <w:rPr>
          <w:sz w:val="20"/>
          <w:szCs w:val="20"/>
          <w:color w:val="auto"/>
        </w:rPr>
      </w:pPr>
    </w:p>
    <w:p>
      <w:pPr>
        <w:ind w:left="1300" w:right="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424,000 square feet of casino space, offering 24-hour gaming and a full range of games with 381 table games and 1,137 slot machines, private gaming salons and sky casinos;</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 food and beverage outlets;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September 30, 2019:</w:t>
      </w:r>
    </w:p>
    <w:p>
      <w:pPr>
        <w:spacing w:after="0" w:line="131" w:lineRule="exact"/>
        <w:rPr>
          <w:sz w:val="20"/>
          <w:szCs w:val="20"/>
          <w:color w:val="auto"/>
        </w:rPr>
      </w:pPr>
    </w:p>
    <w:p>
      <w:pPr>
        <w:ind w:left="1300" w:right="1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272,000 square feet of casino space, offering 24-hour gaming and a full range of games with 329 table games and 706 slot machines, private gaming salons, sky casinos and a poker pit;</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luxury hotel towers with a total of 1,010 guest rooms and suites;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food and beverage outlets;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rotunda show featuring a Chinese zodiac-inspired ceiling along with gold "prosperity tree" and "dragon of fortune" attractions.</w:t>
      </w:r>
    </w:p>
    <w:p>
      <w:pPr>
        <w:spacing w:after="0" w:line="27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September 30, 2019:</w:t>
      </w:r>
    </w:p>
    <w:p>
      <w:pPr>
        <w:spacing w:after="0" w:line="225" w:lineRule="exact"/>
        <w:rPr>
          <w:sz w:val="20"/>
          <w:szCs w:val="20"/>
          <w:color w:val="auto"/>
        </w:rPr>
      </w:pPr>
    </w:p>
    <w:p>
      <w:pPr>
        <w:ind w:left="1300" w:right="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194,000 square feet of casino space, offering 24-hour gaming and a full range of games with 236 table games and 1,789 slot machines, private gaming salons, a sky casino, a poker room, and a race and sports book;</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63"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160,000 square feet of high-end, brand-name retail space (the majority of which is owned and operated by the Retail Joint Venture);</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nightclubs and a beach club;</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86"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On June 23, 2019, the Company opened Encore Boston Harbor, an integrated resort in Everett, Massachusetts, adjacent to Boston along the Mystic River, which occupies approximately 33 acres of land.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Encore Boston Harbor features the following as of September 30, 2019:</w:t>
      </w:r>
    </w:p>
    <w:p>
      <w:pPr>
        <w:spacing w:after="0" w:line="225" w:lineRule="exact"/>
        <w:rPr>
          <w:sz w:val="20"/>
          <w:szCs w:val="20"/>
          <w:color w:val="auto"/>
        </w:rPr>
      </w:pPr>
    </w:p>
    <w:p>
      <w:pPr>
        <w:ind w:left="1300" w:right="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210,000 square feet of casino space, offering 24-hour gaming and a full range of games with 145 table games and 3,101 slot machines, private and high-limit gaming areas, and a poker room;</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luxury hotel tower with a total of 671 guest rooms and suites;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nightclub;</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8,000 square feet of retail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71,000 square feet of meeting and convention space;</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Recreation and leisure facilities, including a spa and salon; and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attractions including a waterfront park, floral displays, and water shuttle service to downtown Boston.</w:t>
      </w:r>
    </w:p>
    <w:p>
      <w:pPr>
        <w:spacing w:after="0" w:line="27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 response to our evaluation of Encore Boston Harbor and our commitment to creating a unique customer experience, we have made and expect to continue to make enhancements and refinements to this resort.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recently completed our reconfiguration of the Wynn Las Vegas golf course and opened the golf course on October 11, 2019. We are constructing an approximately 430,000 square foot meeting and convention facility at Wynn Las Vegas. The facility will feature approximately 217,000 square feet of state-of-the-art meeting and convention space available for group reservations. Based on current designs, we estimate the total project budget to be approximately $425.0 million. As of September 30, 2019, we have incurred $302.7 million in total project costs. We expect to open the additional meeting and convention space in the first quarter of 2020.</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currently reconfiguring the West Casino at Wynn Macau. When completed, the enhanced space will consist of approximately 44 mass market table games, a refurbished high-limit slot area, two new restaurants and approximately 7,000 square feet of retail space, and will provide for improved pedestrian access from the boardwalk. We estimate the total project budget to be approximately $70.0 million. We expect to complete the gaming enhancements and open the new restaurants in the fourth quarter of 2019, and we expect to open the new retail space at varying times in the fourth quarter of 2019 and first quarter of 2020.</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are in the preliminary planning and design stages of developing the Crystal Pavilion at Wynn Palace. We expect the Crystal Pavilion will become a unique world-class cultural destination, incorporating an art museum, an immersive theater and interactive installations, an expansive food hall, additional hotel rooms, and several signature entertainment features. We estimate construction of the initial phase of the Crystal Pavilion will begin in late 2021.</w:t>
      </w:r>
    </w:p>
    <w:p>
      <w:pPr>
        <w:spacing w:after="0" w:line="14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exploring various development opportunities with respect to the approximately 38 acres of land located on the Las Vegas Strip directly across from Wynn Las Vegas.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defined below:</w:t>
      </w:r>
    </w:p>
    <w:p>
      <w:pPr>
        <w:spacing w:after="0" w:line="170" w:lineRule="exact"/>
        <w:rPr>
          <w:sz w:val="20"/>
          <w:szCs w:val="20"/>
          <w:color w:val="auto"/>
        </w:rPr>
      </w:pPr>
    </w:p>
    <w:p>
      <w:pPr>
        <w:ind w:left="1300" w:hanging="644"/>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Table drop for Encore Boston Harbor is the amount of cash and gross markers issued that are deposited in a gaming table's drop box.</w:t>
      </w:r>
    </w:p>
    <w:p>
      <w:pPr>
        <w:spacing w:after="0" w:line="20" w:lineRule="exact"/>
        <w:rPr>
          <w:rFonts w:ascii="Arial" w:cs="Arial" w:eastAsia="Arial" w:hAnsi="Arial"/>
          <w:sz w:val="17"/>
          <w:szCs w:val="17"/>
          <w:color w:val="auto"/>
        </w:rPr>
      </w:pPr>
    </w:p>
    <w:p>
      <w:pPr>
        <w:ind w:left="13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ind w:left="130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right="20" w:hanging="644"/>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18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16% to 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third quarter 2019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1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Increase/</w:t>
            </w:r>
          </w:p>
        </w:tc>
        <w:tc>
          <w:tcPr>
            <w:tcW w:w="8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Percent</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Increase/</w:t>
            </w:r>
          </w:p>
        </w:tc>
        <w:tc>
          <w:tcPr>
            <w:tcW w:w="780" w:type="dxa"/>
            <w:vAlign w:val="bottom"/>
          </w:tcPr>
          <w:p>
            <w:pPr>
              <w:jc w:val="right"/>
              <w:ind w:right="7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1,647,762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1,709,072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(61,310)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4,957,640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5,030,074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attributable to Wynn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Resorts, Limited</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156,115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(159,611)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195,927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107,564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88,363</w:t>
            </w:r>
          </w:p>
        </w:tc>
        <w:tc>
          <w:tcPr>
            <w:tcW w:w="120" w:type="dxa"/>
            <w:vAlign w:val="bottom"/>
          </w:tcPr>
          <w:p>
            <w:pPr>
              <w:spacing w:after="0"/>
              <w:rPr>
                <w:sz w:val="20"/>
                <w:szCs w:val="20"/>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Adjusted Property</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4"/>
                <w:szCs w:val="14"/>
                <w:color w:val="auto"/>
              </w:rPr>
              <w:t>(1)</w:t>
            </w:r>
          </w:p>
        </w:tc>
        <w:tc>
          <w:tcPr>
            <w:tcW w:w="180" w:type="dxa"/>
            <w:vAlign w:val="bottom"/>
          </w:tcPr>
          <w:p>
            <w:pPr>
              <w:spacing w:after="0"/>
              <w:rPr>
                <w:sz w:val="20"/>
                <w:szCs w:val="20"/>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396,946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504,367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(107,421)</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1,372,306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1,545,045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(172,739)</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16, "Segment Information," for a reconciliation of Adjusted Property EBITDA to net income (loss) attributable to Wynn Resorts, Limited.</w:t>
      </w:r>
    </w:p>
    <w:p>
      <w:pPr>
        <w:spacing w:after="0" w:line="22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operating revenues for the three months ended September 30, 2019 was primarily driven by decreases of $132.4 million and $105.3 million from Wynn Palace and Wynn Macau, respectively. Operating revenues from Encore Boston Harbor were $175.8 million.</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decrease in net income (loss) attributable to Wynn Resorts, Limited for the three months ended September 30, 2019 was primarily driven by a decrease in VIP turnover and VIP table games win at our Macau Operations and increased depreciation expense from Encore Boston Harbor.</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decrease in Adjusted Property EBITDA for the three months ended September 30, 2019 was driven by decreases of $64.0 million, $43.9 million, and $7.3 million from Wynn Palace, Wynn Macau and our Las Vegas Operations, respectively. Adjusted Property EBITDA from Encore Boston Harbor was $7.7 million.</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2019 compared to the three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598,171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730,572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474,281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579,620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1,072,452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1,310,192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(237,740)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399,506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398,880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626</w:t>
            </w:r>
          </w:p>
        </w:tc>
        <w:tc>
          <w:tcPr>
            <w:tcW w:w="1360" w:type="dxa"/>
            <w:vAlign w:val="bottom"/>
            <w:gridSpan w:val="2"/>
          </w:tcPr>
          <w:p>
            <w:pPr>
              <w:jc w:val="right"/>
              <w:ind w:right="2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175,804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175,804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1,647,762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1,709,072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(1) Encore Boston Harbor opened on June 23, 2019.</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Casino revenues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1,108,364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1,222,029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(113,665)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205,876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183,044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22,832</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228,508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34,634</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105,014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Total non-casino revenues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539,398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487,043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52,355</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1,647,762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1,709,072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(61,310)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Casino revenues for the three months ended September 30, 2019 were 67.3% of operating revenues, compared to 71.5% for the same period of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three months ended September 30, 2019 were 32.7% of operating revenues, compared to 28.5% for the same period of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Casino revenues decreased primarily due to decreased VIP turnover and VIP table games win at our Macau Operations, partially offset by increased mass market table drop and slot machine handle at our Macau Operations and casino revenues from Encore Boston Harbor totaling $114.9 million. The table below sets forth our casino revenues and associated key operating measures (dollars in thousands, except for win per unit per day):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497,657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625,586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10,517,685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15,525,637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(5,007,952)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335,277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528,219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1,298,827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1,189,895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108,932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324,177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308,149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973,676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922,514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47,289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46,044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408,820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503,557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8,024,990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13,966,931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(5,941,941)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221,097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420,864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(199,767)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1,319,405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1,183,667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135,738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272,511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999,985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895,249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46,981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34,769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12,212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621"/>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2"/>
              </w:rPr>
              <w:t>Increase/</w:t>
            </w:r>
          </w:p>
        </w:tc>
        <w:tc>
          <w:tcPr>
            <w:tcW w:w="1480" w:type="dxa"/>
            <w:vAlign w:val="bottom"/>
          </w:tcPr>
          <w:p>
            <w:pPr>
              <w:jc w:val="right"/>
              <w:ind w:right="41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(Decrease)</w:t>
            </w:r>
          </w:p>
        </w:tc>
        <w:tc>
          <w:tcPr>
            <w:tcW w:w="148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87,002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92,886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430,837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404,033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26,804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85,738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883,931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810,120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73,811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58,176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55,937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114,885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379,626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379,626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74,882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74,882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892,706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892,706</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62,381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5060" w:type="dxa"/>
            <w:vAlign w:val="bottom"/>
            <w:gridSpan w:val="2"/>
          </w:tcPr>
          <w:p>
            <w:pPr>
              <w:spacing w:after="0"/>
              <w:rPr>
                <w:sz w:val="20"/>
                <w:szCs w:val="20"/>
                <w:color w:val="auto"/>
              </w:rPr>
            </w:pPr>
            <w:r>
              <w:rPr>
                <w:rFonts w:ascii="Arial" w:cs="Arial" w:eastAsia="Arial" w:hAnsi="Arial"/>
                <w:sz w:val="14"/>
                <w:szCs w:val="14"/>
                <w:color w:val="auto"/>
              </w:rPr>
              <w:t>(1) Encore Boston Harbor opened on June 23, 2019.</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30" w:lineRule="exact"/>
        <w:rPr>
          <w:sz w:val="20"/>
          <w:szCs w:val="20"/>
          <w:color w:val="auto"/>
        </w:rPr>
      </w:pPr>
    </w:p>
    <w:tbl>
      <w:tblPr>
        <w:tblLayout w:type="fixed"/>
        <w:tblInd w:w="5060" w:type="dxa"/>
        <w:tblCellMar>
          <w:top w:w="0" w:type="dxa"/>
          <w:left w:w="0" w:type="dxa"/>
          <w:bottom w:w="0" w:type="dxa"/>
          <w:right w:w="0" w:type="dxa"/>
        </w:tblCellMar>
      </w:tblPr>
      <w:tr>
        <w:trPr>
          <w:trHeight w:val="192"/>
        </w:trPr>
        <w:tc>
          <w:tcPr>
            <w:tcW w:w="320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Three Months Ended September 30,</w:t>
            </w: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0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16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56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w w:val="92"/>
              </w:rPr>
              <w:t>Increase/</w:t>
            </w:r>
          </w:p>
        </w:tc>
        <w:tc>
          <w:tcPr>
            <w:tcW w:w="136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0"/>
              </w:rPr>
              <w:t>Percent Change</w:t>
            </w:r>
          </w:p>
        </w:tc>
        <w:tc>
          <w:tcPr>
            <w:tcW w:w="0" w:type="dxa"/>
            <w:vAlign w:val="bottom"/>
          </w:tcPr>
          <w:p>
            <w:pPr>
              <w:spacing w:after="0"/>
              <w:rPr>
                <w:sz w:val="1"/>
                <w:szCs w:val="1"/>
                <w:color w:val="auto"/>
              </w:rPr>
            </w:pPr>
          </w:p>
        </w:tc>
      </w:tr>
      <w:tr>
        <w:trPr>
          <w:trHeight w:val="186"/>
        </w:trPr>
        <w:tc>
          <w:tcPr>
            <w:tcW w:w="160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56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Macau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1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44,884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44,296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588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w:t>
            </w:r>
          </w:p>
        </w:tc>
        <w:tc>
          <w:tcPr>
            <w:tcW w:w="560" w:type="dxa"/>
            <w:vAlign w:val="bottom"/>
          </w:tcPr>
          <w:p>
            <w:pPr>
              <w:spacing w:after="0"/>
              <w:rPr>
                <w:sz w:val="21"/>
                <w:szCs w:val="21"/>
                <w:color w:val="auto"/>
              </w:rPr>
            </w:pP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273</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REVPAR</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265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264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Wynn Macau:</w:t>
            </w:r>
          </w:p>
        </w:tc>
        <w:tc>
          <w:tcPr>
            <w:tcW w:w="1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26,740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28,091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(1,351)</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1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0.4</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ADR</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283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276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281</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273</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116,072</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110,657</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5,415</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89.6%</w:t>
            </w:r>
          </w:p>
        </w:tc>
        <w:tc>
          <w:tcPr>
            <w:tcW w:w="560" w:type="dxa"/>
            <w:vAlign w:val="bottom"/>
          </w:tcPr>
          <w:p>
            <w:pPr>
              <w:spacing w:after="0"/>
              <w:rPr>
                <w:sz w:val="21"/>
                <w:szCs w:val="21"/>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color w:val="auto"/>
              </w:rPr>
              <w:t>(1.7)</w:t>
            </w: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306</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REVPAR</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269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259</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18,180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18,180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1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69.6</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60" w:type="dxa"/>
            <w:vAlign w:val="bottom"/>
          </w:tcPr>
          <w:p>
            <w:pPr>
              <w:ind w:left="360"/>
              <w:spacing w:after="0"/>
              <w:rPr>
                <w:sz w:val="20"/>
                <w:szCs w:val="20"/>
                <w:color w:val="auto"/>
              </w:rPr>
            </w:pPr>
            <w:r>
              <w:rPr>
                <w:rFonts w:ascii="Arial" w:cs="Arial" w:eastAsia="Arial" w:hAnsi="Arial"/>
                <w:sz w:val="18"/>
                <w:szCs w:val="18"/>
                <w:color w:val="auto"/>
              </w:rPr>
              <w:t>ADR</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465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70"/>
              <w:spacing w:after="0"/>
              <w:rPr>
                <w:sz w:val="20"/>
                <w:szCs w:val="20"/>
                <w:color w:val="auto"/>
              </w:rPr>
            </w:pPr>
            <w:r>
              <w:rPr>
                <w:rFonts w:ascii="Arial" w:cs="Arial" w:eastAsia="Arial" w:hAnsi="Arial"/>
                <w:sz w:val="18"/>
                <w:szCs w:val="18"/>
                <w:color w:val="auto"/>
              </w:rPr>
              <w:t>465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324</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82"/>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4"/>
                <w:szCs w:val="14"/>
                <w:color w:val="auto"/>
              </w:rPr>
              <w:t>(1) Encore Boston Harbor opened on June 23, 2019.</w:t>
            </w:r>
          </w:p>
        </w:tc>
        <w:tc>
          <w:tcPr>
            <w:tcW w:w="1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2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Room revenues increased $22.8 million, primarily due to $18.2 million from Encore Boston Harbor and higher ADR at our Las Vegas Operations, partially offset by rooms out of service for renovations at Wynn Macau.</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Food and beverage revenues increased $34.6 million, primarily due to $29.0 million from Encore Boston Harbor and increased covers at our high-volume restaurants at our Macau Operations.</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Entertainment, retail and other revenues decreased $5.1 million, primarily due to the closure of certain owned retail outlets at Wynn Macau and their conversion to leased outlets beginning in the first quarter of 2019, the effect of which was partially offset by Entertainment, retail and other revenues of $13.8 million from Encore Boston Harbor. During the third quarter of 2018, Wynn Palace and Wynn Macau recorded business interruption insurance proceeds of $5.4 million and $5.3 million, respectively, related to the full settlement of claims from Typhoon Hato in 2017.</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3"/>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722,692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783,171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(60,479)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75,188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12,223</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196,661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162,311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34,350</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42,078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246,442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192,327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54,115</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172,998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35,540</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8,216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1,469,927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1,418,089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51,838</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operating expenses increased $51.8 million compared to the third quarter of 2018, primarily due to operating expenses associated with the opening of Encore Boston Harbor on June 23, 2019, partially offset by decreased casino expenses and pre-opening expenses.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Casino expenses decreased commensurate with the decrease in casino revenues at our Macau Operations and Las Vegas Operations, partially offset by $64.8 million from Encore Boston Harbor.</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Room expenses increased primarily due to $9.5 million from Encore Boston Harbor and an increase of $2.0 million at our Las Vegas Operations. The increase at our Las Vegas Operations was primarily due to increased payroll costs.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Food and beverage expenses increased primarily due to $28.3 million from Encore Boston Harbor and increases of $2.2 million and $2.4 million at Wynn Palace and Wynn Macau, respectively. The increases at Wynn Palace and Wynn Macau were driven by incremental costs associated with opening new food and beverage outlets at Wynn Palace and increased costs of goods sold.</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Entertainment, retail and other expenses decreased $2.0 million, primarily due to the closure of certain owned retail outlets at Wynn Macau and their conversion to leased outlets beginning in the first quarter of 2019.</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expenses increased primarily due to the opening of Encore Boston Harbor, partially offset by a decrease of $8.9 million primarily related to corporate and other general and administrative expenses. The decrease in corporate and other general and administrative expenses was primarily due to a decrease in legal expenses.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the three months ended September 30, 2019, pre-opening expenses totaled $1.6 million, which primarily related to the additional meeting and convention facility at our Las Vegas Operations. For the three months ended September 30, 2018, pre-opening expenses totaled $13.7 million, which primarily related to the development of Encore Boston Harbor.</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increased primarily due to additional depreciation expense of $36.3 million associated with the opening of Encore Boston Harbor.</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7"/>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4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80"/>
              <w:spacing w:after="0"/>
              <w:rPr>
                <w:sz w:val="20"/>
                <w:szCs w:val="20"/>
                <w:color w:val="auto"/>
              </w:rPr>
            </w:pPr>
            <w:r>
              <w:rPr>
                <w:rFonts w:ascii="Arial" w:cs="Arial" w:eastAsia="Arial" w:hAnsi="Arial"/>
                <w:sz w:val="18"/>
                <w:szCs w:val="18"/>
                <w:color w:val="auto"/>
              </w:rPr>
              <w:t>Interest cost, including amortization of debt issuance costs and</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original issue discount and premium</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117,960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109,176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8,784</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(16,169)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12,861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114,652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93,007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21,645</w:t>
            </w:r>
          </w:p>
        </w:tc>
        <w:tc>
          <w:tcPr>
            <w:tcW w:w="134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9,261,889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8,875,084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costs increased due to an increase in the weighted average debt balance and weighted average interest rate. Capitalized interest decreased due to the completion of Encore Boston Harbor construction activities on June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$12.2 million loss on extinguishment of debt for the three months ended September 30, 2019 related to the Refinancing Transactions. For more information on the Refinancing Transactions, see "Liquidity and Capital Resources."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a foreign currency remeasurement loss of $8.7 million and gain of $11.2 million for the three months ended September 30, 2019 and 2018,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recorded an income tax expense of $19.7 million and an income tax benefit of $3.9 million for the three months ended September 30, 2019 and 2018, respectively. The 2019 income tax expense primarily related to the increase in the valuation allowance for U.S foreign tax credits and the 2018 income tax benefit primarily related to an increase in deferred tax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income attributable to noncontrolling interests was $30.4 million for the three months ended September 30, 2019, compared to $63.7 million for the same period of 2018. These amounts are primarily related to the noncontrolling interests' share of net income from WML.</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2019 compared to the nine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1,953,709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2,017,004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1,544,646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1,741,145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(196,499)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3,498,355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3,758,149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(259,794)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1,264,681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1,271,925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194,604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194,604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4,957,640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5,030,074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(1) Encore Boston Harbor opened on June 23, 2019.</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casino and non-casino operating revenues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4"/>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b w:val="1"/>
                <w:bCs w:val="1"/>
                <w:color w:val="auto"/>
              </w:rPr>
              <w:t>Casino revenues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b w:val="1"/>
                <w:bCs w:val="1"/>
                <w:color w:val="auto"/>
              </w:rPr>
              <w:t>3,435,968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3,564,195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(128,227)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595,953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559,405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36,548</w:t>
            </w:r>
          </w:p>
        </w:tc>
        <w:tc>
          <w:tcPr>
            <w:tcW w:w="1360" w:type="dxa"/>
            <w:vAlign w:val="bottom"/>
            <w:gridSpan w:val="2"/>
          </w:tcPr>
          <w:p>
            <w:pPr>
              <w:jc w:val="right"/>
              <w:ind w:right="28"/>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619,749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580,963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38,786</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620" w:type="dxa"/>
            <w:vAlign w:val="bottom"/>
          </w:tcPr>
          <w:p>
            <w:pPr>
              <w:ind w:left="4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305,970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325,511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(19,541)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b w:val="1"/>
                <w:bCs w:val="1"/>
                <w:color w:val="auto"/>
              </w:rPr>
              <w:t>Total non-casino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1,521,672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1,465,879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55,793</w:t>
            </w:r>
          </w:p>
        </w:tc>
        <w:tc>
          <w:tcPr>
            <w:tcW w:w="13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56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4,957,640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5,030,074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nine months ended September 30, 2019 were 69.3% of operating revenues, compared to 70.9% for the same period of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nine months ended September 30, 2019 were 30.7% of operating revenues, compared to 29.1% for the same period of 2018.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Casino revenues decreased primarily due to decreased VIP turnover and VIP table games win at our Macau Operations and decreased table drop at our Las Vegas Operations, partially offset by increased mass market table drop at our Macau Operations and casino revenues from Encore Boston Harbor totaling $127.9 million. The table below sets forth our casino revenues and associated key operating measures (dollars in thousands, except for win per unit per day):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1,649,377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1,719,072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36,533,594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44,940,535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(8,406,941)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1,232,870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1,348,291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40,868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3,869,904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3,625,959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243,945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936,497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898,876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2,886,566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2,921,582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142,257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145,993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1,340,266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1,515,859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27,494,650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44,982,849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(17,488,199)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822,204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1,223,219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(401,015)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40,204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4,018,533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3,799,636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218,897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816,180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758,748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2,720,137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2,861,703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(141,566)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127,690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116,960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10,730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0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318,439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329,264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1,275,676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1,344,344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(68,668)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323,503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342,129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2,484,880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2,332,700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152,180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167,848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154,618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13,230</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127,886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127,886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416,202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416,202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81,482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81,482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990,634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990,634</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70,880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1"/>
        </w:trPr>
        <w:tc>
          <w:tcPr>
            <w:tcW w:w="5060" w:type="dxa"/>
            <w:vAlign w:val="bottom"/>
            <w:gridSpan w:val="2"/>
          </w:tcPr>
          <w:p>
            <w:pPr>
              <w:spacing w:after="0"/>
              <w:rPr>
                <w:sz w:val="20"/>
                <w:szCs w:val="20"/>
                <w:color w:val="auto"/>
              </w:rPr>
            </w:pPr>
            <w:r>
              <w:rPr>
                <w:rFonts w:ascii="Arial" w:cs="Arial" w:eastAsia="Arial" w:hAnsi="Arial"/>
                <w:sz w:val="14"/>
                <w:szCs w:val="14"/>
                <w:color w:val="auto"/>
              </w:rPr>
              <w:t>(1) Encore Boston Harbor opened on June 23, 2019.</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30"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23495</wp:posOffset>
            </wp:positionV>
            <wp:extent cx="2032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Increase/(Decrease)</w:t>
            </w:r>
          </w:p>
        </w:tc>
        <w:tc>
          <w:tcPr>
            <w:tcW w:w="1240" w:type="dxa"/>
            <w:vAlign w:val="bottom"/>
          </w:tcPr>
          <w:p>
            <w:pPr>
              <w:jc w:val="right"/>
              <w:ind w:right="51"/>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Wynn Palace: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131,382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82,071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83,575</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362,715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350,369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19,785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19,785</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50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Encore Boston Harbor opened on June 23, 2019.</w:t>
      </w:r>
    </w:p>
    <w:p>
      <w:pPr>
        <w:spacing w:after="0" w:line="16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Room revenues increased $36.5 million, primarily due to $19.8 million from Encore Boston Harbor and higher ADR at Wynn Palace and our Las Vegas Operations, partially offset by rooms out of service for renovations at Wynn Macau.</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revenues increased $38.8 million, primarily due to $32.8 million from Encore Boston Harbor and increased covers at our high-volume restaurants at our Macau Operations.</w:t>
      </w:r>
    </w:p>
    <w:p>
      <w:pPr>
        <w:spacing w:after="0" w:line="17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Entertainment, retail and other revenues decreased $19.5 million primarily due to the closure of certain owned retail outlets at Wynn Macau and their conversion to leased outlets beginning in the first quarter of 2019, the effect of which was partially offset by Entertainment, retail and other revenues of $14.1 million from Encore Boston Harbor. During the third quarter of 2018, Wynn Palace and Wynn Macau recorded business interruption insurance proceeds of $5.4 million and $5.3 million, respectively, related to the full settlement of claims from Typhoon Hato in 2017.</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3"/>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2,197,750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2,254,766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(57,016)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15,205</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527,502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468,265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59,237</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665,988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545,543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120,445</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(463,557)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10,453</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99,212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63,957</w:t>
            </w:r>
          </w:p>
        </w:tc>
        <w:tc>
          <w:tcPr>
            <w:tcW w:w="1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449,824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411,685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38,139</w:t>
            </w:r>
          </w:p>
        </w:tc>
        <w:tc>
          <w:tcPr>
            <w:tcW w:w="1360" w:type="dxa"/>
            <w:vAlign w:val="bottom"/>
            <w:gridSpan w:val="2"/>
          </w:tcPr>
          <w:p>
            <w:pPr>
              <w:jc w:val="right"/>
              <w:ind w:right="4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4,305,913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4,540,813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(234,900)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Total operating expenses decreased $234.9 million compared to the nine months ended September 30, 2018, primarily due to a prior year litigation settlement expense of $463.6 million. The decrease was partially offset by operating expenses associated with the opening of Encore Boston Harbor on June 23, 2019.</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Casino expenses decreased commensurate with the decrease in casino revenues at our Macau Operations and Las Vegas Operations, partially offset by $73.0 million of casino expenses from Encore Boston Harbor.</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Room expenses increased primarily due to $10.0 million from Encore Boston Harbor and increases of $3.0 million and $1.5 million from our Las Vegas Operations and Wynn Palace, respectively. The increases from Wynn Palace and our Las Vegas Operations were primarily driven by increased payroll costs.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Food and beverage expenses increased primarily due to $31.9 million from Encore Boston Harbor and increases of $11.9 million, $8.7 million and $6.6 million at Wynn Palace, Wynn Macau and our Las Vegas Operations, respectively. The increases at Wynn Palace and Wynn Macau were driven by incremental costs associated with opening new food and beverage outlets at Wynn Palace and increased cost of goods sold. The increase at our Las Vegas Operations was primarily driven by increased payroll costs.</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Entertainment, retail and other expenses decreased $9.0 million, primarily due to the closure of certain owned retail outlets at Wynn Macau and their conversion to leased outlets beginning in the first quarter of 2019.</w:t>
      </w:r>
    </w:p>
    <w:p>
      <w:pPr>
        <w:spacing w:after="0" w:line="1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General and administrative expenses increased primarily due to $67.1 million from Encore Boston Harbor and increases of $4.7 million, $9.2 million, and $4.9 million, at Wynn Palace, Wynn Macau, and our Las Vegas Operations, respectively. These increases were primarily attributable to increased payroll costs and property taxes at our Macau Operations and increased advertising costs at our Las Vegas Operations. Corporate and other general and administrative expenses increased $34.6 million, primarily due to a fine of $35.0 million assessed by the Massachusetts Gaming Commission.</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Litigation settlement expense of $463.6 million was incurred in the first quarter of 2018 in connection with the repayment of the Redemption Note for claims related to the allegedly below-market interest rate of the Redemption Note.</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provision for doubtful accounts increased $8.0 million and $1.3 million at our Las Vegas Operations and Wynn Macau, respectively.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nine months ended September 30, 2019 and 2018, pre-opening expenses totaled $99.2 million and $35.3 million, respectively, which primarily related to the development of Encore Boston Harbor.</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increased primarily due to additional depreciation expense of $41.6 million associated with the opening of Encore Boston Harbor.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ind w:right="257"/>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80"/>
              <w:spacing w:after="0"/>
              <w:rPr>
                <w:sz w:val="20"/>
                <w:szCs w:val="20"/>
                <w:color w:val="auto"/>
              </w:rPr>
            </w:pPr>
            <w:r>
              <w:rPr>
                <w:rFonts w:ascii="Arial" w:cs="Arial" w:eastAsia="Arial" w:hAnsi="Arial"/>
                <w:sz w:val="18"/>
                <w:szCs w:val="18"/>
                <w:color w:val="auto"/>
              </w:rPr>
              <w:t>Interest cost, including amortization of debt issuance costs and</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original issue discount and premium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351,135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318,792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32,343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(50,154)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300,981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281,132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19,849</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9,277,142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9,022,065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costs increased due to an increase in the weighted average debt balance and weighted average interest rate. Capitalized interest increased due to Encore Boston Harbor construction activities. Encore Boston Harbor opened on June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2018, we repaid the $1.94 billion principal amount of the Redemption Note and recorded a loss of $69.3 million from the change in the fair value of the Redemption Note.</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recorded a $12.2 million loss on extinguishment of debt for the nine months ended September 30, 2019 related to the Refinancing Transactions. For more information on the Refinancing Transactions, see "Liquidity and Capital Resources." We recorded a $2.1 million net gain on extinguishment of debt for the nine months ended September 30, 2018, related to the repayment of the Redemption Note, Wynn Resorts' purchase of $40.0 million of Wynn Las Vegas' 5 1/2% Senior Notes due 2025 and 5 1/4% Senior Notes due 2027 and the execution of the supplemental indenture related to Wynn Las Vegas' 4 1/4% Senior Notes due 2023.</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a foreign currency remeasurement loss of $3.3 million and gain of $1.0 million for the nine months ended September 30, 2019 and 2018, respectively. The changes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recorded an income tax expense of $19.4 million and an income tax benefit of $124.6 million for the nine months ended September 30, 2019 and 2018, respectively. The 2019 income tax expense is primarily related to the increase in the valuation allowance for U.S foreign tax credits and 2018 income tax benefit primarily related to the settlement of the Redemption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attributable to noncontrolling interests was $132.9 million for the nine months ended September 30, 2019, compared to $180.0 million for the same period of 2018. These amounts are primarily related to the noncontrolling interests' share of net income from WML.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use Adjusted Property EBITDA to manage the operating results of our segments. Adjusted Property EBITDA is net income (loss) before interest, income taxes, depreciation and amortization, litigation settlement expense, pre-opening expenses, property charges and other, management and license fees, corporate expenses and other, stock-based compensation, (loss) gain on extinguishment of debt, change in derivatives fair value, change in Redemption Note fair value and other non-operating income and expenses. Adjusted Property EBITDA is presented exclusively as a supplemental disclosure because we believe that it is widely</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summarizes Adjusted Property EBITDA (in thousands) for Wynn Palace, Wynn Macau, Las Vegas Operations, and Encore Boston Harbor as reviewed by management and summarized in Item 1—"Notes to Condensed Consolidated Financial Statements," Note 16, "Segment Information." That footnote also presents a reconciliation of Adjusted Property EBITDA to net income (loss) attributable to Wynn Resorts, Limited.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Increase/</w:t>
            </w:r>
          </w:p>
        </w:tc>
        <w:tc>
          <w:tcPr>
            <w:tcW w:w="88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Percent</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Increase/</w:t>
            </w:r>
          </w:p>
        </w:tc>
        <w:tc>
          <w:tcPr>
            <w:tcW w:w="780" w:type="dxa"/>
            <w:vAlign w:val="bottom"/>
          </w:tcPr>
          <w:p>
            <w:pPr>
              <w:jc w:val="right"/>
              <w:ind w:right="7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780" w:type="dxa"/>
            <w:vAlign w:val="bottom"/>
          </w:tcPr>
          <w:p>
            <w:pPr>
              <w:jc w:val="right"/>
              <w:ind w:right="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Palace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226,141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551,918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617,317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Wynn Macau</w:t>
            </w:r>
          </w:p>
        </w:tc>
        <w:tc>
          <w:tcPr>
            <w:tcW w:w="1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138,989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182,928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(43,939)</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478,751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565,677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(86,926)</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88,046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333,747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Encore Boston Harbor</w:t>
            </w:r>
          </w:p>
        </w:tc>
        <w:tc>
          <w:tcPr>
            <w:tcW w:w="1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7,744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7,744</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7,890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7,890</w:t>
            </w: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Wynn Palace decreased 28.3% and 10.6% for the three and nine months ended September 30, 2019, respectively, primarily due to a decrease in VIP turnover and VIP table games win.</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Wynn Macau decreased 24.0% for the three months ended September 30, 2019, primarily due to a decrease in VIP turnover and VIP table games win. Adjusted Property EBITDA at Wynn Macau decreased 15.4% for the nine months ended September 30, 2019 primarily due to a decrease in VIP turnover and VIP table games win, a decrease in entertainment, retail and other revenues primarily related to the closure of certain owned retail outlets, and increased general and administrative expenses.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our Las Vegas Operations decreased 7.6% for the three months ended September 30, 2019, primarily due to a decrease in table games win percentage and increases in general and administrative expenses and provision for doubtful accounts. Adjusted Property EBITDA at our Las Vegas Operations decreased 7.8% for the nine months ended September 30, 2019 primarily due to decreased table drop, increased food and beverage expenses, general and administrative expenses and provision for doubtful accounts.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Adjusted Property EBITDA at Encore Boston Harbor was $7.7 million and $7.9 million for the three and nine months ended September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Encore Boston Harbor opened on June 23, 2019.</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cash flows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i w:val="1"/>
                <w:iCs w:val="1"/>
                <w:color w:val="auto"/>
              </w:rPr>
              <w:t>Cash Flows - Summary</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2018</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779,885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497,889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(878,335)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(1,154,255)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Purchase of intangible and other assets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(102,388)</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sale or maturity of investment securities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359,461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Purchase of investment securities</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(34,098)</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w:t>
            </w:r>
          </w:p>
        </w:tc>
      </w:tr>
      <w:tr>
        <w:trPr>
          <w:trHeight w:val="237"/>
        </w:trPr>
        <w:tc>
          <w:tcPr>
            <w:tcW w:w="7320" w:type="dxa"/>
            <w:vAlign w:val="bottom"/>
          </w:tcPr>
          <w:p>
            <w:pPr>
              <w:ind w:left="1140"/>
              <w:spacing w:after="0"/>
              <w:rPr>
                <w:sz w:val="20"/>
                <w:szCs w:val="20"/>
                <w:color w:val="auto"/>
              </w:rPr>
            </w:pPr>
            <w:r>
              <w:rPr>
                <w:rFonts w:ascii="Arial" w:cs="Arial" w:eastAsia="Arial" w:hAnsi="Arial"/>
                <w:sz w:val="18"/>
                <w:szCs w:val="18"/>
                <w:b w:val="1"/>
                <w:bCs w:val="1"/>
                <w:color w:val="auto"/>
              </w:rPr>
              <w:t>Net cash used in investing activities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(883,743)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(928,893)</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2,549,072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2,288,605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(2,443,367)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(3,030,526)</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note receivable from sale of ownership interest in subsidiary</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net of issuance costs</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915,187</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Finance lease payment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20,313</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(460,139)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(350,694)</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to noncontrolling interest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(301,113)</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Payments to acquire derivatives</w:t>
            </w:r>
          </w:p>
        </w:tc>
        <w:tc>
          <w:tcPr>
            <w:tcW w:w="4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financing costs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(33,787)</w:t>
            </w:r>
          </w:p>
        </w:tc>
      </w:tr>
      <w:tr>
        <w:trPr>
          <w:trHeight w:val="237"/>
        </w:trPr>
        <w:tc>
          <w:tcPr>
            <w:tcW w:w="7320" w:type="dxa"/>
            <w:vAlign w:val="bottom"/>
          </w:tcPr>
          <w:p>
            <w:pPr>
              <w:ind w:left="1140"/>
              <w:spacing w:after="0"/>
              <w:rPr>
                <w:sz w:val="20"/>
                <w:szCs w:val="20"/>
                <w:color w:val="auto"/>
              </w:rPr>
            </w:pPr>
            <w:r>
              <w:rPr>
                <w:rFonts w:ascii="Arial" w:cs="Arial" w:eastAsia="Arial" w:hAnsi="Arial"/>
                <w:sz w:val="18"/>
                <w:szCs w:val="18"/>
                <w:b w:val="1"/>
                <w:bCs w:val="1"/>
                <w:color w:val="auto"/>
              </w:rPr>
              <w:t>Net cash used in financing activities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(431,563)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(423,720)</w:t>
            </w:r>
          </w:p>
        </w:tc>
      </w:tr>
      <w:tr>
        <w:trPr>
          <w:trHeight w:val="27"/>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(1,610)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b w:val="1"/>
                <w:bCs w:val="1"/>
                <w:color w:val="auto"/>
              </w:rPr>
              <w:t>1,090</w:t>
            </w:r>
          </w:p>
        </w:tc>
      </w:tr>
      <w:tr>
        <w:trPr>
          <w:trHeight w:val="27"/>
        </w:trPr>
        <w:tc>
          <w:tcPr>
            <w:tcW w:w="7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cash, cash equivalents and restricted cash</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(537,031)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(853,634)</w:t>
            </w: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net cash provided by operations was primarily driven by changes in our working capital accounts and an increase in deferred tax assets related to the settlement of the Redemption Note during the nine months ended September 30, 2018. In the nine months ended September 30, 2018, the Company recorded and paid a $463.6 million litigation settlement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nine months ended September 30, 2019, we incurred capital expenditures of $421.4 million related to the construction of Encore Boston Harbor, $104.1 million at Wynn Macau primarily related to the room remodel and West Casino renovation, $47.2 million and $71.9 million at Wynn Palace and our Las Vegas Operations, respectively, primarily related to</w:t>
      </w:r>
    </w:p>
    <w:p>
      <w:pPr>
        <w:sectPr>
          <w:pgSz w:w="11900" w:h="16838" w:orient="portrait"/>
          <w:cols w:equalWidth="0" w:num="1">
            <w:col w:w="11420"/>
          </w:cols>
          <w:pgMar w:left="240" w:top="122" w:right="239" w:bottom="1440" w:gutter="0" w:footer="0" w:header="0"/>
        </w:sect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maintenance capital expenditures, and $166.4 million primarily related to the construction of the additional meeting and convention space at Wynn Las Vegas and the reconfiguration of the Wynn Las Vegas golf course. During the nine months ended September 30, 2018, we incurred $603.6 million in capital expenditures, for Encore Boston Harbor and $336.2 million for the acquisition of land on the Las Vegas Strip directly across from Wynn Las Vegas.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nine months ended September 30, 2019, we borrowed an additional $250.0 million term loan under the Wynn Resorts Credit Agreement, and in connection with the Refinancing Transactions described below, we repaid $991.3 million of outstanding principal under the Wynn America Credit Facilities and $746.3 million of outstanding principal under the Wynn Resorts Term Loan along with related financing costs, using proceeds from the borrowing of $1.03 billion under the WRF Credit Facilities and issuance of $750.0 million of WRF 2029 notes. We also repaid $174.7 million, net of amounts borrowed, on the Wynn Macau Senior Revolving Credit Facility. In addition, we used cash of $460.1 million for the payment of dividends.</w:t>
      </w:r>
    </w:p>
    <w:p>
      <w:pPr>
        <w:spacing w:after="0" w:line="15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nine months ended September 30, 2018, we repaid the Redemption Note principal amount of $1.94 billion using cash on hand and amounts borrowed under the Bridge Facility and the WA Senior Revolving Credit Facility. In April 2018, we repaid all amounts borrowed under the Bridge Facility and the WA Senior Revolving Credit Facility using net proceeds of $915.2 million from a registered public equity offering. In addition, during the nine months ended September 30, 2018, we borrowed $624.4 million under the Macau Senior Revolving Credit Facility, $615.0 million under the Retail Term Loan, and we used cash of $350.7 million for the payment of dividends and $301.1 million for distributions to noncontrolling interest holders of the Retail Joint Venture.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Total Cash and Cash</w:t>
            </w:r>
          </w:p>
        </w:tc>
        <w:tc>
          <w:tcPr>
            <w:tcW w:w="200" w:type="dxa"/>
            <w:vAlign w:val="bottom"/>
          </w:tcPr>
          <w:p>
            <w:pPr>
              <w:spacing w:after="0"/>
              <w:rPr>
                <w:sz w:val="14"/>
                <w:szCs w:val="14"/>
                <w:color w:val="auto"/>
              </w:rPr>
            </w:pPr>
          </w:p>
        </w:tc>
        <w:tc>
          <w:tcPr>
            <w:tcW w:w="162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Revolver Borrowing</w:t>
            </w:r>
          </w:p>
        </w:tc>
      </w:tr>
      <w:tr>
        <w:trPr>
          <w:trHeight w:val="192"/>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6"/>
                <w:szCs w:val="16"/>
                <w:color w:val="auto"/>
              </w:rPr>
            </w:pPr>
          </w:p>
        </w:tc>
        <w:tc>
          <w:tcPr>
            <w:tcW w:w="1620" w:type="dxa"/>
            <w:vAlign w:val="bottom"/>
          </w:tcPr>
          <w:p>
            <w:pPr>
              <w:jc w:val="right"/>
              <w:ind w:right="556"/>
              <w:spacing w:after="0"/>
              <w:rPr>
                <w:sz w:val="20"/>
                <w:szCs w:val="20"/>
                <w:color w:val="auto"/>
              </w:rPr>
            </w:pPr>
            <w:r>
              <w:rPr>
                <w:rFonts w:ascii="Arial" w:cs="Arial" w:eastAsia="Arial" w:hAnsi="Arial"/>
                <w:sz w:val="14"/>
                <w:szCs w:val="14"/>
                <w:b w:val="1"/>
                <w:bCs w:val="1"/>
                <w:color w:val="auto"/>
              </w:rPr>
              <w:t>Capacity</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 Limited</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947,206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298,322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Wynn Resorts Finance, LLC</w:t>
            </w: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17,001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806,950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Resorts, Limited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712,625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Total 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1,676,832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1,105,272</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Wynn Macau, Limited generates cash from our Macau Operations, which we expect to use to service our Wynn Macau Credit Facilities and WML Notes, pay dividends to shareholders of WML (of which we own approximately 72%), and fund working capital and capital expenditure requirements. The Wynn Macau Credit Facilities contain customary negative covenants and financial covenants, including, but not limited to, covenants that restrict our ability to pay dividends or distributions to any direct or indirect subsidiaries.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Wynn Resorts Finance, LLC (formerly known as Wynn America, LLC) ("WRF") generates cash from dividends and distributions from its subsidiaries, including Wynn Macau, Limited, and contributions from Wynn Resorts as required. We expect to use WRF cash to service our WRF Senior Secured Credit Facilities, WRF 2029 Notes, and WLV Notes, make distributions to Wynn Resorts, and to fund working capital and capital expenditure requirements. The WRF Senior Secured Credit Facilities contain customary negative and financial covenants, including, but not limited to, covenants that restrict our ability to pay dividends or distributions to any direct or indirect subsidiaries.</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Wynn Resorts, Limited is a holding company and, as a result, our ability to pay dividends is highly dependent 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fund the construction of the additional meeting and convention space in Las Vegas, and pay dividends.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Refinancing Transactions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20, 2019, WRF and its subsidiary Wynn Resorts Capital Corp. (collectively with WRF, the "WRF Issuers"), each an indirect wholly owned subsidiary of the Company, issued $750.0 million aggregate principal amount of 5 1/8% Senior</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Notes due 2029 (the "2029 Notes") pursuant to an indenture (the "2029 Indenture") among the WRF Issuers, the guarantors party thereto, and U.S. Bank National Association, as trustee (the "Trustee"), in a private offering. The 2029 Notes were issued at par. Concurrently with the issuance of the 2029 Notes, WRF entered into a credit agreement (the "WRF Credit Agreement") providing for a new first lien term loan facility in an aggregate principal amount of $1.0 billion (the "WRF Term Loan") and a new first lien revolving credit facility in an aggregate principal amount of $850.0 million (the "WRF Revolver" and together with the WRF Term Loan, the "WRF Senior Secured Credit Facilities") (the WRF Senior Secured Credit Facilities and 2029 Notes are collectively referred to as the "Refinancing Transactions").</w:t>
      </w:r>
    </w:p>
    <w:p>
      <w:pPr>
        <w:spacing w:after="0" w:line="19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Subject to certain exceptions, the WRF Senior Secured Credit Facilities bear interest at LIBOR plus 1.75% per annum. The annual fee required to pay for unborrowed amounts under the WRF Revolver, if any, is 0.25% per annum, payable quarterly in arrears, calculated based on the daily average of the unborrowed amounts under such credit facilities. The Company is required to make quarterly repayments on the WRF Term Loan of $12.5 million beginning in the fourth quarter of 2019, with any remaining principal amount outstanding repayable in full on September 20, 2024.</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WRF Credit Agreement contains restrictions that limit the amount of certain restricted payments WRF and its restricted subsidiaries may make, including dividends and distributions paid to Wynn Resorts. Such restrictions include WRF's requirement to maintain a Fixed Charge Coverage Ratio (as defined in the WRF Credit Agreement) greater than or equal to 2.00 to 1.00 and a Consolidated Total Net Leverage Ratio (as defined in the WRF Credit Agreement) not to exceed 5.50 to 1.00 at each fiscal quarter. WRF may make ordinary course dividends or distributions to Wynn Resorts in an amount not to exceed $1.0 billion in any fiscal year, with certain carryover provisions for unused amounts from the two preceding fiscal years, and unlimited provided that the Consolidated Total Net Leverage Ratio does not exceed 5.50 to 1.00 on a pro forma basis for the distribution, plus certain other amounts subject to thresholds and limitations.</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2029 Notes will mature on October 1, 2029 and bear interest at the rate of 5 1/8% per annum, payable in arrears semi-annually on April 1 and October 1 of each year, beginning on April 1, 2020. The 2029 Indenture contains covenants that limit the ability of the WRF Issuers and the guarantors to, among other things, create or incur liens to secure debt in excess of the greater of $1.85 billion or an amount that would cause the Consolidated Senior Secured Net Leverage Ratio (as defined in the 2029 Indenture) to be greater than 3.00 to 1.00.</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Wynn Resorts Finance used the net proceeds from the Refinancing Transactions to refinance the existing Wynn America Credit Facilities and the Wynn Resorts Term Loan and to pay related fees and expenses.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more information on the Refinancing Transactions, see Item 1—"Notes to Condensed Consolidated Financial Statements," Note 6, "Long-Term Debt."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September 30, 2019, we had $800.1 million in repurchase authority remaining under the program.</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 additional financing. We may decide to conduct any such development through Wynn Resorts, Limited or through subsidiaries separate from the Las Vegas or Macau-related entities.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September 30, 2019, we had outstanding letters of credit totaling $18.1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Contractual Commitments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nine months ended September 30, 2019, there have been no material changes to the contractual obligations previously reported in our Annual Report on Form 10-K for the year ended December 31, 2018, other than an increase in our fixed interest rate long-term debt obligations of $750.0 million and an increase in our annual fixed interest payments of $38.4 million, offset by a decrease in our variable interest rate long-term debt obligations of $646.0 million and a decrease in our annual estimated variable interest payments of $47.5 million, primarily in connection with the Refinancing Transactions as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2018. There have been no significant changes to these policies for the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related disclosure in Item 1—"Notes to Condensed Consolidated Financial Statements," Note 2, "Basis of Presentation and Significant Accounting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2018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controversy and litigation related to Stephen A. Wynn and his separation from the Company;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00" w:hanging="644"/>
        <w:spacing w:after="0" w:line="25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September 30, 2019, approximately 54.5% of our long-term debt was based on fixed rates. Based on our borrowings as of September 30, 2019, an assumed 100 basis point change in the variable rates would cause our annual interest expense to change by $43.8 million.</w:t>
      </w:r>
    </w:p>
    <w:p>
      <w:pPr>
        <w:spacing w:after="0" w:line="14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2019, an assumed 1% change in the U.S. dollar/Hong Kong dollar exchange rate would cause a foreign currency transaction gain/loss of $27.7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A description of our risk factors can be found in Item 1A, Part I of our Annual Report on Form 10-K for the year ended December 31, 2018. There were no material changes to those risk factors during the nine months ended September 30, 2019 other than resolution of certain litigation as discussed in Item 1 —"Notes to Condensed Consolidated Financial Statements," Note 14, "Commitments and Contingencies" of Part I in this Quarterly Report on Form 10-Q.</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share repurchases made by the Company under its equity repurchase program during the quarter ended September 30,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Repurchased as Part</w:t>
            </w:r>
          </w:p>
        </w:tc>
        <w:tc>
          <w:tcPr>
            <w:tcW w:w="140" w:type="dxa"/>
            <w:vAlign w:val="bottom"/>
          </w:tcPr>
          <w:p>
            <w:pPr>
              <w:spacing w:after="0"/>
              <w:rPr>
                <w:sz w:val="14"/>
                <w:szCs w:val="14"/>
                <w:color w:val="auto"/>
              </w:rPr>
            </w:pPr>
          </w:p>
        </w:tc>
        <w:tc>
          <w:tcPr>
            <w:tcW w:w="18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Weighted Average Price Paid</w:t>
            </w:r>
          </w:p>
        </w:tc>
        <w:tc>
          <w:tcPr>
            <w:tcW w:w="2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Remaining Under the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Month Ended</w:t>
            </w:r>
          </w:p>
        </w:tc>
        <w:tc>
          <w:tcPr>
            <w:tcW w:w="12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a Publicly Announced</w:t>
            </w:r>
          </w:p>
        </w:tc>
        <w:tc>
          <w:tcPr>
            <w:tcW w:w="140" w:type="dxa"/>
            <w:vAlign w:val="bottom"/>
          </w:tcPr>
          <w:p>
            <w:pPr>
              <w:spacing w:after="0"/>
              <w:rPr>
                <w:sz w:val="12"/>
                <w:szCs w:val="12"/>
                <w:color w:val="auto"/>
              </w:rPr>
            </w:pPr>
          </w:p>
        </w:tc>
        <w:tc>
          <w:tcPr>
            <w:tcW w:w="18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July 31, 2019</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828,366</w:t>
            </w:r>
          </w:p>
        </w:tc>
        <w:tc>
          <w:tcPr>
            <w:tcW w:w="0" w:type="dxa"/>
            <w:vAlign w:val="bottom"/>
          </w:tcPr>
          <w:p>
            <w:pPr>
              <w:spacing w:after="0"/>
              <w:rPr>
                <w:sz w:val="1"/>
                <w:szCs w:val="1"/>
                <w:color w:val="auto"/>
              </w:rPr>
            </w:pPr>
          </w:p>
        </w:tc>
      </w:tr>
      <w:tr>
        <w:trPr>
          <w:trHeight w:val="243"/>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August 31, 2019</w:t>
            </w:r>
          </w:p>
        </w:tc>
        <w:tc>
          <w:tcPr>
            <w:tcW w:w="1920" w:type="dxa"/>
            <w:vAlign w:val="bottom"/>
          </w:tcPr>
          <w:p>
            <w:pPr>
              <w:jc w:val="right"/>
              <w:ind w:right="17"/>
              <w:spacing w:after="0"/>
              <w:rPr>
                <w:sz w:val="20"/>
                <w:szCs w:val="20"/>
                <w:color w:val="auto"/>
              </w:rPr>
            </w:pPr>
            <w:r>
              <w:rPr>
                <w:rFonts w:ascii="Arial" w:cs="Arial" w:eastAsia="Arial" w:hAnsi="Arial"/>
                <w:sz w:val="18"/>
                <w:szCs w:val="18"/>
                <w:color w:val="auto"/>
              </w:rPr>
              <w:t>269,617</w:t>
            </w:r>
          </w:p>
        </w:tc>
        <w:tc>
          <w:tcPr>
            <w:tcW w:w="12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104.63</w:t>
            </w:r>
          </w:p>
        </w:tc>
        <w:tc>
          <w:tcPr>
            <w:tcW w:w="120" w:type="dxa"/>
            <w:vAlign w:val="bottom"/>
          </w:tcPr>
          <w:p>
            <w:pPr>
              <w:spacing w:after="0"/>
              <w:rPr>
                <w:sz w:val="21"/>
                <w:szCs w:val="21"/>
                <w:color w:val="auto"/>
              </w:rPr>
            </w:pPr>
          </w:p>
        </w:tc>
        <w:tc>
          <w:tcPr>
            <w:tcW w:w="1920" w:type="dxa"/>
            <w:vAlign w:val="bottom"/>
          </w:tcPr>
          <w:p>
            <w:pPr>
              <w:jc w:val="right"/>
              <w:ind w:right="39"/>
              <w:spacing w:after="0"/>
              <w:rPr>
                <w:sz w:val="20"/>
                <w:szCs w:val="20"/>
                <w:color w:val="auto"/>
              </w:rPr>
            </w:pPr>
            <w:r>
              <w:rPr>
                <w:rFonts w:ascii="Arial" w:cs="Arial" w:eastAsia="Arial" w:hAnsi="Arial"/>
                <w:sz w:val="18"/>
                <w:szCs w:val="18"/>
                <w:color w:val="auto"/>
              </w:rPr>
              <w:t>269,617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800,149</w:t>
            </w:r>
          </w:p>
        </w:tc>
        <w:tc>
          <w:tcPr>
            <w:tcW w:w="0" w:type="dxa"/>
            <w:vAlign w:val="bottom"/>
          </w:tcPr>
          <w:p>
            <w:pPr>
              <w:spacing w:after="0"/>
              <w:rPr>
                <w:sz w:val="1"/>
                <w:szCs w:val="1"/>
                <w:color w:val="auto"/>
              </w:rPr>
            </w:pPr>
          </w:p>
        </w:tc>
      </w:tr>
      <w:tr>
        <w:trPr>
          <w:trHeight w:val="27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September 30, 2019</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800,149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034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ind w:left="260" w:right="40" w:hanging="252"/>
        <w:spacing w:after="0" w:line="286" w:lineRule="auto"/>
        <w:tabs>
          <w:tab w:leader="none" w:pos="2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Company's Board of Directors authorized an equity repurchase program in April of 2016 of up to $1.0 billion of our common stock. Repurchases may be made at the discretion of the Company from time to time on the open market or in privately negotiated transactions. The Company is not obligated to make any repurchases, and the repurchase program may be discontinued at any time. Any shares acquired are available for general corporate purposes. Any shares repurchased during the periods presented are recorded in Treasury Stock.</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shares repurchased in satisfaction of tax withholding obligations on vested restricted stock during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which were not part of the Company's publicly announced repurchase program: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 of Shares</w:t>
            </w:r>
          </w:p>
        </w:tc>
        <w:tc>
          <w:tcPr>
            <w:tcW w:w="2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Weighted Average Price Paid</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Month Ended</w:t>
            </w:r>
          </w:p>
        </w:tc>
        <w:tc>
          <w:tcPr>
            <w:tcW w:w="120" w:type="dxa"/>
            <w:vAlign w:val="bottom"/>
            <w:vMerge w:val="restart"/>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Repurchased Shares (in</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July 31, 2019</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August 31, 2019</w:t>
            </w: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114.73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30, 2019</w:t>
            </w:r>
          </w:p>
        </w:tc>
        <w:tc>
          <w:tcPr>
            <w:tcW w:w="1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33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ind w:left="1300" w:hanging="386"/>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5">
        <w:r>
          <w:rPr>
            <w:rFonts w:ascii="Arial" w:cs="Arial" w:eastAsia="Arial" w:hAnsi="Arial"/>
            <w:sz w:val="18"/>
            <w:szCs w:val="18"/>
            <w:u w:val="single" w:color="auto"/>
            <w:color w:val="0000FF"/>
          </w:rPr>
          <w:t>Third Amended and Restated Articles of Incorporation of the Registrant. (Incorporated by reference from the Quarterly Report on Form 10-</w:t>
        </w:r>
      </w:hyperlink>
      <w:hyperlink r:id="rId45">
        <w:r>
          <w:rPr>
            <w:rFonts w:ascii="Arial" w:cs="Arial" w:eastAsia="Arial" w:hAnsi="Arial"/>
            <w:sz w:val="18"/>
            <w:szCs w:val="18"/>
            <w:u w:val="single" w:color="auto"/>
            <w:color w:val="0000FF"/>
          </w:rPr>
          <w:t>Q filed by the Registrant on May 8, 2015.)</w:t>
        </w:r>
      </w:hyperlink>
    </w:p>
    <w:p>
      <w:pPr>
        <w:spacing w:after="0" w:line="8" w:lineRule="exact"/>
        <w:rPr>
          <w:sz w:val="20"/>
          <w:szCs w:val="20"/>
          <w:color w:val="auto"/>
        </w:rPr>
      </w:pPr>
    </w:p>
    <w:p>
      <w:pPr>
        <w:ind w:left="1300" w:right="160" w:hanging="386"/>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46">
        <w:r>
          <w:rPr>
            <w:rFonts w:ascii="Arial" w:cs="Arial" w:eastAsia="Arial" w:hAnsi="Arial"/>
            <w:sz w:val="18"/>
            <w:szCs w:val="18"/>
            <w:u w:val="single" w:color="auto"/>
            <w:color w:val="0000FF"/>
          </w:rPr>
          <w:t>Eighth Amended and Restated Bylaws of the Registrant. (Incorporated by reference from the Quarterly Report on Form 10-Q filed by the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Registrant on November 6, 2015.)</w:t>
        </w:r>
      </w:hyperlink>
    </w:p>
    <w:p>
      <w:pPr>
        <w:spacing w:after="0" w:line="8" w:lineRule="exact"/>
        <w:rPr>
          <w:sz w:val="20"/>
          <w:szCs w:val="20"/>
          <w:color w:val="auto"/>
        </w:rPr>
      </w:pPr>
    </w:p>
    <w:p>
      <w:pPr>
        <w:ind w:left="1300" w:right="460" w:hanging="476"/>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w:anchor="page57">
        <w:r>
          <w:rPr>
            <w:rFonts w:ascii="Arial" w:cs="Arial" w:eastAsia="Arial" w:hAnsi="Arial"/>
            <w:sz w:val="18"/>
            <w:szCs w:val="18"/>
            <w:u w:val="single" w:color="auto"/>
            <w:color w:val="0000FF"/>
          </w:rPr>
          <w:t>Indenture, dated as of September 20, 2019, by and among Wynn Resorts Finance, LLC, and Wynn Resorts Capital Corp., as joint and</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several obligors and the Guarantors named therein and U.S. Bank National Association, as trustee.</w:t>
        </w:r>
      </w:hyperlink>
    </w:p>
    <w:p>
      <w:pPr>
        <w:spacing w:after="0" w:line="8" w:lineRule="exact"/>
        <w:rPr>
          <w:sz w:val="20"/>
          <w:szCs w:val="20"/>
          <w:color w:val="auto"/>
        </w:rPr>
      </w:pPr>
    </w:p>
    <w:p>
      <w:pPr>
        <w:ind w:left="1300" w:right="160" w:hanging="566"/>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w:anchor="page206">
        <w:r>
          <w:rPr>
            <w:rFonts w:ascii="Arial" w:cs="Arial" w:eastAsia="Arial" w:hAnsi="Arial"/>
            <w:sz w:val="17"/>
            <w:szCs w:val="17"/>
            <w:u w:val="single" w:color="auto"/>
            <w:color w:val="0000FF"/>
          </w:rPr>
          <w:t>Credit Agreement, dated as of September 20, 2019, by and among Wynn Resorts Finance, LLC, as borrower, the subsidiaries of borrower</w:t>
        </w:r>
      </w:hyperlink>
      <w:r>
        <w:rPr>
          <w:rFonts w:ascii="Arial" w:cs="Arial" w:eastAsia="Arial" w:hAnsi="Arial"/>
          <w:sz w:val="17"/>
          <w:szCs w:val="17"/>
          <w:u w:val="single" w:color="auto"/>
          <w:color w:val="0000FF"/>
        </w:rPr>
        <w:t xml:space="preserve"> </w:t>
      </w:r>
      <w:hyperlink w:anchor="page206">
        <w:r>
          <w:rPr>
            <w:rFonts w:ascii="Arial" w:cs="Arial" w:eastAsia="Arial" w:hAnsi="Arial"/>
            <w:sz w:val="17"/>
            <w:szCs w:val="17"/>
            <w:u w:val="single" w:color="auto"/>
            <w:color w:val="0000FF"/>
          </w:rPr>
          <w:t>party hereto, as guarantors, Deutsche Bank AG New York Branch, as administrative agent and as collateral agent.</w:t>
        </w:r>
      </w:hyperlink>
    </w:p>
    <w:p>
      <w:pPr>
        <w:spacing w:after="0" w:line="1" w:lineRule="exact"/>
        <w:rPr>
          <w:sz w:val="20"/>
          <w:szCs w:val="20"/>
          <w:color w:val="auto"/>
        </w:rPr>
      </w:pPr>
    </w:p>
    <w:p>
      <w:pPr>
        <w:ind w:left="7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10">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63" w:lineRule="exact"/>
        <w:rPr>
          <w:sz w:val="20"/>
          <w:szCs w:val="20"/>
          <w:color w:val="auto"/>
        </w:rPr>
      </w:pPr>
    </w:p>
    <w:p>
      <w:pPr>
        <w:ind w:left="7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11">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63" w:lineRule="exact"/>
        <w:rPr>
          <w:sz w:val="20"/>
          <w:szCs w:val="20"/>
          <w:color w:val="auto"/>
        </w:rPr>
      </w:pPr>
    </w:p>
    <w:p>
      <w:pPr>
        <w:ind w:left="86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412">
        <w:r>
          <w:rPr>
            <w:rFonts w:ascii="Arial" w:cs="Arial" w:eastAsia="Arial" w:hAnsi="Arial"/>
            <w:sz w:val="16"/>
            <w:szCs w:val="16"/>
            <w:u w:val="single" w:color="auto"/>
            <w:color w:val="0000FF"/>
          </w:rPr>
          <w:t>Certification of CEO and CFO Pursuant to 18 U.S.C. Section 1350.</w:t>
        </w:r>
      </w:hyperlink>
    </w:p>
    <w:p>
      <w:pPr>
        <w:spacing w:after="0" w:line="63" w:lineRule="exact"/>
        <w:rPr>
          <w:sz w:val="20"/>
          <w:szCs w:val="20"/>
          <w:color w:val="auto"/>
        </w:rPr>
      </w:pPr>
    </w:p>
    <w:p>
      <w:pPr>
        <w:ind w:left="1300" w:right="80" w:hanging="441"/>
        <w:spacing w:after="0" w:line="271"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 from Wynn Resorts, Limited's Quarterly Report on Form 10-Q, formatted in Inline XBRL (Inline Extensible Business Reporting Language): (i) the Condensed Consolidated Balance Sheets as of September 30, 2019 and December 31, 2018; (ii) the Condensed Consolidated Statements of Operations for the three and nine months ended September 30, 2019 and 2018; (iii) the Condensed Consolidated Statements of Comprehensive Income (Loss) for the three and nine months ended September 30, 2019 and 2018; (iv) the Condensed Consolidated Statements of Stockholders' Equity for the three and nine months ended September 30, 2019 and 2018; (v) the Condensed Consolidated Statements of Cash Flows for the nine months ended September 30, 2019 and 2018; and (vi) Notes to Condensed Consolidated Financial Statements. The instance document does not appear in the Interactive Data File because its XBRL tags are embedded within the Inline XBRL document.</w:t>
      </w:r>
    </w:p>
    <w:p>
      <w:pPr>
        <w:spacing w:after="0" w:line="17" w:lineRule="exact"/>
        <w:rPr>
          <w:sz w:val="20"/>
          <w:szCs w:val="20"/>
          <w:color w:val="auto"/>
        </w:rPr>
      </w:pPr>
    </w:p>
    <w:p>
      <w:pPr>
        <w:ind w:left="8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2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2" w:right="29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80"/>
          </w:cols>
          <w:pgMar w:left="240" w:top="122" w:right="87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221615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RESORTS FINANCE, LLC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RESORTS CAPITAL CORP.,</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joint and several obligors</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EBH HOLDINGS, LLC,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EBH MA PROPERTY,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GROUP ASIA, INC.,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EVERETT PROPERTY,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AMERICA GROUP,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WYNN LAS VEGAS HOLDINGS,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LAS VEGAS,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MA,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WYNN SUNRISE, LLC</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WYNN LAS VEGAS CAPITAL CORP.,</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guarantors</w:t>
      </w:r>
    </w:p>
    <w:p>
      <w:pPr>
        <w:spacing w:after="0" w:line="242" w:lineRule="exact"/>
        <w:rPr>
          <w:sz w:val="20"/>
          <w:szCs w:val="20"/>
          <w:color w:val="auto"/>
        </w:rPr>
      </w:pPr>
    </w:p>
    <w:p>
      <w:pPr>
        <w:ind w:left="2900"/>
        <w:spacing w:after="0"/>
        <w:rPr>
          <w:sz w:val="20"/>
          <w:szCs w:val="20"/>
          <w:color w:val="auto"/>
        </w:rPr>
      </w:pPr>
      <w:r>
        <w:rPr>
          <w:rFonts w:ascii="Arial" w:cs="Arial" w:eastAsia="Arial" w:hAnsi="Arial"/>
          <w:sz w:val="22"/>
          <w:szCs w:val="22"/>
          <w:color w:val="auto"/>
        </w:rPr>
        <w:t>5.125%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Dated as of September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543560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317"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226060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543560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81"/>
        </w:trPr>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40" w:type="dxa"/>
            <w:vAlign w:val="bottom"/>
            <w:gridSpan w:val="6"/>
          </w:tcPr>
          <w:p>
            <w:pPr>
              <w:jc w:val="center"/>
              <w:ind w:right="1120"/>
              <w:spacing w:after="0"/>
              <w:rPr>
                <w:sz w:val="20"/>
                <w:szCs w:val="20"/>
                <w:color w:val="auto"/>
              </w:rPr>
            </w:pPr>
            <w:r>
              <w:rPr>
                <w:rFonts w:ascii="Arial" w:cs="Arial" w:eastAsia="Arial" w:hAnsi="Arial"/>
                <w:sz w:val="22"/>
                <w:szCs w:val="22"/>
                <w:b w:val="1"/>
                <w:bCs w:val="1"/>
                <w:color w:val="auto"/>
                <w:w w:val="97"/>
              </w:rPr>
              <w:t>TABLE OF CONTENTS</w:t>
            </w:r>
          </w:p>
        </w:tc>
        <w:tc>
          <w:tcPr>
            <w:tcW w:w="1600" w:type="dxa"/>
            <w:vAlign w:val="bottom"/>
          </w:tcPr>
          <w:p>
            <w:pPr>
              <w:spacing w:after="0"/>
              <w:rPr>
                <w:sz w:val="24"/>
                <w:szCs w:val="24"/>
                <w:color w:val="auto"/>
              </w:rPr>
            </w:pPr>
          </w:p>
        </w:tc>
      </w:tr>
      <w:tr>
        <w:trPr>
          <w:trHeight w:val="1094"/>
        </w:trPr>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ind w:left="1160"/>
              <w:spacing w:after="0"/>
              <w:rPr>
                <w:sz w:val="20"/>
                <w:szCs w:val="20"/>
                <w:color w:val="auto"/>
              </w:rPr>
            </w:pPr>
            <w:r>
              <w:rPr>
                <w:rFonts w:ascii="Arial" w:cs="Arial" w:eastAsia="Arial" w:hAnsi="Arial"/>
                <w:sz w:val="22"/>
                <w:szCs w:val="22"/>
                <w:i w:val="1"/>
                <w:iCs w:val="1"/>
                <w:color w:val="auto"/>
                <w:w w:val="81"/>
              </w:rPr>
              <w:t>Page</w:t>
            </w:r>
          </w:p>
        </w:tc>
      </w:tr>
      <w:tr>
        <w:trPr>
          <w:trHeight w:val="638"/>
        </w:trPr>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4"/>
          </w:tcPr>
          <w:p>
            <w:pPr>
              <w:jc w:val="center"/>
              <w:ind w:right="3260"/>
              <w:spacing w:after="0"/>
              <w:rPr>
                <w:sz w:val="20"/>
                <w:szCs w:val="20"/>
                <w:color w:val="auto"/>
              </w:rPr>
            </w:pPr>
            <w:r>
              <w:rPr>
                <w:rFonts w:ascii="Arial" w:cs="Arial" w:eastAsia="Arial" w:hAnsi="Arial"/>
                <w:sz w:val="22"/>
                <w:szCs w:val="22"/>
                <w:color w:val="auto"/>
                <w:w w:val="93"/>
              </w:rPr>
              <w:t>ARTICLE 1.</w:t>
            </w:r>
          </w:p>
        </w:tc>
        <w:tc>
          <w:tcPr>
            <w:tcW w:w="160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80" w:type="dxa"/>
            <w:vAlign w:val="bottom"/>
            <w:gridSpan w:val="2"/>
          </w:tcPr>
          <w:p>
            <w:pPr>
              <w:spacing w:after="0" w:line="197" w:lineRule="exact"/>
              <w:rPr>
                <w:sz w:val="20"/>
                <w:szCs w:val="20"/>
                <w:color w:val="auto"/>
              </w:rPr>
            </w:pPr>
            <w:r>
              <w:rPr>
                <w:rFonts w:ascii="Arial" w:cs="Arial" w:eastAsia="Arial" w:hAnsi="Arial"/>
                <w:sz w:val="22"/>
                <w:szCs w:val="22"/>
                <w:color w:val="auto"/>
              </w:rPr>
              <w:t>DEFINITIONS AND</w:t>
            </w:r>
          </w:p>
        </w:tc>
        <w:tc>
          <w:tcPr>
            <w:tcW w:w="11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9"/>
                <w:szCs w:val="19"/>
                <w:color w:val="auto"/>
                <w:w w:val="72"/>
              </w:rPr>
              <w:t>INCORPORATION</w:t>
            </w:r>
          </w:p>
        </w:tc>
        <w:tc>
          <w:tcPr>
            <w:tcW w:w="20" w:type="dxa"/>
            <w:vAlign w:val="bottom"/>
          </w:tcPr>
          <w:p>
            <w:pPr>
              <w:spacing w:after="0"/>
              <w:rPr>
                <w:sz w:val="17"/>
                <w:szCs w:val="17"/>
                <w:color w:val="auto"/>
              </w:rPr>
            </w:pPr>
          </w:p>
        </w:tc>
        <w:tc>
          <w:tcPr>
            <w:tcW w:w="3180" w:type="dxa"/>
            <w:vAlign w:val="bottom"/>
            <w:gridSpan w:val="2"/>
          </w:tcPr>
          <w:p>
            <w:pPr>
              <w:ind w:left="460"/>
              <w:spacing w:after="0" w:line="197" w:lineRule="exact"/>
              <w:rPr>
                <w:sz w:val="20"/>
                <w:szCs w:val="20"/>
                <w:color w:val="auto"/>
              </w:rPr>
            </w:pPr>
            <w:r>
              <w:rPr>
                <w:rFonts w:ascii="Arial" w:cs="Arial" w:eastAsia="Arial" w:hAnsi="Arial"/>
                <w:sz w:val="22"/>
                <w:szCs w:val="22"/>
                <w:color w:val="auto"/>
              </w:rPr>
              <w:t>BY REFERENCE</w:t>
            </w:r>
          </w:p>
        </w:tc>
        <w:tc>
          <w:tcPr>
            <w:tcW w:w="160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638"/>
        </w:trPr>
        <w:tc>
          <w:tcPr>
            <w:tcW w:w="1560" w:type="dxa"/>
            <w:vAlign w:val="bottom"/>
          </w:tcPr>
          <w:p>
            <w:pPr>
              <w:spacing w:after="0"/>
              <w:rPr>
                <w:sz w:val="20"/>
                <w:szCs w:val="20"/>
                <w:color w:val="auto"/>
              </w:rPr>
            </w:pPr>
            <w:r>
              <w:rPr>
                <w:rFonts w:ascii="Arial" w:cs="Arial" w:eastAsia="Arial" w:hAnsi="Arial"/>
                <w:sz w:val="22"/>
                <w:szCs w:val="22"/>
                <w:color w:val="auto"/>
              </w:rPr>
              <w:t>Section 1.0</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Definitions.</w:t>
            </w:r>
          </w:p>
        </w:tc>
        <w:tc>
          <w:tcPr>
            <w:tcW w:w="1600" w:type="dxa"/>
            <w:vAlign w:val="bottom"/>
          </w:tcPr>
          <w:p>
            <w:pPr>
              <w:ind w:left="1380"/>
              <w:spacing w:after="0"/>
              <w:rPr>
                <w:sz w:val="20"/>
                <w:szCs w:val="20"/>
                <w:color w:val="auto"/>
              </w:rPr>
            </w:pPr>
            <w:r>
              <w:rPr>
                <w:rFonts w:ascii="Arial" w:cs="Arial" w:eastAsia="Arial" w:hAnsi="Arial"/>
                <w:sz w:val="22"/>
                <w:szCs w:val="22"/>
                <w:color w:val="auto"/>
              </w:rPr>
              <w:t>1</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1.02</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Other Definitions.</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28</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1.03</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Rules of Construction.</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28</w:t>
            </w:r>
          </w:p>
        </w:tc>
      </w:tr>
      <w:tr>
        <w:trPr>
          <w:trHeight w:val="422"/>
        </w:trPr>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4"/>
          </w:tcPr>
          <w:p>
            <w:pPr>
              <w:jc w:val="center"/>
              <w:ind w:right="3260"/>
              <w:spacing w:after="0"/>
              <w:rPr>
                <w:sz w:val="20"/>
                <w:szCs w:val="20"/>
                <w:color w:val="auto"/>
              </w:rPr>
            </w:pPr>
            <w:r>
              <w:rPr>
                <w:rFonts w:ascii="Arial" w:cs="Arial" w:eastAsia="Arial" w:hAnsi="Arial"/>
                <w:sz w:val="22"/>
                <w:szCs w:val="22"/>
                <w:color w:val="auto"/>
                <w:w w:val="93"/>
              </w:rPr>
              <w:t>ARTICLE 2.</w:t>
            </w:r>
          </w:p>
        </w:tc>
        <w:tc>
          <w:tcPr>
            <w:tcW w:w="160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center"/>
              <w:spacing w:after="0" w:line="197" w:lineRule="exact"/>
              <w:rPr>
                <w:sz w:val="20"/>
                <w:szCs w:val="20"/>
                <w:color w:val="auto"/>
              </w:rPr>
            </w:pPr>
            <w:r>
              <w:rPr>
                <w:rFonts w:ascii="Arial" w:cs="Arial" w:eastAsia="Arial" w:hAnsi="Arial"/>
                <w:sz w:val="22"/>
                <w:szCs w:val="22"/>
                <w:color w:val="auto"/>
                <w:w w:val="92"/>
              </w:rPr>
              <w:t>THE NOTES</w:t>
            </w:r>
          </w:p>
        </w:tc>
        <w:tc>
          <w:tcPr>
            <w:tcW w:w="20" w:type="dxa"/>
            <w:vAlign w:val="bottom"/>
            <w:tcBorders>
              <w:bottom w:val="single" w:sz="8" w:color="auto"/>
            </w:tcBorders>
          </w:tcPr>
          <w:p>
            <w:pPr>
              <w:spacing w:after="0"/>
              <w:rPr>
                <w:sz w:val="17"/>
                <w:szCs w:val="17"/>
                <w:color w:val="auto"/>
              </w:rPr>
            </w:pPr>
          </w:p>
        </w:tc>
        <w:tc>
          <w:tcPr>
            <w:tcW w:w="318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r>
      <w:tr>
        <w:trPr>
          <w:trHeight w:val="854"/>
        </w:trPr>
        <w:tc>
          <w:tcPr>
            <w:tcW w:w="1560" w:type="dxa"/>
            <w:vAlign w:val="bottom"/>
          </w:tcPr>
          <w:p>
            <w:pPr>
              <w:spacing w:after="0"/>
              <w:rPr>
                <w:sz w:val="20"/>
                <w:szCs w:val="20"/>
                <w:color w:val="auto"/>
              </w:rPr>
            </w:pPr>
            <w:r>
              <w:rPr>
                <w:rFonts w:ascii="Arial" w:cs="Arial" w:eastAsia="Arial" w:hAnsi="Arial"/>
                <w:sz w:val="22"/>
                <w:szCs w:val="22"/>
                <w:color w:val="auto"/>
              </w:rPr>
              <w:t>Section 2.01</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Form and Dating.</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29</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2.02</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Execution and Authentication.</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31</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2.03</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Registrar and Paying Agent.</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31</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2.04</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Paying Agent to Hold Money in Trust.</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32</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2.05</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Holder Lists.</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32</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2.06</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Transfer and Exchange.</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32</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2.07</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Replacement Notes.</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44</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2.08</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Outstanding Notes.</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44</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2.09</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Treasury Notes.</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44</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2.10</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Temporary Notes.</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44</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2.11</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Cancellation.</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45</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2.12</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Defaulted Interest.</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45</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2.13</w:t>
            </w:r>
          </w:p>
        </w:tc>
        <w:tc>
          <w:tcPr>
            <w:tcW w:w="7900" w:type="dxa"/>
            <w:vAlign w:val="bottom"/>
            <w:gridSpan w:val="7"/>
          </w:tcPr>
          <w:p>
            <w:pPr>
              <w:ind w:left="500"/>
              <w:spacing w:after="0"/>
              <w:rPr>
                <w:sz w:val="20"/>
                <w:szCs w:val="20"/>
                <w:color w:val="auto"/>
              </w:rPr>
            </w:pPr>
            <w:r>
              <w:rPr>
                <w:rFonts w:ascii="Arial" w:cs="Arial" w:eastAsia="Arial" w:hAnsi="Arial"/>
                <w:sz w:val="22"/>
                <w:szCs w:val="22"/>
                <w:color w:val="auto"/>
              </w:rPr>
              <w:t>Issuance of Additional Notes.</w:t>
            </w:r>
          </w:p>
        </w:tc>
        <w:tc>
          <w:tcPr>
            <w:tcW w:w="1600" w:type="dxa"/>
            <w:vAlign w:val="bottom"/>
          </w:tcPr>
          <w:p>
            <w:pPr>
              <w:ind w:left="1380"/>
              <w:spacing w:after="0"/>
              <w:rPr>
                <w:sz w:val="20"/>
                <w:szCs w:val="20"/>
                <w:color w:val="auto"/>
              </w:rPr>
            </w:pPr>
            <w:r>
              <w:rPr>
                <w:rFonts w:ascii="Arial" w:cs="Arial" w:eastAsia="Arial" w:hAnsi="Arial"/>
                <w:sz w:val="22"/>
                <w:szCs w:val="22"/>
                <w:color w:val="auto"/>
                <w:w w:val="81"/>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060"/>
          </w:cols>
          <w:pgMar w:left="280" w:top="625" w:right="5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u w:val="single" w:color="auto"/>
          <w:color w:val="auto"/>
        </w:rPr>
        <w:t>ARTICLE 3.</w:t>
      </w:r>
    </w:p>
    <w:p>
      <w:pPr>
        <w:jc w:val="center"/>
        <w:ind w:right="-59"/>
        <w:spacing w:after="0"/>
        <w:rPr>
          <w:sz w:val="20"/>
          <w:szCs w:val="20"/>
          <w:color w:val="auto"/>
        </w:rPr>
      </w:pPr>
      <w:r>
        <w:rPr>
          <w:rFonts w:ascii="Arial" w:cs="Arial" w:eastAsia="Arial" w:hAnsi="Arial"/>
          <w:sz w:val="22"/>
          <w:szCs w:val="22"/>
          <w:u w:val="single" w:color="auto"/>
          <w:color w:val="auto"/>
        </w:rPr>
        <w:t>REDEMPTION AND PREPAYMENT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60" w:type="dxa"/>
            <w:vAlign w:val="bottom"/>
          </w:tcPr>
          <w:p>
            <w:pPr>
              <w:spacing w:after="0"/>
              <w:rPr>
                <w:sz w:val="20"/>
                <w:szCs w:val="20"/>
                <w:color w:val="auto"/>
              </w:rPr>
            </w:pPr>
            <w:r>
              <w:rPr>
                <w:rFonts w:ascii="Arial" w:cs="Arial" w:eastAsia="Arial" w:hAnsi="Arial"/>
                <w:sz w:val="22"/>
                <w:szCs w:val="22"/>
                <w:color w:val="auto"/>
              </w:rPr>
              <w:t>Section 3.01</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Notices to Trustee.</w:t>
            </w:r>
          </w:p>
        </w:tc>
        <w:tc>
          <w:tcPr>
            <w:tcW w:w="18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3.02</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Selection of Notes to Be Redeemed Purchased.</w:t>
            </w:r>
          </w:p>
        </w:tc>
        <w:tc>
          <w:tcPr>
            <w:tcW w:w="18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3.03</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Notice of Redemption.</w:t>
            </w:r>
          </w:p>
        </w:tc>
        <w:tc>
          <w:tcPr>
            <w:tcW w:w="18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3.04</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Effect of Notice of Redemption.</w:t>
            </w:r>
          </w:p>
        </w:tc>
        <w:tc>
          <w:tcPr>
            <w:tcW w:w="18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3.05</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Deposit of Redemption or Purchase Price.</w:t>
            </w:r>
          </w:p>
        </w:tc>
        <w:tc>
          <w:tcPr>
            <w:tcW w:w="18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3.06</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Notes Redeemed or Purchased in Part.</w:t>
            </w:r>
          </w:p>
        </w:tc>
        <w:tc>
          <w:tcPr>
            <w:tcW w:w="18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3.07</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Optional Redemption.</w:t>
            </w:r>
          </w:p>
        </w:tc>
        <w:tc>
          <w:tcPr>
            <w:tcW w:w="1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3.08</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Mandatory Redemption.</w:t>
            </w:r>
          </w:p>
        </w:tc>
        <w:tc>
          <w:tcPr>
            <w:tcW w:w="1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3.09</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Mandatory Disposition or Redemption Pursuant to Gaming Laws.</w:t>
            </w:r>
          </w:p>
        </w:tc>
        <w:tc>
          <w:tcPr>
            <w:tcW w:w="188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638"/>
        </w:trPr>
        <w:tc>
          <w:tcPr>
            <w:tcW w:w="1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22"/>
                <w:szCs w:val="22"/>
                <w:color w:val="auto"/>
              </w:rPr>
              <w:t>ARTICLE 4.</w:t>
            </w:r>
          </w:p>
        </w:tc>
        <w:tc>
          <w:tcPr>
            <w:tcW w:w="188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line="197" w:lineRule="exact"/>
              <w:rPr>
                <w:sz w:val="20"/>
                <w:szCs w:val="20"/>
                <w:color w:val="auto"/>
              </w:rPr>
            </w:pPr>
            <w:r>
              <w:rPr>
                <w:rFonts w:ascii="Arial" w:cs="Arial" w:eastAsia="Arial" w:hAnsi="Arial"/>
                <w:sz w:val="22"/>
                <w:szCs w:val="22"/>
                <w:color w:val="auto"/>
                <w:w w:val="84"/>
              </w:rPr>
              <w:t>COVENANTS</w:t>
            </w:r>
          </w:p>
        </w:tc>
        <w:tc>
          <w:tcPr>
            <w:tcW w:w="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854"/>
        </w:trPr>
        <w:tc>
          <w:tcPr>
            <w:tcW w:w="1560" w:type="dxa"/>
            <w:vAlign w:val="bottom"/>
          </w:tcPr>
          <w:p>
            <w:pPr>
              <w:spacing w:after="0"/>
              <w:rPr>
                <w:sz w:val="20"/>
                <w:szCs w:val="20"/>
                <w:color w:val="auto"/>
              </w:rPr>
            </w:pPr>
            <w:r>
              <w:rPr>
                <w:rFonts w:ascii="Arial" w:cs="Arial" w:eastAsia="Arial" w:hAnsi="Arial"/>
                <w:sz w:val="22"/>
                <w:szCs w:val="22"/>
                <w:color w:val="auto"/>
              </w:rPr>
              <w:t>Section 4.01</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Payment of Notes.</w:t>
            </w:r>
          </w:p>
        </w:tc>
        <w:tc>
          <w:tcPr>
            <w:tcW w:w="188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4.02</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Maintenance of Office or Agency.</w:t>
            </w:r>
          </w:p>
        </w:tc>
        <w:tc>
          <w:tcPr>
            <w:tcW w:w="18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4.03</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Reports.</w:t>
            </w:r>
          </w:p>
        </w:tc>
        <w:tc>
          <w:tcPr>
            <w:tcW w:w="18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4.04</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Compliance Certificate.</w:t>
            </w:r>
          </w:p>
        </w:tc>
        <w:tc>
          <w:tcPr>
            <w:tcW w:w="18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4.05</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Taxes.</w:t>
            </w:r>
          </w:p>
        </w:tc>
        <w:tc>
          <w:tcPr>
            <w:tcW w:w="18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4.06</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Stay, Extension and Usury Laws.</w:t>
            </w:r>
          </w:p>
        </w:tc>
        <w:tc>
          <w:tcPr>
            <w:tcW w:w="18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4.07</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Limitation on Liens Securing Indebtedness</w:t>
            </w:r>
          </w:p>
        </w:tc>
        <w:tc>
          <w:tcPr>
            <w:tcW w:w="188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4.08</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Limitation on Sale and Leaseback Transactions.</w:t>
            </w:r>
          </w:p>
        </w:tc>
        <w:tc>
          <w:tcPr>
            <w:tcW w:w="18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4.09</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Exempted Liens and Sale and Leaseback Transactions.</w:t>
            </w:r>
          </w:p>
        </w:tc>
        <w:tc>
          <w:tcPr>
            <w:tcW w:w="188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4.10</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Corporate and Organizational Existence.</w:t>
            </w:r>
          </w:p>
        </w:tc>
        <w:tc>
          <w:tcPr>
            <w:tcW w:w="188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4.11</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Offer to Purchase Upon Change of Control.</w:t>
            </w:r>
          </w:p>
        </w:tc>
        <w:tc>
          <w:tcPr>
            <w:tcW w:w="188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638"/>
        </w:trPr>
        <w:tc>
          <w:tcPr>
            <w:tcW w:w="1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20" w:type="dxa"/>
            <w:vAlign w:val="bottom"/>
            <w:gridSpan w:val="4"/>
          </w:tcPr>
          <w:p>
            <w:pPr>
              <w:spacing w:after="0"/>
              <w:rPr>
                <w:sz w:val="20"/>
                <w:szCs w:val="20"/>
                <w:color w:val="auto"/>
              </w:rPr>
            </w:pPr>
            <w:r>
              <w:rPr>
                <w:rFonts w:ascii="Arial" w:cs="Arial" w:eastAsia="Arial" w:hAnsi="Arial"/>
                <w:sz w:val="22"/>
                <w:szCs w:val="22"/>
                <w:color w:val="auto"/>
              </w:rPr>
              <w:t>ARTICLE 5.</w:t>
            </w:r>
          </w:p>
        </w:tc>
        <w:tc>
          <w:tcPr>
            <w:tcW w:w="188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0" w:type="dxa"/>
            <w:vAlign w:val="bottom"/>
            <w:tcBorders>
              <w:bottom w:val="single" w:sz="8" w:color="auto"/>
            </w:tcBorders>
            <w:gridSpan w:val="2"/>
          </w:tcPr>
          <w:p>
            <w:pPr>
              <w:spacing w:after="0"/>
              <w:rPr>
                <w:sz w:val="17"/>
                <w:szCs w:val="17"/>
                <w:color w:val="auto"/>
              </w:rPr>
            </w:pPr>
          </w:p>
        </w:tc>
        <w:tc>
          <w:tcPr>
            <w:tcW w:w="1180" w:type="dxa"/>
            <w:vAlign w:val="bottom"/>
            <w:tcBorders>
              <w:top w:val="single" w:sz="8" w:color="auto"/>
              <w:bottom w:val="single" w:sz="8" w:color="auto"/>
            </w:tcBorders>
          </w:tcPr>
          <w:p>
            <w:pPr>
              <w:spacing w:after="0" w:line="197" w:lineRule="exact"/>
              <w:rPr>
                <w:sz w:val="20"/>
                <w:szCs w:val="20"/>
                <w:color w:val="auto"/>
              </w:rPr>
            </w:pPr>
            <w:r>
              <w:rPr>
                <w:rFonts w:ascii="Arial" w:cs="Arial" w:eastAsia="Arial" w:hAnsi="Arial"/>
                <w:sz w:val="22"/>
                <w:szCs w:val="22"/>
                <w:color w:val="auto"/>
                <w:w w:val="75"/>
              </w:rPr>
              <w:t>SUCCESSORS</w:t>
            </w:r>
          </w:p>
        </w:tc>
        <w:tc>
          <w:tcPr>
            <w:tcW w:w="100" w:type="dxa"/>
            <w:vAlign w:val="bottom"/>
            <w:tcBorders>
              <w:bottom w:val="single" w:sz="8" w:color="auto"/>
            </w:tcBorders>
            <w:gridSpan w:val="2"/>
          </w:tcPr>
          <w:p>
            <w:pPr>
              <w:spacing w:after="0"/>
              <w:rPr>
                <w:sz w:val="17"/>
                <w:szCs w:val="17"/>
                <w:color w:val="auto"/>
              </w:rPr>
            </w:pPr>
          </w:p>
        </w:tc>
        <w:tc>
          <w:tcPr>
            <w:tcW w:w="30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854"/>
        </w:trPr>
        <w:tc>
          <w:tcPr>
            <w:tcW w:w="1560" w:type="dxa"/>
            <w:vAlign w:val="bottom"/>
          </w:tcPr>
          <w:p>
            <w:pPr>
              <w:spacing w:after="0"/>
              <w:rPr>
                <w:sz w:val="20"/>
                <w:szCs w:val="20"/>
                <w:color w:val="auto"/>
              </w:rPr>
            </w:pPr>
            <w:r>
              <w:rPr>
                <w:rFonts w:ascii="Arial" w:cs="Arial" w:eastAsia="Arial" w:hAnsi="Arial"/>
                <w:sz w:val="22"/>
                <w:szCs w:val="22"/>
                <w:color w:val="auto"/>
              </w:rPr>
              <w:t>Section 5.01</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Merger, Consolidation, or Sale of Assets.</w:t>
            </w:r>
          </w:p>
        </w:tc>
        <w:tc>
          <w:tcPr>
            <w:tcW w:w="18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5.02</w:t>
            </w:r>
          </w:p>
        </w:tc>
        <w:tc>
          <w:tcPr>
            <w:tcW w:w="7840" w:type="dxa"/>
            <w:vAlign w:val="bottom"/>
            <w:gridSpan w:val="7"/>
          </w:tcPr>
          <w:p>
            <w:pPr>
              <w:ind w:left="500"/>
              <w:spacing w:after="0"/>
              <w:rPr>
                <w:sz w:val="20"/>
                <w:szCs w:val="20"/>
                <w:color w:val="auto"/>
              </w:rPr>
            </w:pPr>
            <w:r>
              <w:rPr>
                <w:rFonts w:ascii="Arial" w:cs="Arial" w:eastAsia="Arial" w:hAnsi="Arial"/>
                <w:sz w:val="22"/>
                <w:szCs w:val="22"/>
                <w:color w:val="auto"/>
              </w:rPr>
              <w:t>Successor Corporation Substituted.</w:t>
            </w:r>
          </w:p>
        </w:tc>
        <w:tc>
          <w:tcPr>
            <w:tcW w:w="1880" w:type="dxa"/>
            <w:vAlign w:val="bottom"/>
          </w:tcPr>
          <w:p>
            <w:pPr>
              <w:jc w:val="right"/>
              <w:spacing w:after="0"/>
              <w:rPr>
                <w:sz w:val="20"/>
                <w:szCs w:val="20"/>
                <w:color w:val="auto"/>
              </w:rPr>
            </w:pPr>
            <w:r>
              <w:rPr>
                <w:rFonts w:ascii="Arial" w:cs="Arial" w:eastAsia="Arial" w:hAnsi="Arial"/>
                <w:sz w:val="22"/>
                <w:szCs w:val="22"/>
                <w:color w:val="auto"/>
              </w:rPr>
              <w:t>60</w:t>
            </w:r>
          </w:p>
        </w:tc>
      </w:tr>
    </w:tbl>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54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22"/>
                <w:szCs w:val="22"/>
                <w:color w:val="auto"/>
                <w:w w:val="95"/>
              </w:rPr>
              <w:t>ARTICLE 6.</w:t>
            </w:r>
          </w:p>
        </w:tc>
        <w:tc>
          <w:tcPr>
            <w:tcW w:w="4580" w:type="dxa"/>
            <w:vAlign w:val="bottom"/>
            <w:gridSpan w:val="3"/>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60" w:type="dxa"/>
            <w:vAlign w:val="bottom"/>
            <w:gridSpan w:val="8"/>
          </w:tcPr>
          <w:p>
            <w:pPr>
              <w:jc w:val="center"/>
              <w:ind w:right="2460"/>
              <w:spacing w:after="0" w:line="197" w:lineRule="exact"/>
              <w:rPr>
                <w:sz w:val="20"/>
                <w:szCs w:val="20"/>
                <w:color w:val="auto"/>
              </w:rPr>
            </w:pPr>
            <w:r>
              <w:rPr>
                <w:rFonts w:ascii="Arial" w:cs="Arial" w:eastAsia="Arial" w:hAnsi="Arial"/>
                <w:sz w:val="22"/>
                <w:szCs w:val="22"/>
                <w:color w:val="auto"/>
                <w:w w:val="94"/>
              </w:rPr>
              <w:t>DEFAULTS AND REMEDIES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4"/>
        </w:trPr>
        <w:tc>
          <w:tcPr>
            <w:tcW w:w="1560" w:type="dxa"/>
            <w:vAlign w:val="bottom"/>
          </w:tcPr>
          <w:p>
            <w:pPr>
              <w:spacing w:after="0"/>
              <w:rPr>
                <w:sz w:val="20"/>
                <w:szCs w:val="20"/>
                <w:color w:val="auto"/>
              </w:rPr>
            </w:pPr>
            <w:r>
              <w:rPr>
                <w:rFonts w:ascii="Arial" w:cs="Arial" w:eastAsia="Arial" w:hAnsi="Arial"/>
                <w:sz w:val="22"/>
                <w:szCs w:val="22"/>
                <w:color w:val="auto"/>
              </w:rPr>
              <w:t>Section 6.01</w:t>
            </w:r>
          </w:p>
        </w:tc>
        <w:tc>
          <w:tcPr>
            <w:tcW w:w="2760" w:type="dxa"/>
            <w:vAlign w:val="bottom"/>
            <w:gridSpan w:val="2"/>
          </w:tcPr>
          <w:p>
            <w:pPr>
              <w:ind w:left="500"/>
              <w:spacing w:after="0"/>
              <w:rPr>
                <w:sz w:val="20"/>
                <w:szCs w:val="20"/>
                <w:color w:val="auto"/>
              </w:rPr>
            </w:pPr>
            <w:r>
              <w:rPr>
                <w:rFonts w:ascii="Arial" w:cs="Arial" w:eastAsia="Arial" w:hAnsi="Arial"/>
                <w:sz w:val="22"/>
                <w:szCs w:val="22"/>
                <w:color w:val="auto"/>
              </w:rPr>
              <w:t>Events of Default.</w:t>
            </w:r>
          </w:p>
        </w:tc>
        <w:tc>
          <w:tcPr>
            <w:tcW w:w="2720" w:type="dxa"/>
            <w:vAlign w:val="bottom"/>
            <w:tcBorders>
              <w:top w:val="single" w:sz="8" w:color="auto"/>
            </w:tcBorders>
            <w:gridSpan w:val="5"/>
          </w:tcPr>
          <w:p>
            <w:pPr>
              <w:spacing w:after="0"/>
              <w:rPr>
                <w:sz w:val="24"/>
                <w:szCs w:val="24"/>
                <w:color w:val="auto"/>
              </w:rPr>
            </w:pPr>
          </w:p>
        </w:tc>
        <w:tc>
          <w:tcPr>
            <w:tcW w:w="380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60</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6.02</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Acceleration.</w:t>
            </w:r>
          </w:p>
        </w:tc>
        <w:tc>
          <w:tcPr>
            <w:tcW w:w="4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6.03</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Other Remedies.</w:t>
            </w:r>
          </w:p>
        </w:tc>
        <w:tc>
          <w:tcPr>
            <w:tcW w:w="4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6.04</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Waiver of Past Defaults.</w:t>
            </w:r>
          </w:p>
        </w:tc>
        <w:tc>
          <w:tcPr>
            <w:tcW w:w="4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6.05</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Control by Majority.</w:t>
            </w:r>
          </w:p>
        </w:tc>
        <w:tc>
          <w:tcPr>
            <w:tcW w:w="440" w:type="dxa"/>
            <w:vAlign w:val="bottom"/>
          </w:tcPr>
          <w:p>
            <w:pPr>
              <w:jc w:val="right"/>
              <w:spacing w:after="0"/>
              <w:rPr>
                <w:sz w:val="20"/>
                <w:szCs w:val="20"/>
                <w:color w:val="auto"/>
              </w:rPr>
            </w:pPr>
            <w:r>
              <w:rPr>
                <w:rFonts w:ascii="Arial" w:cs="Arial" w:eastAsia="Arial" w:hAnsi="Arial"/>
                <w:sz w:val="22"/>
                <w:szCs w:val="22"/>
                <w:color w:val="auto"/>
              </w:rPr>
              <w:t>62</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6.06</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Limitation on Suits.</w:t>
            </w:r>
          </w:p>
        </w:tc>
        <w:tc>
          <w:tcPr>
            <w:tcW w:w="440" w:type="dxa"/>
            <w:vAlign w:val="bottom"/>
          </w:tcPr>
          <w:p>
            <w:pPr>
              <w:jc w:val="right"/>
              <w:spacing w:after="0"/>
              <w:rPr>
                <w:sz w:val="20"/>
                <w:szCs w:val="20"/>
                <w:color w:val="auto"/>
              </w:rPr>
            </w:pPr>
            <w:r>
              <w:rPr>
                <w:rFonts w:ascii="Arial" w:cs="Arial" w:eastAsia="Arial" w:hAnsi="Arial"/>
                <w:sz w:val="22"/>
                <w:szCs w:val="22"/>
                <w:color w:val="auto"/>
              </w:rPr>
              <w:t>63</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6.07</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Rights of Holders of Notes to Receive Payment.</w:t>
            </w:r>
          </w:p>
        </w:tc>
        <w:tc>
          <w:tcPr>
            <w:tcW w:w="44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6.08</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Collection Suit by Trustee.</w:t>
            </w:r>
          </w:p>
        </w:tc>
        <w:tc>
          <w:tcPr>
            <w:tcW w:w="44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6.09</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Trustee May File Proofs of Claim.</w:t>
            </w:r>
          </w:p>
        </w:tc>
        <w:tc>
          <w:tcPr>
            <w:tcW w:w="440" w:type="dxa"/>
            <w:vAlign w:val="bottom"/>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6.10</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Priorities.</w:t>
            </w:r>
          </w:p>
        </w:tc>
        <w:tc>
          <w:tcPr>
            <w:tcW w:w="44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6.11</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Undertaking for Costs.</w:t>
            </w:r>
          </w:p>
        </w:tc>
        <w:tc>
          <w:tcPr>
            <w:tcW w:w="44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638"/>
        </w:trPr>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6"/>
          </w:tcPr>
          <w:p>
            <w:pPr>
              <w:jc w:val="center"/>
              <w:ind w:right="4640"/>
              <w:spacing w:after="0"/>
              <w:rPr>
                <w:sz w:val="20"/>
                <w:szCs w:val="20"/>
                <w:color w:val="auto"/>
              </w:rPr>
            </w:pPr>
            <w:r>
              <w:rPr>
                <w:rFonts w:ascii="Arial" w:cs="Arial" w:eastAsia="Arial" w:hAnsi="Arial"/>
                <w:sz w:val="22"/>
                <w:szCs w:val="22"/>
                <w:color w:val="auto"/>
                <w:w w:val="95"/>
              </w:rPr>
              <w:t>ARTICLE 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line="197" w:lineRule="exact"/>
              <w:rPr>
                <w:sz w:val="20"/>
                <w:szCs w:val="20"/>
                <w:color w:val="auto"/>
              </w:rPr>
            </w:pPr>
            <w:r>
              <w:rPr>
                <w:rFonts w:ascii="Arial" w:cs="Arial" w:eastAsia="Arial" w:hAnsi="Arial"/>
                <w:sz w:val="22"/>
                <w:szCs w:val="22"/>
                <w:color w:val="auto"/>
                <w:w w:val="91"/>
              </w:rPr>
              <w:t>TRUSTEE</w:t>
            </w:r>
          </w:p>
        </w:tc>
        <w:tc>
          <w:tcPr>
            <w:tcW w:w="2100" w:type="dxa"/>
            <w:vAlign w:val="bottom"/>
            <w:gridSpan w:val="2"/>
          </w:tcPr>
          <w:p>
            <w:pPr>
              <w:spacing w:after="0"/>
              <w:rPr>
                <w:sz w:val="17"/>
                <w:szCs w:val="17"/>
                <w:color w:val="auto"/>
              </w:rPr>
            </w:pPr>
          </w:p>
        </w:tc>
        <w:tc>
          <w:tcPr>
            <w:tcW w:w="2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4"/>
        </w:trPr>
        <w:tc>
          <w:tcPr>
            <w:tcW w:w="1560" w:type="dxa"/>
            <w:vAlign w:val="bottom"/>
          </w:tcPr>
          <w:p>
            <w:pPr>
              <w:spacing w:after="0"/>
              <w:rPr>
                <w:sz w:val="20"/>
                <w:szCs w:val="20"/>
                <w:color w:val="auto"/>
              </w:rPr>
            </w:pPr>
            <w:r>
              <w:rPr>
                <w:rFonts w:ascii="Arial" w:cs="Arial" w:eastAsia="Arial" w:hAnsi="Arial"/>
                <w:sz w:val="22"/>
                <w:szCs w:val="22"/>
                <w:color w:val="auto"/>
              </w:rPr>
              <w:t>Section 7.01</w:t>
            </w:r>
          </w:p>
        </w:tc>
        <w:tc>
          <w:tcPr>
            <w:tcW w:w="3640" w:type="dxa"/>
            <w:vAlign w:val="bottom"/>
            <w:gridSpan w:val="4"/>
          </w:tcPr>
          <w:p>
            <w:pPr>
              <w:ind w:left="500"/>
              <w:spacing w:after="0"/>
              <w:rPr>
                <w:sz w:val="20"/>
                <w:szCs w:val="20"/>
                <w:color w:val="auto"/>
              </w:rPr>
            </w:pPr>
            <w:r>
              <w:rPr>
                <w:rFonts w:ascii="Arial" w:cs="Arial" w:eastAsia="Arial" w:hAnsi="Arial"/>
                <w:sz w:val="22"/>
                <w:szCs w:val="22"/>
                <w:color w:val="auto"/>
              </w:rPr>
              <w:t>Duties of Trustee.</w:t>
            </w:r>
          </w:p>
        </w:tc>
        <w:tc>
          <w:tcPr>
            <w:tcW w:w="940" w:type="dxa"/>
            <w:vAlign w:val="bottom"/>
            <w:tcBorders>
              <w:top w:val="single" w:sz="8" w:color="auto"/>
            </w:tcBorders>
          </w:tcPr>
          <w:p>
            <w:pPr>
              <w:spacing w:after="0"/>
              <w:rPr>
                <w:sz w:val="24"/>
                <w:szCs w:val="24"/>
                <w:color w:val="auto"/>
              </w:rPr>
            </w:pPr>
          </w:p>
        </w:tc>
        <w:tc>
          <w:tcPr>
            <w:tcW w:w="470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7.02</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Rights of Trustee.</w:t>
            </w:r>
          </w:p>
        </w:tc>
        <w:tc>
          <w:tcPr>
            <w:tcW w:w="440" w:type="dxa"/>
            <w:vAlign w:val="bottom"/>
          </w:tcPr>
          <w:p>
            <w:pPr>
              <w:jc w:val="right"/>
              <w:spacing w:after="0"/>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7.03</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Individual Rights of Trustee.</w:t>
            </w:r>
          </w:p>
        </w:tc>
        <w:tc>
          <w:tcPr>
            <w:tcW w:w="440" w:type="dxa"/>
            <w:vAlign w:val="bottom"/>
          </w:tcPr>
          <w:p>
            <w:pPr>
              <w:jc w:val="right"/>
              <w:spacing w:after="0"/>
              <w:rPr>
                <w:sz w:val="20"/>
                <w:szCs w:val="20"/>
                <w:color w:val="auto"/>
              </w:rPr>
            </w:pPr>
            <w:r>
              <w:rPr>
                <w:rFonts w:ascii="Arial" w:cs="Arial" w:eastAsia="Arial" w:hAnsi="Arial"/>
                <w:sz w:val="22"/>
                <w:szCs w:val="22"/>
                <w:color w:val="auto"/>
              </w:rPr>
              <w:t>67</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7.04</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Trustee’s Disclaimer.</w:t>
            </w:r>
          </w:p>
        </w:tc>
        <w:tc>
          <w:tcPr>
            <w:tcW w:w="4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7.05</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Notice of Defaults.</w:t>
            </w:r>
          </w:p>
        </w:tc>
        <w:tc>
          <w:tcPr>
            <w:tcW w:w="4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7.06</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Compensation and Indemnity.</w:t>
            </w:r>
          </w:p>
        </w:tc>
        <w:tc>
          <w:tcPr>
            <w:tcW w:w="440" w:type="dxa"/>
            <w:vAlign w:val="bottom"/>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7.07</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Replacement of Trustee.</w:t>
            </w:r>
          </w:p>
        </w:tc>
        <w:tc>
          <w:tcPr>
            <w:tcW w:w="440" w:type="dxa"/>
            <w:vAlign w:val="bottom"/>
          </w:tcPr>
          <w:p>
            <w:pPr>
              <w:jc w:val="right"/>
              <w:spacing w:after="0"/>
              <w:rPr>
                <w:sz w:val="20"/>
                <w:szCs w:val="20"/>
                <w:color w:val="auto"/>
              </w:rPr>
            </w:pPr>
            <w:r>
              <w:rPr>
                <w:rFonts w:ascii="Arial" w:cs="Arial" w:eastAsia="Arial" w:hAnsi="Arial"/>
                <w:sz w:val="22"/>
                <w:szCs w:val="22"/>
                <w:color w:val="auto"/>
              </w:rPr>
              <w:t>69</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7.08</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Successor Trustee by Merger, etc.</w:t>
            </w:r>
          </w:p>
        </w:tc>
        <w:tc>
          <w:tcPr>
            <w:tcW w:w="44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7.09</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Eligibility; Disqualification; Conflicting Interests.</w:t>
            </w:r>
          </w:p>
        </w:tc>
        <w:tc>
          <w:tcPr>
            <w:tcW w:w="44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7.10</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Preferential Collection of Claims Against the Issuers.</w:t>
            </w:r>
          </w:p>
        </w:tc>
        <w:tc>
          <w:tcPr>
            <w:tcW w:w="44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638"/>
        </w:trPr>
        <w:tc>
          <w:tcPr>
            <w:tcW w:w="1560" w:type="dxa"/>
            <w:vAlign w:val="bottom"/>
          </w:tcPr>
          <w:p>
            <w:pPr>
              <w:spacing w:after="0"/>
              <w:rPr>
                <w:sz w:val="24"/>
                <w:szCs w:val="24"/>
                <w:color w:val="auto"/>
              </w:rPr>
            </w:pPr>
          </w:p>
        </w:tc>
        <w:tc>
          <w:tcPr>
            <w:tcW w:w="3520" w:type="dxa"/>
            <w:vAlign w:val="bottom"/>
            <w:gridSpan w:val="3"/>
            <w:vMerge w:val="restart"/>
          </w:tcPr>
          <w:p>
            <w:pPr>
              <w:ind w:left="1420"/>
              <w:spacing w:after="0"/>
              <w:rPr>
                <w:sz w:val="20"/>
                <w:szCs w:val="20"/>
                <w:color w:val="auto"/>
              </w:rPr>
            </w:pPr>
            <w:r>
              <w:rPr>
                <w:rFonts w:ascii="Arial" w:cs="Arial" w:eastAsia="Arial" w:hAnsi="Arial"/>
                <w:sz w:val="22"/>
                <w:szCs w:val="22"/>
                <w:color w:val="auto"/>
                <w:w w:val="91"/>
              </w:rPr>
              <w:t>LEGAL DEFEASANCE</w:t>
            </w:r>
          </w:p>
        </w:tc>
        <w:tc>
          <w:tcPr>
            <w:tcW w:w="11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22"/>
                <w:szCs w:val="22"/>
                <w:color w:val="auto"/>
                <w:w w:val="95"/>
              </w:rPr>
              <w:t>ARTICLE 8.</w:t>
            </w:r>
          </w:p>
        </w:tc>
        <w:tc>
          <w:tcPr>
            <w:tcW w:w="458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3520" w:type="dxa"/>
            <w:vAlign w:val="bottom"/>
            <w:gridSpan w:val="3"/>
            <w:vMerge w:val="continue"/>
          </w:tcPr>
          <w:p>
            <w:pPr>
              <w:spacing w:after="0"/>
              <w:rPr>
                <w:sz w:val="17"/>
                <w:szCs w:val="17"/>
                <w:color w:val="auto"/>
              </w:rPr>
            </w:pPr>
          </w:p>
        </w:tc>
        <w:tc>
          <w:tcPr>
            <w:tcW w:w="5760" w:type="dxa"/>
            <w:vAlign w:val="bottom"/>
            <w:gridSpan w:val="6"/>
          </w:tcPr>
          <w:p>
            <w:pPr>
              <w:ind w:left="120"/>
              <w:spacing w:after="0" w:line="197" w:lineRule="exact"/>
              <w:rPr>
                <w:sz w:val="20"/>
                <w:szCs w:val="20"/>
                <w:color w:val="auto"/>
              </w:rPr>
            </w:pPr>
            <w:r>
              <w:rPr>
                <w:rFonts w:ascii="Arial" w:cs="Arial" w:eastAsia="Arial" w:hAnsi="Arial"/>
                <w:sz w:val="22"/>
                <w:szCs w:val="22"/>
                <w:color w:val="auto"/>
              </w:rPr>
              <w:t>AND COVENANT DEFEASANCE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80" w:type="dxa"/>
            <w:vAlign w:val="bottom"/>
            <w:gridSpan w:val="7"/>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1560" w:type="dxa"/>
            <w:vAlign w:val="bottom"/>
          </w:tcPr>
          <w:p>
            <w:pPr>
              <w:spacing w:after="0"/>
              <w:rPr>
                <w:sz w:val="20"/>
                <w:szCs w:val="20"/>
                <w:color w:val="auto"/>
              </w:rPr>
            </w:pPr>
            <w:r>
              <w:rPr>
                <w:rFonts w:ascii="Arial" w:cs="Arial" w:eastAsia="Arial" w:hAnsi="Arial"/>
                <w:sz w:val="22"/>
                <w:szCs w:val="22"/>
                <w:color w:val="auto"/>
              </w:rPr>
              <w:t>Section 8.01</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Option to Effect Legal Defeasance or Covenant Defeasance.</w:t>
            </w:r>
          </w:p>
        </w:tc>
        <w:tc>
          <w:tcPr>
            <w:tcW w:w="44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8.02</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Legal Defeasance and Discharge.</w:t>
            </w:r>
          </w:p>
        </w:tc>
        <w:tc>
          <w:tcPr>
            <w:tcW w:w="440" w:type="dxa"/>
            <w:vAlign w:val="bottom"/>
          </w:tcPr>
          <w:p>
            <w:pPr>
              <w:jc w:val="right"/>
              <w:spacing w:after="0"/>
              <w:rPr>
                <w:sz w:val="20"/>
                <w:szCs w:val="20"/>
                <w:color w:val="auto"/>
              </w:rPr>
            </w:pPr>
            <w:r>
              <w:rPr>
                <w:rFonts w:ascii="Arial" w:cs="Arial" w:eastAsia="Arial" w:hAnsi="Arial"/>
                <w:sz w:val="22"/>
                <w:szCs w:val="22"/>
                <w:color w:val="auto"/>
              </w:rPr>
              <w:t>70</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8.03</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Covenant Defeasance.</w:t>
            </w:r>
          </w:p>
        </w:tc>
        <w:tc>
          <w:tcPr>
            <w:tcW w:w="440" w:type="dxa"/>
            <w:vAlign w:val="bottom"/>
          </w:tcPr>
          <w:p>
            <w:pPr>
              <w:jc w:val="right"/>
              <w:spacing w:after="0"/>
              <w:rPr>
                <w:sz w:val="20"/>
                <w:szCs w:val="20"/>
                <w:color w:val="auto"/>
              </w:rPr>
            </w:pPr>
            <w:r>
              <w:rPr>
                <w:rFonts w:ascii="Arial" w:cs="Arial" w:eastAsia="Arial" w:hAnsi="Arial"/>
                <w:sz w:val="22"/>
                <w:szCs w:val="22"/>
                <w:color w:val="auto"/>
              </w:rPr>
              <w:t>71</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8.04</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Conditions to Legal or Covenant Defeasance.</w:t>
            </w:r>
          </w:p>
        </w:tc>
        <w:tc>
          <w:tcPr>
            <w:tcW w:w="440" w:type="dxa"/>
            <w:vAlign w:val="bottom"/>
          </w:tcPr>
          <w:p>
            <w:pPr>
              <w:jc w:val="right"/>
              <w:spacing w:after="0"/>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8.05</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w w:val="91"/>
              </w:rPr>
              <w:t>Deposited Money and Government Securities to be Held in Trust; Other Miscellaneous Provisions.</w:t>
            </w:r>
          </w:p>
        </w:tc>
        <w:tc>
          <w:tcPr>
            <w:tcW w:w="440" w:type="dxa"/>
            <w:vAlign w:val="bottom"/>
          </w:tcPr>
          <w:p>
            <w:pPr>
              <w:jc w:val="right"/>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8.06</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Repayment to Issuers.</w:t>
            </w:r>
          </w:p>
        </w:tc>
        <w:tc>
          <w:tcPr>
            <w:tcW w:w="440" w:type="dxa"/>
            <w:vAlign w:val="bottom"/>
          </w:tcPr>
          <w:p>
            <w:pPr>
              <w:jc w:val="right"/>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97"/>
        </w:trPr>
        <w:tc>
          <w:tcPr>
            <w:tcW w:w="1560" w:type="dxa"/>
            <w:vAlign w:val="bottom"/>
          </w:tcPr>
          <w:p>
            <w:pPr>
              <w:spacing w:after="0"/>
              <w:rPr>
                <w:sz w:val="20"/>
                <w:szCs w:val="20"/>
                <w:color w:val="auto"/>
              </w:rPr>
            </w:pPr>
            <w:r>
              <w:rPr>
                <w:rFonts w:ascii="Arial" w:cs="Arial" w:eastAsia="Arial" w:hAnsi="Arial"/>
                <w:sz w:val="22"/>
                <w:szCs w:val="22"/>
                <w:color w:val="auto"/>
              </w:rPr>
              <w:t>Section 8.07</w:t>
            </w:r>
          </w:p>
        </w:tc>
        <w:tc>
          <w:tcPr>
            <w:tcW w:w="9280" w:type="dxa"/>
            <w:vAlign w:val="bottom"/>
            <w:gridSpan w:val="9"/>
          </w:tcPr>
          <w:p>
            <w:pPr>
              <w:ind w:left="500"/>
              <w:spacing w:after="0"/>
              <w:rPr>
                <w:sz w:val="20"/>
                <w:szCs w:val="20"/>
                <w:color w:val="auto"/>
              </w:rPr>
            </w:pPr>
            <w:r>
              <w:rPr>
                <w:rFonts w:ascii="Arial" w:cs="Arial" w:eastAsia="Arial" w:hAnsi="Arial"/>
                <w:sz w:val="22"/>
                <w:szCs w:val="22"/>
                <w:color w:val="auto"/>
              </w:rPr>
              <w:t>Reinstatement.</w:t>
            </w:r>
          </w:p>
        </w:tc>
        <w:tc>
          <w:tcPr>
            <w:tcW w:w="440" w:type="dxa"/>
            <w:vAlign w:val="bottom"/>
          </w:tcPr>
          <w:p>
            <w:pPr>
              <w:jc w:val="right"/>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80"/>
          </w:cols>
          <w:pgMar w:left="280" w:top="535" w:right="3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22"/>
          <w:szCs w:val="22"/>
          <w:u w:val="single" w:color="auto"/>
          <w:color w:val="auto"/>
        </w:rPr>
        <w:t>ARTICLE 9.</w:t>
      </w:r>
    </w:p>
    <w:p>
      <w:pPr>
        <w:jc w:val="center"/>
        <w:ind w:right="-59"/>
        <w:spacing w:after="0"/>
        <w:rPr>
          <w:sz w:val="20"/>
          <w:szCs w:val="20"/>
          <w:color w:val="auto"/>
        </w:rPr>
      </w:pPr>
      <w:r>
        <w:rPr>
          <w:rFonts w:ascii="Arial" w:cs="Arial" w:eastAsia="Arial" w:hAnsi="Arial"/>
          <w:sz w:val="22"/>
          <w:szCs w:val="22"/>
          <w:u w:val="single" w:color="auto"/>
          <w:color w:val="auto"/>
        </w:rPr>
        <w:t>AMENDMENT, SUPPLEMENT AND WAIVER</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9.01</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Without Consent of Holders of Notes.</w:t>
            </w:r>
          </w:p>
        </w:tc>
        <w:tc>
          <w:tcPr>
            <w:tcW w:w="39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9.02</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With Consent of Holders of Notes.</w:t>
            </w:r>
          </w:p>
        </w:tc>
        <w:tc>
          <w:tcPr>
            <w:tcW w:w="39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9.03</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Revocation and Effect of Consents.</w:t>
            </w:r>
          </w:p>
        </w:tc>
        <w:tc>
          <w:tcPr>
            <w:tcW w:w="3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9.04</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Notation on or Exchange of Notes.</w:t>
            </w:r>
          </w:p>
        </w:tc>
        <w:tc>
          <w:tcPr>
            <w:tcW w:w="3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9.05</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Trustee to Sign Amendments, etc.</w:t>
            </w:r>
          </w:p>
        </w:tc>
        <w:tc>
          <w:tcPr>
            <w:tcW w:w="3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638"/>
        </w:trPr>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6"/>
          </w:tcPr>
          <w:p>
            <w:pPr>
              <w:jc w:val="center"/>
              <w:ind w:right="1060"/>
              <w:spacing w:after="0"/>
              <w:rPr>
                <w:sz w:val="20"/>
                <w:szCs w:val="20"/>
                <w:color w:val="auto"/>
              </w:rPr>
            </w:pPr>
            <w:r>
              <w:rPr>
                <w:rFonts w:ascii="Arial" w:cs="Arial" w:eastAsia="Arial" w:hAnsi="Arial"/>
                <w:sz w:val="22"/>
                <w:szCs w:val="22"/>
                <w:color w:val="auto"/>
                <w:w w:val="94"/>
              </w:rPr>
              <w:t>ARTICLE 10.</w:t>
            </w:r>
          </w:p>
        </w:tc>
        <w:tc>
          <w:tcPr>
            <w:tcW w:w="396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spacing w:after="0" w:line="197" w:lineRule="exact"/>
              <w:rPr>
                <w:sz w:val="20"/>
                <w:szCs w:val="20"/>
                <w:color w:val="auto"/>
              </w:rPr>
            </w:pPr>
            <w:r>
              <w:rPr>
                <w:rFonts w:ascii="Arial" w:cs="Arial" w:eastAsia="Arial" w:hAnsi="Arial"/>
                <w:sz w:val="22"/>
                <w:szCs w:val="22"/>
                <w:color w:val="auto"/>
                <w:w w:val="93"/>
              </w:rPr>
              <w:t>[RESERVED]</w:t>
            </w:r>
          </w:p>
        </w:tc>
        <w:tc>
          <w:tcPr>
            <w:tcW w:w="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628"/>
        </w:trPr>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4"/>
              </w:rPr>
              <w:t>ARTICLE 11.</w:t>
            </w:r>
          </w:p>
        </w:tc>
        <w:tc>
          <w:tcPr>
            <w:tcW w:w="1020" w:type="dxa"/>
            <w:vAlign w:val="bottom"/>
            <w:gridSpan w:val="4"/>
          </w:tcPr>
          <w:p>
            <w:pPr>
              <w:spacing w:after="0"/>
              <w:rPr>
                <w:sz w:val="24"/>
                <w:szCs w:val="24"/>
                <w:color w:val="auto"/>
              </w:rPr>
            </w:pPr>
          </w:p>
        </w:tc>
        <w:tc>
          <w:tcPr>
            <w:tcW w:w="396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80" w:type="dxa"/>
            <w:vAlign w:val="bottom"/>
            <w:gridSpan w:val="7"/>
          </w:tcPr>
          <w:p>
            <w:pPr>
              <w:jc w:val="center"/>
              <w:ind w:right="620"/>
              <w:spacing w:after="0" w:line="197" w:lineRule="exact"/>
              <w:rPr>
                <w:sz w:val="20"/>
                <w:szCs w:val="20"/>
                <w:color w:val="auto"/>
              </w:rPr>
            </w:pPr>
            <w:r>
              <w:rPr>
                <w:rFonts w:ascii="Arial" w:cs="Arial" w:eastAsia="Arial" w:hAnsi="Arial"/>
                <w:sz w:val="22"/>
                <w:szCs w:val="22"/>
                <w:color w:val="auto"/>
                <w:w w:val="94"/>
              </w:rPr>
              <w:t>NOTE GUARANTEES</w:t>
            </w:r>
          </w:p>
        </w:tc>
        <w:tc>
          <w:tcPr>
            <w:tcW w:w="3960" w:type="dxa"/>
            <w:vAlign w:val="bottom"/>
          </w:tcPr>
          <w:p>
            <w:pPr>
              <w:spacing w:after="0"/>
              <w:rPr>
                <w:sz w:val="17"/>
                <w:szCs w:val="17"/>
                <w:color w:val="auto"/>
              </w:rPr>
            </w:pPr>
          </w:p>
        </w:tc>
      </w:tr>
      <w:tr>
        <w:trPr>
          <w:trHeight w:val="854"/>
        </w:trPr>
        <w:tc>
          <w:tcPr>
            <w:tcW w:w="1620" w:type="dxa"/>
            <w:vAlign w:val="bottom"/>
          </w:tcPr>
          <w:p>
            <w:pPr>
              <w:spacing w:after="0"/>
              <w:rPr>
                <w:sz w:val="20"/>
                <w:szCs w:val="20"/>
                <w:color w:val="auto"/>
              </w:rPr>
            </w:pPr>
            <w:r>
              <w:rPr>
                <w:rFonts w:ascii="Arial" w:cs="Arial" w:eastAsia="Arial" w:hAnsi="Arial"/>
                <w:sz w:val="22"/>
                <w:szCs w:val="22"/>
                <w:color w:val="auto"/>
              </w:rPr>
              <w:t>Section 11.01</w:t>
            </w:r>
          </w:p>
        </w:tc>
        <w:tc>
          <w:tcPr>
            <w:tcW w:w="3020" w:type="dxa"/>
            <w:vAlign w:val="bottom"/>
            <w:gridSpan w:val="3"/>
          </w:tcPr>
          <w:p>
            <w:pPr>
              <w:ind w:left="440"/>
              <w:spacing w:after="0"/>
              <w:rPr>
                <w:sz w:val="20"/>
                <w:szCs w:val="20"/>
                <w:color w:val="auto"/>
              </w:rPr>
            </w:pPr>
            <w:r>
              <w:rPr>
                <w:rFonts w:ascii="Arial" w:cs="Arial" w:eastAsia="Arial" w:hAnsi="Arial"/>
                <w:sz w:val="22"/>
                <w:szCs w:val="22"/>
                <w:color w:val="auto"/>
              </w:rPr>
              <w:t>Note Guarantee.</w:t>
            </w:r>
          </w:p>
        </w:tc>
        <w:tc>
          <w:tcPr>
            <w:tcW w:w="2060" w:type="dxa"/>
            <w:vAlign w:val="bottom"/>
            <w:tcBorders>
              <w:top w:val="single" w:sz="8" w:color="auto"/>
            </w:tcBorders>
            <w:gridSpan w:val="5"/>
          </w:tcPr>
          <w:p>
            <w:pPr>
              <w:spacing w:after="0"/>
              <w:rPr>
                <w:sz w:val="24"/>
                <w:szCs w:val="24"/>
                <w:color w:val="auto"/>
              </w:rPr>
            </w:pPr>
          </w:p>
        </w:tc>
        <w:tc>
          <w:tcPr>
            <w:tcW w:w="620" w:type="dxa"/>
            <w:vAlign w:val="bottom"/>
            <w:gridSpan w:val="2"/>
          </w:tcPr>
          <w:p>
            <w:pPr>
              <w:spacing w:after="0"/>
              <w:rPr>
                <w:sz w:val="24"/>
                <w:szCs w:val="24"/>
                <w:color w:val="auto"/>
              </w:rPr>
            </w:pPr>
          </w:p>
        </w:tc>
        <w:tc>
          <w:tcPr>
            <w:tcW w:w="3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11.02</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Limitation on Guarantor Liability.</w:t>
            </w:r>
          </w:p>
        </w:tc>
        <w:tc>
          <w:tcPr>
            <w:tcW w:w="3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11.03</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Execution and Delivery of Note Guarantee.</w:t>
            </w:r>
          </w:p>
        </w:tc>
        <w:tc>
          <w:tcPr>
            <w:tcW w:w="3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11.04</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Guarantors May Consolidate, etc., on Certain Terms.</w:t>
            </w:r>
          </w:p>
        </w:tc>
        <w:tc>
          <w:tcPr>
            <w:tcW w:w="3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11.05</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Release of Guarantees.</w:t>
            </w:r>
          </w:p>
        </w:tc>
        <w:tc>
          <w:tcPr>
            <w:tcW w:w="3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11.06</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Additional Note Guarantees.</w:t>
            </w:r>
          </w:p>
        </w:tc>
        <w:tc>
          <w:tcPr>
            <w:tcW w:w="39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638"/>
        </w:trPr>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22"/>
                <w:szCs w:val="22"/>
                <w:color w:val="auto"/>
                <w:w w:val="94"/>
              </w:rPr>
              <w:t>ARTICLE 12.</w:t>
            </w:r>
          </w:p>
        </w:tc>
        <w:tc>
          <w:tcPr>
            <w:tcW w:w="1000" w:type="dxa"/>
            <w:vAlign w:val="bottom"/>
            <w:gridSpan w:val="3"/>
          </w:tcPr>
          <w:p>
            <w:pPr>
              <w:spacing w:after="0"/>
              <w:rPr>
                <w:sz w:val="24"/>
                <w:szCs w:val="24"/>
                <w:color w:val="auto"/>
              </w:rPr>
            </w:pPr>
          </w:p>
        </w:tc>
        <w:tc>
          <w:tcPr>
            <w:tcW w:w="396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300" w:type="dxa"/>
            <w:vAlign w:val="bottom"/>
            <w:tcBorders>
              <w:bottom w:val="single" w:sz="8" w:color="auto"/>
            </w:tcBorders>
            <w:gridSpan w:val="6"/>
          </w:tcPr>
          <w:p>
            <w:pPr>
              <w:spacing w:after="0" w:line="197" w:lineRule="exact"/>
              <w:rPr>
                <w:sz w:val="20"/>
                <w:szCs w:val="20"/>
                <w:color w:val="auto"/>
              </w:rPr>
            </w:pPr>
            <w:r>
              <w:rPr>
                <w:rFonts w:ascii="Arial" w:cs="Arial" w:eastAsia="Arial" w:hAnsi="Arial"/>
                <w:sz w:val="22"/>
                <w:szCs w:val="22"/>
                <w:color w:val="auto"/>
              </w:rPr>
              <w:t>SATISFACTION AND</w:t>
            </w:r>
          </w:p>
        </w:tc>
        <w:tc>
          <w:tcPr>
            <w:tcW w:w="1000" w:type="dxa"/>
            <w:vAlign w:val="bottom"/>
            <w:tcBorders>
              <w:bottom w:val="single" w:sz="8" w:color="auto"/>
            </w:tcBorders>
            <w:gridSpan w:val="3"/>
          </w:tcPr>
          <w:p>
            <w:pPr>
              <w:spacing w:after="0" w:line="197" w:lineRule="exact"/>
              <w:rPr>
                <w:sz w:val="20"/>
                <w:szCs w:val="20"/>
                <w:color w:val="auto"/>
              </w:rPr>
            </w:pPr>
            <w:r>
              <w:rPr>
                <w:rFonts w:ascii="Arial" w:cs="Arial" w:eastAsia="Arial" w:hAnsi="Arial"/>
                <w:sz w:val="22"/>
                <w:szCs w:val="22"/>
                <w:color w:val="auto"/>
                <w:w w:val="74"/>
              </w:rPr>
              <w:t>DISCHARGE</w:t>
            </w:r>
          </w:p>
        </w:tc>
        <w:tc>
          <w:tcPr>
            <w:tcW w:w="3960" w:type="dxa"/>
            <w:vAlign w:val="bottom"/>
          </w:tcPr>
          <w:p>
            <w:pPr>
              <w:spacing w:after="0"/>
              <w:rPr>
                <w:sz w:val="17"/>
                <w:szCs w:val="17"/>
                <w:color w:val="auto"/>
              </w:rPr>
            </w:pPr>
          </w:p>
        </w:tc>
      </w:tr>
      <w:tr>
        <w:trPr>
          <w:trHeight w:val="854"/>
        </w:trPr>
        <w:tc>
          <w:tcPr>
            <w:tcW w:w="1620" w:type="dxa"/>
            <w:vAlign w:val="bottom"/>
          </w:tcPr>
          <w:p>
            <w:pPr>
              <w:spacing w:after="0"/>
              <w:rPr>
                <w:sz w:val="20"/>
                <w:szCs w:val="20"/>
                <w:color w:val="auto"/>
              </w:rPr>
            </w:pPr>
            <w:r>
              <w:rPr>
                <w:rFonts w:ascii="Arial" w:cs="Arial" w:eastAsia="Arial" w:hAnsi="Arial"/>
                <w:sz w:val="22"/>
                <w:szCs w:val="22"/>
                <w:color w:val="auto"/>
              </w:rPr>
              <w:t>Section 12.01</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Satisfaction and Discharge.</w:t>
            </w:r>
          </w:p>
        </w:tc>
        <w:tc>
          <w:tcPr>
            <w:tcW w:w="39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12.02</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Application of Trust Money.</w:t>
            </w:r>
          </w:p>
        </w:tc>
        <w:tc>
          <w:tcPr>
            <w:tcW w:w="39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638"/>
        </w:trPr>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22"/>
                <w:szCs w:val="22"/>
                <w:color w:val="auto"/>
                <w:w w:val="94"/>
              </w:rPr>
              <w:t>ARTICLE 13.</w:t>
            </w:r>
          </w:p>
        </w:tc>
        <w:tc>
          <w:tcPr>
            <w:tcW w:w="1000" w:type="dxa"/>
            <w:vAlign w:val="bottom"/>
            <w:gridSpan w:val="3"/>
          </w:tcPr>
          <w:p>
            <w:pPr>
              <w:spacing w:after="0"/>
              <w:rPr>
                <w:sz w:val="24"/>
                <w:szCs w:val="24"/>
                <w:color w:val="auto"/>
              </w:rPr>
            </w:pPr>
          </w:p>
        </w:tc>
        <w:tc>
          <w:tcPr>
            <w:tcW w:w="396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5"/>
          </w:tcPr>
          <w:p>
            <w:pPr>
              <w:spacing w:after="0" w:line="197" w:lineRule="exact"/>
              <w:rPr>
                <w:sz w:val="20"/>
                <w:szCs w:val="20"/>
                <w:color w:val="auto"/>
              </w:rPr>
            </w:pPr>
            <w:r>
              <w:rPr>
                <w:rFonts w:ascii="Arial" w:cs="Arial" w:eastAsia="Arial" w:hAnsi="Arial"/>
                <w:sz w:val="22"/>
                <w:szCs w:val="22"/>
                <w:color w:val="auto"/>
              </w:rPr>
              <w:t>JOINT AND SEVERAL</w:t>
            </w:r>
          </w:p>
        </w:tc>
        <w:tc>
          <w:tcPr>
            <w:tcW w:w="1000" w:type="dxa"/>
            <w:vAlign w:val="bottom"/>
            <w:gridSpan w:val="3"/>
          </w:tcPr>
          <w:p>
            <w:pPr>
              <w:spacing w:after="0" w:line="197" w:lineRule="exact"/>
              <w:rPr>
                <w:sz w:val="20"/>
                <w:szCs w:val="20"/>
                <w:color w:val="auto"/>
              </w:rPr>
            </w:pPr>
            <w:r>
              <w:rPr>
                <w:rFonts w:ascii="Arial" w:cs="Arial" w:eastAsia="Arial" w:hAnsi="Arial"/>
                <w:sz w:val="22"/>
                <w:szCs w:val="22"/>
                <w:color w:val="auto"/>
                <w:w w:val="97"/>
              </w:rPr>
              <w:t>LIABILITY</w:t>
            </w:r>
          </w:p>
        </w:tc>
        <w:tc>
          <w:tcPr>
            <w:tcW w:w="396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60" w:type="dxa"/>
            <w:vAlign w:val="bottom"/>
            <w:gridSpan w:val="7"/>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854"/>
        </w:trPr>
        <w:tc>
          <w:tcPr>
            <w:tcW w:w="1620" w:type="dxa"/>
            <w:vAlign w:val="bottom"/>
          </w:tcPr>
          <w:p>
            <w:pPr>
              <w:spacing w:after="0"/>
              <w:rPr>
                <w:sz w:val="20"/>
                <w:szCs w:val="20"/>
                <w:color w:val="auto"/>
              </w:rPr>
            </w:pPr>
            <w:r>
              <w:rPr>
                <w:rFonts w:ascii="Arial" w:cs="Arial" w:eastAsia="Arial" w:hAnsi="Arial"/>
                <w:sz w:val="22"/>
                <w:szCs w:val="22"/>
                <w:color w:val="auto"/>
              </w:rPr>
              <w:t>Section 13.01</w:t>
            </w:r>
          </w:p>
        </w:tc>
        <w:tc>
          <w:tcPr>
            <w:tcW w:w="5700" w:type="dxa"/>
            <w:vAlign w:val="bottom"/>
            <w:gridSpan w:val="10"/>
          </w:tcPr>
          <w:p>
            <w:pPr>
              <w:ind w:left="440"/>
              <w:spacing w:after="0"/>
              <w:rPr>
                <w:sz w:val="20"/>
                <w:szCs w:val="20"/>
                <w:color w:val="auto"/>
              </w:rPr>
            </w:pPr>
            <w:r>
              <w:rPr>
                <w:rFonts w:ascii="Arial" w:cs="Arial" w:eastAsia="Arial" w:hAnsi="Arial"/>
                <w:sz w:val="22"/>
                <w:szCs w:val="22"/>
                <w:color w:val="auto"/>
              </w:rPr>
              <w:t>Joint and Several Liability.</w:t>
            </w:r>
          </w:p>
        </w:tc>
        <w:tc>
          <w:tcPr>
            <w:tcW w:w="39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743"/>
        </w:trPr>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5"/>
          </w:tcPr>
          <w:p>
            <w:pPr>
              <w:jc w:val="center"/>
              <w:ind w:right="1020"/>
              <w:spacing w:after="0"/>
              <w:rPr>
                <w:sz w:val="20"/>
                <w:szCs w:val="20"/>
                <w:color w:val="auto"/>
              </w:rPr>
            </w:pPr>
            <w:r>
              <w:rPr>
                <w:rFonts w:ascii="Arial" w:cs="Arial" w:eastAsia="Arial" w:hAnsi="Arial"/>
                <w:sz w:val="22"/>
                <w:szCs w:val="22"/>
                <w:color w:val="auto"/>
              </w:rPr>
              <w:t>iv</w:t>
            </w:r>
          </w:p>
        </w:tc>
        <w:tc>
          <w:tcPr>
            <w:tcW w:w="3960" w:type="dxa"/>
            <w:vAlign w:val="bottom"/>
          </w:tcPr>
          <w:p>
            <w:pPr>
              <w:spacing w:after="0"/>
              <w:rPr>
                <w:sz w:val="24"/>
                <w:szCs w:val="24"/>
                <w:color w:val="auto"/>
              </w:rPr>
            </w:pPr>
          </w:p>
        </w:tc>
      </w:tr>
    </w:tbl>
    <w:p>
      <w:pPr>
        <w:sectPr>
          <w:pgSz w:w="11900" w:h="16838" w:orient="portrait"/>
          <w:cols w:equalWidth="0" w:num="1">
            <w:col w:w="11280"/>
          </w:cols>
          <w:pgMar w:left="280" w:top="545" w:right="339" w:bottom="1440" w:gutter="0" w:footer="0" w:header="0"/>
        </w:sectPr>
      </w:pPr>
    </w:p>
    <w:bookmarkStart w:id="61" w:name="page62"/>
    <w:bookmarkEnd w:id="61"/>
    <w:p>
      <w:pPr>
        <w:ind w:left="5040"/>
        <w:spacing w:after="0"/>
        <w:rPr>
          <w:sz w:val="20"/>
          <w:szCs w:val="20"/>
          <w:color w:val="auto"/>
        </w:rPr>
      </w:pPr>
      <w:r>
        <w:rPr>
          <w:rFonts w:ascii="Arial" w:cs="Arial" w:eastAsia="Arial" w:hAnsi="Arial"/>
          <w:sz w:val="22"/>
          <w:szCs w:val="22"/>
          <w:u w:val="single" w:color="auto"/>
          <w:color w:val="auto"/>
        </w:rPr>
        <w:t>ARTICLE 14.</w:t>
      </w:r>
    </w:p>
    <w:p>
      <w:pPr>
        <w:ind w:left="4780"/>
        <w:spacing w:after="0"/>
        <w:rPr>
          <w:sz w:val="20"/>
          <w:szCs w:val="20"/>
          <w:color w:val="auto"/>
        </w:rPr>
      </w:pPr>
      <w:r>
        <w:rPr>
          <w:rFonts w:ascii="Arial" w:cs="Arial" w:eastAsia="Arial" w:hAnsi="Arial"/>
          <w:sz w:val="22"/>
          <w:szCs w:val="22"/>
          <w:u w:val="single" w:color="auto"/>
          <w:color w:val="auto"/>
        </w:rPr>
        <w:t>MISCELLANEOUS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14.01</w:t>
            </w:r>
          </w:p>
        </w:tc>
        <w:tc>
          <w:tcPr>
            <w:tcW w:w="8240" w:type="dxa"/>
            <w:vAlign w:val="bottom"/>
          </w:tcPr>
          <w:p>
            <w:pPr>
              <w:ind w:left="440"/>
              <w:spacing w:after="0"/>
              <w:rPr>
                <w:sz w:val="20"/>
                <w:szCs w:val="20"/>
                <w:color w:val="auto"/>
              </w:rPr>
            </w:pPr>
            <w:r>
              <w:rPr>
                <w:rFonts w:ascii="Arial" w:cs="Arial" w:eastAsia="Arial" w:hAnsi="Arial"/>
                <w:sz w:val="22"/>
                <w:szCs w:val="22"/>
                <w:color w:val="auto"/>
              </w:rPr>
              <w:t>Notices.</w:t>
            </w:r>
          </w:p>
        </w:tc>
        <w:tc>
          <w:tcPr>
            <w:tcW w:w="1420" w:type="dxa"/>
            <w:vAlign w:val="bottom"/>
          </w:tcPr>
          <w:p>
            <w:pPr>
              <w:jc w:val="right"/>
              <w:spacing w:after="0"/>
              <w:rPr>
                <w:sz w:val="20"/>
                <w:szCs w:val="20"/>
                <w:color w:val="auto"/>
              </w:rPr>
            </w:pPr>
            <w:r>
              <w:rPr>
                <w:rFonts w:ascii="Arial" w:cs="Arial" w:eastAsia="Arial" w:hAnsi="Arial"/>
                <w:sz w:val="22"/>
                <w:szCs w:val="22"/>
                <w:color w:val="auto"/>
              </w:rPr>
              <w:t>84</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14.02</w:t>
            </w:r>
          </w:p>
        </w:tc>
        <w:tc>
          <w:tcPr>
            <w:tcW w:w="8240" w:type="dxa"/>
            <w:vAlign w:val="bottom"/>
          </w:tcPr>
          <w:p>
            <w:pPr>
              <w:ind w:left="440"/>
              <w:spacing w:after="0"/>
              <w:rPr>
                <w:sz w:val="20"/>
                <w:szCs w:val="20"/>
                <w:color w:val="auto"/>
              </w:rPr>
            </w:pPr>
            <w:r>
              <w:rPr>
                <w:rFonts w:ascii="Arial" w:cs="Arial" w:eastAsia="Arial" w:hAnsi="Arial"/>
                <w:sz w:val="22"/>
                <w:szCs w:val="22"/>
                <w:color w:val="auto"/>
              </w:rPr>
              <w:t>Certificate and Opinion as to Conditions Precedent.</w:t>
            </w:r>
          </w:p>
        </w:tc>
        <w:tc>
          <w:tcPr>
            <w:tcW w:w="14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14.03</w:t>
            </w:r>
          </w:p>
        </w:tc>
        <w:tc>
          <w:tcPr>
            <w:tcW w:w="8240" w:type="dxa"/>
            <w:vAlign w:val="bottom"/>
          </w:tcPr>
          <w:p>
            <w:pPr>
              <w:ind w:left="440"/>
              <w:spacing w:after="0"/>
              <w:rPr>
                <w:sz w:val="20"/>
                <w:szCs w:val="20"/>
                <w:color w:val="auto"/>
              </w:rPr>
            </w:pPr>
            <w:r>
              <w:rPr>
                <w:rFonts w:ascii="Arial" w:cs="Arial" w:eastAsia="Arial" w:hAnsi="Arial"/>
                <w:sz w:val="22"/>
                <w:szCs w:val="22"/>
                <w:color w:val="auto"/>
              </w:rPr>
              <w:t>Statements Required in Certificate or Opinion.</w:t>
            </w:r>
          </w:p>
        </w:tc>
        <w:tc>
          <w:tcPr>
            <w:tcW w:w="14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14.04</w:t>
            </w:r>
          </w:p>
        </w:tc>
        <w:tc>
          <w:tcPr>
            <w:tcW w:w="8240" w:type="dxa"/>
            <w:vAlign w:val="bottom"/>
          </w:tcPr>
          <w:p>
            <w:pPr>
              <w:ind w:left="440"/>
              <w:spacing w:after="0"/>
              <w:rPr>
                <w:sz w:val="20"/>
                <w:szCs w:val="20"/>
                <w:color w:val="auto"/>
              </w:rPr>
            </w:pPr>
            <w:r>
              <w:rPr>
                <w:rFonts w:ascii="Arial" w:cs="Arial" w:eastAsia="Arial" w:hAnsi="Arial"/>
                <w:sz w:val="22"/>
                <w:szCs w:val="22"/>
                <w:color w:val="auto"/>
              </w:rPr>
              <w:t>Rules by Trustee and Agents.</w:t>
            </w:r>
          </w:p>
        </w:tc>
        <w:tc>
          <w:tcPr>
            <w:tcW w:w="1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14.05</w:t>
            </w:r>
          </w:p>
        </w:tc>
        <w:tc>
          <w:tcPr>
            <w:tcW w:w="8240" w:type="dxa"/>
            <w:vAlign w:val="bottom"/>
          </w:tcPr>
          <w:p>
            <w:pPr>
              <w:ind w:left="440"/>
              <w:spacing w:after="0"/>
              <w:rPr>
                <w:sz w:val="20"/>
                <w:szCs w:val="20"/>
                <w:color w:val="auto"/>
              </w:rPr>
            </w:pPr>
            <w:r>
              <w:rPr>
                <w:rFonts w:ascii="Arial" w:cs="Arial" w:eastAsia="Arial" w:hAnsi="Arial"/>
                <w:sz w:val="22"/>
                <w:szCs w:val="22"/>
                <w:color w:val="auto"/>
              </w:rPr>
              <w:t>No Personal Liability of Directors, Officers, Employees and Equity Holders.</w:t>
            </w:r>
          </w:p>
        </w:tc>
        <w:tc>
          <w:tcPr>
            <w:tcW w:w="1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14.06</w:t>
            </w:r>
          </w:p>
        </w:tc>
        <w:tc>
          <w:tcPr>
            <w:tcW w:w="8240" w:type="dxa"/>
            <w:vAlign w:val="bottom"/>
          </w:tcPr>
          <w:p>
            <w:pPr>
              <w:ind w:left="440"/>
              <w:spacing w:after="0"/>
              <w:rPr>
                <w:sz w:val="20"/>
                <w:szCs w:val="20"/>
                <w:color w:val="auto"/>
              </w:rPr>
            </w:pPr>
            <w:r>
              <w:rPr>
                <w:rFonts w:ascii="Arial" w:cs="Arial" w:eastAsia="Arial" w:hAnsi="Arial"/>
                <w:sz w:val="22"/>
                <w:szCs w:val="22"/>
                <w:color w:val="auto"/>
              </w:rPr>
              <w:t>Governing Law.</w:t>
            </w:r>
          </w:p>
        </w:tc>
        <w:tc>
          <w:tcPr>
            <w:tcW w:w="1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14.07</w:t>
            </w:r>
          </w:p>
        </w:tc>
        <w:tc>
          <w:tcPr>
            <w:tcW w:w="8240" w:type="dxa"/>
            <w:vAlign w:val="bottom"/>
          </w:tcPr>
          <w:p>
            <w:pPr>
              <w:ind w:left="440"/>
              <w:spacing w:after="0"/>
              <w:rPr>
                <w:sz w:val="20"/>
                <w:szCs w:val="20"/>
                <w:color w:val="auto"/>
              </w:rPr>
            </w:pPr>
            <w:r>
              <w:rPr>
                <w:rFonts w:ascii="Arial" w:cs="Arial" w:eastAsia="Arial" w:hAnsi="Arial"/>
                <w:sz w:val="22"/>
                <w:szCs w:val="22"/>
                <w:color w:val="auto"/>
              </w:rPr>
              <w:t>No Adverse Interpretation of Other Agreements.</w:t>
            </w:r>
          </w:p>
        </w:tc>
        <w:tc>
          <w:tcPr>
            <w:tcW w:w="1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14.08</w:t>
            </w:r>
          </w:p>
        </w:tc>
        <w:tc>
          <w:tcPr>
            <w:tcW w:w="8240" w:type="dxa"/>
            <w:vAlign w:val="bottom"/>
          </w:tcPr>
          <w:p>
            <w:pPr>
              <w:ind w:left="440"/>
              <w:spacing w:after="0"/>
              <w:rPr>
                <w:sz w:val="20"/>
                <w:szCs w:val="20"/>
                <w:color w:val="auto"/>
              </w:rPr>
            </w:pPr>
            <w:r>
              <w:rPr>
                <w:rFonts w:ascii="Arial" w:cs="Arial" w:eastAsia="Arial" w:hAnsi="Arial"/>
                <w:sz w:val="22"/>
                <w:szCs w:val="22"/>
                <w:color w:val="auto"/>
              </w:rPr>
              <w:t>Successors.</w:t>
            </w:r>
          </w:p>
        </w:tc>
        <w:tc>
          <w:tcPr>
            <w:tcW w:w="1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14.09</w:t>
            </w:r>
          </w:p>
        </w:tc>
        <w:tc>
          <w:tcPr>
            <w:tcW w:w="8240" w:type="dxa"/>
            <w:vAlign w:val="bottom"/>
          </w:tcPr>
          <w:p>
            <w:pPr>
              <w:ind w:left="440"/>
              <w:spacing w:after="0"/>
              <w:rPr>
                <w:sz w:val="20"/>
                <w:szCs w:val="20"/>
                <w:color w:val="auto"/>
              </w:rPr>
            </w:pPr>
            <w:r>
              <w:rPr>
                <w:rFonts w:ascii="Arial" w:cs="Arial" w:eastAsia="Arial" w:hAnsi="Arial"/>
                <w:sz w:val="22"/>
                <w:szCs w:val="22"/>
                <w:color w:val="auto"/>
              </w:rPr>
              <w:t>Severability.</w:t>
            </w:r>
          </w:p>
        </w:tc>
        <w:tc>
          <w:tcPr>
            <w:tcW w:w="1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14.10</w:t>
            </w:r>
          </w:p>
        </w:tc>
        <w:tc>
          <w:tcPr>
            <w:tcW w:w="8240" w:type="dxa"/>
            <w:vAlign w:val="bottom"/>
          </w:tcPr>
          <w:p>
            <w:pPr>
              <w:ind w:left="440"/>
              <w:spacing w:after="0"/>
              <w:rPr>
                <w:sz w:val="20"/>
                <w:szCs w:val="20"/>
                <w:color w:val="auto"/>
              </w:rPr>
            </w:pPr>
            <w:r>
              <w:rPr>
                <w:rFonts w:ascii="Arial" w:cs="Arial" w:eastAsia="Arial" w:hAnsi="Arial"/>
                <w:sz w:val="22"/>
                <w:szCs w:val="22"/>
                <w:color w:val="auto"/>
              </w:rPr>
              <w:t>Counterpart Originals.</w:t>
            </w:r>
          </w:p>
        </w:tc>
        <w:tc>
          <w:tcPr>
            <w:tcW w:w="142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14.11</w:t>
            </w:r>
          </w:p>
        </w:tc>
        <w:tc>
          <w:tcPr>
            <w:tcW w:w="8240" w:type="dxa"/>
            <w:vAlign w:val="bottom"/>
          </w:tcPr>
          <w:p>
            <w:pPr>
              <w:ind w:left="440"/>
              <w:spacing w:after="0"/>
              <w:rPr>
                <w:sz w:val="20"/>
                <w:szCs w:val="20"/>
                <w:color w:val="auto"/>
              </w:rPr>
            </w:pPr>
            <w:r>
              <w:rPr>
                <w:rFonts w:ascii="Arial" w:cs="Arial" w:eastAsia="Arial" w:hAnsi="Arial"/>
                <w:sz w:val="22"/>
                <w:szCs w:val="22"/>
                <w:color w:val="auto"/>
              </w:rPr>
              <w:t>Table of Contents, Headings, etc.</w:t>
            </w:r>
          </w:p>
        </w:tc>
        <w:tc>
          <w:tcPr>
            <w:tcW w:w="1420" w:type="dxa"/>
            <w:vAlign w:val="bottom"/>
          </w:tcPr>
          <w:p>
            <w:pPr>
              <w:jc w:val="right"/>
              <w:spacing w:after="0"/>
              <w:rPr>
                <w:sz w:val="20"/>
                <w:szCs w:val="20"/>
                <w:color w:val="auto"/>
              </w:rPr>
            </w:pPr>
            <w:r>
              <w:rPr>
                <w:rFonts w:ascii="Arial" w:cs="Arial" w:eastAsia="Arial" w:hAnsi="Arial"/>
                <w:sz w:val="22"/>
                <w:szCs w:val="22"/>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80"/>
          </w:cols>
          <w:pgMar w:left="280" w:top="545" w:right="33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21"/>
          <w:szCs w:val="21"/>
          <w:color w:val="auto"/>
        </w:rPr>
        <w:t>EXHIBITS</w:t>
      </w:r>
    </w:p>
    <w:p>
      <w:pPr>
        <w:sectPr>
          <w:pgSz w:w="11900" w:h="16838" w:orient="portrait"/>
          <w:cols w:equalWidth="0" w:num="1">
            <w:col w:w="11280"/>
          </w:cols>
          <w:pgMar w:left="280" w:top="631" w:right="339" w:bottom="1440" w:gutter="0" w:footer="0" w:header="0"/>
        </w:sectPr>
      </w:pPr>
    </w:p>
    <w:p>
      <w:pPr>
        <w:spacing w:after="0" w:line="380" w:lineRule="exact"/>
        <w:rPr>
          <w:sz w:val="20"/>
          <w:szCs w:val="20"/>
          <w:color w:val="auto"/>
        </w:rPr>
      </w:pPr>
    </w:p>
    <w:p>
      <w:pPr>
        <w:ind w:right="100"/>
        <w:spacing w:after="0" w:line="479" w:lineRule="auto"/>
        <w:rPr>
          <w:sz w:val="20"/>
          <w:szCs w:val="20"/>
          <w:color w:val="auto"/>
        </w:rPr>
      </w:pPr>
      <w:r>
        <w:rPr>
          <w:rFonts w:ascii="Arial" w:cs="Arial" w:eastAsia="Arial" w:hAnsi="Arial"/>
          <w:sz w:val="21"/>
          <w:szCs w:val="21"/>
          <w:color w:val="auto"/>
        </w:rPr>
        <w:t>EXHIBIT A-1 EXHIBIT A-2 EXHIBIT B EXHIBIT C EXHIBIT D EXHIBIT E EXHIBIT F</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FORM OF NOTE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FORM OF REGULATION S TEMPORARY GLOBAL NOTE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FORM OF CERTIFICATE OF TRANSFER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FORM OF CERTIFICATE OF EXCHANGE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FORM OF CERTIFICATE FROM ACQUIRING INSTITUTIONAL ACCREDITED INVESTOR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FORM OF NOTATION OF GUARANTEE</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FORM OF SUPPLEMENTAL INDENTURE TO BE DELIVERED BY SUBSEQUENT GUARANTORS</w:t>
      </w:r>
    </w:p>
    <w:p>
      <w:pPr>
        <w:sectPr>
          <w:pgSz w:w="11900" w:h="16838" w:orient="portrait"/>
          <w:cols w:equalWidth="0" w:num="2">
            <w:col w:w="1340" w:space="720"/>
            <w:col w:w="9220"/>
          </w:cols>
          <w:pgMar w:left="280" w:top="631" w:right="339" w:bottom="1440" w:gutter="0" w:footer="0" w:header="0"/>
          <w:type w:val="continuous"/>
        </w:sectPr>
      </w:pPr>
    </w:p>
    <w:bookmarkStart w:id="63" w:name="page64"/>
    <w:bookmarkEnd w:id="63"/>
    <w:p>
      <w:pPr>
        <w:jc w:val="both"/>
        <w:ind w:firstLine="648"/>
        <w:spacing w:after="0" w:line="246" w:lineRule="auto"/>
        <w:rPr>
          <w:sz w:val="20"/>
          <w:szCs w:val="20"/>
          <w:color w:val="auto"/>
        </w:rPr>
      </w:pPr>
      <w:r>
        <w:rPr>
          <w:rFonts w:ascii="Arial" w:cs="Arial" w:eastAsia="Arial" w:hAnsi="Arial"/>
          <w:sz w:val="22"/>
          <w:szCs w:val="22"/>
          <w:color w:val="auto"/>
        </w:rPr>
        <w:t>INDENTURE dated as of September 20, 2019 among Wynn Resorts Finance, LLC, a Nevada limited liability 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and Wynn Resorts Capital Corp., a Nevada corporation (“</w:t>
      </w:r>
      <w:r>
        <w:rPr>
          <w:rFonts w:ascii="Arial" w:cs="Arial" w:eastAsia="Arial" w:hAnsi="Arial"/>
          <w:sz w:val="22"/>
          <w:szCs w:val="22"/>
          <w:i w:val="1"/>
          <w:iCs w:val="1"/>
          <w:u w:val="single" w:color="auto"/>
          <w:color w:val="auto"/>
        </w:rPr>
        <w:t>Wynn 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as joint and several obligors, and EBH Holdings, LLC, a Nevada limited liability company, EBH MA Property, LLC, a Massachusetts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Arial" w:cs="Arial" w:eastAsia="Arial" w:hAnsi="Arial"/>
          <w:sz w:val="22"/>
          <w:szCs w:val="22"/>
          <w:i w:val="1"/>
          <w:iCs w:val="1"/>
          <w:u w:val="single" w:color="auto"/>
          <w:color w:val="auto"/>
        </w:rPr>
        <w:t>Initial Guarantors</w:t>
      </w:r>
      <w:r>
        <w:rPr>
          <w:rFonts w:ascii="Arial" w:cs="Arial" w:eastAsia="Arial" w:hAnsi="Arial"/>
          <w:sz w:val="22"/>
          <w:szCs w:val="22"/>
          <w:color w:val="auto"/>
        </w:rPr>
        <w:t>”) and U.S. Bank National 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the Initial Guarantors and the Trustee agree as follows for the benefit of each other and for the equal and ratable benefit of the Holders (as defined) of the 5.125% Senior Notes due 2029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69"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1.01</w:t>
      </w:r>
      <w:r>
        <w:rPr>
          <w:rFonts w:ascii="Arial" w:cs="Arial" w:eastAsia="Arial" w:hAnsi="Arial"/>
          <w:sz w:val="22"/>
          <w:szCs w:val="22"/>
          <w:i w:val="1"/>
          <w:iCs w:val="1"/>
          <w:color w:val="auto"/>
        </w:rPr>
        <w:t>Definitions.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144A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2023 Notes</w:t>
      </w:r>
      <w:r>
        <w:rPr>
          <w:rFonts w:ascii="Arial" w:cs="Arial" w:eastAsia="Arial" w:hAnsi="Arial"/>
          <w:sz w:val="22"/>
          <w:szCs w:val="22"/>
          <w:color w:val="auto"/>
        </w:rPr>
        <w:t>” means the 4.25% Senior Notes due 2023 of Wynn Las Vegas.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2025 Notes</w:t>
      </w:r>
      <w:r>
        <w:rPr>
          <w:rFonts w:ascii="Arial" w:cs="Arial" w:eastAsia="Arial" w:hAnsi="Arial"/>
          <w:sz w:val="22"/>
          <w:szCs w:val="22"/>
          <w:color w:val="auto"/>
        </w:rPr>
        <w:t>” means the 5.50% Senior Notes due 2025 of Wynn Las Vegas.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2027 Notes</w:t>
      </w:r>
      <w:r>
        <w:rPr>
          <w:rFonts w:ascii="Arial" w:cs="Arial" w:eastAsia="Arial" w:hAnsi="Arial"/>
          <w:sz w:val="22"/>
          <w:szCs w:val="22"/>
          <w:color w:val="auto"/>
        </w:rPr>
        <w:t>” means the 5.25% Senior Notes due 2027 of Wynn Las Vegas.</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Act of Terrorism</w:t>
      </w:r>
      <w:r>
        <w:rPr>
          <w:rFonts w:ascii="Arial" w:cs="Arial" w:eastAsia="Arial" w:hAnsi="Arial"/>
          <w:sz w:val="19"/>
          <w:szCs w:val="19"/>
          <w:color w:val="auto"/>
        </w:rPr>
        <w:t>” means an act of any person directed towards the overthrowing or influencing of any government de jure or de facto, or the inducement of fear in or the disruption of the economic system of any society, by force or by violence, including</w:t>
      </w:r>
    </w:p>
    <w:p>
      <w:pPr>
        <w:spacing w:after="0" w:line="1" w:lineRule="exact"/>
        <w:rPr>
          <w:sz w:val="20"/>
          <w:szCs w:val="20"/>
          <w:color w:val="auto"/>
        </w:rPr>
      </w:pPr>
    </w:p>
    <w:p>
      <w:pPr>
        <w:jc w:val="both"/>
        <w:ind w:firstLine="8"/>
        <w:spacing w:after="0" w:line="258" w:lineRule="auto"/>
        <w:tabs>
          <w:tab w:leader="none" w:pos="308"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 (b) explosive or firearm, with intent to endanger, directly or indirectly, the safety of one or more individuals or to cause substantial damage to property, and (iv) a credible threat, attempt, or conspiracy to do any of the foregoing.</w:t>
      </w:r>
    </w:p>
    <w:p>
      <w:pPr>
        <w:spacing w:after="0" w:line="18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(other than the Initial Notes) issued under this Indenture in accordance with Section 2.13 hereof, as part of the same series as the Initial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04" w:right="23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22"/>
          <w:szCs w:val="22"/>
          <w:color w:val="auto"/>
        </w:rPr>
        <w:t>Any Additional Notes shall vote on all matters as one class with the Initial Notes being issued on the Issue Date, including, without limitation, waivers, amendments and redemptions.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20" w:lineRule="exact"/>
        <w:rPr>
          <w:sz w:val="20"/>
          <w:szCs w:val="20"/>
          <w:color w:val="auto"/>
        </w:rPr>
      </w:pPr>
    </w:p>
    <w:p>
      <w:pPr>
        <w:jc w:val="both"/>
        <w:ind w:firstLine="1305"/>
        <w:spacing w:after="0" w:line="294" w:lineRule="auto"/>
        <w:tabs>
          <w:tab w:leader="none" w:pos="17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52" w:lineRule="exact"/>
        <w:rPr>
          <w:rFonts w:ascii="Arial" w:cs="Arial" w:eastAsia="Arial" w:hAnsi="Arial"/>
          <w:sz w:val="19"/>
          <w:szCs w:val="19"/>
          <w:color w:val="auto"/>
        </w:rPr>
      </w:pPr>
    </w:p>
    <w:p>
      <w:pPr>
        <w:jc w:val="both"/>
        <w:ind w:firstLine="1305"/>
        <w:spacing w:after="0" w:line="254" w:lineRule="auto"/>
        <w:tabs>
          <w:tab w:leader="none" w:pos="181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Adjusted Treasury Rate shall be calculated on the third Business Day preceding the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spacing w:after="0" w:line="1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shall be deemed to be control. For purposes of this definition, the terms “controlling,” “controlled by” and “under common control with” have correlative meanings.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Allocable Overhead</w:t>
      </w:r>
      <w:r>
        <w:rPr>
          <w:rFonts w:ascii="Arial" w:cs="Arial" w:eastAsia="Arial" w:hAnsi="Arial"/>
          <w:sz w:val="22"/>
          <w:szCs w:val="22"/>
          <w:color w:val="auto"/>
        </w:rPr>
        <w:t>” means, at any time with respect to each Qualifying Project, an amount equal to (1) the amount of corporate or other organizational overhead expenses of, and actually incurred by, an Issuer or any Guarantor calculated in good faith on a consolidated basis, after the elimination of intercompany transactions, in accordance with US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an Issuer, any Guarantor and/or any of their respective Affiliates, any payment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65" w:name="page66"/>
    <w:bookmarkEnd w:id="65"/>
    <w:p>
      <w:pPr>
        <w:jc w:val="both"/>
        <w:spacing w:after="0" w:line="263" w:lineRule="auto"/>
        <w:rPr>
          <w:sz w:val="20"/>
          <w:szCs w:val="20"/>
          <w:color w:val="auto"/>
        </w:rPr>
      </w:pPr>
      <w:r>
        <w:rPr>
          <w:rFonts w:ascii="Arial" w:cs="Arial" w:eastAsia="Arial" w:hAnsi="Arial"/>
          <w:sz w:val="22"/>
          <w:szCs w:val="22"/>
          <w:color w:val="auto"/>
        </w:rPr>
        <w:t>in respect of Allocable Overhead shall not include any fee, profit or similar component and shall represent only the payment or reimbursement of actual costs and expenses.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Procedures</w:t>
      </w:r>
      <w:r>
        <w:rPr>
          <w:rFonts w:ascii="Arial" w:cs="Arial" w:eastAsia="Arial" w:hAnsi="Arial"/>
          <w:sz w:val="22"/>
          <w:szCs w:val="22"/>
          <w:color w:val="auto"/>
        </w:rPr>
        <w:t>” means, with respect to any transfer or exchange of or for beneficial interests in any Global Note, the rules and procedures of the Depositary that apply to such transfer or exchange.</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Attributable Debt</w:t>
      </w:r>
      <w:r>
        <w:rPr>
          <w:rFonts w:ascii="Arial" w:cs="Arial" w:eastAsia="Arial" w:hAnsi="Arial"/>
          <w:sz w:val="22"/>
          <w:szCs w:val="22"/>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US GAAP; provided, however, that if such Sale and Leaseback Transaction results in a Capital Lease Obligation, the amount of Indebtedness represented thereby shall be determined in accordance with the definition of “Capital Lease Obligation.”</w:t>
      </w:r>
    </w:p>
    <w:p>
      <w:pPr>
        <w:spacing w:after="0" w:line="19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Bank Refinancing</w:t>
      </w:r>
      <w:r>
        <w:rPr>
          <w:rFonts w:ascii="Arial" w:cs="Arial" w:eastAsia="Arial" w:hAnsi="Arial"/>
          <w:sz w:val="19"/>
          <w:szCs w:val="19"/>
          <w:color w:val="auto"/>
        </w:rPr>
        <w:t>” means (i) the refinancing of that certain Credit Agreement dated as of November 20, 2014 (as amended), by and among Wynn Resorts Finance, the guarantors party thereto, Deutsche Bank AG New York Branch, as administrative agent and collateral agent, and the other lenders party thereto, (ii) the payment of a dividend to Wynn Resorts, which will use the proceeds of such dividend to repay that certain Credit Agreement dated as of October 30, 2018 (as amended), by and among Wynn Resorts, the guarantors party thereto, Deutsche Bank AG New York Branch, as administrative agent and collateral agent, and the lenders party thereto and (iii) the payment of related fees and expenses in connection with the foregoing.</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r>
        <w:rPr>
          <w:rFonts w:ascii="Arial" w:cs="Arial" w:eastAsia="Arial" w:hAnsi="Arial"/>
          <w:sz w:val="22"/>
          <w:szCs w:val="22"/>
          <w:color w:val="auto"/>
        </w:rPr>
        <w:t>” means Title 11, U.S. Code or any similar federal or state law for the relief of debtors.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Beneficial Owner</w:t>
      </w:r>
      <w:r>
        <w:rPr>
          <w:rFonts w:ascii="Arial" w:cs="Arial" w:eastAsia="Arial" w:hAnsi="Arial"/>
          <w:sz w:val="21"/>
          <w:szCs w:val="21"/>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20" w:lineRule="exact"/>
        <w:rPr>
          <w:sz w:val="20"/>
          <w:szCs w:val="20"/>
          <w:color w:val="auto"/>
        </w:rPr>
      </w:pPr>
    </w:p>
    <w:p>
      <w:pPr>
        <w:ind w:firstLine="1305"/>
        <w:spacing w:after="0" w:line="263" w:lineRule="auto"/>
        <w:tabs>
          <w:tab w:leader="none" w:pos="21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75" w:lineRule="exact"/>
        <w:rPr>
          <w:sz w:val="20"/>
          <w:szCs w:val="20"/>
          <w:color w:val="auto"/>
        </w:rPr>
      </w:pPr>
    </w:p>
    <w:p>
      <w:pPr>
        <w:ind w:left="1740" w:hanging="435"/>
        <w:spacing w:after="0"/>
        <w:tabs>
          <w:tab w:leader="none" w:pos="17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5660"/>
        <w:spacing w:after="0"/>
        <w:rPr>
          <w:rFonts w:ascii="Arial" w:cs="Arial" w:eastAsia="Arial" w:hAnsi="Arial"/>
          <w:sz w:val="22"/>
          <w:szCs w:val="22"/>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66" w:name="page67"/>
    <w:bookmarkEnd w:id="66"/>
    <w:p>
      <w:pPr>
        <w:ind w:firstLine="1305"/>
        <w:spacing w:after="0" w:line="276" w:lineRule="auto"/>
        <w:tabs>
          <w:tab w:leader="none" w:pos="1756"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Expenditures</w:t>
      </w:r>
      <w:r>
        <w:rPr>
          <w:rFonts w:ascii="Arial" w:cs="Arial" w:eastAsia="Arial" w:hAnsi="Arial"/>
          <w:sz w:val="19"/>
          <w:szCs w:val="19"/>
          <w:color w:val="auto"/>
        </w:rPr>
        <w:t xml:space="preserve">” means, for any period any expenditures by an Issuer or a Guarantor for the acquisition or leasing of fixed or capital assets (including Capital Lease Obligations) that should be capitalized in accordance with US GAAP and any expenditures by such Person for maintenance, repairs, restoration or refurbishment of the condition or usefulness of Property of such Person that should be capitalized in accordance with US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w:t>
      </w:r>
    </w:p>
    <w:p>
      <w:pPr>
        <w:spacing w:after="0" w:line="1" w:lineRule="exact"/>
        <w:rPr>
          <w:sz w:val="20"/>
          <w:szCs w:val="20"/>
          <w:color w:val="auto"/>
        </w:rPr>
      </w:pPr>
    </w:p>
    <w:p>
      <w:pPr>
        <w:jc w:val="both"/>
        <w:ind w:firstLine="8"/>
        <w:spacing w:after="0" w:line="281" w:lineRule="auto"/>
        <w:tabs>
          <w:tab w:leader="none" w:pos="315" w:val="left"/>
        </w:tabs>
        <w:numPr>
          <w:ilvl w:val="0"/>
          <w:numId w:val="26"/>
        </w:numPr>
        <w:rPr>
          <w:rFonts w:ascii="Arial" w:cs="Arial" w:eastAsia="Arial" w:hAnsi="Arial"/>
          <w:sz w:val="19"/>
          <w:szCs w:val="19"/>
          <w:color w:val="auto"/>
        </w:rPr>
      </w:pPr>
      <w:r>
        <w:rPr>
          <w:rFonts w:ascii="Arial" w:cs="Arial" w:eastAsia="Arial" w:hAnsi="Arial"/>
          <w:sz w:val="19"/>
          <w:szCs w:val="19"/>
          <w:color w:val="auto"/>
        </w:rPr>
        <w:t>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w:t>
      </w:r>
    </w:p>
    <w:p>
      <w:pPr>
        <w:spacing w:after="0" w:line="2" w:lineRule="exact"/>
        <w:rPr>
          <w:rFonts w:ascii="Arial" w:cs="Arial" w:eastAsia="Arial" w:hAnsi="Arial"/>
          <w:sz w:val="19"/>
          <w:szCs w:val="19"/>
          <w:color w:val="auto"/>
        </w:rPr>
      </w:pPr>
    </w:p>
    <w:p>
      <w:pPr>
        <w:jc w:val="both"/>
        <w:ind w:firstLine="8"/>
        <w:spacing w:after="0" w:line="257" w:lineRule="auto"/>
        <w:tabs>
          <w:tab w:leader="none" w:pos="309"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purchase of property or equipment to the extent financed with the proceeds of asset sales or other dispositions outside the ordinary course of business; (d) expenditures that constitute acquisitions not prohibited hereunder; (e) any capitalized interest expense reflected as additions to property in the consolidated balance sheet of the Issuers and the Guarantors (including in connection with sale-leaseback transactions not prohibited hereunder); (f) any non-cash compensation or other non-cash costs reflected as additions to property in the consolidated balance sheet of the Issuers and the Guarantors; and (g) capital expenditures relating to the construction or acquisition of any property or equipment which has been transferred to a Person other than an Issuer or a Guarantor pursuant to a sale-leaseback transaction not prohibited hereunder and capital expenditures arising pursuant to sale-leaseback transactions.</w:t>
      </w:r>
    </w:p>
    <w:p>
      <w:pPr>
        <w:spacing w:after="0" w:line="15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Lease Obligation</w:t>
      </w:r>
      <w:r>
        <w:rPr>
          <w:rFonts w:ascii="Arial" w:cs="Arial" w:eastAsia="Arial" w:hAnsi="Arial"/>
          <w:sz w:val="22"/>
          <w:szCs w:val="22"/>
          <w:color w:val="auto"/>
        </w:rPr>
        <w:t xml:space="preserve">” means, any lease of any Property by that Person as lessee that, in conformity with GAAP, is required to be classified and accounted for as a capital lease on the balance sheet of that Person;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Wynn Resorts Finance, be accounted for as an operating lease and not as a capital lease.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20" w:lineRule="exact"/>
        <w:rPr>
          <w:sz w:val="20"/>
          <w:szCs w:val="20"/>
          <w:color w:val="auto"/>
        </w:rPr>
      </w:pPr>
    </w:p>
    <w:p>
      <w:pPr>
        <w:ind w:left="1740" w:hanging="435"/>
        <w:spacing w:after="0"/>
        <w:tabs>
          <w:tab w:leader="none" w:pos="1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33" w:lineRule="exact"/>
        <w:rPr>
          <w:rFonts w:ascii="Arial" w:cs="Arial" w:eastAsia="Arial" w:hAnsi="Arial"/>
          <w:sz w:val="22"/>
          <w:szCs w:val="22"/>
          <w:color w:val="auto"/>
        </w:rPr>
      </w:pPr>
    </w:p>
    <w:p>
      <w:pPr>
        <w:ind w:right="20" w:firstLine="1305"/>
        <w:spacing w:after="0" w:line="276" w:lineRule="auto"/>
        <w:tabs>
          <w:tab w:leader="none" w:pos="1837"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67" w:name="page68"/>
    <w:bookmarkEnd w:id="67"/>
    <w:p>
      <w:pPr>
        <w:ind w:firstLine="1305"/>
        <w:spacing w:after="0" w:line="276" w:lineRule="auto"/>
        <w:tabs>
          <w:tab w:leader="none" w:pos="1783"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742" w:val="left"/>
        </w:tabs>
        <w:numPr>
          <w:ilvl w:val="0"/>
          <w:numId w:val="29"/>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20" w:lineRule="exact"/>
        <w:rPr>
          <w:sz w:val="20"/>
          <w:szCs w:val="20"/>
          <w:color w:val="auto"/>
        </w:rPr>
      </w:pPr>
    </w:p>
    <w:p>
      <w:pPr>
        <w:jc w:val="both"/>
        <w:ind w:firstLine="1305"/>
        <w:spacing w:after="0" w:line="254" w:lineRule="auto"/>
        <w:tabs>
          <w:tab w:leader="none" w:pos="1945"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Wynn Resorts Finance and the Guarantors, taken as a whole, to any “person” (as that term is used in Section 13(d)(3) of the Exchange Act), other than to any Parent Entity and any Subsidiary of any Parent Entity;</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adoption of a plan relating to the liquidation or dissolution of either Issuer or any successor thereto;</w:t>
      </w:r>
    </w:p>
    <w:p>
      <w:pPr>
        <w:spacing w:after="0" w:line="244" w:lineRule="exact"/>
        <w:rPr>
          <w:rFonts w:ascii="Arial" w:cs="Arial" w:eastAsia="Arial" w:hAnsi="Arial"/>
          <w:sz w:val="21"/>
          <w:szCs w:val="21"/>
          <w:color w:val="auto"/>
        </w:rPr>
      </w:pPr>
    </w:p>
    <w:p>
      <w:pPr>
        <w:jc w:val="both"/>
        <w:ind w:firstLine="1305"/>
        <w:spacing w:after="0" w:line="254" w:lineRule="auto"/>
        <w:tabs>
          <w:tab w:leader="none" w:pos="1769"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or</w:t>
      </w:r>
    </w:p>
    <w:p>
      <w:pPr>
        <w:spacing w:after="0" w:line="185" w:lineRule="exact"/>
        <w:rPr>
          <w:rFonts w:ascii="Arial" w:cs="Arial" w:eastAsia="Arial" w:hAnsi="Arial"/>
          <w:sz w:val="22"/>
          <w:szCs w:val="22"/>
          <w:color w:val="auto"/>
        </w:rPr>
      </w:pPr>
    </w:p>
    <w:p>
      <w:pPr>
        <w:ind w:firstLine="1305"/>
        <w:spacing w:after="0" w:line="276" w:lineRule="auto"/>
        <w:tabs>
          <w:tab w:leader="none" w:pos="1756"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first day on which Wynn Resorts ceases to own, directly or indirectly, 60% or more of the voting power of the outstanding Equity Interests of Wynn Resorts Finance.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the above, a Change of Control shall not occur solely by reason of a Permitted C-Corp. Conversion.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both a Change of Control and a Ratings Event.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w:t>
      </w:r>
      <w:r>
        <w:rPr>
          <w:rFonts w:ascii="Arial" w:cs="Arial" w:eastAsia="Arial" w:hAnsi="Arial"/>
          <w:sz w:val="22"/>
          <w:szCs w:val="22"/>
          <w:i w:val="1"/>
          <w:iCs w:val="1"/>
          <w:color w:val="auto"/>
        </w:rPr>
        <w:t>Remaining Life</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Price</w:t>
      </w:r>
      <w:r>
        <w:rPr>
          <w:rFonts w:ascii="Arial" w:cs="Arial" w:eastAsia="Arial" w:hAnsi="Arial"/>
          <w:sz w:val="22"/>
          <w:szCs w:val="22"/>
          <w:color w:val="auto"/>
        </w:rPr>
        <w:t>” means (1) the average of four Reference Treasury Dealer Quotations for such redemption date, after excluding the highest and lowest Reference Treasury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68" w:name="page69"/>
    <w:bookmarkEnd w:id="68"/>
    <w:p>
      <w:pPr>
        <w:spacing w:after="0" w:line="263" w:lineRule="auto"/>
        <w:rPr>
          <w:sz w:val="20"/>
          <w:szCs w:val="20"/>
          <w:color w:val="auto"/>
        </w:rPr>
      </w:pPr>
      <w:r>
        <w:rPr>
          <w:rFonts w:ascii="Arial" w:cs="Arial" w:eastAsia="Arial" w:hAnsi="Arial"/>
          <w:sz w:val="22"/>
          <w:szCs w:val="22"/>
          <w:color w:val="auto"/>
        </w:rPr>
        <w:t>Dealer Quotations, or (2) if the Independent Investment Banker obtains fewer than four such Reference Treasury Dealer Quotations, the average of all such quotations.</w:t>
      </w:r>
    </w:p>
    <w:p>
      <w:pPr>
        <w:spacing w:after="0" w:line="148"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EBITDA</w:t>
      </w:r>
      <w:r>
        <w:rPr>
          <w:rFonts w:ascii="Arial" w:cs="Arial" w:eastAsia="Arial" w:hAnsi="Arial"/>
          <w:sz w:val="22"/>
          <w:szCs w:val="22"/>
          <w:color w:val="auto"/>
        </w:rPr>
        <w:t xml:space="preserve">” means, for any Test Period, the sum (without duplication) of Consolidated Net Income for such Test Period; </w:t>
      </w:r>
      <w:r>
        <w:rPr>
          <w:rFonts w:ascii="Arial" w:cs="Arial" w:eastAsia="Arial" w:hAnsi="Arial"/>
          <w:sz w:val="22"/>
          <w:szCs w:val="22"/>
          <w:i w:val="1"/>
          <w:iCs w:val="1"/>
          <w:color w:val="auto"/>
        </w:rPr>
        <w:t>plus</w:t>
      </w:r>
    </w:p>
    <w:p>
      <w:pPr>
        <w:spacing w:after="0" w:line="159" w:lineRule="exact"/>
        <w:rPr>
          <w:sz w:val="20"/>
          <w:szCs w:val="20"/>
          <w:color w:val="auto"/>
        </w:rPr>
      </w:pPr>
    </w:p>
    <w:p>
      <w:pPr>
        <w:ind w:left="1540" w:hanging="560"/>
        <w:spacing w:after="0"/>
        <w:tabs>
          <w:tab w:leader="none" w:pos="15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each case to the extent deducted in calculating such Consolidated Net Income:</w:t>
      </w:r>
    </w:p>
    <w:p>
      <w:pPr>
        <w:spacing w:after="0" w:line="179" w:lineRule="exact"/>
        <w:rPr>
          <w:sz w:val="20"/>
          <w:szCs w:val="20"/>
          <w:color w:val="auto"/>
        </w:rPr>
      </w:pPr>
    </w:p>
    <w:p>
      <w:pPr>
        <w:ind w:left="2360" w:hanging="737"/>
        <w:spacing w:after="0" w:line="232" w:lineRule="auto"/>
        <w:rPr>
          <w:sz w:val="20"/>
          <w:szCs w:val="20"/>
          <w:color w:val="auto"/>
        </w:rPr>
      </w:pPr>
      <w:r>
        <w:rPr>
          <w:rFonts w:ascii="Arial" w:cs="Arial" w:eastAsia="Arial" w:hAnsi="Arial"/>
          <w:sz w:val="22"/>
          <w:szCs w:val="22"/>
          <w:color w:val="auto"/>
        </w:rPr>
        <w:t>(i)provisions for taxes based on income or profits or capital gains, plus franchise or similar taxes, of the Issuers and the Guarantors for such Test Period;</w:t>
      </w:r>
    </w:p>
    <w:p>
      <w:pPr>
        <w:spacing w:after="0" w:line="159" w:lineRule="exact"/>
        <w:rPr>
          <w:sz w:val="20"/>
          <w:szCs w:val="20"/>
          <w:color w:val="auto"/>
        </w:rPr>
      </w:pPr>
    </w:p>
    <w:p>
      <w:pPr>
        <w:ind w:left="1960" w:hanging="331"/>
        <w:spacing w:after="0" w:line="232" w:lineRule="auto"/>
        <w:tabs>
          <w:tab w:leader="none" w:pos="19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Consolidated Interest Expense of the Issuers and the Guarantors for such Test Period, whether paid or accrued and whether or not capitalized;</w:t>
      </w:r>
    </w:p>
    <w:p>
      <w:pPr>
        <w:spacing w:after="0" w:line="159" w:lineRule="exact"/>
        <w:rPr>
          <w:sz w:val="20"/>
          <w:szCs w:val="20"/>
          <w:color w:val="auto"/>
        </w:rPr>
      </w:pPr>
    </w:p>
    <w:p>
      <w:pPr>
        <w:jc w:val="both"/>
        <w:ind w:left="1960" w:hanging="323"/>
        <w:spacing w:after="0" w:line="216" w:lineRule="auto"/>
        <w:rPr>
          <w:sz w:val="20"/>
          <w:szCs w:val="20"/>
          <w:color w:val="auto"/>
        </w:rPr>
      </w:pPr>
      <w:r>
        <w:rPr>
          <w:rFonts w:ascii="Arial" w:cs="Arial" w:eastAsia="Arial" w:hAnsi="Arial"/>
          <w:sz w:val="22"/>
          <w:szCs w:val="22"/>
          <w:color w:val="auto"/>
        </w:rPr>
        <w:t>(iii)any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58" w:lineRule="exact"/>
        <w:rPr>
          <w:sz w:val="20"/>
          <w:szCs w:val="20"/>
          <w:color w:val="auto"/>
        </w:rPr>
      </w:pPr>
    </w:p>
    <w:p>
      <w:pPr>
        <w:jc w:val="both"/>
        <w:ind w:left="1960" w:hanging="323"/>
        <w:spacing w:after="0" w:line="247" w:lineRule="auto"/>
        <w:rPr>
          <w:sz w:val="20"/>
          <w:szCs w:val="20"/>
          <w:color w:val="auto"/>
        </w:rPr>
      </w:pPr>
      <w:r>
        <w:rPr>
          <w:rFonts w:ascii="Arial" w:cs="Arial" w:eastAsia="Arial" w:hAnsi="Arial"/>
          <w:sz w:val="19"/>
          <w:szCs w:val="19"/>
          <w:color w:val="auto"/>
        </w:rPr>
        <w:t>(iv)depreciation, amortization (including amortization of goodwill and other intangibles) and any other non-cash charges or expenses, including any write off or write downs, reducing Consolidated Net Income (excluding</w:t>
      </w:r>
    </w:p>
    <w:p>
      <w:pPr>
        <w:jc w:val="both"/>
        <w:ind w:left="1960" w:hanging="7"/>
        <w:spacing w:after="0" w:line="243" w:lineRule="auto"/>
        <w:tabs>
          <w:tab w:leader="none" w:pos="2292"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any amortization of a prepaid cash expense that was paid in a prior Test Period and (y) any non-cash charges and expenses that result in an accrual of a reserve for cash charges in any future Test Period that Wynn Resorts Finance elects not to add back in the current Test Period (it being understood that reserves may be charged in the current Test Period or when paid, as reasonably determined by Wynn Resorts Finance)) of the Issuers and the Guarantors for such Test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Wynn Resorts Finance elected to previously add back such amounts to Consolidated EBITDA;</w:t>
      </w:r>
    </w:p>
    <w:p>
      <w:pPr>
        <w:spacing w:after="0" w:line="157" w:lineRule="exact"/>
        <w:rPr>
          <w:rFonts w:ascii="Arial" w:cs="Arial" w:eastAsia="Arial" w:hAnsi="Arial"/>
          <w:sz w:val="19"/>
          <w:szCs w:val="19"/>
          <w:color w:val="auto"/>
        </w:rPr>
      </w:pPr>
    </w:p>
    <w:p>
      <w:pPr>
        <w:ind w:left="1960" w:hanging="331"/>
        <w:spacing w:after="0"/>
        <w:tabs>
          <w:tab w:leader="none" w:pos="19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Pre-Opening Expenses;</w:t>
      </w:r>
    </w:p>
    <w:p>
      <w:pPr>
        <w:spacing w:after="0" w:line="179" w:lineRule="exact"/>
        <w:rPr>
          <w:sz w:val="20"/>
          <w:szCs w:val="20"/>
          <w:color w:val="auto"/>
        </w:rPr>
      </w:pPr>
    </w:p>
    <w:p>
      <w:pPr>
        <w:jc w:val="both"/>
        <w:ind w:left="1960" w:hanging="323"/>
        <w:spacing w:after="0" w:line="249" w:lineRule="auto"/>
        <w:rPr>
          <w:sz w:val="20"/>
          <w:szCs w:val="20"/>
          <w:color w:val="auto"/>
        </w:rPr>
      </w:pPr>
      <w:r>
        <w:rPr>
          <w:rFonts w:ascii="Arial" w:cs="Arial" w:eastAsia="Arial" w:hAnsi="Arial"/>
          <w:sz w:val="19"/>
          <w:szCs w:val="19"/>
          <w:color w:val="auto"/>
        </w:rPr>
        <w:t>(vi)the amount of any restructuring costs, charges, accruals, expenses or reserves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w:t>
      </w:r>
    </w:p>
    <w:p>
      <w:pPr>
        <w:spacing w:after="0" w:line="153" w:lineRule="exact"/>
        <w:rPr>
          <w:sz w:val="20"/>
          <w:szCs w:val="20"/>
          <w:color w:val="auto"/>
        </w:rPr>
      </w:pPr>
    </w:p>
    <w:p>
      <w:pPr>
        <w:jc w:val="both"/>
        <w:ind w:left="2000" w:hanging="377"/>
        <w:spacing w:after="0" w:line="223" w:lineRule="auto"/>
        <w:rPr>
          <w:sz w:val="20"/>
          <w:szCs w:val="20"/>
          <w:color w:val="auto"/>
        </w:rPr>
      </w:pPr>
      <w:r>
        <w:rPr>
          <w:rFonts w:ascii="Arial" w:cs="Arial" w:eastAsia="Arial" w:hAnsi="Arial"/>
          <w:sz w:val="22"/>
          <w:szCs w:val="22"/>
          <w:color w:val="auto"/>
        </w:rPr>
        <w:t>(vii)any charges, fees and expenses (or any amortization thereof) (including, without limitation, all legal, accounting, advisory or other transaction-related fees, charges, costs and expenses and any bonuses or success fee payments related to the Transactions) related to the Transactions,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69" w:name="page70"/>
    <w:bookmarkEnd w:id="69"/>
    <w:p>
      <w:pPr>
        <w:jc w:val="both"/>
        <w:ind w:left="1620"/>
        <w:spacing w:after="0" w:line="223" w:lineRule="auto"/>
        <w:rPr>
          <w:sz w:val="20"/>
          <w:szCs w:val="20"/>
          <w:color w:val="auto"/>
        </w:rPr>
      </w:pPr>
      <w:r>
        <w:rPr>
          <w:rFonts w:ascii="Arial" w:cs="Arial" w:eastAsia="Arial" w:hAnsi="Arial"/>
          <w:sz w:val="22"/>
          <w:szCs w:val="22"/>
          <w:color w:val="auto"/>
        </w:rPr>
        <w:t>any acquisition or investment or disposition (or any such proposed acquisition, investment or disposition) (including amortization or write offs of debt issuance or deferred financing costs, premiums and prepayment penalties), in each case, whether or not successful;</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(viii)any losses resulting from mark to market accounting of swap contracts or other derivative instruments; and</w:t>
      </w:r>
    </w:p>
    <w:p>
      <w:pPr>
        <w:spacing w:after="0" w:line="214" w:lineRule="exact"/>
        <w:rPr>
          <w:sz w:val="20"/>
          <w:szCs w:val="20"/>
          <w:color w:val="auto"/>
        </w:rPr>
      </w:pPr>
    </w:p>
    <w:p>
      <w:pPr>
        <w:jc w:val="both"/>
        <w:ind w:left="1620" w:hanging="323"/>
        <w:spacing w:after="0" w:line="252" w:lineRule="auto"/>
        <w:rPr>
          <w:sz w:val="20"/>
          <w:szCs w:val="20"/>
          <w:color w:val="auto"/>
        </w:rPr>
      </w:pPr>
      <w:r>
        <w:rPr>
          <w:rFonts w:ascii="Arial" w:cs="Arial" w:eastAsia="Arial" w:hAnsi="Arial"/>
          <w:sz w:val="19"/>
          <w:szCs w:val="19"/>
          <w:color w:val="auto"/>
        </w:rPr>
        <w:t xml:space="preserve">(ix)the aggregate amount of accrued and unpaid Management Fees, IP Licensing Fees and Allocable Overhead;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cash payment in respect of such accrued and unpaid Management Fees, IP Licensing Fees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Allocable Overhead (other than to the extent any such accrual occurred prior to the Issue Date) in any future Test Period shall be subtracted from Consolidated EBITDA in such Test Period to the extent Wynn Resorts Finance elected to previously add back such amounts to Consolidated EBITDA; </w:t>
      </w:r>
      <w:r>
        <w:rPr>
          <w:rFonts w:ascii="Arial" w:cs="Arial" w:eastAsia="Arial" w:hAnsi="Arial"/>
          <w:sz w:val="19"/>
          <w:szCs w:val="19"/>
          <w:i w:val="1"/>
          <w:iCs w:val="1"/>
          <w:color w:val="auto"/>
        </w:rPr>
        <w:t>minus</w:t>
      </w:r>
    </w:p>
    <w:p>
      <w:pPr>
        <w:spacing w:after="0" w:line="149" w:lineRule="exact"/>
        <w:rPr>
          <w:sz w:val="20"/>
          <w:szCs w:val="20"/>
          <w:color w:val="auto"/>
        </w:rPr>
      </w:pPr>
    </w:p>
    <w:p>
      <w:pPr>
        <w:ind w:left="1220" w:hanging="580"/>
        <w:spacing w:after="0"/>
        <w:tabs>
          <w:tab w:leader="none" w:pos="12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each case to the extent included in calculating such Consolidated Net Income:</w:t>
      </w:r>
    </w:p>
    <w:p>
      <w:pPr>
        <w:spacing w:after="0" w:line="179" w:lineRule="exact"/>
        <w:rPr>
          <w:sz w:val="20"/>
          <w:szCs w:val="20"/>
          <w:color w:val="auto"/>
        </w:rPr>
      </w:pPr>
    </w:p>
    <w:p>
      <w:pPr>
        <w:jc w:val="both"/>
        <w:ind w:left="320" w:firstLine="320"/>
        <w:spacing w:after="0" w:line="218" w:lineRule="auto"/>
        <w:tabs>
          <w:tab w:leader="none" w:pos="1085"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61" w:lineRule="exact"/>
        <w:rPr>
          <w:rFonts w:ascii="Arial" w:cs="Arial" w:eastAsia="Arial" w:hAnsi="Arial"/>
          <w:sz w:val="22"/>
          <w:szCs w:val="22"/>
          <w:color w:val="auto"/>
        </w:rPr>
      </w:pPr>
    </w:p>
    <w:p>
      <w:pPr>
        <w:ind w:left="320" w:firstLine="320"/>
        <w:spacing w:after="0" w:line="232" w:lineRule="auto"/>
        <w:tabs>
          <w:tab w:leader="none" w:pos="1324"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the amount of any gains resulting from mark to market accounting of swap contracts or other derivative instruments; </w:t>
      </w:r>
      <w:r>
        <w:rPr>
          <w:rFonts w:ascii="Arial" w:cs="Arial" w:eastAsia="Arial" w:hAnsi="Arial"/>
          <w:sz w:val="22"/>
          <w:szCs w:val="22"/>
          <w:i w:val="1"/>
          <w:iCs w:val="1"/>
          <w:color w:val="auto"/>
        </w:rPr>
        <w:t>plus</w:t>
      </w:r>
    </w:p>
    <w:p>
      <w:pPr>
        <w:spacing w:after="0" w:line="159" w:lineRule="exact"/>
        <w:rPr>
          <w:sz w:val="20"/>
          <w:szCs w:val="20"/>
          <w:color w:val="auto"/>
        </w:rPr>
      </w:pPr>
    </w:p>
    <w:p>
      <w:pPr>
        <w:jc w:val="both"/>
        <w:ind w:firstLine="640"/>
        <w:spacing w:after="0" w:line="241" w:lineRule="auto"/>
        <w:tabs>
          <w:tab w:leader="none" w:pos="1212"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the amount of cost savings, operating expense reductions, other operating improvements and synergies projected by Wynn Resorts Finance in good faith to be realized as a result of specified actions taken or with respect to which steps have been initiated (in the good faith determination of Wynn Resorts Finance)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actions are to be taken within eighteen (18) months after the consummation of such Specified Transaction, restructuring or implementation of an initiative that is expected to result in such cost savings, operating expense reductions, other operating improvements or synergies, (ii)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(iii)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amount of additions made to Consolidated EBITDA for any Test Period pursuant to this clause (c) shall not (i) exceed 20.0% of Consolidated EBITDA for such Test Period (after giving effect to this clause (c)) or (ii) be duplicative of one another; </w:t>
      </w:r>
      <w:r>
        <w:rPr>
          <w:rFonts w:ascii="Arial" w:cs="Arial" w:eastAsia="Arial" w:hAnsi="Arial"/>
          <w:sz w:val="19"/>
          <w:szCs w:val="19"/>
          <w:i w:val="1"/>
          <w:iCs w:val="1"/>
          <w:color w:val="auto"/>
        </w:rPr>
        <w:t>plus</w:t>
      </w:r>
    </w:p>
    <w:p>
      <w:pPr>
        <w:spacing w:after="0" w:line="159" w:lineRule="exact"/>
        <w:rPr>
          <w:rFonts w:ascii="Arial" w:cs="Arial" w:eastAsia="Arial" w:hAnsi="Arial"/>
          <w:sz w:val="19"/>
          <w:szCs w:val="19"/>
          <w:color w:val="auto"/>
        </w:rPr>
      </w:pPr>
    </w:p>
    <w:p>
      <w:pPr>
        <w:jc w:val="both"/>
        <w:ind w:right="20" w:firstLine="640"/>
        <w:spacing w:after="0" w:line="223" w:lineRule="auto"/>
        <w:tabs>
          <w:tab w:leader="none" w:pos="12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the extent not included in Consolidated Net Income, the amount of business interruption insurance proceeds received during such Test Period or after such Test Period and on or prior to the date the calculation is made with respect to such Test Period, attributable to</w:t>
      </w: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80"/>
          </w:cols>
          <w:pgMar w:left="580" w:top="604" w:right="239" w:bottom="1440" w:gutter="0" w:footer="0" w:header="0"/>
        </w:sectPr>
      </w:pPr>
    </w:p>
    <w:bookmarkStart w:id="70" w:name="page71"/>
    <w:bookmarkEnd w:id="70"/>
    <w:p>
      <w:pPr>
        <w:jc w:val="both"/>
        <w:spacing w:after="0" w:line="222" w:lineRule="auto"/>
        <w:rPr>
          <w:sz w:val="20"/>
          <w:szCs w:val="20"/>
          <w:color w:val="auto"/>
        </w:rPr>
      </w:pPr>
      <w:r>
        <w:rPr>
          <w:rFonts w:ascii="Arial" w:cs="Arial" w:eastAsia="Arial" w:hAnsi="Arial"/>
          <w:sz w:val="21"/>
          <w:szCs w:val="21"/>
          <w:color w:val="auto"/>
        </w:rPr>
        <w:t xml:space="preserve">any property which has been closed or had operations curtailed for such Test Period;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amount of insurance proceeds shall only be included pursuant to this clause (d) to the extent of the amount of insurance proceeds </w:t>
      </w:r>
      <w:r>
        <w:rPr>
          <w:rFonts w:ascii="Arial" w:cs="Arial" w:eastAsia="Arial" w:hAnsi="Arial"/>
          <w:sz w:val="21"/>
          <w:szCs w:val="21"/>
          <w:i w:val="1"/>
          <w:iCs w:val="1"/>
          <w:color w:val="auto"/>
        </w:rPr>
        <w:t>plus</w:t>
      </w:r>
      <w:r>
        <w:rPr>
          <w:rFonts w:ascii="Arial" w:cs="Arial" w:eastAsia="Arial" w:hAnsi="Arial"/>
          <w:sz w:val="21"/>
          <w:szCs w:val="21"/>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21"/>
          <w:szCs w:val="21"/>
          <w:i w:val="1"/>
          <w:iCs w:val="1"/>
          <w:color w:val="auto"/>
        </w:rPr>
        <w:t>plus</w:t>
      </w:r>
    </w:p>
    <w:p>
      <w:pPr>
        <w:spacing w:after="0" w:line="158" w:lineRule="exact"/>
        <w:rPr>
          <w:sz w:val="20"/>
          <w:szCs w:val="20"/>
          <w:color w:val="auto"/>
        </w:rPr>
      </w:pPr>
    </w:p>
    <w:p>
      <w:pPr>
        <w:jc w:val="both"/>
        <w:ind w:firstLine="640"/>
        <w:spacing w:after="0" w:line="268" w:lineRule="auto"/>
        <w:tabs>
          <w:tab w:leader="none" w:pos="1212"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for any previous Test Period and not added back.</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Consolidated EBITDA shall be further adjusted:</w:t>
      </w:r>
    </w:p>
    <w:p>
      <w:pPr>
        <w:spacing w:after="0" w:line="179" w:lineRule="exact"/>
        <w:rPr>
          <w:sz w:val="20"/>
          <w:szCs w:val="20"/>
          <w:color w:val="auto"/>
        </w:rPr>
      </w:pPr>
    </w:p>
    <w:p>
      <w:pPr>
        <w:jc w:val="both"/>
        <w:ind w:firstLine="640"/>
        <w:spacing w:after="0" w:line="214" w:lineRule="auto"/>
        <w:tabs>
          <w:tab w:leader="none" w:pos="1272" w:val="left"/>
        </w:tabs>
        <w:numPr>
          <w:ilvl w:val="0"/>
          <w:numId w:val="39"/>
        </w:numPr>
        <w:rPr>
          <w:rFonts w:ascii="Arial" w:cs="Arial" w:eastAsia="Arial" w:hAnsi="Arial"/>
          <w:sz w:val="22"/>
          <w:szCs w:val="22"/>
          <w:color w:val="auto"/>
        </w:rPr>
      </w:pPr>
      <w:r>
        <w:rPr>
          <w:rFonts w:ascii="Arial" w:cs="Arial" w:eastAsia="Arial" w:hAnsi="Arial"/>
          <w:sz w:val="22"/>
          <w:szCs w:val="22"/>
          <w:color w:val="auto"/>
        </w:rPr>
        <w:t>to include the Consolidated EBITDA of any Person, property, business or asset (including a management agreement or similar agreement) acquired by an Issueror any Guarantor during such Test Period and required to become a Guarantor pursuant to the terms of this Indenture based on the Consolidated EBITDA of such Person (or attributable to such property, business or asset) for such period (including the portion thereof occurring prior to such acquisition), determined as if references the Issuers and the Guarantors in Consolidated Net Income and other defined terms therein were to such Person and its Subsidiaries;</w:t>
      </w:r>
    </w:p>
    <w:p>
      <w:pPr>
        <w:spacing w:after="0" w:line="159" w:lineRule="exact"/>
        <w:rPr>
          <w:rFonts w:ascii="Arial" w:cs="Arial" w:eastAsia="Arial" w:hAnsi="Arial"/>
          <w:sz w:val="22"/>
          <w:szCs w:val="22"/>
          <w:color w:val="auto"/>
        </w:rPr>
      </w:pPr>
    </w:p>
    <w:p>
      <w:pPr>
        <w:jc w:val="both"/>
        <w:ind w:firstLine="640"/>
        <w:spacing w:after="0" w:line="252" w:lineRule="auto"/>
        <w:tabs>
          <w:tab w:leader="none" w:pos="12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to exclude the Consolidated EBITDA of any Guarantor, property, business or asset sold, transferred or otherwise disposed of, closed or classified as discontinued operations by an Issuer or any Guarantor during such Test Period, based on the actual Consolidated EBITDA of such Person for such period (including the portion thereof occurring prior to such sale, transfer, disposition, closing, classification or conversion), determined as if references to the Issuers and the Guarantors in Consolidated Net Income and other defined terms therein were to such Person and its Subsidiaries;</w:t>
      </w:r>
    </w:p>
    <w:p>
      <w:pPr>
        <w:spacing w:after="0" w:line="149" w:lineRule="exact"/>
        <w:rPr>
          <w:rFonts w:ascii="Arial" w:cs="Arial" w:eastAsia="Arial" w:hAnsi="Arial"/>
          <w:sz w:val="19"/>
          <w:szCs w:val="19"/>
          <w:color w:val="auto"/>
        </w:rPr>
      </w:pPr>
    </w:p>
    <w:p>
      <w:pPr>
        <w:jc w:val="both"/>
        <w:ind w:firstLine="640"/>
        <w:spacing w:after="0" w:line="249" w:lineRule="auto"/>
        <w:tabs>
          <w:tab w:leader="none" w:pos="12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the Issuers and the Guarantors;</w:t>
      </w:r>
    </w:p>
    <w:p>
      <w:pPr>
        <w:spacing w:after="0" w:line="152" w:lineRule="exact"/>
        <w:rPr>
          <w:rFonts w:ascii="Arial" w:cs="Arial" w:eastAsia="Arial" w:hAnsi="Arial"/>
          <w:sz w:val="19"/>
          <w:szCs w:val="19"/>
          <w:color w:val="auto"/>
        </w:rPr>
      </w:pPr>
    </w:p>
    <w:p>
      <w:pPr>
        <w:jc w:val="both"/>
        <w:ind w:firstLine="640"/>
        <w:spacing w:after="0" w:line="246" w:lineRule="auto"/>
        <w:tabs>
          <w:tab w:leader="none" w:pos="1272"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event of any Expansion Capital Expenditures or Development Projects that were opened for business during such Test Period, by multiplying the Consolidated EBITDA attributable to such Expansion Capital Expenditures or Development Projects (as determined by Wynn Resorts Finance in good faith) in respect of the first three (3) complete fiscal quarters 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w:t>
      </w:r>
    </w:p>
    <w:p>
      <w:pPr>
        <w:spacing w:after="0" w:line="200" w:lineRule="exact"/>
        <w:rPr>
          <w:sz w:val="20"/>
          <w:szCs w:val="20"/>
          <w:color w:val="auto"/>
        </w:rPr>
      </w:pP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80"/>
          </w:cols>
          <w:pgMar w:left="580" w:top="604" w:right="239" w:bottom="1440" w:gutter="0" w:footer="0" w:header="0"/>
        </w:sectPr>
      </w:pPr>
    </w:p>
    <w:bookmarkStart w:id="71" w:name="page72"/>
    <w:bookmarkEnd w:id="71"/>
    <w:p>
      <w:pPr>
        <w:ind w:left="340"/>
        <w:spacing w:after="0"/>
        <w:rPr>
          <w:sz w:val="20"/>
          <w:szCs w:val="20"/>
          <w:color w:val="auto"/>
        </w:rPr>
      </w:pPr>
      <w:r>
        <w:rPr>
          <w:rFonts w:ascii="Arial" w:cs="Arial" w:eastAsia="Arial" w:hAnsi="Arial"/>
          <w:sz w:val="19"/>
          <w:szCs w:val="19"/>
          <w:color w:val="auto"/>
        </w:rPr>
        <w:t>Consolidated EBITDA during any such three fiscal quarters (unless such business opened on the first day of a fiscal quarter);</w:t>
      </w:r>
    </w:p>
    <w:p>
      <w:pPr>
        <w:spacing w:after="0" w:line="214" w:lineRule="exact"/>
        <w:rPr>
          <w:sz w:val="20"/>
          <w:szCs w:val="20"/>
          <w:color w:val="auto"/>
        </w:rPr>
      </w:pPr>
    </w:p>
    <w:p>
      <w:pPr>
        <w:jc w:val="both"/>
        <w:ind w:left="340" w:firstLine="640"/>
        <w:spacing w:after="0" w:line="218" w:lineRule="auto"/>
        <w:tabs>
          <w:tab w:leader="none" w:pos="1588" w:val="left"/>
        </w:tabs>
        <w:numPr>
          <w:ilvl w:val="0"/>
          <w:numId w:val="40"/>
        </w:numPr>
        <w:rPr>
          <w:rFonts w:ascii="Arial" w:cs="Arial" w:eastAsia="Arial" w:hAnsi="Arial"/>
          <w:sz w:val="22"/>
          <w:szCs w:val="22"/>
          <w:color w:val="auto"/>
        </w:rPr>
      </w:pPr>
      <w:r>
        <w:rPr>
          <w:rFonts w:ascii="Arial" w:cs="Arial" w:eastAsia="Arial" w:hAnsi="Arial"/>
          <w:sz w:val="22"/>
          <w:szCs w:val="22"/>
          <w:color w:val="auto"/>
        </w:rPr>
        <w:t>with respect to each fiscal quarter during any Test Period ending on or prior to the eighth (8</w:t>
      </w:r>
      <w:r>
        <w:rPr>
          <w:rFonts w:ascii="Arial" w:cs="Arial" w:eastAsia="Arial" w:hAnsi="Arial"/>
          <w:sz w:val="14"/>
          <w:szCs w:val="14"/>
          <w:color w:val="auto"/>
        </w:rPr>
        <w:t>th</w:t>
      </w:r>
      <w:r>
        <w:rPr>
          <w:rFonts w:ascii="Arial" w:cs="Arial" w:eastAsia="Arial" w:hAnsi="Arial"/>
          <w:sz w:val="22"/>
          <w:szCs w:val="22"/>
          <w:color w:val="auto"/>
        </w:rPr>
        <w:t>) full fiscal quarter after the Issue Date, Consolidated EBITDA attributable to the Wynn Massachusetts Resort (as determined by Wynn Resorts Finance in good faith) shall, in each case, be the greater of (1) $50.0 million and (2) actual Consolidated EBITDA attributable to the Wynn Massachusetts Resort for such fiscal quarter; and</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exclude the amount, if any, by which the dividends and distributions paid or, at Wynn Resorts Finance’s election, declared to Wynn Group Asia by its direct and indirect Subsidiaries that are included in Consolidated Net Income pursuant to clause (c) of the definition thereof during the applicable Test Period exceed the applicable Recurring Dividend Amount for such Test Period.</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Indebtedness</w:t>
      </w:r>
      <w:r>
        <w:rPr>
          <w:rFonts w:ascii="Arial" w:cs="Arial" w:eastAsia="Arial" w:hAnsi="Arial"/>
          <w:sz w:val="19"/>
          <w:szCs w:val="19"/>
          <w:color w:val="auto"/>
        </w:rPr>
        <w:t>” means, as at any date of determination, the aggregate amount of all Indebtedness of the Issuers and the Guarantors(other than (x) any such Indebtedness that has been discharged, (y) any escrowed indebtedness, and</w:t>
      </w:r>
    </w:p>
    <w:p>
      <w:pPr>
        <w:jc w:val="both"/>
        <w:ind w:firstLine="8"/>
        <w:spacing w:after="0" w:line="237" w:lineRule="auto"/>
        <w:tabs>
          <w:tab w:leader="none" w:pos="306"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intercompany indebtedness) on such date, in an amount that would be reflected on a balance sheet on such date prepared on a consolidated basis in accordance with US GAAP, consisting of Indebtedness for borrowed money, obligations in respect of Capital Lease Obligations, purchase money Indebtedness, Indebtedness of the kind described in clause (5) of the definition of “Indebtedness,” Indebtedness evidenced by promissory notes and similar instruments and contingent obligations in respect of any of the foregoing (to be included only to the extent set forth in clause (iii) below);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Consolidated Indebtedness shall not include (A) Indebtedness in respect of letters of credit, except to the extent of unreimbursed amounts thereunder or</w:t>
      </w:r>
    </w:p>
    <w:p>
      <w:pPr>
        <w:spacing w:after="0" w:line="1" w:lineRule="exact"/>
        <w:rPr>
          <w:rFonts w:ascii="Arial" w:cs="Arial" w:eastAsia="Arial" w:hAnsi="Arial"/>
          <w:sz w:val="19"/>
          <w:szCs w:val="19"/>
          <w:color w:val="auto"/>
        </w:rPr>
      </w:pPr>
    </w:p>
    <w:p>
      <w:pPr>
        <w:jc w:val="both"/>
        <w:spacing w:after="0" w:line="210" w:lineRule="auto"/>
        <w:rPr>
          <w:rFonts w:ascii="Arial" w:cs="Arial" w:eastAsia="Arial" w:hAnsi="Arial"/>
          <w:sz w:val="19"/>
          <w:szCs w:val="19"/>
          <w:color w:val="auto"/>
        </w:rPr>
      </w:pPr>
      <w:r>
        <w:rPr>
          <w:rFonts w:ascii="Arial" w:cs="Arial" w:eastAsia="Arial" w:hAnsi="Arial"/>
          <w:sz w:val="22"/>
          <w:szCs w:val="22"/>
          <w:color w:val="auto"/>
        </w:rPr>
        <w:t xml:space="preserve">(B) Indebtedness in respect of disqualified capital stock, (ii) the amount of Consolidated Indebtedness, in the case of Indebtedness of a Guarantor that is not a wholly-owned Guarantor, shall be reduced by an amount directly proportional to the amount (if any) by which Consolidated EBITDA was reduced (including through the calculation of Consolidated Net Income) in respect of such non-controlling interest in such Guarantor owned by a Person other than an Issuer or any other Guarantor, (iii) Consolidated Indebtedness shall not include contingent obligations,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and when any such contingent obligation is demanded for payment from an Issuer or any Guarantor, then the amounts of such contingent obligation shall be included in such calculations.</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Interest Expense</w:t>
      </w:r>
      <w:r>
        <w:rPr>
          <w:rFonts w:ascii="Arial" w:cs="Arial" w:eastAsia="Arial" w:hAnsi="Arial"/>
          <w:sz w:val="19"/>
          <w:szCs w:val="19"/>
          <w:color w:val="auto"/>
        </w:rPr>
        <w:t xml:space="preserve">” means, for any Test Period, the sum of interest expense of the Issuers and the Guarantors for such Test Period as determined on a consolidated basis in accordance with US GAAP, </w:t>
      </w:r>
      <w:r>
        <w:rPr>
          <w:rFonts w:ascii="Arial" w:cs="Arial" w:eastAsia="Arial" w:hAnsi="Arial"/>
          <w:sz w:val="19"/>
          <w:szCs w:val="19"/>
          <w:i w:val="1"/>
          <w:iCs w:val="1"/>
          <w:color w:val="auto"/>
        </w:rPr>
        <w:t>plus</w:t>
      </w:r>
      <w:r>
        <w:rPr>
          <w:rFonts w:ascii="Arial" w:cs="Arial" w:eastAsia="Arial" w:hAnsi="Arial"/>
          <w:sz w:val="19"/>
          <w:szCs w:val="19"/>
          <w:color w:val="auto"/>
        </w:rPr>
        <w:t>, to the extent deducted in arriving at Consolidated Net Income and without duplication, (a) the interest portion of payments on Capital Lease Obligations,</w:t>
      </w:r>
    </w:p>
    <w:p>
      <w:pPr>
        <w:spacing w:after="0" w:line="3" w:lineRule="exact"/>
        <w:rPr>
          <w:sz w:val="20"/>
          <w:szCs w:val="20"/>
          <w:color w:val="auto"/>
        </w:rPr>
      </w:pPr>
    </w:p>
    <w:p>
      <w:pPr>
        <w:jc w:val="both"/>
        <w:ind w:firstLine="8"/>
        <w:spacing w:after="0" w:line="241" w:lineRule="auto"/>
        <w:tabs>
          <w:tab w:leader="none" w:pos="326" w:val="left"/>
        </w:tabs>
        <w:numPr>
          <w:ilvl w:val="0"/>
          <w:numId w:val="42"/>
        </w:numPr>
        <w:rPr>
          <w:rFonts w:ascii="Arial" w:cs="Arial" w:eastAsia="Arial" w:hAnsi="Arial"/>
          <w:sz w:val="19"/>
          <w:szCs w:val="19"/>
          <w:color w:val="auto"/>
        </w:rPr>
      </w:pPr>
      <w:r>
        <w:rPr>
          <w:rFonts w:ascii="Arial" w:cs="Arial" w:eastAsia="Arial" w:hAnsi="Arial"/>
          <w:sz w:val="19"/>
          <w:szCs w:val="19"/>
          <w:color w:val="auto"/>
        </w:rPr>
        <w:t>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US GAAP, (j) fees and expenses associated with the consummation of the Transactions (k) annual or quarterly agency fees paid to the administrative agent under the Senior Credit Facilities and (l) costs and fees associated with obtaining swap contracts and fees payable thereunder.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04" w:right="239" w:bottom="1440" w:gutter="0" w:footer="0" w:header="0"/>
        </w:sectPr>
      </w:pPr>
    </w:p>
    <w:bookmarkStart w:id="72" w:name="page73"/>
    <w:bookmarkEnd w:id="72"/>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Net Income</w:t>
      </w:r>
      <w:r>
        <w:rPr>
          <w:rFonts w:ascii="Arial" w:cs="Arial" w:eastAsia="Arial" w:hAnsi="Arial"/>
          <w:sz w:val="19"/>
          <w:szCs w:val="19"/>
          <w:color w:val="auto"/>
        </w:rPr>
        <w:t xml:space="preserve">” means, for any Test Period, the aggregate of the net income of the Issuers and the Guarantors for such Test Period, on a consolidated basis, determined in accordance with US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without duplication:</w:t>
      </w:r>
    </w:p>
    <w:p>
      <w:pPr>
        <w:spacing w:after="0" w:line="106" w:lineRule="exact"/>
        <w:rPr>
          <w:sz w:val="20"/>
          <w:szCs w:val="20"/>
          <w:color w:val="auto"/>
        </w:rPr>
      </w:pPr>
    </w:p>
    <w:p>
      <w:pPr>
        <w:ind w:left="340" w:firstLine="640"/>
        <w:spacing w:after="0" w:line="232" w:lineRule="auto"/>
        <w:tabs>
          <w:tab w:leader="none" w:pos="1552"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gain or loss (together with any related provision for taxes thereon) realized in connection with (i) any asset sale or (ii) any disposition of any securities by an Issuer or any of the Guarantors shall be excluded;</w:t>
      </w:r>
    </w:p>
    <w:p>
      <w:pPr>
        <w:spacing w:after="0" w:line="159" w:lineRule="exact"/>
        <w:rPr>
          <w:rFonts w:ascii="Arial" w:cs="Arial" w:eastAsia="Arial" w:hAnsi="Arial"/>
          <w:sz w:val="22"/>
          <w:szCs w:val="22"/>
          <w:color w:val="auto"/>
        </w:rPr>
      </w:pPr>
    </w:p>
    <w:p>
      <w:pPr>
        <w:ind w:left="1560" w:hanging="580"/>
        <w:spacing w:after="0"/>
        <w:tabs>
          <w:tab w:leader="none" w:pos="1560"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any extraordinary gain or loss (together with any related provision for taxes thereon) shall be excluded;</w:t>
      </w:r>
    </w:p>
    <w:p>
      <w:pPr>
        <w:spacing w:after="0" w:line="190" w:lineRule="exact"/>
        <w:rPr>
          <w:rFonts w:ascii="Arial" w:cs="Arial" w:eastAsia="Arial" w:hAnsi="Arial"/>
          <w:sz w:val="21"/>
          <w:szCs w:val="21"/>
          <w:color w:val="auto"/>
        </w:rPr>
      </w:pPr>
    </w:p>
    <w:p>
      <w:pPr>
        <w:jc w:val="both"/>
        <w:ind w:left="340" w:firstLine="640"/>
        <w:spacing w:after="0" w:line="243" w:lineRule="auto"/>
        <w:tabs>
          <w:tab w:leader="none" w:pos="1552"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net income of any Person that (i) is not a Subsidiary, (ii) is accounted for by the equity method of accounting or (iii) is a Subsidiary (or former Subsidiary) with respect to which a Trigger Event has occurred following the occurrence and during the continuance of such Trigger Event shall be excluded;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Consolidated Net Income of the Issuers and the Guarantors shall be increased by the amount of dividends or distributions or other payments (including management fees) that are actually paid or are payable in cash to an Issuer or a Guarantor in respect of such period by such Persons (or to the extent converted into cash) (including at Wynn Resorts Finance’s election in the case of the direct and indirect Subsidiaries of Wynn Group Asia, dividends and distributions declared (but not yet paid) during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event Wynn Resorts Finance elects to include any such declared (but not yet paid) dividend or distribution in Consolidated Net Income during any period, in no event shall the subsequent payment of such dividends and distributions be so included);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case of any such Person acquired by an Issuer or a Guarantor during such test Period, the foregoing shall be determined as if such Person had been acquired on the first day of such Test Period;</w:t>
      </w:r>
    </w:p>
    <w:p>
      <w:pPr>
        <w:spacing w:after="0" w:line="159" w:lineRule="exact"/>
        <w:rPr>
          <w:rFonts w:ascii="Arial" w:cs="Arial" w:eastAsia="Arial" w:hAnsi="Arial"/>
          <w:sz w:val="19"/>
          <w:szCs w:val="19"/>
          <w:color w:val="auto"/>
        </w:rPr>
      </w:pPr>
    </w:p>
    <w:p>
      <w:pPr>
        <w:jc w:val="both"/>
        <w:ind w:left="340" w:firstLine="640"/>
        <w:spacing w:after="0" w:line="244" w:lineRule="auto"/>
        <w:tabs>
          <w:tab w:leader="none" w:pos="1564"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undistributed earnings of any Subsidiary of Wynn Resorts Finance that is not a an Issuer or a Guarantor to the extent that, on the date of determination the payment of cash dividends or similar cash distributions by such Subsidiary (or loans or advances by such subsidiary to any parent company) are not permitted by the terms of any contractual obligation or requirement of law applicable to such Subsidiary shall be excluded, unless such restrictions with respect to the payment of cash dividends and other similar cash distributions have been waived;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Consolidated Net Income of the Issuers and the Guarantors shall be increased by the amount of dividends or distributions or other payments (including management fees) that are actually paid or are payable in cash to an Issuer or a Guarantor(not subject to such restriction) thereof in respect of such period by such Subsidiaries (or to the extent converted into cash);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case of any such Person acquired by an Issuer or a Guarantor during such test Period, the foregoing shall be determined as if such Person had been acquired on the first day of such Test Period;</w:t>
      </w:r>
    </w:p>
    <w:p>
      <w:pPr>
        <w:spacing w:after="0" w:line="155" w:lineRule="exact"/>
        <w:rPr>
          <w:rFonts w:ascii="Arial" w:cs="Arial" w:eastAsia="Arial" w:hAnsi="Arial"/>
          <w:sz w:val="19"/>
          <w:szCs w:val="19"/>
          <w:color w:val="auto"/>
        </w:rPr>
      </w:pPr>
    </w:p>
    <w:p>
      <w:pPr>
        <w:jc w:val="both"/>
        <w:ind w:left="340" w:firstLine="640"/>
        <w:spacing w:after="0" w:line="268" w:lineRule="auto"/>
        <w:tabs>
          <w:tab w:leader="none" w:pos="1552"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32" w:lineRule="exact"/>
        <w:rPr>
          <w:rFonts w:ascii="Arial" w:cs="Arial" w:eastAsia="Arial" w:hAnsi="Arial"/>
          <w:sz w:val="19"/>
          <w:szCs w:val="19"/>
          <w:color w:val="auto"/>
        </w:rPr>
      </w:pPr>
    </w:p>
    <w:p>
      <w:pPr>
        <w:jc w:val="both"/>
        <w:ind w:left="340" w:firstLine="640"/>
        <w:spacing w:after="0" w:line="229" w:lineRule="auto"/>
        <w:tabs>
          <w:tab w:leader="none" w:pos="1528"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any non-cash charges or expenses related to the repurchase of stock options to the extent not prohibited by the indenture,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58" w:lineRule="exact"/>
        <w:rPr>
          <w:rFonts w:ascii="Arial" w:cs="Arial" w:eastAsia="Arial" w:hAnsi="Arial"/>
          <w:sz w:val="21"/>
          <w:szCs w:val="21"/>
          <w:color w:val="auto"/>
        </w:rPr>
      </w:pPr>
    </w:p>
    <w:p>
      <w:pPr>
        <w:ind w:left="1560" w:hanging="580"/>
        <w:spacing w:after="0"/>
        <w:tabs>
          <w:tab w:leader="none" w:pos="15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shall be excluded;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04" w:right="239" w:bottom="1440" w:gutter="0" w:footer="0" w:header="0"/>
        </w:sectPr>
      </w:pPr>
    </w:p>
    <w:bookmarkStart w:id="73" w:name="page74"/>
    <w:bookmarkEnd w:id="73"/>
    <w:p>
      <w:pPr>
        <w:jc w:val="both"/>
        <w:ind w:left="340" w:firstLine="640"/>
        <w:spacing w:after="0" w:line="216" w:lineRule="auto"/>
        <w:tabs>
          <w:tab w:leader="none" w:pos="1564"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any expenses or reserves for liabilities shall be excluded to the extent that an Issuer or a Guarantor is entitled to indemnification therefor under binding agreements;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liabilities for which an Issuer or any of Guarantors is not actually indemnified shall reduce Consolidated Net Income for the period in which it is determined that such Issuer or such Guarantor will not be indemnified (to the extent such liabilities would otherwise reduce Consolidated Net Income without giving effect to this clause (h));</w:t>
      </w:r>
    </w:p>
    <w:p>
      <w:pPr>
        <w:spacing w:after="0" w:line="158" w:lineRule="exact"/>
        <w:rPr>
          <w:rFonts w:ascii="Arial" w:cs="Arial" w:eastAsia="Arial" w:hAnsi="Arial"/>
          <w:sz w:val="22"/>
          <w:szCs w:val="22"/>
          <w:color w:val="auto"/>
        </w:rPr>
      </w:pPr>
    </w:p>
    <w:p>
      <w:pPr>
        <w:jc w:val="both"/>
        <w:ind w:left="340" w:firstLine="640"/>
        <w:spacing w:after="0" w:line="252" w:lineRule="auto"/>
        <w:tabs>
          <w:tab w:leader="none" w:pos="1516" w:val="left"/>
        </w:tabs>
        <w:numPr>
          <w:ilvl w:val="0"/>
          <w:numId w:val="44"/>
        </w:numPr>
        <w:rPr>
          <w:rFonts w:ascii="Arial" w:cs="Arial" w:eastAsia="Arial" w:hAnsi="Arial"/>
          <w:sz w:val="19"/>
          <w:szCs w:val="19"/>
          <w:color w:val="auto"/>
        </w:rPr>
      </w:pPr>
      <w:r>
        <w:rPr>
          <w:rFonts w:ascii="Arial" w:cs="Arial" w:eastAsia="Arial" w:hAnsi="Arial"/>
          <w:sz w:val="19"/>
          <w:szCs w:val="19"/>
          <w:color w:val="auto"/>
        </w:rPr>
        <w:t>losses, to the extent covered by insurance and actually reimbursed, or, so long as Wynn Resorts Finance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149" w:lineRule="exact"/>
        <w:rPr>
          <w:rFonts w:ascii="Arial" w:cs="Arial" w:eastAsia="Arial" w:hAnsi="Arial"/>
          <w:sz w:val="19"/>
          <w:szCs w:val="19"/>
          <w:color w:val="auto"/>
        </w:rPr>
      </w:pPr>
    </w:p>
    <w:p>
      <w:pPr>
        <w:ind w:left="340" w:firstLine="640"/>
        <w:spacing w:after="0" w:line="232" w:lineRule="auto"/>
        <w:tabs>
          <w:tab w:leader="none" w:pos="1516" w:val="left"/>
        </w:tabs>
        <w:numPr>
          <w:ilvl w:val="0"/>
          <w:numId w:val="44"/>
        </w:numPr>
        <w:rPr>
          <w:rFonts w:ascii="Arial" w:cs="Arial" w:eastAsia="Arial" w:hAnsi="Arial"/>
          <w:sz w:val="22"/>
          <w:szCs w:val="22"/>
          <w:color w:val="auto"/>
        </w:rPr>
      </w:pPr>
      <w:r>
        <w:rPr>
          <w:rFonts w:ascii="Arial" w:cs="Arial" w:eastAsia="Arial" w:hAnsi="Arial"/>
          <w:sz w:val="22"/>
          <w:szCs w:val="22"/>
          <w:color w:val="auto"/>
        </w:rPr>
        <w:t>gains and losses resulting solely from fluctuations in currency values and the related tax effects shall be excluded, and charges relating to Accounting Standards Codification Nos. 815 and 820 shall be excluded.</w:t>
      </w:r>
    </w:p>
    <w:p>
      <w:pPr>
        <w:spacing w:after="0" w:line="15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Senior Secured Net Leverage Ratio</w:t>
      </w:r>
      <w:r>
        <w:rPr>
          <w:rFonts w:ascii="Arial" w:cs="Arial" w:eastAsia="Arial" w:hAnsi="Arial"/>
          <w:sz w:val="19"/>
          <w:szCs w:val="19"/>
          <w:color w:val="auto"/>
        </w:rPr>
        <w:t>” means, as of any date of determination, the ratio of (a) (i) Consolidated Indebtedness of the Issuers and the Guarantors that is secured by Liens on the property or assets of an Issuer or a Guarantor as of such date (other than (x) any such Consolidated Indebtedness that is expressly subordinated in right of payment to the Notes and</w:t>
      </w:r>
    </w:p>
    <w:p>
      <w:pPr>
        <w:spacing w:after="0" w:line="3" w:lineRule="exact"/>
        <w:rPr>
          <w:sz w:val="20"/>
          <w:szCs w:val="20"/>
          <w:color w:val="auto"/>
        </w:rPr>
      </w:pPr>
    </w:p>
    <w:p>
      <w:pPr>
        <w:jc w:val="both"/>
        <w:ind w:firstLine="8"/>
        <w:spacing w:after="0" w:line="237" w:lineRule="auto"/>
        <w:tabs>
          <w:tab w:leader="none" w:pos="312"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any such Consolidated Indebtedness that benefits from the pledge securing the Existing LV Notes (but is not otherwise secured by any Liens on property or assets of an Issuer or a Guarantor as of such date)) </w:t>
      </w:r>
      <w:r>
        <w:rPr>
          <w:rFonts w:ascii="Arial" w:cs="Arial" w:eastAsia="Arial" w:hAnsi="Arial"/>
          <w:sz w:val="19"/>
          <w:szCs w:val="19"/>
          <w:i w:val="1"/>
          <w:iCs w:val="1"/>
          <w:color w:val="auto"/>
        </w:rPr>
        <w:t>minus</w:t>
      </w:r>
      <w:r>
        <w:rPr>
          <w:rFonts w:ascii="Arial" w:cs="Arial" w:eastAsia="Arial" w:hAnsi="Arial"/>
          <w:sz w:val="19"/>
          <w:szCs w:val="19"/>
          <w:color w:val="auto"/>
        </w:rPr>
        <w:t xml:space="preserve"> (ii) Unrestricted Operating Cash to</w:t>
      </w:r>
    </w:p>
    <w:p>
      <w:pPr>
        <w:jc w:val="both"/>
        <w:ind w:firstLine="8"/>
        <w:spacing w:after="0" w:line="224" w:lineRule="auto"/>
        <w:tabs>
          <w:tab w:leader="none" w:pos="312" w:val="left"/>
        </w:tabs>
        <w:numPr>
          <w:ilvl w:val="0"/>
          <w:numId w:val="46"/>
        </w:numPr>
        <w:rPr>
          <w:rFonts w:ascii="Arial" w:cs="Arial" w:eastAsia="Arial" w:hAnsi="Arial"/>
          <w:sz w:val="21"/>
          <w:szCs w:val="21"/>
          <w:color w:val="auto"/>
        </w:rPr>
      </w:pPr>
      <w:r>
        <w:rPr>
          <w:rFonts w:ascii="Arial" w:cs="Arial" w:eastAsia="Arial" w:hAnsi="Arial"/>
          <w:sz w:val="21"/>
          <w:szCs w:val="21"/>
          <w:color w:val="auto"/>
        </w:rPr>
        <w:t xml:space="preserve">Consolidated EBITDA for the Test Period most recently ended prior to such date; </w:t>
      </w:r>
      <w:r>
        <w:rPr>
          <w:rFonts w:ascii="Arial" w:cs="Arial" w:eastAsia="Arial" w:hAnsi="Arial"/>
          <w:sz w:val="21"/>
          <w:szCs w:val="21"/>
          <w:i w:val="1"/>
          <w:iCs w:val="1"/>
          <w:color w:val="auto"/>
        </w:rPr>
        <w:t>provided</w:t>
      </w:r>
      <w:r>
        <w:rPr>
          <w:rFonts w:ascii="Arial" w:cs="Arial" w:eastAsia="Arial" w:hAnsi="Arial"/>
          <w:sz w:val="21"/>
          <w:szCs w:val="21"/>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14.01 hereof or such other address as to which the Trustee may give notice to the Issuers.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that is, or with the passage of time or the giving of notice or both would be, an Event of Default.</w:t>
      </w:r>
    </w:p>
    <w:p>
      <w:pPr>
        <w:spacing w:after="0" w:line="2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xml:space="preserve">” means a certificated Note registered in the name of the Holder thereof and issued in accordance with Section 2.06 hereof, substantially in the form of </w:t>
      </w:r>
      <w:r>
        <w:rPr>
          <w:rFonts w:ascii="Arial" w:cs="Arial" w:eastAsia="Arial" w:hAnsi="Arial"/>
          <w:sz w:val="21"/>
          <w:szCs w:val="21"/>
          <w:u w:val="single" w:color="auto"/>
          <w:color w:val="auto"/>
        </w:rPr>
        <w:t>Exhibit A-1</w:t>
      </w:r>
      <w:r>
        <w:rPr>
          <w:rFonts w:ascii="Arial" w:cs="Arial" w:eastAsia="Arial" w:hAnsi="Arial"/>
          <w:sz w:val="21"/>
          <w:szCs w:val="21"/>
          <w:color w:val="auto"/>
        </w:rPr>
        <w:t xml:space="preserve"> hereto except that such Note shall not bear the Global Note Legend and shall not have the “Schedule of Exchanges of Interest in the Global Note” attached thereto.</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Depositary</w:t>
      </w:r>
      <w:r>
        <w:rPr>
          <w:rFonts w:ascii="Arial" w:cs="Arial" w:eastAsia="Arial" w:hAnsi="Arial"/>
          <w:sz w:val="22"/>
          <w:szCs w:val="22"/>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04" w:right="239" w:bottom="1440" w:gutter="0" w:footer="0" w:header="0"/>
        </w:sectPr>
      </w:pPr>
    </w:p>
    <w:bookmarkStart w:id="74" w:name="page75"/>
    <w:bookmarkEnd w:id="74"/>
    <w:p>
      <w:pPr>
        <w:jc w:val="both"/>
        <w:ind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Derivative Instrument</w:t>
      </w:r>
      <w:r>
        <w:rPr>
          <w:rFonts w:ascii="Arial" w:cs="Arial" w:eastAsia="Arial" w:hAnsi="Arial"/>
          <w:sz w:val="21"/>
          <w:szCs w:val="21"/>
          <w:color w:val="auto"/>
        </w:rPr>
        <w:t>” means with respect to a Person other than any Person that is a Regulated Bank,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 or the creditworthiness of any Issuer and/or any one or more of the Guarantors (the “</w:t>
      </w:r>
      <w:r>
        <w:rPr>
          <w:rFonts w:ascii="Arial" w:cs="Arial" w:eastAsia="Arial" w:hAnsi="Arial"/>
          <w:sz w:val="21"/>
          <w:szCs w:val="21"/>
          <w:i w:val="1"/>
          <w:iCs w:val="1"/>
          <w:color w:val="auto"/>
        </w:rPr>
        <w:t>Performance References</w:t>
      </w:r>
      <w:r>
        <w:rPr>
          <w:rFonts w:ascii="Arial" w:cs="Arial" w:eastAsia="Arial" w:hAnsi="Arial"/>
          <w:sz w:val="21"/>
          <w:szCs w:val="21"/>
          <w:color w:val="auto"/>
        </w:rPr>
        <w: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Development Project</w:t>
      </w:r>
      <w:r>
        <w:rPr>
          <w:rFonts w:ascii="Arial" w:cs="Arial" w:eastAsia="Arial" w:hAnsi="Arial"/>
          <w:sz w:val="19"/>
          <w:szCs w:val="19"/>
          <w:color w:val="auto"/>
        </w:rPr>
        <w:t>” means investments, Capital Expenditures and other expenditures, directly or indirectly, (a) in any joint ventures in which an Issuer or any Guarantor, directly or indirectly, has control or with whom it has a management, development or similar contract and, in the case of a joint venture, in which an Issuer or any Guarantor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an Issuer or any of Guarantor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casinos, casino resorts, “racinos,” racetracks, non-gaming resorts, hotels, distributed gaming applications, entertainment developments, restaurants, retail developments and taverns.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04" w:right="239" w:bottom="1440" w:gutter="0" w:footer="0" w:header="0"/>
        </w:sectPr>
      </w:pPr>
    </w:p>
    <w:bookmarkStart w:id="75" w:name="page76"/>
    <w:bookmarkEnd w:id="75"/>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Domestic Subsidiary</w:t>
      </w:r>
      <w:r>
        <w:rPr>
          <w:rFonts w:ascii="Arial" w:cs="Arial" w:eastAsia="Arial" w:hAnsi="Arial"/>
          <w:sz w:val="22"/>
          <w:szCs w:val="22"/>
          <w:color w:val="auto"/>
        </w:rPr>
        <w:t>” means any Subsidiary of Wynn Resorts Finance (other than Wynn Resorts Capital) that was formed under the laws of the United States or any state of the United States or the District of Columbia or that guarantees or otherwise provides direct credit support for any Indebtedness of Wynn Resorts Finance.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Excluded Subsidiary</w:t>
      </w:r>
      <w:r>
        <w:rPr>
          <w:rFonts w:ascii="Arial" w:cs="Arial" w:eastAsia="Arial" w:hAnsi="Arial"/>
          <w:sz w:val="21"/>
          <w:szCs w:val="21"/>
          <w:color w:val="auto"/>
        </w:rPr>
        <w:t>” means any Subsidiary of Wynn Resorts Finance, other than Wynn Resorts Capital, that is designated by the Board of Directors of Wynn Resorts Capital as an Excluded Subsidiary pursuant to a resolution of the Board of Directors (and any Subsidiary of each such Excluded Subsidiary), but only to the extent that such Subsidiary of Wynn Resorts Finance does not, directly or indirectly, guarantee or otherwise provide direct credit support for the Senior Credit Facilities or any other Indebtedness of Wynn Resorts Finance and is not subject to any covenants in, or Liens securing, the Existing LV Notes; provided that if any Excluded Subsidiary directly or indirectly, guarantees or otherwise provides direct credit support for any Indebtedness of Wynn Resorts Finance or becomes subject to the covenants in, or Liens securing, the Existing LV Notes, such Excluded Subsidiary will thereafter not be an Excluded Subsidiary.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Existing LV Notes</w:t>
      </w:r>
      <w:r>
        <w:rPr>
          <w:rFonts w:ascii="Arial" w:cs="Arial" w:eastAsia="Arial" w:hAnsi="Arial"/>
          <w:sz w:val="22"/>
          <w:szCs w:val="22"/>
          <w:color w:val="auto"/>
        </w:rPr>
        <w:t>” means the 2023 Notes, the 2025 Notes and the 2027 Notes.</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Expansion Capital Expenditures</w:t>
      </w:r>
      <w:r>
        <w:rPr>
          <w:rFonts w:ascii="Arial" w:cs="Arial" w:eastAsia="Arial" w:hAnsi="Arial"/>
          <w:sz w:val="21"/>
          <w:szCs w:val="21"/>
          <w:color w:val="auto"/>
        </w:rPr>
        <w:t>” means any capital expenditure by an Issuer or any of Guarantor in respect of the purchase, construction, or other acquisition of any fixed or capital assets or the refurbishment of existing assets or properties that, in Wynn Resorts Finance’s reasonable determination, adds to or improves (or is reasonably expected to add to or improve) the property of the Issuers and the Guarantors, excluding any such capital expenditures fully financed with net cash proceeds of an asset sale or casualty event and excluding capital expenditures made in the ordinary course made to maintain, repair, restore or refurbish the property of the Issuers and the Guarantors in its then existing state or to support the continuation of such Person’s day to day operations as then conducted.</w:t>
      </w:r>
    </w:p>
    <w:p>
      <w:pPr>
        <w:spacing w:after="0" w:line="18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the value that would be paid by a willing buyer to an unaffiliated willing seller in a transaction not involving distress or necessity of either party, determined in good faith by (1) an appropriate officer of Wynn Resorts Finance, in the case of any value equal to or less than $50.0 million or (2) the Board of Directors of Wynn Resorts Capital, in the event of any value greater than $50.0 million (in each case, unless otherwise provided in this Indenture).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Funded Debt</w:t>
      </w:r>
      <w:r>
        <w:rPr>
          <w:rFonts w:ascii="Arial" w:cs="Arial" w:eastAsia="Arial" w:hAnsi="Arial"/>
          <w:sz w:val="22"/>
          <w:szCs w:val="22"/>
          <w:color w:val="auto"/>
        </w:rPr>
        <w:t>” means all Indebtedness of Wynn Resorts Finance or any Guarantor that (i) matures by its terms on, or is renewable at the option of any obligor thereon to, a date more than one year after the date of original issuance of such Indebtedness and (ii) ranks at least pari passu with the Notes or the applicable Note Guarantee.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76" w:name="page77"/>
    <w:bookmarkEnd w:id="76"/>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Authority</w:t>
      </w:r>
      <w:r>
        <w:rPr>
          <w:rFonts w:ascii="Arial" w:cs="Arial" w:eastAsia="Arial" w:hAnsi="Arial"/>
          <w:sz w:val="22"/>
          <w:szCs w:val="22"/>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Issue Date or hereafter in existence, including the Massachusetts Gaming Commission, the Nevada Gaming Commission, the Nevada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Resorts Finance or any of the Guarantors.</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Facility</w:t>
      </w:r>
      <w:r>
        <w:rPr>
          <w:rFonts w:ascii="Arial" w:cs="Arial" w:eastAsia="Arial" w:hAnsi="Arial"/>
          <w:sz w:val="22"/>
          <w:szCs w:val="22"/>
          <w:color w:val="auto"/>
        </w:rPr>
        <w:t>” means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Law</w:t>
      </w:r>
      <w:r>
        <w:rPr>
          <w:rFonts w:ascii="Arial" w:cs="Arial" w:eastAsia="Arial" w:hAnsi="Arial"/>
          <w:sz w:val="22"/>
          <w:szCs w:val="22"/>
          <w:color w:val="auto"/>
        </w:rPr>
        <w:t>” means the gaming laws, rules, regulations or ordinances of any jurisdiction or jurisdictions to which Wynn Resorts Finance or any of the Guarantors is, or may be, at any time subject.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any license, permit, franchise or other authorization from any Gaming Authority necessary on the Issue Date or at any time thereafter to own, lease, operate or otherwise conduct the gaming business of Wynn Resorts Finance or any of the Guarantors.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which is required to be placed on all Global Notes issued under this Indenture.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xml:space="preserve">” means each of the global Notes issued in accordance with Section 2.01 and substantially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attached hereto that, except as otherwise provided in Section 2.01(b) hereof, bear the Global Note Legend and that have the “Schedule of Exchanges of Interests in the Global Note” attached thereto, and that are deposited with or on behalf of and registered in the name of the Depositary.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20" w:lineRule="exact"/>
        <w:rPr>
          <w:sz w:val="20"/>
          <w:szCs w:val="20"/>
          <w:color w:val="auto"/>
        </w:rPr>
      </w:pPr>
    </w:p>
    <w:p>
      <w:pPr>
        <w:ind w:left="1800" w:hanging="495"/>
        <w:spacing w:after="0"/>
        <w:tabs>
          <w:tab w:leader="none" w:pos="18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direct obligations of the United States of America for the timely payment of which its full faith and credit 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pledged; or</w:t>
      </w:r>
    </w:p>
    <w:p>
      <w:pPr>
        <w:spacing w:after="0" w:line="215" w:lineRule="exact"/>
        <w:rPr>
          <w:sz w:val="20"/>
          <w:szCs w:val="20"/>
          <w:color w:val="auto"/>
        </w:rPr>
      </w:pPr>
    </w:p>
    <w:p>
      <w:pPr>
        <w:jc w:val="both"/>
        <w:ind w:firstLine="1305"/>
        <w:spacing w:after="0" w:line="260" w:lineRule="auto"/>
        <w:tabs>
          <w:tab w:leader="none" w:pos="1796" w:val="left"/>
        </w:tabs>
        <w:numPr>
          <w:ilvl w:val="0"/>
          <w:numId w:val="48"/>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77" w:name="page78"/>
    <w:bookmarkEnd w:id="77"/>
    <w:p>
      <w:pPr>
        <w:jc w:val="both"/>
        <w:ind w:right="20"/>
        <w:spacing w:after="0" w:line="253" w:lineRule="auto"/>
        <w:rPr>
          <w:sz w:val="20"/>
          <w:szCs w:val="20"/>
          <w:color w:val="auto"/>
        </w:rPr>
      </w:pPr>
      <w:r>
        <w:rPr>
          <w:rFonts w:ascii="Arial" w:cs="Arial" w:eastAsia="Arial" w:hAnsi="Arial"/>
          <w:sz w:val="22"/>
          <w:szCs w:val="22"/>
          <w:color w:val="auto"/>
        </w:rPr>
        <w:t>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Guarantor</w:t>
      </w:r>
      <w:r>
        <w:rPr>
          <w:rFonts w:ascii="Arial" w:cs="Arial" w:eastAsia="Arial" w:hAnsi="Arial"/>
          <w:sz w:val="22"/>
          <w:szCs w:val="22"/>
          <w:color w:val="auto"/>
        </w:rPr>
        <w:t>” means each of:</w:t>
      </w:r>
    </w:p>
    <w:p>
      <w:pPr>
        <w:spacing w:after="0" w:line="220" w:lineRule="exact"/>
        <w:rPr>
          <w:sz w:val="20"/>
          <w:szCs w:val="20"/>
          <w:color w:val="auto"/>
        </w:rPr>
      </w:pPr>
    </w:p>
    <w:p>
      <w:pPr>
        <w:ind w:left="1740" w:hanging="435"/>
        <w:spacing w:after="0"/>
        <w:tabs>
          <w:tab w:leader="none" w:pos="17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Domestic Subsidiaries, other than Excluded Subsidiaries, and</w:t>
      </w:r>
    </w:p>
    <w:p>
      <w:pPr>
        <w:spacing w:after="0" w:line="233" w:lineRule="exact"/>
        <w:rPr>
          <w:rFonts w:ascii="Arial" w:cs="Arial" w:eastAsia="Arial" w:hAnsi="Arial"/>
          <w:sz w:val="22"/>
          <w:szCs w:val="22"/>
          <w:color w:val="auto"/>
        </w:rPr>
      </w:pPr>
    </w:p>
    <w:p>
      <w:pPr>
        <w:ind w:firstLine="1305"/>
        <w:spacing w:after="0" w:line="276" w:lineRule="auto"/>
        <w:tabs>
          <w:tab w:leader="none" w:pos="1837"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any other Person that provides a Guarantee by executing a supplemental indenture in accordance with the provisions of this Indenture,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and, except to the extent the applicable Note Guarantee is released in accordance with Section 11.05 hereof, their respective successors and assigns (other than the Issuers). A Person shall cease to be a Guarantor following the release of its Note Guarantee as described in Section 11.05 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20" w:lineRule="exact"/>
        <w:rPr>
          <w:sz w:val="20"/>
          <w:szCs w:val="20"/>
          <w:color w:val="auto"/>
        </w:rPr>
      </w:pPr>
    </w:p>
    <w:p>
      <w:pPr>
        <w:ind w:firstLine="1305"/>
        <w:spacing w:after="0" w:line="276" w:lineRule="auto"/>
        <w:tabs>
          <w:tab w:leader="none" w:pos="186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33" w:lineRule="exact"/>
        <w:rPr>
          <w:rFonts w:ascii="Arial" w:cs="Arial" w:eastAsia="Arial" w:hAnsi="Arial"/>
          <w:sz w:val="22"/>
          <w:szCs w:val="22"/>
          <w:color w:val="auto"/>
        </w:rPr>
      </w:pPr>
    </w:p>
    <w:p>
      <w:pPr>
        <w:ind w:firstLine="1305"/>
        <w:spacing w:after="0" w:line="276" w:lineRule="auto"/>
        <w:tabs>
          <w:tab w:leader="none" w:pos="1796" w:val="left"/>
        </w:tabs>
        <w:numPr>
          <w:ilvl w:val="0"/>
          <w:numId w:val="50"/>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or “</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IAI Global Note</w:t>
      </w:r>
      <w:r>
        <w:rPr>
          <w:rFonts w:ascii="Arial" w:cs="Arial" w:eastAsia="Arial" w:hAnsi="Arial"/>
          <w:sz w:val="19"/>
          <w:szCs w:val="19"/>
          <w:color w:val="auto"/>
        </w:rPr>
        <w:t xml:space="preserve">” means a Global Note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hereto bearing the Global Note Legend and the Private Placement Legend and deposited with or on behalf of and registered in the name of the Depositary or its nominee that shall be issued in a denomination equal to the outstanding principal amount of the Notes sold to Institutional Accredited Investors.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Immaterial Subsidiary</w:t>
      </w:r>
      <w:r>
        <w:rPr>
          <w:rFonts w:ascii="Arial" w:cs="Arial" w:eastAsia="Arial" w:hAnsi="Arial"/>
          <w:sz w:val="22"/>
          <w:szCs w:val="22"/>
          <w:color w:val="auto"/>
        </w:rPr>
        <w:t>” means, as of any date, any Subsidiary whose total assets, as of that date, are less than $150.0 million; provided that a Subsidiary shall not be considered to be an Immaterial Subsidiary if it, directly or indirectly, guarantees or otherwise provides direct credit support for any Indebtedness of Wynn Resorts Finance.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78" w:name="page79"/>
    <w:bookmarkEnd w:id="78"/>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175" w:lineRule="exact"/>
        <w:rPr>
          <w:sz w:val="20"/>
          <w:szCs w:val="20"/>
          <w:color w:val="auto"/>
        </w:rPr>
      </w:pPr>
    </w:p>
    <w:p>
      <w:pPr>
        <w:ind w:left="1740" w:hanging="435"/>
        <w:spacing w:after="0"/>
        <w:tabs>
          <w:tab w:leader="none" w:pos="17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evidenced by bonds, notes, debentures or similar instruments or letters of credit (or reimbursement agreements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 respect thereof);</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representing a Capital Lease Obligation or Attributable Debt;</w:t>
      </w:r>
    </w:p>
    <w:p>
      <w:pPr>
        <w:spacing w:after="0" w:line="233" w:lineRule="exact"/>
        <w:rPr>
          <w:rFonts w:ascii="Arial" w:cs="Arial" w:eastAsia="Arial" w:hAnsi="Arial"/>
          <w:sz w:val="22"/>
          <w:szCs w:val="22"/>
          <w:color w:val="auto"/>
        </w:rPr>
      </w:pPr>
    </w:p>
    <w:p>
      <w:pPr>
        <w:ind w:right="20" w:firstLine="1305"/>
        <w:spacing w:after="0" w:line="276" w:lineRule="auto"/>
        <w:tabs>
          <w:tab w:leader="none" w:pos="1769"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and to the extent any of the preceding items (other than letters of credit, Attributable Debt and Hedging Obligations) would appear as a liability upon a balance sheet of the specified Person prepared in accordance with US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20" w:lineRule="exact"/>
        <w:rPr>
          <w:sz w:val="20"/>
          <w:szCs w:val="20"/>
          <w:color w:val="auto"/>
        </w:rPr>
      </w:pPr>
    </w:p>
    <w:p>
      <w:pPr>
        <w:ind w:left="1740" w:hanging="435"/>
        <w:spacing w:after="0"/>
        <w:tabs>
          <w:tab w:leader="none" w:pos="17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accreted value of the Indebtedness, in the case of any Indebtedness issued with original issue discount;</w:t>
      </w:r>
    </w:p>
    <w:p>
      <w:pPr>
        <w:spacing w:after="0" w:line="267" w:lineRule="exact"/>
        <w:rPr>
          <w:rFonts w:ascii="Arial" w:cs="Arial" w:eastAsia="Arial" w:hAnsi="Arial"/>
          <w:sz w:val="19"/>
          <w:szCs w:val="19"/>
          <w:color w:val="auto"/>
        </w:rPr>
      </w:pPr>
    </w:p>
    <w:p>
      <w:pPr>
        <w:ind w:right="20" w:firstLine="1305"/>
        <w:spacing w:after="0" w:line="276" w:lineRule="auto"/>
        <w:tabs>
          <w:tab w:leader="none" w:pos="1783"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the case of a Guarantee of Indebtedness, the maximum amount of the Indebtedness guaranteed under such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Guarantee; and</w:t>
      </w:r>
    </w:p>
    <w:p>
      <w:pPr>
        <w:spacing w:after="0" w:line="215" w:lineRule="exact"/>
        <w:rPr>
          <w:rFonts w:ascii="Arial" w:cs="Arial" w:eastAsia="Arial" w:hAnsi="Arial"/>
          <w:sz w:val="19"/>
          <w:szCs w:val="19"/>
          <w:color w:val="auto"/>
        </w:rPr>
      </w:pPr>
    </w:p>
    <w:p>
      <w:pPr>
        <w:ind w:left="1740" w:hanging="435"/>
        <w:spacing w:after="0"/>
        <w:tabs>
          <w:tab w:leader="none" w:pos="17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the case of Indebtedness of others secured by a Lien on any asset of the specified Person, the lesser of:</w:t>
      </w:r>
    </w:p>
    <w:p>
      <w:pPr>
        <w:spacing w:after="0" w:line="267" w:lineRule="exact"/>
        <w:rPr>
          <w:rFonts w:ascii="Arial" w:cs="Arial" w:eastAsia="Arial" w:hAnsi="Arial"/>
          <w:sz w:val="19"/>
          <w:szCs w:val="19"/>
          <w:color w:val="auto"/>
        </w:rPr>
      </w:pPr>
    </w:p>
    <w:p>
      <w:pPr>
        <w:ind w:firstLine="1953"/>
        <w:spacing w:after="0" w:line="263" w:lineRule="auto"/>
        <w:tabs>
          <w:tab w:leader="none" w:pos="2833"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174" w:lineRule="exact"/>
        <w:rPr>
          <w:rFonts w:ascii="Arial" w:cs="Arial" w:eastAsia="Arial" w:hAnsi="Arial"/>
          <w:sz w:val="22"/>
          <w:szCs w:val="22"/>
          <w:color w:val="auto"/>
        </w:rPr>
      </w:pPr>
    </w:p>
    <w:p>
      <w:pPr>
        <w:ind w:left="2860" w:hanging="907"/>
        <w:spacing w:after="0"/>
        <w:tabs>
          <w:tab w:leader="none" w:pos="286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2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Notwithstanding anything contained in this Indenture to the contrary, any obligation of the Issuers or Guarantors incurred in the ordinary course of business in respect of casino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22"/>
          <w:szCs w:val="22"/>
          <w:color w:val="auto"/>
        </w:rPr>
        <w:t>chips or similar instruments shall not constitute “Indebtedness” for any purpose under this Indenture.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Independent Investment Banker</w:t>
      </w:r>
      <w:r>
        <w:rPr>
          <w:rFonts w:ascii="Arial" w:cs="Arial" w:eastAsia="Arial" w:hAnsi="Arial"/>
          <w:sz w:val="19"/>
          <w:szCs w:val="19"/>
          <w:color w:val="auto"/>
        </w:rPr>
        <w:t>” means one of the Reference Treasury Dealers appointed by Wynn Resorts Finance.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Initial Notes</w:t>
      </w:r>
      <w:r>
        <w:rPr>
          <w:rFonts w:ascii="Arial" w:cs="Arial" w:eastAsia="Arial" w:hAnsi="Arial"/>
          <w:sz w:val="19"/>
          <w:szCs w:val="19"/>
          <w:color w:val="auto"/>
        </w:rPr>
        <w:t>” means the first $750,000,000 aggregate principal amount of Notes issued under this Indenture on the Issue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Purchasers</w:t>
      </w:r>
      <w:r>
        <w:rPr>
          <w:rFonts w:ascii="Arial" w:cs="Arial" w:eastAsia="Arial" w:hAnsi="Arial"/>
          <w:sz w:val="22"/>
          <w:szCs w:val="22"/>
          <w:color w:val="auto"/>
        </w:rPr>
        <w:t>” means Deutsche Bank Securities Inc., Goldman Sachs &amp; Co. LLC, Scotia Capital (USA) Inc., BofA Securities, Inc., BNP Paribas Securities Corp., Fifth Third Securities, Inc., J.P. Morgan Securities LLC, Mizuho Securities USA LLC, SunTrust Robinson Humphrey, Inc., SMBC Nikko Securities America, Inc., Credit Agricole Securities (USA) Inc. and Citizens Capital Markets, Inc.</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are not also QIBs.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Investment Grade</w:t>
      </w:r>
      <w:r>
        <w:rPr>
          <w:rFonts w:ascii="Arial" w:cs="Arial" w:eastAsia="Arial" w:hAnsi="Arial"/>
          <w:sz w:val="22"/>
          <w:szCs w:val="22"/>
          <w:color w:val="auto"/>
        </w:rPr>
        <w:t>” means a rating of Baa3 or better by Moody’s (or its equivalent under any successor rating categories of Moody’s), a rating of BBB- or better by S&amp;P (or its equivalent under any successor rating categories of S&amp;P) or the equivalent Investment Grade credit rating from any additional Rating Agency or Rating Agencies selected by Wynn Resorts Finance, as applicable.</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 Licensing Fees</w:t>
      </w:r>
      <w:r>
        <w:rPr>
          <w:rFonts w:ascii="Arial" w:cs="Arial" w:eastAsia="Arial" w:hAnsi="Arial"/>
          <w:sz w:val="18"/>
          <w:szCs w:val="18"/>
          <w:color w:val="auto"/>
        </w:rPr>
        <w:t>” means any fees payable by an Issuer or a Guarantor to any Affiliate (other than an Issuer or a Guarantor) pursuant to (a) (i) that certain 2014 Intellectual Property Licensing Agreement, dated as of November 20, 2014, among Wynn Resorts Holdings, LLC, Wynn Resorts and Wynn Massachusetts Resort and (ii) that certain Intellectual Property 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September 20, 2019.</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Issuers</w:t>
      </w:r>
      <w:r>
        <w:rPr>
          <w:rFonts w:ascii="Arial" w:cs="Arial" w:eastAsia="Arial" w:hAnsi="Arial"/>
          <w:sz w:val="22"/>
          <w:szCs w:val="22"/>
          <w:color w:val="auto"/>
        </w:rPr>
        <w:t>” means Wynn Resorts Finance and Wynn Resorts Capital.</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Joint Venture</w:t>
      </w:r>
      <w:r>
        <w:rPr>
          <w:rFonts w:ascii="Arial" w:cs="Arial" w:eastAsia="Arial" w:hAnsi="Arial"/>
          <w:sz w:val="22"/>
          <w:szCs w:val="22"/>
          <w:color w:val="auto"/>
        </w:rPr>
        <w:t>” means any partnership, corporation or other entity, in which up to and including 50% of the partnership interests, outstanding Voting Stock or other Equity Interests is owned, directly or indirectly, by Wynn Resorts Finance and/or one or more of its Subsidiaries.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80" w:name="page81"/>
    <w:bookmarkEnd w:id="80"/>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Lien</w:t>
      </w:r>
      <w:r>
        <w:rPr>
          <w:rFonts w:ascii="Arial" w:cs="Arial" w:eastAsia="Arial" w:hAnsi="Arial"/>
          <w:sz w:val="21"/>
          <w:szCs w:val="21"/>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an aircraft shall not be considered a Lien for purposes of this Indenture.</w:t>
      </w:r>
    </w:p>
    <w:p>
      <w:pPr>
        <w:spacing w:after="0" w:line="14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Long Derivative Instrument</w:t>
      </w:r>
      <w:r>
        <w:rPr>
          <w:rFonts w:ascii="Arial" w:cs="Arial" w:eastAsia="Arial" w:hAnsi="Arial"/>
          <w:sz w:val="22"/>
          <w:szCs w:val="22"/>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Macau Resort</w:t>
      </w:r>
      <w:r>
        <w:rPr>
          <w:rFonts w:ascii="Arial" w:cs="Arial" w:eastAsia="Arial" w:hAnsi="Arial"/>
          <w:sz w:val="19"/>
          <w:szCs w:val="19"/>
          <w:color w:val="auto"/>
        </w:rPr>
        <w:t>” means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3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Management Fees</w:t>
      </w:r>
      <w:r>
        <w:rPr>
          <w:rFonts w:ascii="Arial" w:cs="Arial" w:eastAsia="Arial" w:hAnsi="Arial"/>
          <w:sz w:val="21"/>
          <w:szCs w:val="21"/>
          <w:color w:val="auto"/>
        </w:rPr>
        <w:t>” means (a) any fees, costs, expenses or reimbursements payable by an Issuer or a Guarantor to any Affiliate (other than an Issuer or a Guarantor) pursuant to (i) that certain Management Fee and Corporate Allocation Agreement, dated as of November 20, 2014, between Wynn Massachusetts Resort and Wynn Resorts and (ii) that certain Management Agreement, dated February 26, 2015,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6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Minimum Cage Cash Amount</w:t>
      </w:r>
      <w:r>
        <w:rPr>
          <w:rFonts w:ascii="Arial" w:cs="Arial" w:eastAsia="Arial" w:hAnsi="Arial"/>
          <w:sz w:val="21"/>
          <w:szCs w:val="21"/>
          <w:color w:val="auto"/>
        </w:rPr>
        <w:t>” means, as of any date of determination, an amount equal to $15.0 million multiplied by the number of material Gaming Facilities (as determined by Wynn Resorts Finance in good faith) owned and operated by an Issuer or a Guarantor. For purposes of this definition, as of the Issue Date each of (a) the Wynn Las Vegas Resort and Encore at Wynn Las Vegas (taken as a whole) and (b) the Wynn Massachusetts Resort shall count as material Gaming Facilities such that as of the Issue Date the Minimum Cage Cash Amount shall be $30.0 million.</w:t>
      </w:r>
    </w:p>
    <w:p>
      <w:pPr>
        <w:spacing w:after="0" w:line="187"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7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Net Short</w:t>
      </w:r>
      <w:r>
        <w:rPr>
          <w:rFonts w:ascii="Arial" w:cs="Arial" w:eastAsia="Arial" w:hAnsi="Arial"/>
          <w:sz w:val="21"/>
          <w:szCs w:val="21"/>
          <w:color w:val="auto"/>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an Issuer or any Guarantor immediately prior to such date of determination.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81" w:name="page82"/>
    <w:bookmarkEnd w:id="81"/>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Revolving Credit Facility</w:t>
      </w:r>
      <w:r>
        <w:rPr>
          <w:rFonts w:ascii="Arial" w:cs="Arial" w:eastAsia="Arial" w:hAnsi="Arial"/>
          <w:sz w:val="22"/>
          <w:szCs w:val="22"/>
          <w:color w:val="auto"/>
        </w:rPr>
        <w:t>” means the first lien revolving credit facility in an aggregate principal amount of up to $850.0 million entered into on the Issue Date by Wynn Resorts Finance.</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Term Facility</w:t>
      </w:r>
      <w:r>
        <w:rPr>
          <w:rFonts w:ascii="Arial" w:cs="Arial" w:eastAsia="Arial" w:hAnsi="Arial"/>
          <w:sz w:val="22"/>
          <w:szCs w:val="22"/>
          <w:color w:val="auto"/>
        </w:rPr>
        <w:t>” means the first lien term loan A facility in an aggregate principal amount of up to $1,000.0 million entered into on the Issue Date by Wynn Resorts Finance.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 Guarantee</w:t>
      </w:r>
      <w:r>
        <w:rPr>
          <w:rFonts w:ascii="Arial" w:cs="Arial" w:eastAsia="Arial" w:hAnsi="Arial"/>
          <w:sz w:val="22"/>
          <w:szCs w:val="22"/>
          <w:color w:val="auto"/>
        </w:rPr>
        <w:t>” means the Guarantee, by each Guarantor of the Issuers’ obligations under this Indenture and the Notes, executed pursuant to the provisions of this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Obligations</w:t>
      </w:r>
      <w:r>
        <w:rPr>
          <w:rFonts w:ascii="Arial" w:cs="Arial" w:eastAsia="Arial" w:hAnsi="Arial"/>
          <w:sz w:val="22"/>
          <w:szCs w:val="22"/>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w:t>
      </w:r>
    </w:p>
    <w:p>
      <w:pPr>
        <w:spacing w:after="0" w:line="220" w:lineRule="exact"/>
        <w:rPr>
          <w:sz w:val="20"/>
          <w:szCs w:val="20"/>
          <w:color w:val="auto"/>
        </w:rPr>
      </w:pPr>
    </w:p>
    <w:p>
      <w:pPr>
        <w:ind w:left="1740" w:hanging="435"/>
        <w:spacing w:after="0"/>
        <w:tabs>
          <w:tab w:leader="none" w:pos="17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with respect to a corporation, a Designated Officer of such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with respect to a partnership, a Designated Officer of the general partner of such partnership; and</w:t>
      </w:r>
    </w:p>
    <w:p>
      <w:pPr>
        <w:spacing w:after="0" w:line="233" w:lineRule="exact"/>
        <w:rPr>
          <w:rFonts w:ascii="Arial" w:cs="Arial" w:eastAsia="Arial" w:hAnsi="Arial"/>
          <w:sz w:val="22"/>
          <w:szCs w:val="22"/>
          <w:color w:val="auto"/>
        </w:rPr>
      </w:pPr>
    </w:p>
    <w:p>
      <w:pPr>
        <w:jc w:val="both"/>
        <w:ind w:firstLine="1305"/>
        <w:spacing w:after="0" w:line="260" w:lineRule="auto"/>
        <w:tabs>
          <w:tab w:leader="none" w:pos="1877" w:val="left"/>
        </w:tabs>
        <w:numPr>
          <w:ilvl w:val="0"/>
          <w:numId w:val="53"/>
        </w:numPr>
        <w:rPr>
          <w:rFonts w:ascii="Arial" w:cs="Arial" w:eastAsia="Arial" w:hAnsi="Arial"/>
          <w:sz w:val="22"/>
          <w:szCs w:val="22"/>
          <w:color w:val="auto"/>
        </w:rPr>
      </w:pPr>
      <w:r>
        <w:rPr>
          <w:rFonts w:ascii="Arial" w:cs="Arial" w:eastAsia="Arial" w:hAnsi="Arial"/>
          <w:sz w:val="22"/>
          <w:szCs w:val="22"/>
          <w:color w:val="auto"/>
        </w:rPr>
        <w:t>with respect to a limited liability company, a Designated Officer of such limited liability company, or a Designated Officer of the manager or managing member of such limited liability company, as the case may be (or, if such manager or managing member is an individual, such individual).</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with respect to any Person, a certificate signed on behalf of such Person by:</w:t>
      </w:r>
    </w:p>
    <w:p>
      <w:pPr>
        <w:spacing w:after="0" w:line="220" w:lineRule="exact"/>
        <w:rPr>
          <w:sz w:val="20"/>
          <w:szCs w:val="20"/>
          <w:color w:val="auto"/>
        </w:rPr>
      </w:pPr>
    </w:p>
    <w:p>
      <w:pPr>
        <w:ind w:left="1740" w:hanging="435"/>
        <w:spacing w:after="0"/>
        <w:tabs>
          <w:tab w:leader="none" w:pos="17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with respect to a corporation, two Designated Officers of such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4"/>
        </w:numPr>
        <w:rPr>
          <w:rFonts w:ascii="Arial" w:cs="Arial" w:eastAsia="Arial" w:hAnsi="Arial"/>
          <w:sz w:val="21"/>
          <w:szCs w:val="21"/>
          <w:color w:val="auto"/>
        </w:rPr>
      </w:pPr>
      <w:r>
        <w:rPr>
          <w:rFonts w:ascii="Arial" w:cs="Arial" w:eastAsia="Arial" w:hAnsi="Arial"/>
          <w:sz w:val="21"/>
          <w:szCs w:val="21"/>
          <w:color w:val="auto"/>
        </w:rPr>
        <w:t>with respect to a partnership, two Designated Officers of the general partner of such partnership; and</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04" w:right="239" w:bottom="1440" w:gutter="0" w:footer="0" w:header="0"/>
        </w:sectPr>
      </w:pPr>
    </w:p>
    <w:bookmarkStart w:id="82" w:name="page83"/>
    <w:bookmarkEnd w:id="82"/>
    <w:p>
      <w:pPr>
        <w:ind w:right="20" w:firstLine="1305"/>
        <w:spacing w:after="0" w:line="358" w:lineRule="auto"/>
        <w:tabs>
          <w:tab w:leader="none" w:pos="1783" w:val="left"/>
        </w:tabs>
        <w:numPr>
          <w:ilvl w:val="0"/>
          <w:numId w:val="55"/>
        </w:numPr>
        <w:rPr>
          <w:rFonts w:ascii="Arial" w:cs="Arial" w:eastAsia="Arial" w:hAnsi="Arial"/>
          <w:sz w:val="19"/>
          <w:szCs w:val="19"/>
          <w:color w:val="auto"/>
        </w:rPr>
      </w:pPr>
      <w:r>
        <w:rPr>
          <w:rFonts w:ascii="Arial" w:cs="Arial" w:eastAsia="Arial" w:hAnsi="Arial"/>
          <w:sz w:val="19"/>
          <w:szCs w:val="19"/>
          <w:color w:val="auto"/>
        </w:rPr>
        <w:t>with respect to a limited liability company, two Designated Officers of the manager or managing member of such limited liability company, as the case may be (or, if such manager or managing member is an individual, such individual),</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that meets the requirement of Section 14.05 hereof.</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Opinion of Counsel</w:t>
      </w:r>
      <w:r>
        <w:rPr>
          <w:rFonts w:ascii="Arial" w:cs="Arial" w:eastAsia="Arial" w:hAnsi="Arial"/>
          <w:sz w:val="21"/>
          <w:szCs w:val="21"/>
          <w:color w:val="auto"/>
        </w:rPr>
        <w:t>” means an opinion from legal counsel that meets the requirements of Section 14.05 hereof. The counsel may be an employee of or counsel to Wynn Resorts Finance, any Guarantor, as the case may be.</w:t>
      </w:r>
    </w:p>
    <w:p>
      <w:pPr>
        <w:spacing w:after="0" w:line="15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Parent Entity</w:t>
      </w:r>
      <w:r>
        <w:rPr>
          <w:rFonts w:ascii="Arial" w:cs="Arial" w:eastAsia="Arial" w:hAnsi="Arial"/>
          <w:sz w:val="22"/>
          <w:szCs w:val="22"/>
          <w:color w:val="auto"/>
        </w:rPr>
        <w:t>” means (a) Wynn Resorts, (b) Wynn Resorts Holdings or (c) any entity that is or becomes a holding company or intermediary holding company for Wynn Resorts Holdings or Wynn Resorts Finance.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 means, with respect to the Depositary, a Person who has an account with the Depositary.</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Permitted C-Corp. Conversion</w:t>
      </w:r>
      <w:r>
        <w:rPr>
          <w:rFonts w:ascii="Arial" w:cs="Arial" w:eastAsia="Arial" w:hAnsi="Arial"/>
          <w:sz w:val="22"/>
          <w:szCs w:val="22"/>
          <w:color w:val="auto"/>
        </w:rPr>
        <w:t>” means a transaction resulting in Wynn Resorts Finance or any of the Guarantors becoming a subchapter “C” corporation under the Code, so long as, in connection with such transaction:</w:t>
      </w:r>
    </w:p>
    <w:p>
      <w:pPr>
        <w:spacing w:after="0" w:line="175" w:lineRule="exact"/>
        <w:rPr>
          <w:sz w:val="20"/>
          <w:szCs w:val="20"/>
          <w:color w:val="auto"/>
        </w:rPr>
      </w:pPr>
    </w:p>
    <w:p>
      <w:pPr>
        <w:jc w:val="both"/>
        <w:ind w:firstLine="1305"/>
        <w:spacing w:after="0" w:line="254" w:lineRule="auto"/>
        <w:tabs>
          <w:tab w:leader="none" w:pos="178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85" w:lineRule="exact"/>
        <w:rPr>
          <w:rFonts w:ascii="Arial" w:cs="Arial" w:eastAsia="Arial" w:hAnsi="Arial"/>
          <w:sz w:val="22"/>
          <w:szCs w:val="22"/>
          <w:color w:val="auto"/>
        </w:rPr>
      </w:pPr>
    </w:p>
    <w:p>
      <w:pPr>
        <w:jc w:val="both"/>
        <w:ind w:firstLine="1305"/>
        <w:spacing w:after="0" w:line="270" w:lineRule="auto"/>
        <w:tabs>
          <w:tab w:leader="none" w:pos="1742"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subchapter “C” corporation resulting from such transaction assumes in writing all of the obligations, if any, of the applicable entity under (a) this Indenture, the Notes, and the Note Guarantees by the Guarantors and (b) all other documents and instruments to which such Person is a party (other than, in the case of clause (a) only, any documents and instruments that, individually or in the aggregate, are not material to the subchapter “C” corporation);</w:t>
      </w:r>
    </w:p>
    <w:p>
      <w:pPr>
        <w:spacing w:after="0" w:line="169" w:lineRule="exact"/>
        <w:rPr>
          <w:rFonts w:ascii="Arial" w:cs="Arial" w:eastAsia="Arial" w:hAnsi="Arial"/>
          <w:sz w:val="21"/>
          <w:szCs w:val="21"/>
          <w:color w:val="auto"/>
        </w:rPr>
      </w:pPr>
    </w:p>
    <w:p>
      <w:pPr>
        <w:ind w:left="1740" w:hanging="435"/>
        <w:spacing w:after="0"/>
        <w:tabs>
          <w:tab w:leader="none" w:pos="17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Trustee is given not less than 45 days’ advance written notice of such transaction;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such transaction would not cause or result in a Default or an Event of Default;</w:t>
      </w:r>
    </w:p>
    <w:p>
      <w:pPr>
        <w:spacing w:after="0" w:line="233" w:lineRule="exact"/>
        <w:rPr>
          <w:rFonts w:ascii="Arial" w:cs="Arial" w:eastAsia="Arial" w:hAnsi="Arial"/>
          <w:sz w:val="22"/>
          <w:szCs w:val="22"/>
          <w:color w:val="auto"/>
        </w:rPr>
      </w:pPr>
    </w:p>
    <w:p>
      <w:pPr>
        <w:ind w:firstLine="1305"/>
        <w:spacing w:after="0" w:line="358" w:lineRule="auto"/>
        <w:tabs>
          <w:tab w:leader="none" w:pos="1742"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90" w:lineRule="exact"/>
        <w:rPr>
          <w:rFonts w:ascii="Arial" w:cs="Arial" w:eastAsia="Arial" w:hAnsi="Arial"/>
          <w:sz w:val="19"/>
          <w:szCs w:val="19"/>
          <w:color w:val="auto"/>
        </w:rPr>
      </w:pPr>
    </w:p>
    <w:p>
      <w:pPr>
        <w:ind w:right="20" w:firstLine="1305"/>
        <w:spacing w:after="0" w:line="276" w:lineRule="auto"/>
        <w:tabs>
          <w:tab w:leader="none" w:pos="1756" w:val="left"/>
        </w:tabs>
        <w:numPr>
          <w:ilvl w:val="0"/>
          <w:numId w:val="56"/>
        </w:numPr>
        <w:rPr>
          <w:rFonts w:ascii="Arial" w:cs="Arial" w:eastAsia="Arial" w:hAnsi="Arial"/>
          <w:sz w:val="22"/>
          <w:szCs w:val="22"/>
          <w:color w:val="auto"/>
        </w:rPr>
      </w:pPr>
      <w:r>
        <w:rPr>
          <w:rFonts w:ascii="Arial" w:cs="Arial" w:eastAsia="Arial" w:hAnsi="Arial"/>
          <w:sz w:val="22"/>
          <w:szCs w:val="22"/>
          <w:color w:val="auto"/>
        </w:rPr>
        <w:t>such transaction does not require any Holder or Beneficial Owner of the Notes to obtain a Gaming License or be qualified or found suitable under the laws of any applicable gaming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83" w:name="page84"/>
    <w:bookmarkEnd w:id="83"/>
    <w:p>
      <w:pPr>
        <w:jc w:val="both"/>
        <w:ind w:firstLine="1305"/>
        <w:spacing w:after="0" w:line="254" w:lineRule="auto"/>
        <w:tabs>
          <w:tab w:leader="none" w:pos="1837" w:val="left"/>
        </w:tabs>
        <w:numPr>
          <w:ilvl w:val="0"/>
          <w:numId w:val="57"/>
        </w:numPr>
        <w:rPr>
          <w:rFonts w:ascii="Arial" w:cs="Arial" w:eastAsia="Arial" w:hAnsi="Arial"/>
          <w:sz w:val="22"/>
          <w:szCs w:val="22"/>
          <w:color w:val="auto"/>
        </w:rPr>
      </w:pPr>
      <w:r>
        <w:rPr>
          <w:rFonts w:ascii="Arial" w:cs="Arial" w:eastAsia="Arial" w:hAnsi="Arial"/>
          <w:sz w:val="22"/>
          <w:szCs w:val="22"/>
          <w:color w:val="auto"/>
        </w:rPr>
        <w:t>Wynn Resorts Finance shall have delivered to the Trustee an Opinion of Counsel of national repute in the United States reasonably acceptable to the Trustee, confirming that neither Issuer, nor any Guarantor nor any of the Holders shall recognize income, gain or loss for United States federal or state income tax purposes as a result of such Permitted C-Corp. Conversion; and</w:t>
      </w:r>
    </w:p>
    <w:p>
      <w:pPr>
        <w:spacing w:after="0" w:line="185" w:lineRule="exact"/>
        <w:rPr>
          <w:rFonts w:ascii="Arial" w:cs="Arial" w:eastAsia="Arial" w:hAnsi="Arial"/>
          <w:sz w:val="22"/>
          <w:szCs w:val="22"/>
          <w:color w:val="auto"/>
        </w:rPr>
      </w:pPr>
    </w:p>
    <w:p>
      <w:pPr>
        <w:ind w:firstLine="1305"/>
        <w:spacing w:after="0" w:line="276" w:lineRule="auto"/>
        <w:tabs>
          <w:tab w:leader="none" w:pos="1769" w:val="left"/>
        </w:tabs>
        <w:numPr>
          <w:ilvl w:val="0"/>
          <w:numId w:val="57"/>
        </w:numPr>
        <w:rPr>
          <w:rFonts w:ascii="Arial" w:cs="Arial" w:eastAsia="Arial" w:hAnsi="Arial"/>
          <w:sz w:val="22"/>
          <w:szCs w:val="22"/>
          <w:color w:val="auto"/>
        </w:rPr>
      </w:pPr>
      <w:r>
        <w:rPr>
          <w:rFonts w:ascii="Arial" w:cs="Arial" w:eastAsia="Arial" w:hAnsi="Arial"/>
          <w:sz w:val="22"/>
          <w:szCs w:val="22"/>
          <w:color w:val="auto"/>
        </w:rPr>
        <w:t>Wynn Resorts Finance shall have delivered to the Trustee a certificate of the Chief Financial Officer of Wynn Resorts Finance confirming that the conditions in clauses (1) through (7) have been satisfied.</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Pre-Opening Expenses</w:t>
      </w:r>
      <w:r>
        <w:rPr>
          <w:rFonts w:ascii="Arial" w:cs="Arial" w:eastAsia="Arial" w:hAnsi="Arial"/>
          <w:sz w:val="22"/>
          <w:szCs w:val="22"/>
          <w:color w:val="auto"/>
        </w:rPr>
        <w:t>” means, with respect to any fiscal period, the amount of expenses (including Consolidated Interest Expense) incurred with respect to capital projects which are appropriately classified as “pre-opening expenses” on the applicable financial statements of the Issuers and the Guarantors for such period.</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Principal Property</w:t>
      </w:r>
      <w:r>
        <w:rPr>
          <w:rFonts w:ascii="Arial" w:cs="Arial" w:eastAsia="Arial" w:hAnsi="Arial"/>
          <w:sz w:val="22"/>
          <w:szCs w:val="22"/>
          <w:color w:val="auto"/>
        </w:rPr>
        <w:t>” means any real estate or other physical facility or depreciable asset or securities the net book value of which on the date of determination exceeds the greater of $25.0 million and 2.0% of the Total Assets.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2.06(g)(1) hereof to be placed on all Notes issued under this Indenture except where otherwise permitted by the provisions of this Indenture.</w:t>
      </w:r>
    </w:p>
    <w:p>
      <w:pPr>
        <w:spacing w:after="0" w:line="14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 xml:space="preserve">“Property” </w:t>
      </w:r>
      <w:r>
        <w:rPr>
          <w:rFonts w:ascii="Arial" w:cs="Arial" w:eastAsia="Arial" w:hAnsi="Arial"/>
          <w:sz w:val="22"/>
          <w:szCs w:val="22"/>
          <w:color w:val="auto"/>
        </w:rPr>
        <w:t>means any right, title or interest in or to property or assets of any kind whatsoever, whether real, personal or</w:t>
      </w:r>
      <w:r>
        <w:rPr>
          <w:rFonts w:ascii="Arial" w:cs="Arial" w:eastAsia="Arial" w:hAnsi="Arial"/>
          <w:sz w:val="22"/>
          <w:szCs w:val="22"/>
          <w:i w:val="1"/>
          <w:iCs w:val="1"/>
          <w:color w:val="auto"/>
        </w:rPr>
        <w:t xml:space="preserve"> </w:t>
      </w:r>
      <w:r>
        <w:rPr>
          <w:rFonts w:ascii="Arial" w:cs="Arial" w:eastAsia="Arial" w:hAnsi="Arial"/>
          <w:sz w:val="22"/>
          <w:szCs w:val="22"/>
          <w:color w:val="auto"/>
        </w:rPr>
        <w:t>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193"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Qualifying Act of Terrorism</w:t>
      </w:r>
      <w:r>
        <w:rPr>
          <w:rFonts w:ascii="Arial" w:cs="Arial" w:eastAsia="Arial" w:hAnsi="Arial"/>
          <w:sz w:val="22"/>
          <w:szCs w:val="22"/>
          <w:color w:val="auto"/>
        </w:rPr>
        <w:t>” means (a) any Act of Terrorism which occurs on any property of Wynn Resorts Finance or its Affiliates or in which Wynn Resorts Finance or any of its Affiliates, or any property of any of them, is the target or (b) any Act of Terrorism which occurs at any gaming facility or material hospitality or entertainment establishment in any market in which Wynn Resorts Finance or any of its Affiliates operates a facility.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Qualifying Project</w:t>
      </w:r>
      <w:r>
        <w:rPr>
          <w:rFonts w:ascii="Arial" w:cs="Arial" w:eastAsia="Arial" w:hAnsi="Arial"/>
          <w:sz w:val="22"/>
          <w:szCs w:val="22"/>
          <w:color w:val="auto"/>
        </w:rPr>
        <w:t>” means the facilities of Wynn Resorts and its Subsidiaries which are operating or for which the financing for the development, construction and opening thereof has been obtained. For purposes of this definition, each of the Wynn Las Vegas Resort, Encore at Wynn Las Vegas, the Macau Resort and the Wynn Massachusetts Resort shall count as separate projects.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Agencies</w:t>
      </w:r>
      <w:r>
        <w:rPr>
          <w:rFonts w:ascii="Arial" w:cs="Arial" w:eastAsia="Arial" w:hAnsi="Arial"/>
          <w:sz w:val="22"/>
          <w:szCs w:val="22"/>
          <w:color w:val="auto"/>
        </w:rPr>
        <w:t>” means (a) each of Moody’s and S&amp;P; and (b) if either Moody’s or S&amp;P ceases to rate the Notes or fails to make a rating of the Notes publicly available for reasons outside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84" w:name="page85"/>
    <w:bookmarkEnd w:id="84"/>
    <w:p>
      <w:pPr>
        <w:jc w:val="both"/>
        <w:ind w:right="20"/>
        <w:spacing w:after="0" w:line="253" w:lineRule="auto"/>
        <w:rPr>
          <w:sz w:val="20"/>
          <w:szCs w:val="20"/>
          <w:color w:val="auto"/>
        </w:rPr>
      </w:pPr>
      <w:r>
        <w:rPr>
          <w:rFonts w:ascii="Arial" w:cs="Arial" w:eastAsia="Arial" w:hAnsi="Arial"/>
          <w:sz w:val="22"/>
          <w:szCs w:val="22"/>
          <w:color w:val="auto"/>
        </w:rPr>
        <w:t>of our control, a “nationally recognized statistical rating organization” within the meaning of Section 3(a)(62) of the Exchange Act selected by us (as certified by a resolution of Wynn Resorts Capital’s Board of Directors) as a replacement agency for Moody’s or S&amp;P, or each of them, as the case may be.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Categories</w:t>
      </w:r>
      <w:r>
        <w:rPr>
          <w:rFonts w:ascii="Arial" w:cs="Arial" w:eastAsia="Arial" w:hAnsi="Arial"/>
          <w:sz w:val="22"/>
          <w:szCs w:val="22"/>
          <w:color w:val="auto"/>
        </w:rPr>
        <w:t>” means (a) with respect to S&amp;P, any of the following categories: BB, B, CCC, CC, C and D (or equivalent successor categories); (b) with respect to Moody’s, any of the following categories: Ba, B, Caa, Ca, C and D (or equivalent successor categories); and (c) the equivalent of any such category of S&amp;P or Moody’s used by another Rating Agency selected by us. In determining whether the rating of the Notes has decreased by one or more gradations, gradations within Rating Categories ((i) + and—for S&amp;P; (ii) 1, 2 and 3 for Moody’s; and (iii) the equivalent gradations for another Rating Agency selected by us) shall be taken into account (e.g., with respect to S&amp;P, a decline in a rating from BB+ to BB, or from BB- to B+, will constitute a decrease of one gradation).</w:t>
      </w:r>
    </w:p>
    <w:p>
      <w:pPr>
        <w:spacing w:after="0" w:line="19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Wynn Resorts Finance to affect a Change of Control.</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Ratings Event</w:t>
      </w:r>
      <w:r>
        <w:rPr>
          <w:rFonts w:ascii="Arial" w:cs="Arial" w:eastAsia="Arial" w:hAnsi="Arial"/>
          <w:sz w:val="21"/>
          <w:szCs w:val="21"/>
          <w:color w:val="auto"/>
        </w:rPr>
        <w:t>” shall be deemed to occur if on, or within 60 days after the earlier of, (i) the occurrence of a Change of Control or (ii) public notice of the occurrence of a Change of Control or the intention by Wynn Resorts Finance and its consolidated subsidiaries to effect a Change of Control (which period shall be extended so long as the rating of the notes is under publicly announced consideration for a possible downgrade by any of the Rating Agencies):</w:t>
      </w:r>
    </w:p>
    <w:p>
      <w:pPr>
        <w:spacing w:after="0" w:line="176" w:lineRule="exact"/>
        <w:rPr>
          <w:sz w:val="20"/>
          <w:szCs w:val="20"/>
          <w:color w:val="auto"/>
        </w:rPr>
      </w:pPr>
    </w:p>
    <w:p>
      <w:pPr>
        <w:jc w:val="both"/>
        <w:ind w:firstLine="1305"/>
        <w:spacing w:after="0" w:line="260" w:lineRule="auto"/>
        <w:tabs>
          <w:tab w:leader="none" w:pos="181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rating of the Notes by each Rating Agency shall be decreased by one or more gradations to or within a Rating Category (including gradations within Rating Categories as well as between Rating Categories) as compared to the rating of the Notes on the Rating Date, and</w:t>
      </w:r>
    </w:p>
    <w:p>
      <w:pPr>
        <w:spacing w:after="0" w:line="177" w:lineRule="exact"/>
        <w:rPr>
          <w:rFonts w:ascii="Arial" w:cs="Arial" w:eastAsia="Arial" w:hAnsi="Arial"/>
          <w:sz w:val="22"/>
          <w:szCs w:val="22"/>
          <w:color w:val="auto"/>
        </w:rPr>
      </w:pPr>
    </w:p>
    <w:p>
      <w:pPr>
        <w:ind w:firstLine="1305"/>
        <w:spacing w:after="0" w:line="301" w:lineRule="auto"/>
        <w:tabs>
          <w:tab w:leader="none" w:pos="1742"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Notes are rated below the respective rating of the Notes on the Issue Date by both Rating Agencies. On the Issue Date, Moody’s had assigned a rating of B1 to the Notes and S&amp;P had assigned a rating of BB to the Notes.</w:t>
      </w:r>
    </w:p>
    <w:p>
      <w:pPr>
        <w:spacing w:after="0" w:line="110"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Recurring Dividend Amount</w:t>
      </w:r>
      <w:r>
        <w:rPr>
          <w:rFonts w:ascii="Arial" w:cs="Arial" w:eastAsia="Arial" w:hAnsi="Arial"/>
          <w:sz w:val="19"/>
          <w:szCs w:val="19"/>
          <w:color w:val="auto"/>
        </w:rPr>
        <w:t>” means, the amount of dividends paid to (or, at Wynn Resorts Finance’s option, declared to be paid to) Wynn Group Asia by its direct and Subsidiaries during the applicable Test Period in the amounts set forth below:</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Test Period Ending</w:t>
            </w:r>
          </w:p>
        </w:tc>
        <w:tc>
          <w:tcPr>
            <w:tcW w:w="1860" w:type="dxa"/>
            <w:vAlign w:val="bottom"/>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Recurring Dividend Amount (millions)</w:t>
            </w:r>
          </w:p>
        </w:tc>
      </w:tr>
      <w:tr>
        <w:trPr>
          <w:trHeight w:val="328"/>
        </w:trPr>
        <w:tc>
          <w:tcPr>
            <w:tcW w:w="4180" w:type="dxa"/>
            <w:vAlign w:val="bottom"/>
            <w:gridSpan w:val="3"/>
          </w:tcPr>
          <w:p>
            <w:pPr>
              <w:jc w:val="center"/>
              <w:ind w:right="1200"/>
              <w:spacing w:after="0"/>
              <w:rPr>
                <w:sz w:val="20"/>
                <w:szCs w:val="20"/>
                <w:color w:val="auto"/>
              </w:rPr>
            </w:pPr>
            <w:r>
              <w:rPr>
                <w:rFonts w:ascii="Arial" w:cs="Arial" w:eastAsia="Arial" w:hAnsi="Arial"/>
                <w:sz w:val="22"/>
                <w:szCs w:val="22"/>
                <w:color w:val="auto"/>
                <w:w w:val="87"/>
              </w:rPr>
              <w:t>September 30, 2019</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$432.0</w:t>
            </w:r>
          </w:p>
        </w:tc>
      </w:tr>
      <w:tr>
        <w:trPr>
          <w:trHeight w:val="297"/>
        </w:trPr>
        <w:tc>
          <w:tcPr>
            <w:tcW w:w="4180" w:type="dxa"/>
            <w:vAlign w:val="bottom"/>
            <w:gridSpan w:val="3"/>
          </w:tcPr>
          <w:p>
            <w:pPr>
              <w:jc w:val="center"/>
              <w:ind w:right="1200"/>
              <w:spacing w:after="0"/>
              <w:rPr>
                <w:sz w:val="20"/>
                <w:szCs w:val="20"/>
                <w:color w:val="auto"/>
              </w:rPr>
            </w:pPr>
            <w:r>
              <w:rPr>
                <w:rFonts w:ascii="Arial" w:cs="Arial" w:eastAsia="Arial" w:hAnsi="Arial"/>
                <w:sz w:val="22"/>
                <w:szCs w:val="22"/>
                <w:color w:val="auto"/>
                <w:w w:val="87"/>
              </w:rPr>
              <w:t>September 30, 2020</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$475.0</w:t>
            </w:r>
          </w:p>
        </w:tc>
      </w:tr>
      <w:tr>
        <w:trPr>
          <w:trHeight w:val="297"/>
        </w:trPr>
        <w:tc>
          <w:tcPr>
            <w:tcW w:w="4180" w:type="dxa"/>
            <w:vAlign w:val="bottom"/>
            <w:gridSpan w:val="3"/>
          </w:tcPr>
          <w:p>
            <w:pPr>
              <w:jc w:val="center"/>
              <w:ind w:right="1200"/>
              <w:spacing w:after="0"/>
              <w:rPr>
                <w:sz w:val="20"/>
                <w:szCs w:val="20"/>
                <w:color w:val="auto"/>
              </w:rPr>
            </w:pPr>
            <w:r>
              <w:rPr>
                <w:rFonts w:ascii="Arial" w:cs="Arial" w:eastAsia="Arial" w:hAnsi="Arial"/>
                <w:sz w:val="22"/>
                <w:szCs w:val="22"/>
                <w:color w:val="auto"/>
                <w:w w:val="87"/>
              </w:rPr>
              <w:t>September 30, 2021</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$532.0</w:t>
            </w:r>
          </w:p>
        </w:tc>
      </w:tr>
      <w:tr>
        <w:trPr>
          <w:trHeight w:val="297"/>
        </w:trPr>
        <w:tc>
          <w:tcPr>
            <w:tcW w:w="4180" w:type="dxa"/>
            <w:vAlign w:val="bottom"/>
            <w:gridSpan w:val="3"/>
          </w:tcPr>
          <w:p>
            <w:pPr>
              <w:jc w:val="center"/>
              <w:ind w:right="1200"/>
              <w:spacing w:after="0"/>
              <w:rPr>
                <w:sz w:val="20"/>
                <w:szCs w:val="20"/>
                <w:color w:val="auto"/>
              </w:rPr>
            </w:pPr>
            <w:r>
              <w:rPr>
                <w:rFonts w:ascii="Arial" w:cs="Arial" w:eastAsia="Arial" w:hAnsi="Arial"/>
                <w:sz w:val="22"/>
                <w:szCs w:val="22"/>
                <w:color w:val="auto"/>
                <w:w w:val="87"/>
              </w:rPr>
              <w:t>September 30, 2022</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$575.0</w:t>
            </w:r>
          </w:p>
        </w:tc>
      </w:tr>
      <w:tr>
        <w:trPr>
          <w:trHeight w:val="297"/>
        </w:trPr>
        <w:tc>
          <w:tcPr>
            <w:tcW w:w="4180" w:type="dxa"/>
            <w:vAlign w:val="bottom"/>
            <w:gridSpan w:val="3"/>
          </w:tcPr>
          <w:p>
            <w:pPr>
              <w:jc w:val="center"/>
              <w:ind w:right="1200"/>
              <w:spacing w:after="0"/>
              <w:rPr>
                <w:sz w:val="20"/>
                <w:szCs w:val="20"/>
                <w:color w:val="auto"/>
              </w:rPr>
            </w:pPr>
            <w:r>
              <w:rPr>
                <w:rFonts w:ascii="Arial" w:cs="Arial" w:eastAsia="Arial" w:hAnsi="Arial"/>
                <w:sz w:val="22"/>
                <w:szCs w:val="22"/>
                <w:color w:val="auto"/>
                <w:w w:val="87"/>
              </w:rPr>
              <w:t>September 30, 2023</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$632.0</w:t>
            </w:r>
          </w:p>
        </w:tc>
      </w:tr>
      <w:tr>
        <w:trPr>
          <w:trHeight w:val="297"/>
        </w:trPr>
        <w:tc>
          <w:tcPr>
            <w:tcW w:w="4180" w:type="dxa"/>
            <w:vAlign w:val="bottom"/>
            <w:gridSpan w:val="3"/>
          </w:tcPr>
          <w:p>
            <w:pPr>
              <w:jc w:val="center"/>
              <w:ind w:right="1200"/>
              <w:spacing w:after="0"/>
              <w:rPr>
                <w:sz w:val="20"/>
                <w:szCs w:val="20"/>
                <w:color w:val="auto"/>
              </w:rPr>
            </w:pPr>
            <w:r>
              <w:rPr>
                <w:rFonts w:ascii="Arial" w:cs="Arial" w:eastAsia="Arial" w:hAnsi="Arial"/>
                <w:sz w:val="22"/>
                <w:szCs w:val="22"/>
                <w:color w:val="auto"/>
                <w:w w:val="87"/>
              </w:rPr>
              <w:t>September 30, 2024 and thereafter</w:t>
            </w:r>
          </w:p>
        </w:tc>
        <w:tc>
          <w:tcPr>
            <w:tcW w:w="3400" w:type="dxa"/>
            <w:vAlign w:val="bottom"/>
          </w:tcPr>
          <w:p>
            <w:pPr>
              <w:jc w:val="center"/>
              <w:spacing w:after="0"/>
              <w:rPr>
                <w:sz w:val="20"/>
                <w:szCs w:val="20"/>
                <w:color w:val="auto"/>
              </w:rPr>
            </w:pPr>
            <w:r>
              <w:rPr>
                <w:rFonts w:ascii="Arial" w:cs="Arial" w:eastAsia="Arial" w:hAnsi="Arial"/>
                <w:sz w:val="22"/>
                <w:szCs w:val="22"/>
                <w:color w:val="auto"/>
                <w:w w:val="89"/>
              </w:rPr>
              <w:t>$695.0</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31" w:right="239" w:bottom="1440" w:gutter="0" w:footer="0" w:header="0"/>
        </w:sectPr>
      </w:pPr>
    </w:p>
    <w:bookmarkStart w:id="85" w:name="page86"/>
    <w:bookmarkEnd w:id="85"/>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w:t>
      </w:r>
      <w:r>
        <w:rPr>
          <w:rFonts w:ascii="Arial" w:cs="Arial" w:eastAsia="Arial" w:hAnsi="Arial"/>
          <w:sz w:val="22"/>
          <w:szCs w:val="22"/>
          <w:color w:val="auto"/>
        </w:rPr>
        <w:t>” means any primary U.S. Government securities dealer in New York City selected by Wynn Resorts Finance.</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Wynn Resorts Finance deposits the amount required under this Indenture most nearly equal to the period from the redemption date to the maturity date.</w:t>
      </w:r>
    </w:p>
    <w:p>
      <w:pPr>
        <w:spacing w:after="0" w:line="1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Regulated Bank</w:t>
      </w:r>
      <w:r>
        <w:rPr>
          <w:rFonts w:ascii="Arial" w:cs="Arial" w:eastAsia="Arial" w:hAnsi="Arial"/>
          <w:sz w:val="19"/>
          <w:szCs w:val="19"/>
          <w:color w:val="auto"/>
        </w:rPr>
        <w:t>” means (x) a banking organization with a consolidated combined capital and surplus of at least $5.0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Directors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to the extent that (1) all of the Capital Stock of such Affiliate is directly or indirectly owned by either (I) such Person set forth in clause (x) or (II) a parent entity that also owns, directly or indirectly, all of the Capital Stock of such Person set forth in clause (x) and (2) such Affiliate is a securities broker or dealer registered with the SEC under Section 15 of the Exchange Act.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Regulation S Temporary Global Note or Regulation S Permanent Global Note, as appropriate.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Permanent Global Note</w:t>
      </w:r>
      <w:r>
        <w:rPr>
          <w:rFonts w:ascii="Arial" w:cs="Arial" w:eastAsia="Arial" w:hAnsi="Arial"/>
          <w:sz w:val="22"/>
          <w:szCs w:val="22"/>
          <w:color w:val="auto"/>
        </w:rPr>
        <w:t xml:space="preserve">” means a permanent Global Note in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xml:space="preserve"> hereto bearing the Global Note Legend and the Private Placement Legend and deposited with or on behalf of and registered in the name of the Depositary or its nominee, issued in a denomination equal to the outstanding principal amount of the Regulation S Temporary Global Note upon expiration of the Restricted Period.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Temporary Global Note</w:t>
      </w:r>
      <w:r>
        <w:rPr>
          <w:rFonts w:ascii="Arial" w:cs="Arial" w:eastAsia="Arial" w:hAnsi="Arial"/>
          <w:sz w:val="22"/>
          <w:szCs w:val="22"/>
          <w:color w:val="auto"/>
        </w:rPr>
        <w:t xml:space="preserve">” means a temporary Global Note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hereto deposited with or on behalf of and registered in the name of the Depositary or its nominee, issued in a denomination equal to the outstanding principal amount of the Notes initially sold in reliance on Rule 903 of Regulation 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86" w:name="page87"/>
    <w:bookmarkEnd w:id="86"/>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Responsible Officer</w:t>
      </w:r>
      <w:r>
        <w:rPr>
          <w:rFonts w:ascii="Arial" w:cs="Arial" w:eastAsia="Arial" w:hAnsi="Arial"/>
          <w:sz w:val="19"/>
          <w:szCs w:val="19"/>
          <w:color w:val="auto"/>
        </w:rPr>
        <w:t>,” when used with respect to the Trustee, means any officer within the corporate trust department of the Trustee located at the Corporate Trust Office of the Trustee (or any successor group of the Trustee) or any other officer of the Trustee customarily performing functions similar to those performed by any of the above designated officers and who shall have direct responsibility for the administration of this Indenture, and also means, with respect to a particular corporate trust matter, any other officer to whom such matter is referred because of his knowledge of and familiarity with the particular subject.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Restructuring</w:t>
      </w:r>
      <w:r>
        <w:rPr>
          <w:rFonts w:ascii="Arial" w:cs="Arial" w:eastAsia="Arial" w:hAnsi="Arial"/>
          <w:sz w:val="22"/>
          <w:szCs w:val="22"/>
          <w:color w:val="auto"/>
        </w:rPr>
        <w:t>” means (i) Wynn Resorts’ contribution of all of its equity interests in Wynn Group Asia to Wynn Resorts Finance, making Wynn Group Asia a wholly-owned subsidiary of Wynn Resorts Finance and (ii) Wynn Resorts Finance’s contribution of all of its equity interests in Wynn MA, LLC and Everett Property, LLC to Wynn America Group, LLC, making each a wholly-owned subsidiary of Wynn America Group, LLC.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S&amp;P</w:t>
      </w:r>
      <w:r>
        <w:rPr>
          <w:rFonts w:ascii="Arial" w:cs="Arial" w:eastAsia="Arial" w:hAnsi="Arial"/>
          <w:sz w:val="22"/>
          <w:szCs w:val="22"/>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Sale and Leaseback Transaction</w:t>
      </w:r>
      <w:r>
        <w:rPr>
          <w:rFonts w:ascii="Arial" w:cs="Arial" w:eastAsia="Arial" w:hAnsi="Arial"/>
          <w:sz w:val="22"/>
          <w:szCs w:val="22"/>
          <w:color w:val="auto"/>
        </w:rPr>
        <w:t>” means, with respect to any Person, an arrangement whereby such Person enters into a lease of property previously transferred by such Person to the lessor.</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Screened Affiliate</w:t>
      </w:r>
      <w:r>
        <w:rPr>
          <w:rFonts w:ascii="Arial" w:cs="Arial" w:eastAsia="Arial" w:hAnsi="Arial"/>
          <w:sz w:val="19"/>
          <w:szCs w:val="19"/>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Wynn Resorts Finance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19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Senior Credit Facilities</w:t>
      </w:r>
      <w:r>
        <w:rPr>
          <w:rFonts w:ascii="Arial" w:cs="Arial" w:eastAsia="Arial" w:hAnsi="Arial"/>
          <w:sz w:val="21"/>
          <w:szCs w:val="21"/>
          <w:color w:val="auto"/>
        </w:rPr>
        <w:t>” means the New Revolving Credit Facility and the New Term Facility,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exchange, refinance, renew or defease any part of the loans, notes, other credit facilities or commitments thereunder, including any such replacement, refunding, exchange or refinancing facility or indenture that increases the amount borrowable thereunder or alters the maturity thereof or adds Subsidiaries as additional borrowers or guarantors thereunder and whether by the same or any other agent, lender or group of lenders.</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Short Derivative Instrument</w:t>
      </w:r>
      <w:r>
        <w:rPr>
          <w:rFonts w:ascii="Arial" w:cs="Arial" w:eastAsia="Arial" w:hAnsi="Arial"/>
          <w:sz w:val="22"/>
          <w:szCs w:val="22"/>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i w:val="1"/>
          <w:iCs w:val="1"/>
          <w:color w:val="auto"/>
        </w:rPr>
        <w:t xml:space="preserve">“Specified Transaction” </w:t>
      </w:r>
      <w:r>
        <w:rPr>
          <w:rFonts w:ascii="Arial" w:cs="Arial" w:eastAsia="Arial" w:hAnsi="Arial"/>
          <w:sz w:val="19"/>
          <w:szCs w:val="19"/>
          <w:color w:val="auto"/>
        </w:rPr>
        <w:t>means any (a) incurrence or repayment of Indebtedness (other than for working capital purposes or</w:t>
      </w:r>
      <w:r>
        <w:rPr>
          <w:rFonts w:ascii="Arial" w:cs="Arial" w:eastAsia="Arial" w:hAnsi="Arial"/>
          <w:sz w:val="19"/>
          <w:szCs w:val="19"/>
          <w:i w:val="1"/>
          <w:iCs w:val="1"/>
          <w:color w:val="auto"/>
        </w:rPr>
        <w:t xml:space="preserve"> </w:t>
      </w:r>
      <w:r>
        <w:rPr>
          <w:rFonts w:ascii="Arial" w:cs="Arial" w:eastAsia="Arial" w:hAnsi="Arial"/>
          <w:sz w:val="19"/>
          <w:szCs w:val="19"/>
          <w:color w:val="auto"/>
        </w:rPr>
        <w:t>under a revolving credit facility), (b) investment that results in a Person becoming a Guarantor, (c) acquisition, (d) asset sale, and</w:t>
      </w:r>
    </w:p>
    <w:p>
      <w:pPr>
        <w:ind w:firstLine="8"/>
        <w:spacing w:after="0" w:line="224" w:lineRule="auto"/>
        <w:tabs>
          <w:tab w:leader="none" w:pos="295" w:val="left"/>
        </w:tabs>
        <w:numPr>
          <w:ilvl w:val="0"/>
          <w:numId w:val="59"/>
        </w:numPr>
        <w:rPr>
          <w:rFonts w:ascii="Arial" w:cs="Arial" w:eastAsia="Arial" w:hAnsi="Arial"/>
          <w:sz w:val="22"/>
          <w:szCs w:val="22"/>
          <w:color w:val="auto"/>
        </w:rPr>
      </w:pPr>
      <w:r>
        <w:rPr>
          <w:rFonts w:ascii="Arial" w:cs="Arial" w:eastAsia="Arial" w:hAnsi="Arial"/>
          <w:sz w:val="22"/>
          <w:szCs w:val="22"/>
          <w:color w:val="auto"/>
        </w:rPr>
        <w:t>acquisition or investment constituting an acquisition of assets constituting a business unit, line of business or division of another Person. For the avoidance of doubt, the Transactions shall constitute a Specified Transaction.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means, with respect to any installment of interest or principal on any series of Indebtedness, the date on which the payment of interest or principal was scheduled to be paid in the documentation governing such Indebtedness as of the Issue Date, and shall not include any contingent obligations to repay, redeem or repurchase any such interest or principal prior to the date originally scheduled for the payment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20" w:lineRule="exact"/>
        <w:rPr>
          <w:sz w:val="20"/>
          <w:szCs w:val="20"/>
          <w:color w:val="auto"/>
        </w:rPr>
      </w:pPr>
    </w:p>
    <w:p>
      <w:pPr>
        <w:jc w:val="both"/>
        <w:ind w:firstLine="1305"/>
        <w:spacing w:after="0" w:line="266" w:lineRule="auto"/>
        <w:tabs>
          <w:tab w:leader="none" w:pos="1837"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85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88" w:name="page89"/>
    <w:bookmarkEnd w:id="88"/>
    <w:p>
      <w:pPr>
        <w:jc w:val="both"/>
        <w:ind w:firstLine="1305"/>
        <w:spacing w:after="0" w:line="260" w:lineRule="auto"/>
        <w:tabs>
          <w:tab w:leader="none" w:pos="1742"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5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Substituted Consolidated EBITDA</w:t>
      </w:r>
      <w:r>
        <w:rPr>
          <w:rFonts w:ascii="Arial" w:cs="Arial" w:eastAsia="Arial" w:hAnsi="Arial"/>
          <w:sz w:val="21"/>
          <w:szCs w:val="21"/>
          <w:color w:val="auto"/>
        </w:rPr>
        <w:t>” means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Wynn Resorts Finance).</w:t>
      </w:r>
    </w:p>
    <w:p>
      <w:pPr>
        <w:spacing w:after="0" w:line="18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Test Period</w:t>
      </w:r>
      <w:r>
        <w:rPr>
          <w:rFonts w:ascii="Arial" w:cs="Arial" w:eastAsia="Arial" w:hAnsi="Arial"/>
          <w:sz w:val="19"/>
          <w:szCs w:val="19"/>
          <w:color w:val="auto"/>
        </w:rPr>
        <w:t>” means, for any date of determination, the period of the four most recently ended consecutive fiscal quarters of the Issuers and the Guarantors for which quarterly or annual financial statements have been delivered or are required to have been delivered to the trustee pursuant to the “Reports” covenant; provided 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Wynn Resorts Finance and its Subsidiaries ending September 30 for which quarterly or annual financial statements have been delivered or are required to have been delivered to the trustee.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Wynn Resorts Finance and the Guarantors at such date, determined on a consolidated basis in accordance with US GAAP.</w:t>
      </w:r>
    </w:p>
    <w:p>
      <w:pPr>
        <w:spacing w:after="0" w:line="14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Transactions</w:t>
      </w:r>
      <w:r>
        <w:rPr>
          <w:rFonts w:ascii="Arial" w:cs="Arial" w:eastAsia="Arial" w:hAnsi="Arial"/>
          <w:sz w:val="22"/>
          <w:szCs w:val="22"/>
          <w:color w:val="auto"/>
        </w:rPr>
        <w:t>” means, collectively, (a) the issuance of the Notes, (b) the entering into of the Senior Credit Facilities and the borrowings thereunder on the Issue Date, (c) the Bank Refinancing, (d) the Restructuring, and (e) the payment of fees and expenses in connection with the foregoing.</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Trigger Event</w:t>
      </w:r>
      <w:r>
        <w:rPr>
          <w:rFonts w:ascii="Arial" w:cs="Arial" w:eastAsia="Arial" w:hAnsi="Arial"/>
          <w:sz w:val="22"/>
          <w:szCs w:val="22"/>
          <w:color w:val="auto"/>
        </w:rPr>
        <w:t>” means the transfer of shares of Equity Interests of any Subsidiary or any gaming facility into trust or other similar arrangement required by any Gaming Authority from time to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 Indenture Act</w:t>
      </w:r>
      <w:r>
        <w:rPr>
          <w:rFonts w:ascii="Arial" w:cs="Arial" w:eastAsia="Arial" w:hAnsi="Arial"/>
          <w:sz w:val="22"/>
          <w:szCs w:val="22"/>
          <w:color w:val="auto"/>
        </w:rPr>
        <w:t>” means the Trust Indenture Act of 1939, as amended, as in effect of the Issue Date.</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Operating Cash</w:t>
      </w:r>
      <w:r>
        <w:rPr>
          <w:rFonts w:ascii="Arial" w:cs="Arial" w:eastAsia="Arial" w:hAnsi="Arial"/>
          <w:sz w:val="22"/>
          <w:szCs w:val="22"/>
          <w:color w:val="auto"/>
        </w:rPr>
        <w:t>” means, as of any date of determination, cash and cash equivalents of the Issuers and the Guarantors that would not appear as “restricted” on a combined or consolidated balance sheet of the Issuers and the Guarantors in an amount in excess of the Minimum Cage Cash Amount and excluding cash and cash equivalents constituting dividends paid to Wynn Group Asia by its direct and indirect Subsidiaries.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89" w:name="page90"/>
    <w:bookmarkEnd w:id="89"/>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GAAP</w:t>
      </w:r>
      <w:r>
        <w:rPr>
          <w:rFonts w:ascii="Arial" w:cs="Arial" w:eastAsia="Arial" w:hAnsi="Arial"/>
          <w:sz w:val="22"/>
          <w:szCs w:val="22"/>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Issue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Group Asia</w:t>
      </w:r>
      <w:r>
        <w:rPr>
          <w:rFonts w:ascii="Arial" w:cs="Arial" w:eastAsia="Arial" w:hAnsi="Arial"/>
          <w:sz w:val="22"/>
          <w:szCs w:val="22"/>
          <w:color w:val="auto"/>
        </w:rPr>
        <w:t>” means Wynn Group Asia, Inc., a Nevada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Wynn Las Vegas</w:t>
      </w:r>
      <w:r>
        <w:rPr>
          <w:rFonts w:ascii="Arial" w:cs="Arial" w:eastAsia="Arial" w:hAnsi="Arial"/>
          <w:sz w:val="21"/>
          <w:szCs w:val="21"/>
          <w:color w:val="auto"/>
        </w:rPr>
        <w:t>” means Wynn Las Vegas, LLC, a Nevada limited liability company, or any successor thereto.</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Massachusetts Resort</w:t>
      </w:r>
      <w:r>
        <w:rPr>
          <w:rFonts w:ascii="Arial" w:cs="Arial" w:eastAsia="Arial" w:hAnsi="Arial"/>
          <w:sz w:val="22"/>
          <w:szCs w:val="22"/>
          <w:color w:val="auto"/>
        </w:rPr>
        <w:t>” means the casino resort and related amenities owned and/or operated by Wynn Resorts Finance and its Subsidiaries in Everett, Massachusetts.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 Capital</w:t>
      </w:r>
      <w:r>
        <w:rPr>
          <w:rFonts w:ascii="Arial" w:cs="Arial" w:eastAsia="Arial" w:hAnsi="Arial"/>
          <w:sz w:val="22"/>
          <w:szCs w:val="22"/>
          <w:color w:val="auto"/>
        </w:rPr>
        <w:t>” means Wynn Resorts Capital Corp., a Nevada corporation, or any successor thereto.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Wynn Resorts Finance</w:t>
      </w:r>
      <w:r>
        <w:rPr>
          <w:rFonts w:ascii="Arial" w:cs="Arial" w:eastAsia="Arial" w:hAnsi="Arial"/>
          <w:sz w:val="19"/>
          <w:szCs w:val="19"/>
          <w:color w:val="auto"/>
        </w:rPr>
        <w:t>” means Wynn Resorts Finance, LLC, a Nevada limited liability company, or any successor thereto.</w:t>
      </w:r>
    </w:p>
    <w:p>
      <w:pPr>
        <w:spacing w:after="0" w:line="2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 Holdings</w:t>
      </w:r>
      <w:r>
        <w:rPr>
          <w:rFonts w:ascii="Arial" w:cs="Arial" w:eastAsia="Arial" w:hAnsi="Arial"/>
          <w:sz w:val="22"/>
          <w:szCs w:val="22"/>
          <w:color w:val="auto"/>
        </w:rPr>
        <w:t>” means Wynn Resorts Holdings, LLC, a Nevada limited liability company, or any successor thereto.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1.02</w:t>
      </w:r>
      <w:r>
        <w:rPr>
          <w:rFonts w:ascii="Arial" w:cs="Arial" w:eastAsia="Arial" w:hAnsi="Arial"/>
          <w:sz w:val="22"/>
          <w:szCs w:val="22"/>
          <w:i w:val="1"/>
          <w:iCs w:val="1"/>
          <w:color w:val="auto"/>
        </w:rPr>
        <w:t>Other Definitions.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90" w:name="page91"/>
    <w:bookmarkEnd w:id="90"/>
    <w:tbl>
      <w:tblPr>
        <w:tblLayout w:type="fixed"/>
        <w:tblInd w:w="12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900" w:type="dxa"/>
            <w:vAlign w:val="bottom"/>
          </w:tcPr>
          <w:p>
            <w:pPr>
              <w:ind w:left="40"/>
              <w:spacing w:after="0"/>
              <w:rPr>
                <w:sz w:val="20"/>
                <w:szCs w:val="20"/>
                <w:color w:val="auto"/>
              </w:rPr>
            </w:pPr>
            <w:r>
              <w:rPr>
                <w:rFonts w:ascii="Arial" w:cs="Arial" w:eastAsia="Arial" w:hAnsi="Arial"/>
                <w:sz w:val="22"/>
                <w:szCs w:val="22"/>
                <w:b w:val="1"/>
                <w:bCs w:val="1"/>
                <w:color w:val="auto"/>
              </w:rPr>
              <w:t>Defined</w:t>
            </w:r>
          </w:p>
        </w:tc>
      </w:tr>
      <w:tr>
        <w:trPr>
          <w:trHeight w:val="230"/>
        </w:trPr>
        <w:tc>
          <w:tcPr>
            <w:tcW w:w="5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9"/>
              </w:rPr>
              <w:t>Term</w:t>
            </w:r>
          </w:p>
        </w:tc>
        <w:tc>
          <w:tcPr>
            <w:tcW w:w="6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00" w:type="dxa"/>
            <w:vAlign w:val="bottom"/>
            <w:tcBorders>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83"/>
              </w:rPr>
              <w:t>in Section</w:t>
            </w:r>
          </w:p>
        </w:tc>
      </w:tr>
      <w:tr>
        <w:trPr>
          <w:trHeight w:val="355"/>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“Authentication Order”</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2.02</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“Beneficiary”</w:t>
            </w:r>
          </w:p>
        </w:tc>
        <w:tc>
          <w:tcPr>
            <w:tcW w:w="4360" w:type="dxa"/>
            <w:vAlign w:val="bottom"/>
            <w:gridSpan w:val="2"/>
          </w:tcPr>
          <w:p>
            <w:pPr>
              <w:jc w:val="center"/>
              <w:ind w:left="3292"/>
              <w:spacing w:after="0"/>
              <w:rPr>
                <w:sz w:val="20"/>
                <w:szCs w:val="20"/>
                <w:color w:val="auto"/>
              </w:rPr>
            </w:pPr>
            <w:r>
              <w:rPr>
                <w:rFonts w:ascii="Arial" w:cs="Arial" w:eastAsia="Arial" w:hAnsi="Arial"/>
                <w:sz w:val="22"/>
                <w:szCs w:val="22"/>
                <w:color w:val="auto"/>
                <w:w w:val="87"/>
              </w:rPr>
              <w:t>13.01</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Offer”</w:t>
            </w:r>
          </w:p>
        </w:tc>
        <w:tc>
          <w:tcPr>
            <w:tcW w:w="34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6"/>
              </w:rPr>
              <w:t>4.11(a)</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Payment”</w:t>
            </w:r>
          </w:p>
        </w:tc>
        <w:tc>
          <w:tcPr>
            <w:tcW w:w="34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86"/>
              </w:rPr>
              <w:t>4.11(a)</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“Change of Control Payment Date”</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4.11(a)(2)</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“Covenant Defeasance”</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8.03</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“Directing Holder”</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6.06</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“DTC”</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2.03</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“Initial Default”</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6.01</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“Legal Defeasance”</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8.02</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“Noteholder Direction”</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6.06</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“Note Obligations”</w:t>
            </w:r>
          </w:p>
        </w:tc>
        <w:tc>
          <w:tcPr>
            <w:tcW w:w="34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2"/>
                <w:szCs w:val="22"/>
                <w:color w:val="auto"/>
                <w:w w:val="90"/>
              </w:rPr>
              <w:t>13.01(b)</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“Paying Agent”</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2.03</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“Position Representation”</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6.06</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“Registrar”</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2.03</w:t>
            </w:r>
          </w:p>
        </w:tc>
      </w:tr>
      <w:tr>
        <w:trPr>
          <w:trHeight w:val="297"/>
        </w:trPr>
        <w:tc>
          <w:tcPr>
            <w:tcW w:w="6580" w:type="dxa"/>
            <w:vAlign w:val="bottom"/>
            <w:gridSpan w:val="2"/>
          </w:tcPr>
          <w:p>
            <w:pPr>
              <w:spacing w:after="0"/>
              <w:rPr>
                <w:sz w:val="20"/>
                <w:szCs w:val="20"/>
                <w:color w:val="auto"/>
              </w:rPr>
            </w:pPr>
            <w:r>
              <w:rPr>
                <w:rFonts w:ascii="Arial" w:cs="Arial" w:eastAsia="Arial" w:hAnsi="Arial"/>
                <w:sz w:val="22"/>
                <w:szCs w:val="22"/>
                <w:i w:val="1"/>
                <w:iCs w:val="1"/>
                <w:color w:val="auto"/>
              </w:rPr>
              <w:t>“Verification Covenant”</w:t>
            </w:r>
          </w:p>
        </w:tc>
        <w:tc>
          <w:tcPr>
            <w:tcW w:w="4360" w:type="dxa"/>
            <w:vAlign w:val="bottom"/>
            <w:gridSpan w:val="2"/>
          </w:tcPr>
          <w:p>
            <w:pPr>
              <w:jc w:val="center"/>
              <w:ind w:left="3312"/>
              <w:spacing w:after="0"/>
              <w:rPr>
                <w:sz w:val="20"/>
                <w:szCs w:val="20"/>
                <w:color w:val="auto"/>
              </w:rPr>
            </w:pPr>
            <w:r>
              <w:rPr>
                <w:rFonts w:ascii="Arial" w:cs="Arial" w:eastAsia="Arial" w:hAnsi="Arial"/>
                <w:sz w:val="22"/>
                <w:szCs w:val="22"/>
                <w:color w:val="auto"/>
                <w:w w:val="88"/>
              </w:rPr>
              <w:t>6.06</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Section 1.03</w:t>
      </w:r>
      <w:r>
        <w:rPr>
          <w:rFonts w:ascii="Arial" w:cs="Arial" w:eastAsia="Arial" w:hAnsi="Arial"/>
          <w:sz w:val="22"/>
          <w:szCs w:val="22"/>
          <w:i w:val="1"/>
          <w:iCs w:val="1"/>
          <w:color w:val="auto"/>
        </w:rPr>
        <w:t>Rules of Construction.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44" w:lineRule="exact"/>
        <w:rPr>
          <w:rFonts w:ascii="Arial" w:cs="Arial" w:eastAsia="Arial" w:hAnsi="Arial"/>
          <w:sz w:val="21"/>
          <w:szCs w:val="21"/>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33" w:lineRule="exact"/>
        <w:rPr>
          <w:rFonts w:ascii="Arial" w:cs="Arial" w:eastAsia="Arial" w:hAnsi="Arial"/>
          <w:sz w:val="22"/>
          <w:szCs w:val="22"/>
          <w:color w:val="auto"/>
        </w:rPr>
      </w:pPr>
    </w:p>
    <w:p>
      <w:pPr>
        <w:ind w:right="20" w:firstLine="1305"/>
        <w:spacing w:after="0" w:line="276" w:lineRule="auto"/>
        <w:tabs>
          <w:tab w:leader="none" w:pos="1742"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60" w:lineRule="exact"/>
        <w:rPr>
          <w:rFonts w:ascii="Arial" w:cs="Arial" w:eastAsia="Arial" w:hAnsi="Arial"/>
          <w:sz w:val="22"/>
          <w:szCs w:val="22"/>
          <w:color w:val="auto"/>
        </w:rPr>
      </w:pPr>
    </w:p>
    <w:p>
      <w:pPr>
        <w:ind w:firstLine="1305"/>
        <w:spacing w:after="0" w:line="276" w:lineRule="auto"/>
        <w:tabs>
          <w:tab w:leader="none" w:pos="1823"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764" w:right="239" w:bottom="1440" w:gutter="0" w:footer="0" w:header="0"/>
        </w:sectPr>
      </w:pPr>
    </w:p>
    <w:bookmarkStart w:id="91" w:name="page92"/>
    <w:bookmarkEnd w:id="91"/>
    <w:p>
      <w:pPr>
        <w:jc w:val="both"/>
        <w:ind w:firstLine="1305"/>
        <w:spacing w:after="0" w:line="260" w:lineRule="auto"/>
        <w:tabs>
          <w:tab w:leader="none" w:pos="1756"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references to any contract, agreement or instrument shall mean the same as amended, modified, supplemented or amended and restated from time to time, in each case, in accordance with any applicable restrictions contained therein or in this Indenture; and</w:t>
      </w:r>
    </w:p>
    <w:p>
      <w:pPr>
        <w:spacing w:after="0" w:line="177" w:lineRule="exact"/>
        <w:rPr>
          <w:rFonts w:ascii="Arial" w:cs="Arial" w:eastAsia="Arial" w:hAnsi="Arial"/>
          <w:sz w:val="22"/>
          <w:szCs w:val="22"/>
          <w:color w:val="auto"/>
        </w:rPr>
      </w:pPr>
    </w:p>
    <w:p>
      <w:pPr>
        <w:ind w:firstLine="1305"/>
        <w:spacing w:after="0" w:line="358" w:lineRule="auto"/>
        <w:tabs>
          <w:tab w:leader="none" w:pos="1958"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consummation by the Issuers on the Issue Date of the transactions described in the Issuers’ Offering Memorandum, dated as of September 12, 2019, relating to the offering of the Initial Notes, shall be deemed to occur concurrently.</w:t>
      </w:r>
    </w:p>
    <w:p>
      <w:pPr>
        <w:spacing w:after="0" w:line="8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THE NOTES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2.01</w:t>
      </w:r>
      <w:r>
        <w:rPr>
          <w:rFonts w:ascii="Arial" w:cs="Arial" w:eastAsia="Arial" w:hAnsi="Arial"/>
          <w:sz w:val="22"/>
          <w:szCs w:val="22"/>
          <w:i w:val="1"/>
          <w:iCs w:val="1"/>
          <w:color w:val="auto"/>
        </w:rPr>
        <w:t>Form and Dating.</w:t>
      </w:r>
    </w:p>
    <w:p>
      <w:pPr>
        <w:spacing w:after="0" w:line="220" w:lineRule="exact"/>
        <w:rPr>
          <w:sz w:val="20"/>
          <w:szCs w:val="20"/>
          <w:color w:val="auto"/>
        </w:rPr>
      </w:pPr>
    </w:p>
    <w:p>
      <w:pPr>
        <w:jc w:val="both"/>
        <w:ind w:firstLine="656"/>
        <w:spacing w:after="0" w:line="254" w:lineRule="auto"/>
        <w:tabs>
          <w:tab w:leader="none" w:pos="1068"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Exhibits A-1</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A-2</w:t>
      </w:r>
      <w:r>
        <w:rPr>
          <w:rFonts w:ascii="Arial" w:cs="Arial" w:eastAsia="Arial" w:hAnsi="Arial"/>
          <w:sz w:val="22"/>
          <w:szCs w:val="22"/>
          <w:color w:val="auto"/>
        </w:rPr>
        <w:t xml:space="preserve"> hereto. The Notes may have notations, legends or endorsements required by law, stock exchange rule or usage. Each Note shall be dated the date of its authentication. The Notes shall be in denominations of $2,000 or an integral multiple of $1,000 in excess of $2,000.</w:t>
      </w:r>
    </w:p>
    <w:p>
      <w:pPr>
        <w:spacing w:after="0" w:line="1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terms and provisions contained in the Notes shall constitute, and are hereby expressly made, a part of this Indenture and the Issuers,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76" w:lineRule="exact"/>
        <w:rPr>
          <w:sz w:val="20"/>
          <w:szCs w:val="20"/>
          <w:color w:val="auto"/>
        </w:rPr>
      </w:pPr>
    </w:p>
    <w:p>
      <w:pPr>
        <w:jc w:val="both"/>
        <w:ind w:firstLine="656"/>
        <w:spacing w:after="0" w:line="288" w:lineRule="auto"/>
        <w:tabs>
          <w:tab w:leader="none" w:pos="1121" w:val="left"/>
        </w:tabs>
        <w:numPr>
          <w:ilvl w:val="0"/>
          <w:numId w:val="65"/>
        </w:numPr>
        <w:rPr>
          <w:rFonts w:ascii="Arial" w:cs="Arial" w:eastAsia="Arial" w:hAnsi="Arial"/>
          <w:sz w:val="19"/>
          <w:szCs w:val="19"/>
          <w:color w:val="auto"/>
        </w:rPr>
      </w:pPr>
      <w:r>
        <w:rPr>
          <w:rFonts w:ascii="Arial" w:cs="Arial" w:eastAsia="Arial" w:hAnsi="Arial"/>
          <w:sz w:val="19"/>
          <w:szCs w:val="19"/>
          <w:i w:val="1"/>
          <w:iCs w:val="1"/>
          <w:color w:val="auto"/>
        </w:rPr>
        <w:t>Global Notes</w:t>
      </w:r>
      <w:r>
        <w:rPr>
          <w:rFonts w:ascii="Arial" w:cs="Arial" w:eastAsia="Arial" w:hAnsi="Arial"/>
          <w:sz w:val="19"/>
          <w:szCs w:val="19"/>
          <w:color w:val="auto"/>
        </w:rPr>
        <w:t>. Notes issued in global form shall be substantially in the form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Exhibits A-1</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A-2</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 hereto</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Global Note Legend thereon and the “</w:t>
      </w:r>
      <w:r>
        <w:rPr>
          <w:rFonts w:ascii="Arial" w:cs="Arial" w:eastAsia="Arial" w:hAnsi="Arial"/>
          <w:sz w:val="19"/>
          <w:szCs w:val="19"/>
          <w:i w:val="1"/>
          <w:iCs w:val="1"/>
          <w:color w:val="auto"/>
        </w:rPr>
        <w:t>Schedule of Exchanges of Interests in the Global Note</w:t>
      </w:r>
      <w:r>
        <w:rPr>
          <w:rFonts w:ascii="Arial" w:cs="Arial" w:eastAsia="Arial" w:hAnsi="Arial"/>
          <w:sz w:val="19"/>
          <w:szCs w:val="19"/>
          <w:color w:val="auto"/>
        </w:rPr>
        <w:t xml:space="preserv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attached hereto (but without the Global Note Legend thereon and without the “Schedule of Exchanges of Interests in the Global Note” attached thereto). Any Notes issued in global form and definitive form shall be duly executed by the Issuers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56" w:lineRule="exact"/>
        <w:rPr>
          <w:rFonts w:ascii="Arial" w:cs="Arial" w:eastAsia="Arial" w:hAnsi="Arial"/>
          <w:sz w:val="19"/>
          <w:szCs w:val="19"/>
          <w:color w:val="auto"/>
        </w:rPr>
      </w:pPr>
    </w:p>
    <w:p>
      <w:pPr>
        <w:jc w:val="both"/>
        <w:ind w:firstLine="656"/>
        <w:spacing w:after="0" w:line="260" w:lineRule="auto"/>
        <w:tabs>
          <w:tab w:leader="none" w:pos="1082"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Temporary Global Notes</w:t>
      </w:r>
      <w:r>
        <w:rPr>
          <w:rFonts w:ascii="Arial" w:cs="Arial" w:eastAsia="Arial" w:hAnsi="Arial"/>
          <w:sz w:val="22"/>
          <w:szCs w:val="22"/>
          <w:color w:val="auto"/>
        </w:rPr>
        <w:t>. Notes offered and sold in reliance on Regulation S shall be issued initially in the form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Regulation S Temporary Global Note substantially in the form of </w:t>
      </w:r>
      <w:r>
        <w:rPr>
          <w:rFonts w:ascii="Arial" w:cs="Arial" w:eastAsia="Arial" w:hAnsi="Arial"/>
          <w:sz w:val="22"/>
          <w:szCs w:val="22"/>
          <w:u w:val="single" w:color="auto"/>
          <w:color w:val="auto"/>
        </w:rPr>
        <w:t>Exhibit A-2</w:t>
      </w:r>
      <w:r>
        <w:rPr>
          <w:rFonts w:ascii="Arial" w:cs="Arial" w:eastAsia="Arial" w:hAnsi="Arial"/>
          <w:sz w:val="22"/>
          <w:szCs w:val="22"/>
          <w:color w:val="auto"/>
        </w:rPr>
        <w:t xml:space="preserve"> attached hereto, which shall be deposited on behalf of the holders of the Notes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2"/>
          <w:szCs w:val="22"/>
          <w:color w:val="auto"/>
        </w:rPr>
        <w:t>represented thereby with the Trustee, as Custodian for the Depositary, and registered in the name of the Depositary or the nominee of the Depositary for the accounts of designated agents holding on behalf of Euroclear or Clearstream, duly executed by the Issuers and authenticated by the Trustee as hereinafter provided. The Restricted Period shall be terminated upon the receipt by the Trustee of:</w:t>
      </w:r>
    </w:p>
    <w:p>
      <w:pPr>
        <w:spacing w:after="0" w:line="188" w:lineRule="exact"/>
        <w:rPr>
          <w:sz w:val="20"/>
          <w:szCs w:val="20"/>
          <w:color w:val="auto"/>
        </w:rPr>
      </w:pPr>
    </w:p>
    <w:p>
      <w:pPr>
        <w:jc w:val="both"/>
        <w:ind w:left="660" w:firstLine="645"/>
        <w:spacing w:after="0" w:line="297" w:lineRule="auto"/>
        <w:tabs>
          <w:tab w:leader="none" w:pos="1794"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written certificate from the Depositary, together with copies of certificates from Euroclear and Clearstream certifying that they have received certification of non-United States beneficial ownership of 100% of the aggregate principal amount of the Regulation S Temporary Global Note (except to the extent of any Beneficial Owners thereof who acquired an interest therein during the Restricted Period pursuant to another exemption from registration under the Securities Act and who shall take delivery of a beneficial ownership interest in a 144A Global Note or an IAI Global Note bearing a Private Placement Legend, all as contemplated by Section 2.06(b) hereof); and</w:t>
      </w:r>
    </w:p>
    <w:p>
      <w:pPr>
        <w:spacing w:after="0" w:line="146" w:lineRule="exact"/>
        <w:rPr>
          <w:rFonts w:ascii="Arial" w:cs="Arial" w:eastAsia="Arial" w:hAnsi="Arial"/>
          <w:sz w:val="19"/>
          <w:szCs w:val="19"/>
          <w:color w:val="auto"/>
        </w:rPr>
      </w:pPr>
    </w:p>
    <w:p>
      <w:pPr>
        <w:ind w:left="1740" w:hanging="435"/>
        <w:spacing w:after="0"/>
        <w:tabs>
          <w:tab w:leader="none" w:pos="17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 Officers’ Certificate from each of the Issuers.</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Following the termination of the Restricted Period, beneficial interests in the Regulation S Temporary Global Note shall be exchanged for beneficial interests in the Regulation S Permanent Global Note pursuant to the Applicable Procedures. Simultaneously with the authentication of the Regulation S Permanent Global Note, the Trustee shall cancel the Regulation S Temporary Global Note. The aggregate principal amount of the Regulation S Temporary Global Note and the Regulation S Permanent Global Note may from time to time be increased or decreased by adjustments made on the records of the Trustee and the Depositary or its nominee, as the case may be, in connection with transfers of interest as hereinafter provided.</w:t>
      </w:r>
    </w:p>
    <w:p>
      <w:pPr>
        <w:spacing w:after="0" w:line="150" w:lineRule="exact"/>
        <w:rPr>
          <w:sz w:val="20"/>
          <w:szCs w:val="20"/>
          <w:color w:val="auto"/>
        </w:rPr>
      </w:pPr>
    </w:p>
    <w:p>
      <w:pPr>
        <w:jc w:val="both"/>
        <w:ind w:firstLine="656"/>
        <w:spacing w:after="0" w:line="251" w:lineRule="auto"/>
        <w:tabs>
          <w:tab w:leader="none" w:pos="1188"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Euroclear and Clearstream Procedures Applicable</w:t>
      </w:r>
      <w:r>
        <w:rPr>
          <w:rFonts w:ascii="Arial" w:cs="Arial" w:eastAsia="Arial" w:hAnsi="Arial"/>
          <w:sz w:val="22"/>
          <w:szCs w:val="22"/>
          <w:color w:val="auto"/>
        </w:rPr>
        <w:t>. 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Temporary Global Note and the Regulation S Permanent Global Note that are held by Participants through Euroclear or Clearstream.</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Section 2.02</w:t>
      </w:r>
      <w:r>
        <w:rPr>
          <w:rFonts w:ascii="Arial" w:cs="Arial" w:eastAsia="Arial" w:hAnsi="Arial"/>
          <w:sz w:val="22"/>
          <w:szCs w:val="22"/>
          <w:i w:val="1"/>
          <w:iCs w:val="1"/>
          <w:color w:val="auto"/>
        </w:rPr>
        <w:t>Execution and Authentication.</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Designated Officer on behalf of each of Wynn Resorts Finance and Wynn Resorts Capital must sign the Notes for the Issuers by manual or facsimile signature.</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an Officer whose signature is on a Note no longer holds that office at the time a Note is authenticated, the Note shall nevertheless be valid.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 Note shall not be valid until authenticated by the manual signature of the Trustee. The signature shall be conclusive evidence that the Note has been authenticated under this Indenture.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Trustee shall, upon receipt of a written order of the Issuers signed by a Designated Officer of each of Wynn Resorts Finance and Wynn Resorts Capital (an “</w:t>
      </w:r>
      <w:r>
        <w:rPr>
          <w:rFonts w:ascii="Arial" w:cs="Arial" w:eastAsia="Arial" w:hAnsi="Arial"/>
          <w:sz w:val="22"/>
          <w:szCs w:val="22"/>
          <w:i w:val="1"/>
          <w:iCs w:val="1"/>
          <w:u w:val="single" w:color="auto"/>
          <w:color w:val="auto"/>
        </w:rPr>
        <w:t>Authentication Order</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93" w:name="page94"/>
    <w:bookmarkEnd w:id="93"/>
    <w:p>
      <w:pPr>
        <w:jc w:val="both"/>
        <w:ind w:right="20"/>
        <w:spacing w:after="0" w:line="253" w:lineRule="auto"/>
        <w:rPr>
          <w:sz w:val="20"/>
          <w:szCs w:val="20"/>
          <w:color w:val="auto"/>
        </w:rPr>
      </w:pPr>
      <w:r>
        <w:rPr>
          <w:rFonts w:ascii="Arial" w:cs="Arial" w:eastAsia="Arial" w:hAnsi="Arial"/>
          <w:sz w:val="22"/>
          <w:szCs w:val="22"/>
          <w:color w:val="auto"/>
        </w:rPr>
        <w:t>authenticate Notes for original issue that may be validly issued under this Indenture, including any Additional Notes (including Notes to be issued in substitution for outstanding Notes to reflect any name change of either Issuer, by succession permitted hereunder or otherwise).</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aggregate principal amount of Notes outstanding at any time may not exceed aggregate principal amount of Notes authorized for issuance by the Issuers pursuant to one or more Authentication Orders, except as provided in Section 2.07 hereof.</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appoint an authenticating agent acceptable to the Issuers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2.03</w:t>
      </w:r>
      <w:r>
        <w:rPr>
          <w:rFonts w:ascii="Arial" w:cs="Arial" w:eastAsia="Arial" w:hAnsi="Arial"/>
          <w:sz w:val="22"/>
          <w:szCs w:val="22"/>
          <w:i w:val="1"/>
          <w:iCs w:val="1"/>
          <w:color w:val="auto"/>
        </w:rPr>
        <w:t>Registrar and Paying Agent.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Issuers shall maintain an office or agency where Notes may be presented for registration of transfer or for exchange (“</w:t>
      </w:r>
      <w:r>
        <w:rPr>
          <w:rFonts w:ascii="Arial" w:cs="Arial" w:eastAsia="Arial" w:hAnsi="Arial"/>
          <w:sz w:val="22"/>
          <w:szCs w:val="22"/>
          <w:i w:val="1"/>
          <w:iCs w:val="1"/>
          <w:u w:val="single" w:color="auto"/>
          <w:color w:val="auto"/>
        </w:rPr>
        <w:t>Registrar</w:t>
      </w:r>
      <w:r>
        <w:rPr>
          <w:rFonts w:ascii="Arial" w:cs="Arial" w:eastAsia="Arial" w:hAnsi="Arial"/>
          <w:sz w:val="22"/>
          <w:szCs w:val="22"/>
          <w:color w:val="auto"/>
        </w:rPr>
        <w:t>”) and an office or agency where Notes may be presented for payment (“</w:t>
      </w:r>
      <w:r>
        <w:rPr>
          <w:rFonts w:ascii="Arial" w:cs="Arial" w:eastAsia="Arial" w:hAnsi="Arial"/>
          <w:sz w:val="22"/>
          <w:szCs w:val="22"/>
          <w:i w:val="1"/>
          <w:iCs w:val="1"/>
          <w:u w:val="single" w:color="auto"/>
          <w:color w:val="auto"/>
        </w:rPr>
        <w:t>Paying Agent</w:t>
      </w:r>
      <w:r>
        <w:rPr>
          <w:rFonts w:ascii="Arial" w:cs="Arial" w:eastAsia="Arial" w:hAnsi="Arial"/>
          <w:sz w:val="22"/>
          <w:szCs w:val="22"/>
          <w:color w:val="auto"/>
        </w:rPr>
        <w:t>”). The Registrar shall keep a register of the Notes and of their transfer and exchange. The Issuers may appoint one or more co-registrars and one or more additional paying agents. The term “Registrar” includes any co-registrar and the term “Paying Agent” includes any additional paying agent. The Issuers may change any Paying Agent or Registrar without notice to any Holder. The Issuers shall notify the Trustee in writing of the name and address of any Agent not a party to this Indenture. If the Issuers fail to appoint or maintain another entity as Registrar or Paying Agent, the Trustee shall act as such. Either or both of the Issuers or any of their Subsidiaries may act as Paying Agent or Registrar.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Issuers initially appoint The Depository Trust Company (“</w:t>
      </w:r>
      <w:r>
        <w:rPr>
          <w:rFonts w:ascii="Arial" w:cs="Arial" w:eastAsia="Arial" w:hAnsi="Arial"/>
          <w:sz w:val="19"/>
          <w:szCs w:val="19"/>
          <w:i w:val="1"/>
          <w:iCs w:val="1"/>
          <w:u w:val="single" w:color="auto"/>
          <w:color w:val="auto"/>
        </w:rPr>
        <w:t>DTC</w:t>
      </w:r>
      <w:r>
        <w:rPr>
          <w:rFonts w:ascii="Arial" w:cs="Arial" w:eastAsia="Arial" w:hAnsi="Arial"/>
          <w:sz w:val="19"/>
          <w:szCs w:val="19"/>
          <w:color w:val="auto"/>
        </w:rPr>
        <w:t>”) to act as Depositary with respect to the Global Notes.</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initially appoint the Trustee to act as the Registrar and Paying Agent and to act as Custodian with respect to the Global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2.04</w:t>
      </w:r>
      <w:r>
        <w:rPr>
          <w:rFonts w:ascii="Arial" w:cs="Arial" w:eastAsia="Arial" w:hAnsi="Arial"/>
          <w:sz w:val="22"/>
          <w:szCs w:val="22"/>
          <w:i w:val="1"/>
          <w:iCs w:val="1"/>
          <w:color w:val="auto"/>
        </w:rPr>
        <w:t>Paying Agent to Hold Money in Trust.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Issuers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Issuers in making any such payment. While any such default continues, the Trustee may require a Paying Agent to pay all money held by it to the Trustee. The Issuers at any time may require a Paying Agent to pay all money held by it to the Trustee. Upon payment over to the Trustee, the Paying Agent (if other than the Issuers or a Subsidiary thereof) shall have no further liability for the money. If either Issuer or a Subsidiary acts as Paying Agent, it shall segregate and hold in a separate trust fund for the benefit of the Holders all money held by it as Paying Agent. Upon any bankruptcy or reorganization proceedings relating to the Issuers, the Trustee shall serve as Paying Agent for the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Section 2.05</w:t>
      </w:r>
      <w:r>
        <w:rPr>
          <w:rFonts w:ascii="Arial" w:cs="Arial" w:eastAsia="Arial" w:hAnsi="Arial"/>
          <w:sz w:val="22"/>
          <w:szCs w:val="22"/>
          <w:i w:val="1"/>
          <w:iCs w:val="1"/>
          <w:color w:val="auto"/>
        </w:rPr>
        <w:t>Holder Lists.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Issuers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Section 2.06</w:t>
      </w:r>
      <w:r>
        <w:rPr>
          <w:rFonts w:ascii="Arial" w:cs="Arial" w:eastAsia="Arial" w:hAnsi="Arial"/>
          <w:sz w:val="22"/>
          <w:szCs w:val="22"/>
          <w:i w:val="1"/>
          <w:iCs w:val="1"/>
          <w:color w:val="auto"/>
        </w:rPr>
        <w:t>Transfer and Exchange.</w:t>
      </w:r>
    </w:p>
    <w:p>
      <w:pPr>
        <w:spacing w:after="0" w:line="220" w:lineRule="exact"/>
        <w:rPr>
          <w:sz w:val="20"/>
          <w:szCs w:val="20"/>
          <w:color w:val="auto"/>
        </w:rPr>
      </w:pPr>
    </w:p>
    <w:p>
      <w:pPr>
        <w:jc w:val="both"/>
        <w:ind w:firstLine="656"/>
        <w:spacing w:after="0" w:line="254" w:lineRule="auto"/>
        <w:tabs>
          <w:tab w:leader="none" w:pos="1082" w:val="left"/>
        </w:tabs>
        <w:numPr>
          <w:ilvl w:val="0"/>
          <w:numId w:val="68"/>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as a whole except by the Depositary to</w:t>
      </w:r>
      <w:r>
        <w:rPr>
          <w:rFonts w:ascii="Arial" w:cs="Arial" w:eastAsia="Arial" w:hAnsi="Arial"/>
          <w:sz w:val="22"/>
          <w:szCs w:val="22"/>
          <w:i w:val="1"/>
          <w:iCs w:val="1"/>
          <w:color w:val="auto"/>
        </w:rPr>
        <w:t xml:space="preserve"> </w:t>
      </w:r>
      <w:r>
        <w:rPr>
          <w:rFonts w:ascii="Arial" w:cs="Arial" w:eastAsia="Arial" w:hAnsi="Arial"/>
          <w:sz w:val="22"/>
          <w:szCs w:val="22"/>
          <w:color w:val="auto"/>
        </w:rPr>
        <w:t>a nominee of the Depositary, by a nominee of the Depositary to the Depositary or to another nominee of the Depositary, or by the Depositary or any such nominee to a successor Depositary or a nominee of such successor Depositary. All Global Notes shall be exchanged by the Issuers for Definitive Notes if:</w:t>
      </w:r>
    </w:p>
    <w:p>
      <w:pPr>
        <w:spacing w:after="0" w:line="185" w:lineRule="exact"/>
        <w:rPr>
          <w:rFonts w:ascii="Arial" w:cs="Arial" w:eastAsia="Arial" w:hAnsi="Arial"/>
          <w:sz w:val="22"/>
          <w:szCs w:val="22"/>
          <w:color w:val="auto"/>
        </w:rPr>
      </w:pPr>
    </w:p>
    <w:p>
      <w:pPr>
        <w:jc w:val="both"/>
        <w:ind w:left="660" w:firstLine="645"/>
        <w:spacing w:after="0" w:line="254" w:lineRule="auto"/>
        <w:tabs>
          <w:tab w:leader="none" w:pos="1781" w:val="left"/>
        </w:tabs>
        <w:numPr>
          <w:ilvl w:val="1"/>
          <w:numId w:val="68"/>
        </w:numPr>
        <w:rPr>
          <w:rFonts w:ascii="Arial" w:cs="Arial" w:eastAsia="Arial" w:hAnsi="Arial"/>
          <w:sz w:val="22"/>
          <w:szCs w:val="22"/>
          <w:color w:val="auto"/>
        </w:rPr>
      </w:pPr>
      <w:r>
        <w:rPr>
          <w:rFonts w:ascii="Arial" w:cs="Arial" w:eastAsia="Arial" w:hAnsi="Arial"/>
          <w:sz w:val="22"/>
          <w:szCs w:val="22"/>
          <w:color w:val="auto"/>
        </w:rPr>
        <w:t>Wynn Resorts Finance delivers to the Trustee written notice from the Depositary that it is unwilling or unable to continue to act as Depositary or that it is no longer a clearing agency registered under the Exchange Act and, in either case, a successor Depositary is not appointed by Wynn Resorts Finance within 120 days after the date of such notice from the Depositary;</w:t>
      </w:r>
    </w:p>
    <w:p>
      <w:pPr>
        <w:spacing w:after="0" w:line="185" w:lineRule="exact"/>
        <w:rPr>
          <w:rFonts w:ascii="Arial" w:cs="Arial" w:eastAsia="Arial" w:hAnsi="Arial"/>
          <w:sz w:val="22"/>
          <w:szCs w:val="22"/>
          <w:color w:val="auto"/>
        </w:rPr>
      </w:pPr>
    </w:p>
    <w:p>
      <w:pPr>
        <w:jc w:val="both"/>
        <w:ind w:left="660" w:firstLine="645"/>
        <w:spacing w:after="0" w:line="251" w:lineRule="auto"/>
        <w:tabs>
          <w:tab w:leader="none" w:pos="1889"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Issuers in their sole discretion determine that the Global Notes (in whole but not in part) should be exchanged for Definitive Notes and delivers a written notice to such effect to the Trustee; provided that in no event shall the Regulation S Temporary Global Note be exchanged by the Issuers for Definitive Notes prior to (A) the expiration of the Restricted Period and (B) the receipt by the Registrar of any certificates required pursuant to Rule 903(b)(3)(ii)(B) under the Securities Act; or</w:t>
      </w:r>
    </w:p>
    <w:p>
      <w:pPr>
        <w:spacing w:after="0" w:line="189" w:lineRule="exact"/>
        <w:rPr>
          <w:rFonts w:ascii="Arial" w:cs="Arial" w:eastAsia="Arial" w:hAnsi="Arial"/>
          <w:sz w:val="22"/>
          <w:szCs w:val="22"/>
          <w:color w:val="auto"/>
        </w:rPr>
      </w:pPr>
    </w:p>
    <w:p>
      <w:pPr>
        <w:jc w:val="both"/>
        <w:ind w:left="660" w:firstLine="645"/>
        <w:spacing w:after="0" w:line="260" w:lineRule="auto"/>
        <w:tabs>
          <w:tab w:leader="none" w:pos="1808" w:val="left"/>
        </w:tabs>
        <w:numPr>
          <w:ilvl w:val="1"/>
          <w:numId w:val="68"/>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150" w:lineRule="exact"/>
        <w:rPr>
          <w:sz w:val="20"/>
          <w:szCs w:val="20"/>
          <w:color w:val="auto"/>
        </w:rPr>
      </w:pPr>
    </w:p>
    <w:p>
      <w:pPr>
        <w:jc w:val="both"/>
        <w:ind w:firstLine="656"/>
        <w:spacing w:after="0" w:line="260" w:lineRule="auto"/>
        <w:tabs>
          <w:tab w:leader="none" w:pos="1094"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Transfer and Exchange of Beneficial Interests in the Global Notes</w:t>
      </w:r>
      <w:r>
        <w:rPr>
          <w:rFonts w:ascii="Arial" w:cs="Arial" w:eastAsia="Arial" w:hAnsi="Arial"/>
          <w:sz w:val="22"/>
          <w:szCs w:val="22"/>
          <w:color w:val="auto"/>
        </w:rPr>
        <w:t>. The transfer and exchange of beneficial interests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Global Notes shall be effected through the Depositary, in accordance with the provisions of this Indenture and the Applicable Procedures. Beneficial interests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95" w:name="page96"/>
    <w:bookmarkEnd w:id="95"/>
    <w:p>
      <w:pPr>
        <w:spacing w:after="0" w:line="291" w:lineRule="auto"/>
        <w:rPr>
          <w:sz w:val="20"/>
          <w:szCs w:val="20"/>
          <w:color w:val="auto"/>
        </w:rPr>
      </w:pPr>
      <w:r>
        <w:rPr>
          <w:rFonts w:ascii="Arial" w:cs="Arial" w:eastAsia="Arial" w:hAnsi="Arial"/>
          <w:sz w:val="19"/>
          <w:szCs w:val="19"/>
          <w:color w:val="auto"/>
        </w:rPr>
        <w:t>in the Restricted Global Notes shall be subject to restrictions on transfer comparable to those set forth herein to the extent required by the Securities Act. Transfers of beneficial interests in the Global Notes also shall require compliance with either subparagraph</w:t>
      </w:r>
    </w:p>
    <w:p>
      <w:pPr>
        <w:spacing w:after="0" w:line="1"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or (2) below, as applicable, as well as one or more of the other following subparagraphs, as applicable:</w:t>
      </w:r>
    </w:p>
    <w:p>
      <w:pPr>
        <w:spacing w:after="0" w:line="201" w:lineRule="exact"/>
        <w:rPr>
          <w:rFonts w:ascii="Arial" w:cs="Arial" w:eastAsia="Arial" w:hAnsi="Arial"/>
          <w:sz w:val="22"/>
          <w:szCs w:val="22"/>
          <w:color w:val="auto"/>
        </w:rPr>
      </w:pPr>
    </w:p>
    <w:p>
      <w:pPr>
        <w:jc w:val="both"/>
        <w:ind w:left="660" w:firstLine="645"/>
        <w:spacing w:after="0" w:line="261" w:lineRule="auto"/>
        <w:tabs>
          <w:tab w:leader="none" w:pos="1821" w:val="left"/>
        </w:tabs>
        <w:numPr>
          <w:ilvl w:val="1"/>
          <w:numId w:val="70"/>
        </w:numPr>
        <w:rPr>
          <w:rFonts w:ascii="Arial" w:cs="Arial" w:eastAsia="Arial" w:hAnsi="Arial"/>
          <w:sz w:val="21"/>
          <w:szCs w:val="21"/>
          <w:color w:val="auto"/>
        </w:rPr>
      </w:pPr>
      <w:r>
        <w:rPr>
          <w:rFonts w:ascii="Arial" w:cs="Arial" w:eastAsia="Arial" w:hAnsi="Arial"/>
          <w:sz w:val="21"/>
          <w:szCs w:val="21"/>
          <w:i w:val="1"/>
          <w:iCs w:val="1"/>
          <w:color w:val="auto"/>
        </w:rPr>
        <w:t>Transfer of Beneficial Interests in the Same Global Note</w:t>
      </w:r>
      <w:r>
        <w:rPr>
          <w:rFonts w:ascii="Arial" w:cs="Arial" w:eastAsia="Arial" w:hAnsi="Arial"/>
          <w:sz w:val="21"/>
          <w:szCs w:val="21"/>
          <w:color w:val="auto"/>
        </w:rPr>
        <w:t>. Beneficial interests in any Restricted Global Note</w:t>
      </w:r>
      <w:r>
        <w:rPr>
          <w:rFonts w:ascii="Arial" w:cs="Arial" w:eastAsia="Arial" w:hAnsi="Arial"/>
          <w:sz w:val="21"/>
          <w:szCs w:val="21"/>
          <w:i w:val="1"/>
          <w:iCs w:val="1"/>
          <w:color w:val="auto"/>
        </w:rPr>
        <w:t xml:space="preserve"> </w:t>
      </w:r>
      <w:r>
        <w:rPr>
          <w:rFonts w:ascii="Arial" w:cs="Arial" w:eastAsia="Arial" w:hAnsi="Arial"/>
          <w:sz w:val="21"/>
          <w:szCs w:val="21"/>
          <w:color w:val="auto"/>
        </w:rPr>
        <w:t>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Temporary Global Note may not be made to a U.S. Person or for the account or benefit of a U.S. Person.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81" w:lineRule="exact"/>
        <w:rPr>
          <w:rFonts w:ascii="Arial" w:cs="Arial" w:eastAsia="Arial" w:hAnsi="Arial"/>
          <w:sz w:val="21"/>
          <w:szCs w:val="21"/>
          <w:color w:val="auto"/>
        </w:rPr>
      </w:pPr>
    </w:p>
    <w:p>
      <w:pPr>
        <w:jc w:val="both"/>
        <w:ind w:left="660" w:right="20" w:firstLine="645"/>
        <w:spacing w:after="0" w:line="260" w:lineRule="auto"/>
        <w:tabs>
          <w:tab w:leader="none" w:pos="1754" w:val="left"/>
        </w:tabs>
        <w:numPr>
          <w:ilvl w:val="1"/>
          <w:numId w:val="70"/>
        </w:numPr>
        <w:rPr>
          <w:rFonts w:ascii="Arial" w:cs="Arial" w:eastAsia="Arial" w:hAnsi="Arial"/>
          <w:sz w:val="22"/>
          <w:szCs w:val="22"/>
          <w:color w:val="auto"/>
        </w:rPr>
      </w:pPr>
      <w:r>
        <w:rPr>
          <w:rFonts w:ascii="Arial" w:cs="Arial" w:eastAsia="Arial" w:hAnsi="Arial"/>
          <w:sz w:val="22"/>
          <w:szCs w:val="22"/>
          <w:i w:val="1"/>
          <w:iCs w:val="1"/>
          <w:color w:val="auto"/>
        </w:rPr>
        <w:t>All Other Transfers and Exchanges of Beneficial Interests in Global Notes</w:t>
      </w:r>
      <w:r>
        <w:rPr>
          <w:rFonts w:ascii="Arial" w:cs="Arial" w:eastAsia="Arial" w:hAnsi="Arial"/>
          <w:sz w:val="22"/>
          <w:szCs w:val="22"/>
          <w:color w:val="auto"/>
        </w:rPr>
        <w:t>. In connection with all transfers and</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spacing w:after="0" w:line="177" w:lineRule="exact"/>
        <w:rPr>
          <w:rFonts w:ascii="Arial" w:cs="Arial" w:eastAsia="Arial" w:hAnsi="Arial"/>
          <w:sz w:val="22"/>
          <w:szCs w:val="22"/>
          <w:color w:val="auto"/>
        </w:rPr>
      </w:pPr>
    </w:p>
    <w:p>
      <w:pPr>
        <w:ind w:left="2440" w:hanging="487"/>
        <w:spacing w:after="0"/>
        <w:tabs>
          <w:tab w:leader="none" w:pos="2440" w:val="left"/>
        </w:tabs>
        <w:numPr>
          <w:ilvl w:val="2"/>
          <w:numId w:val="70"/>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601"/>
        <w:spacing w:after="0" w:line="260" w:lineRule="auto"/>
        <w:tabs>
          <w:tab w:leader="none" w:pos="2977" w:val="left"/>
        </w:tabs>
        <w:numPr>
          <w:ilvl w:val="3"/>
          <w:numId w:val="70"/>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7" w:lineRule="exact"/>
        <w:rPr>
          <w:rFonts w:ascii="Arial" w:cs="Arial" w:eastAsia="Arial" w:hAnsi="Arial"/>
          <w:sz w:val="22"/>
          <w:szCs w:val="22"/>
          <w:color w:val="auto"/>
        </w:rPr>
      </w:pPr>
    </w:p>
    <w:p>
      <w:pPr>
        <w:ind w:firstLine="2601"/>
        <w:spacing w:after="0" w:line="276" w:lineRule="auto"/>
        <w:tabs>
          <w:tab w:leader="none" w:pos="3267" w:val="left"/>
        </w:tabs>
        <w:numPr>
          <w:ilvl w:val="3"/>
          <w:numId w:val="70"/>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160" w:lineRule="exact"/>
        <w:rPr>
          <w:rFonts w:ascii="Arial" w:cs="Arial" w:eastAsia="Arial" w:hAnsi="Arial"/>
          <w:sz w:val="22"/>
          <w:szCs w:val="22"/>
          <w:color w:val="auto"/>
        </w:rPr>
      </w:pPr>
    </w:p>
    <w:p>
      <w:pPr>
        <w:ind w:left="2420" w:hanging="467"/>
        <w:spacing w:after="0"/>
        <w:tabs>
          <w:tab w:leader="none" w:pos="2420" w:val="left"/>
        </w:tabs>
        <w:numPr>
          <w:ilvl w:val="2"/>
          <w:numId w:val="70"/>
        </w:numPr>
        <w:rPr>
          <w:rFonts w:ascii="Arial" w:cs="Arial" w:eastAsia="Arial" w:hAnsi="Arial"/>
          <w:sz w:val="22"/>
          <w:szCs w:val="22"/>
          <w:color w:val="auto"/>
        </w:rPr>
      </w:pPr>
      <w:r>
        <w:rPr>
          <w:rFonts w:ascii="Arial" w:cs="Arial" w:eastAsia="Arial" w:hAnsi="Arial"/>
          <w:sz w:val="22"/>
          <w:szCs w:val="22"/>
          <w:color w:val="auto"/>
        </w:rPr>
        <w:t>both:</w:t>
      </w:r>
    </w:p>
    <w:p>
      <w:pPr>
        <w:spacing w:after="0" w:line="233" w:lineRule="exact"/>
        <w:rPr>
          <w:rFonts w:ascii="Arial" w:cs="Arial" w:eastAsia="Arial" w:hAnsi="Arial"/>
          <w:sz w:val="22"/>
          <w:szCs w:val="22"/>
          <w:color w:val="auto"/>
        </w:rPr>
      </w:pPr>
    </w:p>
    <w:p>
      <w:pPr>
        <w:jc w:val="both"/>
        <w:ind w:firstLine="2601"/>
        <w:spacing w:after="0" w:line="260" w:lineRule="auto"/>
        <w:tabs>
          <w:tab w:leader="none" w:pos="2977" w:val="left"/>
        </w:tabs>
        <w:numPr>
          <w:ilvl w:val="3"/>
          <w:numId w:val="70"/>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77" w:lineRule="exact"/>
        <w:rPr>
          <w:rFonts w:ascii="Arial" w:cs="Arial" w:eastAsia="Arial" w:hAnsi="Arial"/>
          <w:sz w:val="22"/>
          <w:szCs w:val="22"/>
          <w:color w:val="auto"/>
        </w:rPr>
      </w:pPr>
    </w:p>
    <w:p>
      <w:pPr>
        <w:ind w:firstLine="2601"/>
        <w:spacing w:after="0" w:line="301" w:lineRule="auto"/>
        <w:tabs>
          <w:tab w:leader="none" w:pos="3199" w:val="left"/>
        </w:tabs>
        <w:numPr>
          <w:ilvl w:val="3"/>
          <w:numId w:val="70"/>
        </w:numPr>
        <w:rPr>
          <w:rFonts w:ascii="Arial" w:cs="Arial" w:eastAsia="Arial" w:hAnsi="Arial"/>
          <w:sz w:val="21"/>
          <w:szCs w:val="21"/>
          <w:color w:val="auto"/>
        </w:rPr>
      </w:pPr>
      <w:r>
        <w:rPr>
          <w:rFonts w:ascii="Arial" w:cs="Arial" w:eastAsia="Arial" w:hAnsi="Arial"/>
          <w:sz w:val="21"/>
          <w:szCs w:val="21"/>
          <w:color w:val="auto"/>
        </w:rPr>
        <w:t>instructions given by the Depositary to the Registrar containing information regarding the Person in whose name such Definitive Note shall be registered to effect the transfer or exchange referred to in (1) above;</w:t>
      </w:r>
    </w:p>
    <w:p>
      <w:pPr>
        <w:spacing w:after="0" w:line="137"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in no event shall Definitive Notes be issued upon the transfer or exchange of beneficial interests in the</w:t>
      </w:r>
      <w:r>
        <w:rPr>
          <w:rFonts w:ascii="Arial" w:cs="Arial" w:eastAsia="Arial" w:hAnsi="Arial"/>
          <w:sz w:val="22"/>
          <w:szCs w:val="22"/>
          <w:i w:val="1"/>
          <w:iCs w:val="1"/>
          <w:color w:val="auto"/>
        </w:rPr>
        <w:t xml:space="preserve"> </w:t>
      </w:r>
      <w:r>
        <w:rPr>
          <w:rFonts w:ascii="Arial" w:cs="Arial" w:eastAsia="Arial" w:hAnsi="Arial"/>
          <w:sz w:val="22"/>
          <w:szCs w:val="22"/>
          <w:color w:val="auto"/>
        </w:rPr>
        <w:t>Regulation S Temporary Global Note prior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31" w:right="239" w:bottom="1440" w:gutter="0" w:footer="0" w:header="0"/>
        </w:sectPr>
      </w:pPr>
    </w:p>
    <w:bookmarkStart w:id="96" w:name="page97"/>
    <w:bookmarkEnd w:id="96"/>
    <w:p>
      <w:pPr>
        <w:ind w:left="1300" w:right="20"/>
        <w:spacing w:after="0" w:line="263" w:lineRule="auto"/>
        <w:rPr>
          <w:sz w:val="20"/>
          <w:szCs w:val="20"/>
          <w:color w:val="auto"/>
        </w:rPr>
      </w:pPr>
      <w:r>
        <w:rPr>
          <w:rFonts w:ascii="Arial" w:cs="Arial" w:eastAsia="Arial" w:hAnsi="Arial"/>
          <w:sz w:val="22"/>
          <w:szCs w:val="22"/>
          <w:color w:val="auto"/>
        </w:rPr>
        <w:t>to (A) the expiration of the Restricted Period and (B) the receipt by the Registrar of any certificates required pursuant to Rule 903 under the Securities Act.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6" w:lineRule="exact"/>
        <w:rPr>
          <w:sz w:val="20"/>
          <w:szCs w:val="20"/>
          <w:color w:val="auto"/>
        </w:rPr>
      </w:pPr>
    </w:p>
    <w:p>
      <w:pPr>
        <w:jc w:val="both"/>
        <w:ind w:left="660" w:firstLine="645"/>
        <w:spacing w:after="0" w:line="254" w:lineRule="auto"/>
        <w:tabs>
          <w:tab w:leader="none" w:pos="1875" w:val="left"/>
        </w:tabs>
        <w:numPr>
          <w:ilvl w:val="0"/>
          <w:numId w:val="71"/>
        </w:numPr>
        <w:rPr>
          <w:rFonts w:ascii="Arial" w:cs="Arial" w:eastAsia="Arial" w:hAnsi="Arial"/>
          <w:sz w:val="22"/>
          <w:szCs w:val="22"/>
          <w:color w:val="auto"/>
        </w:rPr>
      </w:pPr>
      <w:r>
        <w:rPr>
          <w:rFonts w:ascii="Arial" w:cs="Arial" w:eastAsia="Arial" w:hAnsi="Arial"/>
          <w:sz w:val="22"/>
          <w:szCs w:val="22"/>
          <w:i w:val="1"/>
          <w:iCs w:val="1"/>
          <w:color w:val="auto"/>
        </w:rPr>
        <w:t>Transfer of Beneficial Interests to Another Restricted Global Note</w:t>
      </w:r>
      <w:r>
        <w:rPr>
          <w:rFonts w:ascii="Arial" w:cs="Arial" w:eastAsia="Arial" w:hAnsi="Arial"/>
          <w:sz w:val="22"/>
          <w:szCs w:val="22"/>
          <w:color w:val="auto"/>
        </w:rPr>
        <w:t>. A beneficial interest in any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Global Note may be transferred to a Person who takes delivery thereof in the form of a beneficial interest in another Restricted Global Note if the transfer complies with the requirements of Section 2.06(b)(2) above and the Registrar receives the following:</w:t>
      </w:r>
    </w:p>
    <w:p>
      <w:pPr>
        <w:spacing w:after="0" w:line="185" w:lineRule="exact"/>
        <w:rPr>
          <w:rFonts w:ascii="Arial" w:cs="Arial" w:eastAsia="Arial" w:hAnsi="Arial"/>
          <w:sz w:val="22"/>
          <w:szCs w:val="22"/>
          <w:color w:val="auto"/>
        </w:rPr>
      </w:pPr>
    </w:p>
    <w:p>
      <w:pPr>
        <w:ind w:firstLine="1953"/>
        <w:spacing w:after="0" w:line="301" w:lineRule="auto"/>
        <w:tabs>
          <w:tab w:leader="none" w:pos="2425"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if the transferee shall take delivery in the form of a beneficial interest in the 144A Global Note, then the transferor must deliver a certificate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(1) thereof;</w:t>
      </w:r>
    </w:p>
    <w:p>
      <w:pPr>
        <w:spacing w:after="0" w:line="137" w:lineRule="exact"/>
        <w:rPr>
          <w:rFonts w:ascii="Arial" w:cs="Arial" w:eastAsia="Arial" w:hAnsi="Arial"/>
          <w:sz w:val="21"/>
          <w:szCs w:val="21"/>
          <w:color w:val="auto"/>
        </w:rPr>
      </w:pPr>
    </w:p>
    <w:p>
      <w:pPr>
        <w:jc w:val="both"/>
        <w:ind w:firstLine="1953"/>
        <w:spacing w:after="0" w:line="260" w:lineRule="auto"/>
        <w:tabs>
          <w:tab w:leader="none" w:pos="2467"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Regulation S Temporary Global Note or the Regulation S Permanent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440"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if the transferee shall take delivery in the form of a beneficial interest in the IAI Global Note,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177" w:lineRule="exact"/>
        <w:rPr>
          <w:rFonts w:ascii="Arial" w:cs="Arial" w:eastAsia="Arial" w:hAnsi="Arial"/>
          <w:sz w:val="22"/>
          <w:szCs w:val="22"/>
          <w:color w:val="auto"/>
        </w:rPr>
      </w:pPr>
    </w:p>
    <w:p>
      <w:pPr>
        <w:jc w:val="both"/>
        <w:ind w:left="660" w:firstLine="645"/>
        <w:spacing w:after="0" w:line="290" w:lineRule="auto"/>
        <w:tabs>
          <w:tab w:leader="none" w:pos="1902" w:val="left"/>
        </w:tabs>
        <w:numPr>
          <w:ilvl w:val="0"/>
          <w:numId w:val="71"/>
        </w:numPr>
        <w:rPr>
          <w:rFonts w:ascii="Arial" w:cs="Arial" w:eastAsia="Arial" w:hAnsi="Arial"/>
          <w:sz w:val="19"/>
          <w:szCs w:val="19"/>
          <w:color w:val="auto"/>
        </w:rPr>
      </w:pPr>
      <w:r>
        <w:rPr>
          <w:rFonts w:ascii="Arial" w:cs="Arial" w:eastAsia="Arial" w:hAnsi="Arial"/>
          <w:sz w:val="19"/>
          <w:szCs w:val="19"/>
          <w:i w:val="1"/>
          <w:iCs w:val="1"/>
          <w:color w:val="auto"/>
        </w:rPr>
        <w:t>Transfer and Exchange of Beneficial Interests in a Restricted Global Note for Beneficial Interests in an Unrestricted Global Note</w:t>
      </w:r>
      <w:r>
        <w:rPr>
          <w:rFonts w:ascii="Arial" w:cs="Arial" w:eastAsia="Arial" w:hAnsi="Arial"/>
          <w:sz w:val="19"/>
          <w:szCs w:val="19"/>
          <w:color w:val="auto"/>
        </w:rPr>
        <w:t>. A beneficial interest in any Restricted Global Note may be exchanged by any holder thereof for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or transferred to a Person who takes delivery thereof in the form of a beneficial interest in an Unrestricted Global Note if the exchange or transfer complies with the requirements of Section</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2.06(b)(2) above and the Registrar receives the following:</w:t>
      </w:r>
    </w:p>
    <w:p>
      <w:pPr>
        <w:spacing w:after="0" w:line="201" w:lineRule="exact"/>
        <w:rPr>
          <w:rFonts w:ascii="Arial" w:cs="Arial" w:eastAsia="Arial" w:hAnsi="Arial"/>
          <w:sz w:val="19"/>
          <w:szCs w:val="19"/>
          <w:color w:val="auto"/>
        </w:rPr>
      </w:pPr>
    </w:p>
    <w:p>
      <w:pPr>
        <w:jc w:val="both"/>
        <w:ind w:firstLine="1953"/>
        <w:spacing w:after="0" w:line="260" w:lineRule="auto"/>
        <w:tabs>
          <w:tab w:leader="none" w:pos="2600"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(1)(a) thereof; or</w:t>
      </w:r>
    </w:p>
    <w:p>
      <w:pPr>
        <w:spacing w:after="0" w:line="177" w:lineRule="exact"/>
        <w:rPr>
          <w:rFonts w:ascii="Arial" w:cs="Arial" w:eastAsia="Arial" w:hAnsi="Arial"/>
          <w:sz w:val="22"/>
          <w:szCs w:val="22"/>
          <w:color w:val="auto"/>
        </w:rPr>
      </w:pPr>
    </w:p>
    <w:p>
      <w:pPr>
        <w:jc w:val="both"/>
        <w:ind w:firstLine="1953"/>
        <w:spacing w:after="0" w:line="278" w:lineRule="auto"/>
        <w:tabs>
          <w:tab w:leader="none" w:pos="2426" w:val="left"/>
        </w:tabs>
        <w:numPr>
          <w:ilvl w:val="1"/>
          <w:numId w:val="71"/>
        </w:numPr>
        <w:rPr>
          <w:rFonts w:ascii="Arial" w:cs="Arial" w:eastAsia="Arial" w:hAnsi="Arial"/>
          <w:sz w:val="21"/>
          <w:szCs w:val="21"/>
          <w:color w:val="auto"/>
        </w:rPr>
      </w:pPr>
      <w:r>
        <w:rPr>
          <w:rFonts w:ascii="Arial" w:cs="Arial" w:eastAsia="Arial" w:hAnsi="Arial"/>
          <w:sz w:val="21"/>
          <w:szCs w:val="21"/>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including the certifications in item (4)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97" w:name="page98"/>
    <w:bookmarkEnd w:id="97"/>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any such transfer is effected pursuant to this paragraph (4) above at a time when an Unrestricted Global Note has not yet been issued, the Issuers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paragraph (4) above.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22"/>
          <w:szCs w:val="22"/>
          <w:color w:val="auto"/>
        </w:rPr>
      </w:pPr>
      <w:r>
        <w:rPr>
          <w:rFonts w:ascii="Arial" w:cs="Arial" w:eastAsia="Arial" w:hAnsi="Arial"/>
          <w:sz w:val="22"/>
          <w:szCs w:val="22"/>
          <w:i w:val="1"/>
          <w:iCs w:val="1"/>
          <w:color w:val="auto"/>
        </w:rPr>
        <w:t>Transfer or Exchange of Beneficial Interests for Definitive Notes.</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48" w:val="left"/>
        </w:tabs>
        <w:numPr>
          <w:ilvl w:val="1"/>
          <w:numId w:val="72"/>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Restricted Definitive Notes</w:t>
      </w:r>
      <w:r>
        <w:rPr>
          <w:rFonts w:ascii="Arial" w:cs="Arial" w:eastAsia="Arial" w:hAnsi="Arial"/>
          <w:sz w:val="22"/>
          <w:szCs w:val="22"/>
          <w:color w:val="auto"/>
        </w:rPr>
        <w:t>. 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600" w:val="left"/>
        </w:tabs>
        <w:numPr>
          <w:ilvl w:val="2"/>
          <w:numId w:val="72"/>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 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(2)(a) thereof;</w:t>
      </w:r>
    </w:p>
    <w:p>
      <w:pPr>
        <w:spacing w:after="0" w:line="177" w:lineRule="exact"/>
        <w:rPr>
          <w:rFonts w:ascii="Arial" w:cs="Arial" w:eastAsia="Arial" w:hAnsi="Arial"/>
          <w:sz w:val="22"/>
          <w:szCs w:val="22"/>
          <w:color w:val="auto"/>
        </w:rPr>
      </w:pPr>
    </w:p>
    <w:p>
      <w:pPr>
        <w:ind w:firstLine="1953"/>
        <w:spacing w:after="0" w:line="276" w:lineRule="auto"/>
        <w:tabs>
          <w:tab w:leader="none" w:pos="2453" w:val="left"/>
        </w:tabs>
        <w:numPr>
          <w:ilvl w:val="2"/>
          <w:numId w:val="72"/>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QIB in accordance with Rule 144A,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561" w:val="left"/>
        </w:tabs>
        <w:numPr>
          <w:ilvl w:val="2"/>
          <w:numId w:val="72"/>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 Non-U.S. Person in an offshore transaction in accordance with Rule 903 or Rule 904,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654" w:val="left"/>
        </w:tabs>
        <w:numPr>
          <w:ilvl w:val="2"/>
          <w:numId w:val="72"/>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455" w:val="left"/>
        </w:tabs>
        <w:numPr>
          <w:ilvl w:val="2"/>
          <w:numId w:val="72"/>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98" w:name="page99"/>
    <w:bookmarkEnd w:id="98"/>
    <w:p>
      <w:pPr>
        <w:ind w:firstLine="1953"/>
        <w:spacing w:after="0" w:line="276" w:lineRule="auto"/>
        <w:tabs>
          <w:tab w:leader="none" w:pos="241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if such beneficial interest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Issuers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80" w:lineRule="exact"/>
        <w:rPr>
          <w:sz w:val="20"/>
          <w:szCs w:val="20"/>
          <w:color w:val="auto"/>
        </w:rPr>
      </w:pPr>
    </w:p>
    <w:p>
      <w:pPr>
        <w:jc w:val="both"/>
        <w:ind w:left="660" w:firstLine="645"/>
        <w:spacing w:after="0" w:line="290" w:lineRule="auto"/>
        <w:tabs>
          <w:tab w:leader="none" w:pos="1862"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Regulation S Temporary Global Note to Definitive Notes. </w:t>
      </w:r>
      <w:r>
        <w:rPr>
          <w:rFonts w:ascii="Arial" w:cs="Arial" w:eastAsia="Arial" w:hAnsi="Arial"/>
          <w:sz w:val="19"/>
          <w:szCs w:val="19"/>
          <w:color w:val="auto"/>
        </w:rPr>
        <w:t>Notwithstanding Sections</w:t>
      </w:r>
      <w:r>
        <w:rPr>
          <w:rFonts w:ascii="Arial" w:cs="Arial" w:eastAsia="Arial" w:hAnsi="Arial"/>
          <w:sz w:val="19"/>
          <w:szCs w:val="19"/>
          <w:i w:val="1"/>
          <w:iCs w:val="1"/>
          <w:color w:val="auto"/>
        </w:rPr>
        <w:t xml:space="preserve"> </w:t>
      </w:r>
      <w:r>
        <w:rPr>
          <w:rFonts w:ascii="Arial" w:cs="Arial" w:eastAsia="Arial" w:hAnsi="Arial"/>
          <w:sz w:val="19"/>
          <w:szCs w:val="19"/>
          <w:color w:val="auto"/>
        </w:rPr>
        <w:t>2.06(c)(1)(A) and (C) hereof, a beneficial interest in the Regulation S Temporary Global Note may not be exchanged for a Definitive Note or transferred to a Person who takes delivery thereof in the form of a Definitive Note prior to (A) the expiration of the Restricted Period and (B) the receipt by the Registrar of any certificates required pursuant to Rule 903(b)</w:t>
      </w:r>
    </w:p>
    <w:p>
      <w:pPr>
        <w:spacing w:after="0" w:line="1"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(3)(ii)(B) under the Securities Act, except in the case of a transfer pursuant to an exemption from the registration requirements of the Securities Act other than Rule 903 or Rule 904.</w:t>
      </w:r>
    </w:p>
    <w:p>
      <w:pPr>
        <w:spacing w:after="0" w:line="192" w:lineRule="exact"/>
        <w:rPr>
          <w:rFonts w:ascii="Arial" w:cs="Arial" w:eastAsia="Arial" w:hAnsi="Arial"/>
          <w:sz w:val="19"/>
          <w:szCs w:val="19"/>
          <w:color w:val="auto"/>
        </w:rPr>
      </w:pPr>
    </w:p>
    <w:p>
      <w:pPr>
        <w:jc w:val="both"/>
        <w:ind w:left="660" w:firstLine="645"/>
        <w:spacing w:after="0" w:line="254" w:lineRule="auto"/>
        <w:tabs>
          <w:tab w:leader="none" w:pos="174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Beneficial Interests in Restricted Global Notes to Unrestricted Definitive Notes</w:t>
      </w:r>
      <w:r>
        <w:rPr>
          <w:rFonts w:ascii="Arial" w:cs="Arial" w:eastAsia="Arial" w:hAnsi="Arial"/>
          <w:sz w:val="22"/>
          <w:szCs w:val="22"/>
          <w:color w:val="auto"/>
        </w:rPr>
        <w:t>. A holder of a beneficial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5" w:lineRule="exact"/>
        <w:rPr>
          <w:rFonts w:ascii="Arial" w:cs="Arial" w:eastAsia="Arial" w:hAnsi="Arial"/>
          <w:sz w:val="22"/>
          <w:szCs w:val="22"/>
          <w:color w:val="auto"/>
        </w:rPr>
      </w:pPr>
    </w:p>
    <w:p>
      <w:pPr>
        <w:jc w:val="both"/>
        <w:ind w:firstLine="2601"/>
        <w:spacing w:after="0" w:line="260" w:lineRule="auto"/>
        <w:tabs>
          <w:tab w:leader="none" w:pos="3031" w:val="left"/>
        </w:tabs>
        <w:numPr>
          <w:ilvl w:val="1"/>
          <w:numId w:val="74"/>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exchange such beneficial interest for an Unrestricted Definitive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(1)(b) thereof; or</w:t>
      </w:r>
    </w:p>
    <w:p>
      <w:pPr>
        <w:spacing w:after="0" w:line="177" w:lineRule="exact"/>
        <w:rPr>
          <w:rFonts w:ascii="Arial" w:cs="Arial" w:eastAsia="Arial" w:hAnsi="Arial"/>
          <w:sz w:val="22"/>
          <w:szCs w:val="22"/>
          <w:color w:val="auto"/>
        </w:rPr>
      </w:pPr>
    </w:p>
    <w:p>
      <w:pPr>
        <w:jc w:val="both"/>
        <w:ind w:firstLine="2601"/>
        <w:spacing w:after="0" w:line="260" w:lineRule="auto"/>
        <w:tabs>
          <w:tab w:leader="none" w:pos="3118" w:val="left"/>
        </w:tabs>
        <w:numPr>
          <w:ilvl w:val="1"/>
          <w:numId w:val="74"/>
        </w:numPr>
        <w:rPr>
          <w:rFonts w:ascii="Arial" w:cs="Arial" w:eastAsia="Arial" w:hAnsi="Arial"/>
          <w:sz w:val="22"/>
          <w:szCs w:val="22"/>
          <w:color w:val="auto"/>
        </w:rPr>
      </w:pPr>
      <w:r>
        <w:rPr>
          <w:rFonts w:ascii="Arial" w:cs="Arial" w:eastAsia="Arial" w:hAnsi="Arial"/>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31" w:right="239" w:bottom="1440" w:gutter="0" w:footer="0" w:header="0"/>
        </w:sectPr>
      </w:pPr>
    </w:p>
    <w:bookmarkStart w:id="99" w:name="page100"/>
    <w:bookmarkEnd w:id="99"/>
    <w:p>
      <w:pPr>
        <w:jc w:val="both"/>
        <w:ind w:left="660" w:firstLine="645"/>
        <w:spacing w:after="0" w:line="259" w:lineRule="auto"/>
        <w:tabs>
          <w:tab w:leader="none" w:pos="1767" w:val="left"/>
        </w:tabs>
        <w:numPr>
          <w:ilvl w:val="2"/>
          <w:numId w:val="75"/>
        </w:numPr>
        <w:rPr>
          <w:rFonts w:ascii="Arial" w:cs="Arial" w:eastAsia="Arial" w:hAnsi="Arial"/>
          <w:sz w:val="21"/>
          <w:szCs w:val="21"/>
          <w:color w:val="auto"/>
        </w:rPr>
      </w:pPr>
      <w:r>
        <w:rPr>
          <w:rFonts w:ascii="Arial" w:cs="Arial" w:eastAsia="Arial" w:hAnsi="Arial"/>
          <w:sz w:val="21"/>
          <w:szCs w:val="21"/>
          <w:i w:val="1"/>
          <w:iCs w:val="1"/>
          <w:color w:val="auto"/>
        </w:rPr>
        <w:t>Beneficial Interests in Unrestricted Global Notes to Unrestricted Definitive Notes</w:t>
      </w:r>
      <w:r>
        <w:rPr>
          <w:rFonts w:ascii="Arial" w:cs="Arial" w:eastAsia="Arial" w:hAnsi="Arial"/>
          <w:sz w:val="21"/>
          <w:szCs w:val="21"/>
          <w:color w:val="auto"/>
        </w:rPr>
        <w:t>. If any holder of a beneficial</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2.06(h) hereof, and the Issuers shall execute and the Trustee shall authenticate and deliver to the Person designated in the instructions a Definitive Note in the appropriate principal amount. Any Definitive Note issued in exchange for a beneficial interest pursuant to this Section 2.06(c)(4)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2.06(c)(4) shall not bear the Private Placement Legend.</w:t>
      </w:r>
    </w:p>
    <w:p>
      <w:pPr>
        <w:spacing w:after="0" w:line="181" w:lineRule="exact"/>
        <w:rPr>
          <w:rFonts w:ascii="Arial" w:cs="Arial" w:eastAsia="Arial" w:hAnsi="Arial"/>
          <w:sz w:val="21"/>
          <w:szCs w:val="21"/>
          <w:color w:val="auto"/>
        </w:rPr>
      </w:pPr>
    </w:p>
    <w:p>
      <w:pPr>
        <w:ind w:left="1080" w:hanging="424"/>
        <w:spacing w:after="0"/>
        <w:tabs>
          <w:tab w:leader="none" w:pos="1080" w:val="left"/>
        </w:tabs>
        <w:numPr>
          <w:ilvl w:val="1"/>
          <w:numId w:val="76"/>
        </w:numPr>
        <w:rPr>
          <w:rFonts w:ascii="Arial" w:cs="Arial" w:eastAsia="Arial" w:hAnsi="Arial"/>
          <w:sz w:val="22"/>
          <w:szCs w:val="22"/>
          <w:color w:val="auto"/>
        </w:rPr>
      </w:pPr>
      <w:r>
        <w:rPr>
          <w:rFonts w:ascii="Arial" w:cs="Arial" w:eastAsia="Arial" w:hAnsi="Arial"/>
          <w:sz w:val="22"/>
          <w:szCs w:val="22"/>
          <w:i w:val="1"/>
          <w:iCs w:val="1"/>
          <w:color w:val="auto"/>
        </w:rPr>
        <w:t>Transfer and Exchange of Definitive Notes for Beneficial Interests.</w:t>
      </w:r>
    </w:p>
    <w:p>
      <w:pPr>
        <w:spacing w:after="0" w:line="233" w:lineRule="exact"/>
        <w:rPr>
          <w:rFonts w:ascii="Arial" w:cs="Arial" w:eastAsia="Arial" w:hAnsi="Arial"/>
          <w:sz w:val="22"/>
          <w:szCs w:val="22"/>
          <w:color w:val="auto"/>
        </w:rPr>
      </w:pPr>
    </w:p>
    <w:p>
      <w:pPr>
        <w:jc w:val="both"/>
        <w:ind w:left="660" w:firstLine="645"/>
        <w:spacing w:after="0" w:line="254" w:lineRule="auto"/>
        <w:tabs>
          <w:tab w:leader="none" w:pos="1835" w:val="left"/>
        </w:tabs>
        <w:numPr>
          <w:ilvl w:val="2"/>
          <w:numId w:val="76"/>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Restricted Global Notes. </w:t>
      </w:r>
      <w:r>
        <w:rPr>
          <w:rFonts w:ascii="Arial" w:cs="Arial" w:eastAsia="Arial" w:hAnsi="Arial"/>
          <w:sz w:val="22"/>
          <w:szCs w:val="22"/>
          <w:color w:val="auto"/>
        </w:rPr>
        <w:t>If any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560" w:val="left"/>
        </w:tabs>
        <w:numPr>
          <w:ilvl w:val="3"/>
          <w:numId w:val="76"/>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 proposes to exchange such Note for a beneficial interest in a 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(2)(b) thereof;</w:t>
      </w:r>
    </w:p>
    <w:p>
      <w:pPr>
        <w:spacing w:after="0" w:line="177" w:lineRule="exact"/>
        <w:rPr>
          <w:rFonts w:ascii="Arial" w:cs="Arial" w:eastAsia="Arial" w:hAnsi="Arial"/>
          <w:sz w:val="22"/>
          <w:szCs w:val="22"/>
          <w:color w:val="auto"/>
        </w:rPr>
      </w:pPr>
    </w:p>
    <w:p>
      <w:pPr>
        <w:ind w:firstLine="1953"/>
        <w:spacing w:after="0" w:line="276" w:lineRule="auto"/>
        <w:tabs>
          <w:tab w:leader="none" w:pos="2548" w:val="left"/>
        </w:tabs>
        <w:numPr>
          <w:ilvl w:val="3"/>
          <w:numId w:val="76"/>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 QIB in accordance with Rule 144A,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jc w:val="both"/>
        <w:ind w:firstLine="1953"/>
        <w:spacing w:after="0" w:line="299" w:lineRule="auto"/>
        <w:tabs>
          <w:tab w:leader="none" w:pos="2453" w:val="left"/>
        </w:tabs>
        <w:numPr>
          <w:ilvl w:val="3"/>
          <w:numId w:val="76"/>
        </w:numPr>
        <w:rPr>
          <w:rFonts w:ascii="Arial" w:cs="Arial" w:eastAsia="Arial" w:hAnsi="Arial"/>
          <w:sz w:val="19"/>
          <w:szCs w:val="19"/>
          <w:color w:val="auto"/>
        </w:rPr>
      </w:pPr>
      <w:r>
        <w:rPr>
          <w:rFonts w:ascii="Arial" w:cs="Arial" w:eastAsia="Arial" w:hAnsi="Arial"/>
          <w:sz w:val="19"/>
          <w:szCs w:val="19"/>
          <w:color w:val="auto"/>
        </w:rPr>
        <w:t xml:space="preserve">if such Restricted Definitive Note is being transferred to a Non-U.S. Person in an offshore transaction in accordance with Rule 903 or Rule 904, a certificate to the effect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including the certifications in item</w:t>
      </w:r>
    </w:p>
    <w:p>
      <w:pPr>
        <w:ind w:left="320" w:hanging="312"/>
        <w:spacing w:after="0"/>
        <w:tabs>
          <w:tab w:leader="none" w:pos="3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thereof;</w:t>
      </w:r>
    </w:p>
    <w:p>
      <w:pPr>
        <w:spacing w:after="0" w:line="201" w:lineRule="exact"/>
        <w:rPr>
          <w:rFonts w:ascii="Arial" w:cs="Arial" w:eastAsia="Arial" w:hAnsi="Arial"/>
          <w:sz w:val="22"/>
          <w:szCs w:val="22"/>
          <w:color w:val="auto"/>
        </w:rPr>
      </w:pPr>
    </w:p>
    <w:p>
      <w:pPr>
        <w:jc w:val="both"/>
        <w:ind w:firstLine="1953"/>
        <w:spacing w:after="0" w:line="260" w:lineRule="auto"/>
        <w:tabs>
          <w:tab w:leader="none" w:pos="2479" w:val="left"/>
        </w:tabs>
        <w:numPr>
          <w:ilvl w:val="3"/>
          <w:numId w:val="77"/>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pursuant to an exemption from the registration requirements of the Securities Act in accordance with Rule 144,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(3)(a) thereof;</w:t>
      </w:r>
    </w:p>
    <w:p>
      <w:pPr>
        <w:spacing w:after="0" w:line="177" w:lineRule="exact"/>
        <w:rPr>
          <w:rFonts w:ascii="Arial" w:cs="Arial" w:eastAsia="Arial" w:hAnsi="Arial"/>
          <w:sz w:val="22"/>
          <w:szCs w:val="22"/>
          <w:color w:val="auto"/>
        </w:rPr>
      </w:pPr>
    </w:p>
    <w:p>
      <w:pPr>
        <w:jc w:val="both"/>
        <w:ind w:firstLine="1953"/>
        <w:spacing w:after="0" w:line="254" w:lineRule="auto"/>
        <w:tabs>
          <w:tab w:leader="none" w:pos="2414" w:val="left"/>
        </w:tabs>
        <w:numPr>
          <w:ilvl w:val="3"/>
          <w:numId w:val="77"/>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100" w:name="page101"/>
    <w:bookmarkEnd w:id="100"/>
    <w:p>
      <w:pPr>
        <w:ind w:right="20" w:firstLine="1953"/>
        <w:spacing w:after="0" w:line="276" w:lineRule="auto"/>
        <w:tabs>
          <w:tab w:leader="none" w:pos="2497"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if such Restricted Definitive Note is being transferred to the Issuers or any of their Subsidiaries, a certificate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(3)(b) thereof,</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Trustee shall cancel the Restricted Definitive Note, increase or cause to be increased the aggregate principal amount of, in the case of clause (A) above, the appropriate Restricted Global Note, in the case of clause (B) above, the 144A Global Note, in the case of clause (C) above, the Regulation S Global Note.</w:t>
      </w:r>
    </w:p>
    <w:p>
      <w:pPr>
        <w:spacing w:after="0" w:line="186" w:lineRule="exact"/>
        <w:rPr>
          <w:sz w:val="20"/>
          <w:szCs w:val="20"/>
          <w:color w:val="auto"/>
        </w:rPr>
      </w:pPr>
    </w:p>
    <w:p>
      <w:pPr>
        <w:jc w:val="both"/>
        <w:ind w:left="660" w:firstLine="645"/>
        <w:spacing w:after="0" w:line="254" w:lineRule="auto"/>
        <w:tabs>
          <w:tab w:leader="none" w:pos="1875" w:val="left"/>
        </w:tabs>
        <w:numPr>
          <w:ilvl w:val="0"/>
          <w:numId w:val="79"/>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5" w:lineRule="exact"/>
        <w:rPr>
          <w:rFonts w:ascii="Arial" w:cs="Arial" w:eastAsia="Arial" w:hAnsi="Arial"/>
          <w:sz w:val="22"/>
          <w:szCs w:val="22"/>
          <w:color w:val="auto"/>
        </w:rPr>
      </w:pPr>
    </w:p>
    <w:p>
      <w:pPr>
        <w:jc w:val="both"/>
        <w:ind w:firstLine="1953"/>
        <w:spacing w:after="0" w:line="260" w:lineRule="auto"/>
        <w:tabs>
          <w:tab w:leader="none" w:pos="2452"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exchange such Notes for a beneficial interest in the Unrestricted Global Note, a certificate from such Holder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including the certifications in item (1)(c) thereof; or</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534" w:val="left"/>
        </w:tabs>
        <w:numPr>
          <w:ilvl w:val="1"/>
          <w:numId w:val="79"/>
        </w:numPr>
        <w:rPr>
          <w:rFonts w:ascii="Arial" w:cs="Arial" w:eastAsia="Arial" w:hAnsi="Arial"/>
          <w:sz w:val="22"/>
          <w:szCs w:val="22"/>
          <w:color w:val="auto"/>
        </w:rPr>
      </w:pPr>
      <w:r>
        <w:rPr>
          <w:rFonts w:ascii="Arial" w:cs="Arial" w:eastAsia="Arial" w:hAnsi="Arial"/>
          <w:sz w:val="22"/>
          <w:szCs w:val="22"/>
          <w:color w:val="auto"/>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6"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105" w:lineRule="exact"/>
        <w:rPr>
          <w:sz w:val="20"/>
          <w:szCs w:val="20"/>
          <w:color w:val="auto"/>
        </w:rPr>
      </w:pPr>
    </w:p>
    <w:p>
      <w:pPr>
        <w:jc w:val="both"/>
        <w:ind w:left="660" w:firstLine="645"/>
        <w:spacing w:after="0" w:line="300" w:lineRule="auto"/>
        <w:tabs>
          <w:tab w:leader="none" w:pos="1754"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any such exchange or transfer from a Definitive Note to a beneficial interest is effected pursuant to subparagraphs</w:t>
      </w:r>
    </w:p>
    <w:p>
      <w:pPr>
        <w:spacing w:after="0" w:line="56" w:lineRule="exact"/>
        <w:rPr>
          <w:sz w:val="20"/>
          <w:szCs w:val="20"/>
          <w:color w:val="auto"/>
        </w:rPr>
      </w:pPr>
    </w:p>
    <w:p>
      <w:pPr>
        <w:ind w:left="660" w:hanging="4"/>
        <w:spacing w:after="0" w:line="323" w:lineRule="auto"/>
        <w:tabs>
          <w:tab w:leader="none" w:pos="967" w:val="left"/>
        </w:tabs>
        <w:numPr>
          <w:ilvl w:val="0"/>
          <w:numId w:val="81"/>
        </w:numPr>
        <w:rPr>
          <w:rFonts w:ascii="Arial" w:cs="Arial" w:eastAsia="Arial" w:hAnsi="Arial"/>
          <w:sz w:val="19"/>
          <w:szCs w:val="19"/>
          <w:color w:val="auto"/>
        </w:rPr>
      </w:pPr>
      <w:r>
        <w:rPr>
          <w:rFonts w:ascii="Arial" w:cs="Arial" w:eastAsia="Arial" w:hAnsi="Arial"/>
          <w:sz w:val="19"/>
          <w:szCs w:val="19"/>
          <w:color w:val="auto"/>
        </w:rPr>
        <w:t>or (3) above at a time when an Unrestricted Global Note has not yet been issued, the Issuers shall issue and, upon receipt of an Authentication Order in accordance with Section 2.02 hereof, the Trustee shall authenticate one or more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101" w:name="page102"/>
    <w:bookmarkEnd w:id="101"/>
    <w:p>
      <w:pPr>
        <w:ind w:left="660"/>
        <w:spacing w:after="0" w:line="263" w:lineRule="auto"/>
        <w:rPr>
          <w:sz w:val="20"/>
          <w:szCs w:val="20"/>
          <w:color w:val="auto"/>
        </w:rPr>
      </w:pPr>
      <w:r>
        <w:rPr>
          <w:rFonts w:ascii="Arial" w:cs="Arial" w:eastAsia="Arial" w:hAnsi="Arial"/>
          <w:sz w:val="22"/>
          <w:szCs w:val="22"/>
          <w:color w:val="auto"/>
        </w:rPr>
        <w:t>Unrestricted Global Notes in an aggregate principal amount equal to the principal amount of Definitive Notes so transferred.</w:t>
      </w:r>
    </w:p>
    <w:p>
      <w:pPr>
        <w:spacing w:after="0" w:line="175" w:lineRule="exact"/>
        <w:rPr>
          <w:sz w:val="20"/>
          <w:szCs w:val="20"/>
          <w:color w:val="auto"/>
        </w:rPr>
      </w:pPr>
    </w:p>
    <w:p>
      <w:pPr>
        <w:jc w:val="both"/>
        <w:ind w:firstLine="656"/>
        <w:spacing w:after="0" w:line="248" w:lineRule="auto"/>
        <w:tabs>
          <w:tab w:leader="none" w:pos="1068"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 such</w:t>
      </w:r>
      <w:r>
        <w:rPr>
          <w:rFonts w:ascii="Arial" w:cs="Arial" w:eastAsia="Arial" w:hAnsi="Arial"/>
          <w:sz w:val="22"/>
          <w:szCs w:val="22"/>
          <w:i w:val="1"/>
          <w:iCs w:val="1"/>
          <w:color w:val="auto"/>
        </w:rPr>
        <w:t xml:space="preserve"> </w:t>
      </w:r>
      <w:r>
        <w:rPr>
          <w:rFonts w:ascii="Arial" w:cs="Arial" w:eastAsia="Arial" w:hAnsi="Arial"/>
          <w:sz w:val="22"/>
          <w:szCs w:val="22"/>
          <w:color w:val="auto"/>
        </w:rPr>
        <w:t>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5" w:lineRule="exact"/>
        <w:rPr>
          <w:rFonts w:ascii="Arial" w:cs="Arial" w:eastAsia="Arial" w:hAnsi="Arial"/>
          <w:sz w:val="22"/>
          <w:szCs w:val="22"/>
          <w:color w:val="auto"/>
        </w:rPr>
      </w:pPr>
    </w:p>
    <w:p>
      <w:pPr>
        <w:jc w:val="both"/>
        <w:ind w:left="660" w:firstLine="645"/>
        <w:spacing w:after="0" w:line="260" w:lineRule="auto"/>
        <w:tabs>
          <w:tab w:leader="none" w:pos="1740" w:val="left"/>
        </w:tabs>
        <w:numPr>
          <w:ilvl w:val="1"/>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 transferred to</w:t>
      </w:r>
      <w:r>
        <w:rPr>
          <w:rFonts w:ascii="Arial" w:cs="Arial" w:eastAsia="Arial" w:hAnsi="Arial"/>
          <w:sz w:val="22"/>
          <w:szCs w:val="22"/>
          <w:i w:val="1"/>
          <w:iCs w:val="1"/>
          <w:color w:val="auto"/>
        </w:rPr>
        <w:t xml:space="preserve"> </w:t>
      </w:r>
      <w:r>
        <w:rPr>
          <w:rFonts w:ascii="Arial" w:cs="Arial" w:eastAsia="Arial" w:hAnsi="Arial"/>
          <w:sz w:val="22"/>
          <w:szCs w:val="22"/>
          <w:color w:val="auto"/>
        </w:rPr>
        <w:t>and registered in the name of Persons who take delivery thereof in the form of a Restricted Definitive Note if the Registrar receives the following:</w:t>
      </w:r>
    </w:p>
    <w:p>
      <w:pPr>
        <w:spacing w:after="0" w:line="177" w:lineRule="exact"/>
        <w:rPr>
          <w:rFonts w:ascii="Arial" w:cs="Arial" w:eastAsia="Arial" w:hAnsi="Arial"/>
          <w:sz w:val="22"/>
          <w:szCs w:val="22"/>
          <w:color w:val="auto"/>
        </w:rPr>
      </w:pPr>
    </w:p>
    <w:p>
      <w:pPr>
        <w:ind w:firstLine="1953"/>
        <w:spacing w:after="0" w:line="276" w:lineRule="auto"/>
        <w:tabs>
          <w:tab w:leader="none" w:pos="2438" w:val="left"/>
        </w:tabs>
        <w:numPr>
          <w:ilvl w:val="2"/>
          <w:numId w:val="82"/>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144A,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(1) thereof;</w:t>
      </w:r>
    </w:p>
    <w:p>
      <w:pPr>
        <w:spacing w:after="0" w:line="160" w:lineRule="exact"/>
        <w:rPr>
          <w:rFonts w:ascii="Arial" w:cs="Arial" w:eastAsia="Arial" w:hAnsi="Arial"/>
          <w:sz w:val="22"/>
          <w:szCs w:val="22"/>
          <w:color w:val="auto"/>
        </w:rPr>
      </w:pPr>
    </w:p>
    <w:p>
      <w:pPr>
        <w:ind w:right="20" w:firstLine="1953"/>
        <w:spacing w:after="0" w:line="276" w:lineRule="auto"/>
        <w:tabs>
          <w:tab w:leader="none" w:pos="2534" w:val="left"/>
        </w:tabs>
        <w:numPr>
          <w:ilvl w:val="2"/>
          <w:numId w:val="82"/>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Rule 903 or Rule 904,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(2) thereof; and</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440" w:val="left"/>
        </w:tabs>
        <w:numPr>
          <w:ilvl w:val="2"/>
          <w:numId w:val="82"/>
        </w:numPr>
        <w:rPr>
          <w:rFonts w:ascii="Arial" w:cs="Arial" w:eastAsia="Arial" w:hAnsi="Arial"/>
          <w:sz w:val="22"/>
          <w:szCs w:val="22"/>
          <w:color w:val="auto"/>
        </w:rPr>
      </w:pPr>
      <w:r>
        <w:rPr>
          <w:rFonts w:ascii="Arial" w:cs="Arial" w:eastAsia="Arial" w:hAnsi="Arial"/>
          <w:sz w:val="22"/>
          <w:szCs w:val="22"/>
          <w:color w:val="auto"/>
        </w:rPr>
        <w:t xml:space="preserve">if the transfer shall be made pursuant to any other exemption from the registration requirements of the Securities Act, then the transferor must deliver a certificate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certificates and Opinion of Counsel required by item (3) thereof, if applicable.</w:t>
      </w:r>
    </w:p>
    <w:p>
      <w:pPr>
        <w:spacing w:after="0" w:line="177" w:lineRule="exact"/>
        <w:rPr>
          <w:rFonts w:ascii="Arial" w:cs="Arial" w:eastAsia="Arial" w:hAnsi="Arial"/>
          <w:sz w:val="22"/>
          <w:szCs w:val="22"/>
          <w:color w:val="auto"/>
        </w:rPr>
      </w:pPr>
    </w:p>
    <w:p>
      <w:pPr>
        <w:jc w:val="both"/>
        <w:ind w:left="660" w:firstLine="645"/>
        <w:spacing w:after="0" w:line="260" w:lineRule="auto"/>
        <w:tabs>
          <w:tab w:leader="none" w:pos="1754" w:val="left"/>
        </w:tabs>
        <w:numPr>
          <w:ilvl w:val="1"/>
          <w:numId w:val="82"/>
        </w:numPr>
        <w:rPr>
          <w:rFonts w:ascii="Arial" w:cs="Arial" w:eastAsia="Arial" w:hAnsi="Arial"/>
          <w:sz w:val="22"/>
          <w:szCs w:val="22"/>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 exchanged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Holder thereof for an Unrestricted Definitive Note or transferred to a Person or Persons who take delivery thereof in the form of an Unrestricted Definitive Note if the Registrar receives the following:</w:t>
      </w:r>
    </w:p>
    <w:p>
      <w:pPr>
        <w:spacing w:after="0" w:line="177" w:lineRule="exact"/>
        <w:rPr>
          <w:rFonts w:ascii="Arial" w:cs="Arial" w:eastAsia="Arial" w:hAnsi="Arial"/>
          <w:sz w:val="22"/>
          <w:szCs w:val="22"/>
          <w:color w:val="auto"/>
        </w:rPr>
      </w:pPr>
    </w:p>
    <w:p>
      <w:pPr>
        <w:jc w:val="both"/>
        <w:ind w:right="20" w:firstLine="1953"/>
        <w:spacing w:after="0" w:line="358" w:lineRule="auto"/>
        <w:tabs>
          <w:tab w:leader="none" w:pos="2452" w:val="left"/>
        </w:tabs>
        <w:numPr>
          <w:ilvl w:val="2"/>
          <w:numId w:val="82"/>
        </w:numPr>
        <w:rPr>
          <w:rFonts w:ascii="Arial" w:cs="Arial" w:eastAsia="Arial" w:hAnsi="Arial"/>
          <w:sz w:val="19"/>
          <w:szCs w:val="19"/>
          <w:color w:val="auto"/>
        </w:rPr>
      </w:pPr>
      <w:r>
        <w:rPr>
          <w:rFonts w:ascii="Arial" w:cs="Arial" w:eastAsia="Arial" w:hAnsi="Arial"/>
          <w:sz w:val="19"/>
          <w:szCs w:val="19"/>
          <w:color w:val="auto"/>
        </w:rPr>
        <w:t xml:space="preserve">if the Holder of such Restricted Definitive Notes proposes to exchange such Notes for an Unrestricted Definitive Note, a certificate from such Holder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including the certifications in item (1)(d) thereof; or</w:t>
      </w:r>
    </w:p>
    <w:p>
      <w:pPr>
        <w:spacing w:after="0" w:line="90" w:lineRule="exact"/>
        <w:rPr>
          <w:rFonts w:ascii="Arial" w:cs="Arial" w:eastAsia="Arial" w:hAnsi="Arial"/>
          <w:sz w:val="19"/>
          <w:szCs w:val="19"/>
          <w:color w:val="auto"/>
        </w:rPr>
      </w:pPr>
    </w:p>
    <w:p>
      <w:pPr>
        <w:jc w:val="both"/>
        <w:ind w:firstLine="1953"/>
        <w:spacing w:after="0" w:line="260" w:lineRule="auto"/>
        <w:tabs>
          <w:tab w:leader="none" w:pos="2426" w:val="left"/>
        </w:tabs>
        <w:numPr>
          <w:ilvl w:val="2"/>
          <w:numId w:val="82"/>
        </w:numPr>
        <w:rPr>
          <w:rFonts w:ascii="Arial" w:cs="Arial" w:eastAsia="Arial" w:hAnsi="Arial"/>
          <w:sz w:val="22"/>
          <w:szCs w:val="22"/>
          <w:color w:val="auto"/>
        </w:rPr>
      </w:pPr>
      <w:r>
        <w:rPr>
          <w:rFonts w:ascii="Arial" w:cs="Arial" w:eastAsia="Arial" w:hAnsi="Arial"/>
          <w:sz w:val="22"/>
          <w:szCs w:val="22"/>
          <w:color w:val="auto"/>
        </w:rPr>
        <w:t xml:space="preserve">if the Holder of such Restricted Definitive Notes proposes to transfer such Notes to a Person who shall take delivery thereof in the form of an Unrestricted Definitive Note, a certificate from such Holder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including the certifications in item (4) thereof;</w:t>
      </w:r>
    </w:p>
    <w:p>
      <w:pPr>
        <w:spacing w:after="0" w:line="177"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and if the Registrar so requests, an Opinion of Counsel in form reasonably acceptable to the Registrar to the effect that such exchange or transfer is in compliance with the Securities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102" w:name="page103"/>
    <w:bookmarkEnd w:id="102"/>
    <w:p>
      <w:pPr>
        <w:ind w:left="660" w:right="20"/>
        <w:spacing w:after="0" w:line="263" w:lineRule="auto"/>
        <w:rPr>
          <w:sz w:val="20"/>
          <w:szCs w:val="20"/>
          <w:color w:val="auto"/>
        </w:rPr>
      </w:pPr>
      <w:r>
        <w:rPr>
          <w:rFonts w:ascii="Arial" w:cs="Arial" w:eastAsia="Arial" w:hAnsi="Arial"/>
          <w:sz w:val="22"/>
          <w:szCs w:val="22"/>
          <w:color w:val="auto"/>
        </w:rPr>
        <w:t>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left="660" w:firstLine="645"/>
        <w:spacing w:after="0" w:line="254" w:lineRule="auto"/>
        <w:tabs>
          <w:tab w:leader="none" w:pos="1767" w:val="left"/>
        </w:tabs>
        <w:numPr>
          <w:ilvl w:val="1"/>
          <w:numId w:val="83"/>
        </w:numPr>
        <w:rPr>
          <w:rFonts w:ascii="Arial" w:cs="Arial" w:eastAsia="Arial" w:hAnsi="Arial"/>
          <w:sz w:val="22"/>
          <w:szCs w:val="22"/>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 may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5" w:lineRule="exact"/>
        <w:rPr>
          <w:rFonts w:ascii="Arial" w:cs="Arial" w:eastAsia="Arial" w:hAnsi="Arial"/>
          <w:sz w:val="22"/>
          <w:szCs w:val="22"/>
          <w:color w:val="auto"/>
        </w:rPr>
      </w:pPr>
    </w:p>
    <w:p>
      <w:pPr>
        <w:ind w:firstLine="656"/>
        <w:spacing w:after="0" w:line="276" w:lineRule="auto"/>
        <w:tabs>
          <w:tab w:leader="none" w:pos="1112" w:val="left"/>
        </w:tabs>
        <w:numPr>
          <w:ilvl w:val="0"/>
          <w:numId w:val="84"/>
        </w:numPr>
        <w:rPr>
          <w:rFonts w:ascii="Arial" w:cs="Arial" w:eastAsia="Arial" w:hAnsi="Arial"/>
          <w:sz w:val="22"/>
          <w:szCs w:val="22"/>
          <w:color w:val="auto"/>
        </w:rPr>
      </w:pPr>
      <w:r>
        <w:rPr>
          <w:rFonts w:ascii="Arial" w:cs="Arial" w:eastAsia="Arial" w:hAnsi="Arial"/>
          <w:sz w:val="22"/>
          <w:szCs w:val="22"/>
          <w:i w:val="1"/>
          <w:iCs w:val="1"/>
          <w:color w:val="auto"/>
        </w:rPr>
        <w:t>Legends</w:t>
      </w:r>
      <w:r>
        <w:rPr>
          <w:rFonts w:ascii="Arial" w:cs="Arial" w:eastAsia="Arial" w:hAnsi="Arial"/>
          <w:sz w:val="22"/>
          <w:szCs w:val="22"/>
          <w:color w:val="auto"/>
        </w:rPr>
        <w:t>. 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84"/>
        </w:numPr>
        <w:rPr>
          <w:rFonts w:ascii="Arial" w:cs="Arial" w:eastAsia="Arial" w:hAnsi="Arial"/>
          <w:sz w:val="22"/>
          <w:szCs w:val="22"/>
          <w:color w:val="auto"/>
        </w:rPr>
      </w:pPr>
      <w:r>
        <w:rPr>
          <w:rFonts w:ascii="Arial" w:cs="Arial" w:eastAsia="Arial" w:hAnsi="Arial"/>
          <w:sz w:val="22"/>
          <w:szCs w:val="22"/>
          <w:i w:val="1"/>
          <w:iCs w:val="1"/>
          <w:color w:val="auto"/>
        </w:rPr>
        <w:t>Private Placement Legend.</w:t>
      </w:r>
    </w:p>
    <w:p>
      <w:pPr>
        <w:spacing w:after="0" w:line="233" w:lineRule="exact"/>
        <w:rPr>
          <w:rFonts w:ascii="Arial" w:cs="Arial" w:eastAsia="Arial" w:hAnsi="Arial"/>
          <w:sz w:val="22"/>
          <w:szCs w:val="22"/>
          <w:color w:val="auto"/>
        </w:rPr>
      </w:pPr>
    </w:p>
    <w:p>
      <w:pPr>
        <w:ind w:firstLine="1953"/>
        <w:spacing w:after="0" w:line="301" w:lineRule="auto"/>
        <w:tabs>
          <w:tab w:leader="none" w:pos="2492" w:val="left"/>
        </w:tabs>
        <w:numPr>
          <w:ilvl w:val="2"/>
          <w:numId w:val="84"/>
        </w:numPr>
        <w:rPr>
          <w:rFonts w:ascii="Arial" w:cs="Arial" w:eastAsia="Arial" w:hAnsi="Arial"/>
          <w:sz w:val="21"/>
          <w:szCs w:val="21"/>
          <w:color w:val="auto"/>
        </w:rPr>
      </w:pPr>
      <w:r>
        <w:rPr>
          <w:rFonts w:ascii="Arial" w:cs="Arial" w:eastAsia="Arial" w:hAnsi="Arial"/>
          <w:sz w:val="21"/>
          <w:szCs w:val="21"/>
          <w:color w:val="auto"/>
        </w:rPr>
        <w:t>Except as permitted by subparagraph (B) below, each Global Note and each Definitive Note (and all Notes issued in exchange therefor or substitution thereof) shall bear the legend in substantially the following form:</w:t>
      </w:r>
    </w:p>
    <w:p>
      <w:pPr>
        <w:spacing w:after="0" w:line="110" w:lineRule="exact"/>
        <w:rPr>
          <w:sz w:val="20"/>
          <w:szCs w:val="20"/>
          <w:color w:val="auto"/>
        </w:rPr>
      </w:pPr>
    </w:p>
    <w:p>
      <w:pPr>
        <w:jc w:val="both"/>
        <w:spacing w:after="0" w:line="217" w:lineRule="auto"/>
        <w:rPr>
          <w:sz w:val="20"/>
          <w:szCs w:val="20"/>
          <w:color w:val="auto"/>
        </w:rPr>
      </w:pPr>
      <w:r>
        <w:rPr>
          <w:rFonts w:ascii="Arial" w:cs="Arial" w:eastAsia="Arial" w:hAnsi="Arial"/>
          <w:sz w:val="21"/>
          <w:szCs w:val="21"/>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(B) IT IS NOT A U.S. PERSON, IS NOT ACQUIRING THIS NOTE FOR THE ACCOUNT OR BENEFIT OF A U.S. PERSON AND IS ACQUIRING THIS NOTE IN AN OFFSHORE TRANSACTION IN COMPLIANCE WITH REGULATION S UNDER THE SECURITIES ACT OR (C) IT IS AN INSTITUTIONAL “ACCREDITED INVESTOR” (AS DEFINED IN RULE 501(A)(1), (2), (3) OR (7) OF REGULATION D UNDER THE SECURITIES ACT) (AN “IAI”), (2) AGREES THAT IT WILL NOT, PRIOR TO THE DATE [IN THE CASE OF RULE 144A NOTES: ON WHICH WYNN RESORTS FINANCE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WYNN RESORTS FINANCE OR ANY AFFILIATE OF WYNN RESORTS FINANCE WAS THE OWNER OF THIS NOTE (OR ANY PREDECESSOR OF SUCH NOTE)] RESELL OR OTHERWISE TRANSFER THIS NOTE EXCEPT (A) TO WYNN RESORTS FINANCE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 (D) PURSUANT TO THE EXEMPTION FROM REGISTRATION PROVIDED BY RULE 144 UNDER THE SECURITIES ACT (IF AVAILABLE), (E) TO AN IAI THAT, PRIOR TO SUCH TRANSFER, FURNISHES TO THE TRUSTEE A SIGNED LETTER CONTAINING CERTAIN REPRESENTATIONS AND AGREEMENTS RELATING TO THE REGISTRATION OF TRANSFER OF THIS NOTE (THE FORM OF WHICH LETTER CAN BE OBTAINED FROM THE TRUSTEE) AND AN OPINION OF COUNSEL ACCEPTABLE TO WYNN RESORTS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103" w:name="page104"/>
    <w:bookmarkEnd w:id="103"/>
    <w:p>
      <w:pPr>
        <w:jc w:val="both"/>
        <w:spacing w:after="0" w:line="220" w:lineRule="auto"/>
        <w:rPr>
          <w:sz w:val="20"/>
          <w:szCs w:val="20"/>
          <w:color w:val="auto"/>
        </w:rPr>
      </w:pPr>
      <w:r>
        <w:rPr>
          <w:rFonts w:ascii="Arial" w:cs="Arial" w:eastAsia="Arial" w:hAnsi="Arial"/>
          <w:sz w:val="21"/>
          <w:szCs w:val="21"/>
          <w:color w:val="auto"/>
        </w:rPr>
        <w:t>FINANCE THAT SUCH TRANSFER IS IN COMPLIANCE WITH THE SECURITIES ACT OR (F) PURSUANT TO AN EFFECTIVE REGISTRATION STATEMENT UNDER THE SECURITIES ACT AND, IN EACH CASE, IN ACCORDANCE WITH APPLICABLE STATE SECURITIES LAWS, AND (3)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158" w:lineRule="exact"/>
        <w:rPr>
          <w:sz w:val="20"/>
          <w:szCs w:val="20"/>
          <w:color w:val="auto"/>
        </w:rPr>
      </w:pPr>
    </w:p>
    <w:p>
      <w:pPr>
        <w:jc w:val="both"/>
        <w:ind w:firstLine="1953"/>
        <w:spacing w:after="0" w:line="227" w:lineRule="auto"/>
        <w:tabs>
          <w:tab w:leader="none" w:pos="2467" w:val="left"/>
        </w:tabs>
        <w:numPr>
          <w:ilvl w:val="1"/>
          <w:numId w:val="85"/>
        </w:numPr>
        <w:rPr>
          <w:rFonts w:ascii="Arial" w:cs="Arial" w:eastAsia="Arial" w:hAnsi="Arial"/>
          <w:sz w:val="22"/>
          <w:szCs w:val="22"/>
          <w:color w:val="auto"/>
        </w:rPr>
      </w:pPr>
      <w:r>
        <w:rPr>
          <w:rFonts w:ascii="Arial" w:cs="Arial" w:eastAsia="Arial" w:hAnsi="Arial"/>
          <w:sz w:val="22"/>
          <w:szCs w:val="22"/>
          <w:color w:val="auto"/>
        </w:rPr>
        <w:t>Notwithstanding the foregoing, any Global Note or Definitive Note issued pursuant to subparagraphs (b)(4), (c)(3), (c)(4), (d)(2), (d)(3), (e)(2) or (e)(3) of this Section 2.06 (and all Notes issued in exchange therefor or substitution thereof) shall not bear the Private Placement Legend.</w:t>
      </w:r>
    </w:p>
    <w:p>
      <w:pPr>
        <w:spacing w:after="0" w:line="187" w:lineRule="exact"/>
        <w:rPr>
          <w:rFonts w:ascii="Arial" w:cs="Arial" w:eastAsia="Arial" w:hAnsi="Arial"/>
          <w:sz w:val="22"/>
          <w:szCs w:val="22"/>
          <w:color w:val="auto"/>
        </w:rPr>
      </w:pPr>
    </w:p>
    <w:p>
      <w:pPr>
        <w:ind w:left="1740" w:hanging="435"/>
        <w:spacing w:after="0"/>
        <w:tabs>
          <w:tab w:leader="none" w:pos="1740" w:val="left"/>
        </w:tabs>
        <w:numPr>
          <w:ilvl w:val="0"/>
          <w:numId w:val="86"/>
        </w:numPr>
        <w:rPr>
          <w:rFonts w:ascii="Arial" w:cs="Arial" w:eastAsia="Arial" w:hAnsi="Arial"/>
          <w:sz w:val="22"/>
          <w:szCs w:val="22"/>
          <w:color w:val="auto"/>
        </w:rPr>
      </w:pPr>
      <w:r>
        <w:rPr>
          <w:rFonts w:ascii="Arial" w:cs="Arial" w:eastAsia="Arial" w:hAnsi="Arial"/>
          <w:sz w:val="22"/>
          <w:szCs w:val="22"/>
          <w:i w:val="1"/>
          <w:iCs w:val="1"/>
          <w:color w:val="auto"/>
        </w:rPr>
        <w:t xml:space="preserve">Global Note Legend. </w:t>
      </w:r>
      <w:r>
        <w:rPr>
          <w:rFonts w:ascii="Arial" w:cs="Arial" w:eastAsia="Arial" w:hAnsi="Arial"/>
          <w:sz w:val="22"/>
          <w:szCs w:val="22"/>
          <w:color w:val="auto"/>
        </w:rPr>
        <w:t>Each Global Note shall bear a legend in substantially the following form:</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04" w:right="239" w:bottom="1440" w:gutter="0" w:footer="0" w:header="0"/>
        </w:sectPr>
      </w:pPr>
    </w:p>
    <w:bookmarkStart w:id="104" w:name="page105"/>
    <w:bookmarkEnd w:id="104"/>
    <w:p>
      <w:pPr>
        <w:ind w:right="20"/>
        <w:spacing w:after="0" w:line="263" w:lineRule="auto"/>
        <w:rPr>
          <w:sz w:val="20"/>
          <w:szCs w:val="20"/>
          <w:color w:val="auto"/>
        </w:rPr>
      </w:pPr>
      <w:r>
        <w:rPr>
          <w:rFonts w:ascii="Arial" w:cs="Arial" w:eastAsia="Arial" w:hAnsi="Arial"/>
          <w:sz w:val="22"/>
          <w:szCs w:val="22"/>
          <w:color w:val="auto"/>
        </w:rPr>
        <w:t>PLEDGE OR OTHER USE HEREOF FOR VALUE OR OTHERWISE BY OR TO ANY PERSON IS WRONGFUL INASMUCH AS THE REGISTERED OWNER HEREOF, CEDE &amp; CO., HAS AN INTEREST HEREIN.”</w:t>
      </w:r>
    </w:p>
    <w:p>
      <w:pPr>
        <w:spacing w:after="0" w:line="175" w:lineRule="exact"/>
        <w:rPr>
          <w:sz w:val="20"/>
          <w:szCs w:val="20"/>
          <w:color w:val="auto"/>
        </w:rPr>
      </w:pPr>
    </w:p>
    <w:p>
      <w:pPr>
        <w:ind w:left="660" w:firstLine="645"/>
        <w:spacing w:after="0" w:line="276" w:lineRule="auto"/>
        <w:tabs>
          <w:tab w:leader="none" w:pos="1754" w:val="left"/>
        </w:tabs>
        <w:numPr>
          <w:ilvl w:val="0"/>
          <w:numId w:val="87"/>
        </w:numPr>
        <w:rPr>
          <w:rFonts w:ascii="Arial" w:cs="Arial" w:eastAsia="Arial" w:hAnsi="Arial"/>
          <w:sz w:val="22"/>
          <w:szCs w:val="22"/>
          <w:color w:val="auto"/>
        </w:rPr>
      </w:pPr>
      <w:r>
        <w:rPr>
          <w:rFonts w:ascii="Arial" w:cs="Arial" w:eastAsia="Arial" w:hAnsi="Arial"/>
          <w:sz w:val="22"/>
          <w:szCs w:val="22"/>
          <w:i w:val="1"/>
          <w:iCs w:val="1"/>
          <w:color w:val="auto"/>
        </w:rPr>
        <w:t xml:space="preserve">Regulation S Temporary Global Note Legend. </w:t>
      </w:r>
      <w:r>
        <w:rPr>
          <w:rFonts w:ascii="Arial" w:cs="Arial" w:eastAsia="Arial" w:hAnsi="Arial"/>
          <w:sz w:val="22"/>
          <w:szCs w:val="22"/>
          <w:color w:val="auto"/>
        </w:rPr>
        <w:t>The Regulation S Temporary Global Note shall bear a Legend in</w:t>
      </w:r>
      <w:r>
        <w:rPr>
          <w:rFonts w:ascii="Arial" w:cs="Arial" w:eastAsia="Arial" w:hAnsi="Arial"/>
          <w:sz w:val="22"/>
          <w:szCs w:val="22"/>
          <w:i w:val="1"/>
          <w:iCs w:val="1"/>
          <w:color w:val="auto"/>
        </w:rPr>
        <w:t xml:space="preserve"> </w:t>
      </w:r>
      <w:r>
        <w:rPr>
          <w:rFonts w:ascii="Arial" w:cs="Arial" w:eastAsia="Arial" w:hAnsi="Arial"/>
          <w:sz w:val="22"/>
          <w:szCs w:val="22"/>
          <w:color w:val="auto"/>
        </w:rPr>
        <w:t>substantially the following form:</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RIGHTS ATTACHING TO THIS REGULATION S TEMPORARY GLOBAL NOTE, AND THE CONDITIONS AND PROCEDURES GOVERNING ITS EXCHANGE FOR CERTIFICATED NOTES, ARE AS SPECIFIED IN THE INDENTURE (AS DEFINED HEREIN). NEITHER THE HOLDER NOR THE BENEFICIAL OWNERS OF THIS REGULATION S TEMPORARY GLOBAL NOTE SHALL BE ENTITLED TO RECEIVE PAYMENT OF INTEREST HEREON.”</w:t>
      </w:r>
    </w:p>
    <w:p>
      <w:pPr>
        <w:spacing w:after="0" w:line="176" w:lineRule="exact"/>
        <w:rPr>
          <w:sz w:val="20"/>
          <w:szCs w:val="20"/>
          <w:color w:val="auto"/>
        </w:rPr>
      </w:pPr>
    </w:p>
    <w:p>
      <w:pPr>
        <w:jc w:val="both"/>
        <w:ind w:firstLine="656"/>
        <w:spacing w:after="0" w:line="290" w:lineRule="auto"/>
        <w:tabs>
          <w:tab w:leader="none" w:pos="1148" w:val="left"/>
        </w:tabs>
        <w:numPr>
          <w:ilvl w:val="0"/>
          <w:numId w:val="88"/>
        </w:numPr>
        <w:rPr>
          <w:rFonts w:ascii="Arial" w:cs="Arial" w:eastAsia="Arial" w:hAnsi="Arial"/>
          <w:sz w:val="19"/>
          <w:szCs w:val="19"/>
          <w:color w:val="auto"/>
        </w:rPr>
      </w:pPr>
      <w:r>
        <w:rPr>
          <w:rFonts w:ascii="Arial" w:cs="Arial" w:eastAsia="Arial" w:hAnsi="Arial"/>
          <w:sz w:val="19"/>
          <w:szCs w:val="19"/>
          <w:i w:val="1"/>
          <w:iCs w:val="1"/>
          <w:color w:val="auto"/>
        </w:rPr>
        <w:t xml:space="preserve">Cancellation and/or Adjustment of Global Notes. </w:t>
      </w:r>
      <w:r>
        <w:rPr>
          <w:rFonts w:ascii="Arial" w:cs="Arial" w:eastAsia="Arial" w:hAnsi="Arial"/>
          <w:sz w:val="19"/>
          <w:szCs w:val="19"/>
          <w:color w:val="auto"/>
        </w:rPr>
        <w:t>At such time as all beneficial interests in a particular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55" w:lineRule="exact"/>
        <w:rPr>
          <w:rFonts w:ascii="Arial" w:cs="Arial" w:eastAsia="Arial" w:hAnsi="Arial"/>
          <w:sz w:val="19"/>
          <w:szCs w:val="19"/>
          <w:color w:val="auto"/>
        </w:rPr>
      </w:pPr>
    </w:p>
    <w:p>
      <w:pPr>
        <w:ind w:left="1080" w:hanging="424"/>
        <w:spacing w:after="0"/>
        <w:tabs>
          <w:tab w:leader="none" w:pos="1080"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General Provisions Relating to Transfers and Exchanges.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81" w:val="left"/>
        </w:tabs>
        <w:numPr>
          <w:ilvl w:val="1"/>
          <w:numId w:val="88"/>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Issuers shall execute and the Trustee shall authenticate Global Notes and Definitive Notes upon receipt of an Authentication Order in accordance with Section 2.02 or at the Registrar’s request.</w:t>
      </w:r>
    </w:p>
    <w:p>
      <w:pPr>
        <w:spacing w:after="0" w:line="177" w:lineRule="exact"/>
        <w:rPr>
          <w:rFonts w:ascii="Arial" w:cs="Arial" w:eastAsia="Arial" w:hAnsi="Arial"/>
          <w:sz w:val="22"/>
          <w:szCs w:val="22"/>
          <w:color w:val="auto"/>
        </w:rPr>
      </w:pPr>
    </w:p>
    <w:p>
      <w:pPr>
        <w:jc w:val="both"/>
        <w:ind w:left="660" w:firstLine="645"/>
        <w:spacing w:after="0" w:line="270" w:lineRule="auto"/>
        <w:tabs>
          <w:tab w:leader="none" w:pos="1835" w:val="left"/>
        </w:tabs>
        <w:numPr>
          <w:ilvl w:val="1"/>
          <w:numId w:val="88"/>
        </w:numPr>
        <w:rPr>
          <w:rFonts w:ascii="Arial" w:cs="Arial" w:eastAsia="Arial" w:hAnsi="Arial"/>
          <w:sz w:val="21"/>
          <w:szCs w:val="21"/>
          <w:color w:val="auto"/>
        </w:rPr>
      </w:pPr>
      <w:r>
        <w:rPr>
          <w:rFonts w:ascii="Arial" w:cs="Arial" w:eastAsia="Arial" w:hAnsi="Arial"/>
          <w:sz w:val="21"/>
          <w:szCs w:val="21"/>
          <w:color w:val="auto"/>
        </w:rPr>
        <w:t>No service charge shall be made to a Holder of a Global Note or to a Holder of a Definitive Note for any registration of transfer or exchange, but the Issuers may require payment of a sum sufficient to cover any transfer tax or similar governmental charge payable in connection therewith (other than any such transfer taxes or similar governmental charge payable upon exchange or transfer pursuant to Sections 2.10, 3.06, 4.11 and 9.04 hereof).</w:t>
      </w:r>
    </w:p>
    <w:p>
      <w:pPr>
        <w:spacing w:after="0" w:line="169" w:lineRule="exact"/>
        <w:rPr>
          <w:rFonts w:ascii="Arial" w:cs="Arial" w:eastAsia="Arial" w:hAnsi="Arial"/>
          <w:sz w:val="21"/>
          <w:szCs w:val="21"/>
          <w:color w:val="auto"/>
        </w:rPr>
      </w:pPr>
    </w:p>
    <w:p>
      <w:pPr>
        <w:ind w:left="660" w:right="20" w:firstLine="645"/>
        <w:spacing w:after="0" w:line="276" w:lineRule="auto"/>
        <w:tabs>
          <w:tab w:leader="none" w:pos="1781"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any Note selected for redemption in whole or in part, except the unredeemed portion of any Note being redeemed in part.</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67" w:val="left"/>
        </w:tabs>
        <w:numPr>
          <w:ilvl w:val="1"/>
          <w:numId w:val="88"/>
        </w:numPr>
        <w:rPr>
          <w:rFonts w:ascii="Arial" w:cs="Arial" w:eastAsia="Arial" w:hAnsi="Arial"/>
          <w:sz w:val="22"/>
          <w:szCs w:val="22"/>
          <w:color w:val="auto"/>
        </w:rPr>
      </w:pPr>
      <w:r>
        <w:rPr>
          <w:rFonts w:ascii="Arial" w:cs="Arial" w:eastAsia="Arial" w:hAnsi="Arial"/>
          <w:sz w:val="22"/>
          <w:szCs w:val="22"/>
          <w:color w:val="auto"/>
        </w:rPr>
        <w:t>All Global Notes and Definitive Notes issued upon any registration of transfer or exchange of Global Notes or Definitive Notes shall be the valid obligations of the Issuers,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05" w:name="page106"/>
    <w:bookmarkEnd w:id="105"/>
    <w:p>
      <w:pPr>
        <w:ind w:left="660"/>
        <w:spacing w:after="0" w:line="263" w:lineRule="auto"/>
        <w:rPr>
          <w:sz w:val="20"/>
          <w:szCs w:val="20"/>
          <w:color w:val="auto"/>
        </w:rPr>
      </w:pPr>
      <w:r>
        <w:rPr>
          <w:rFonts w:ascii="Arial" w:cs="Arial" w:eastAsia="Arial" w:hAnsi="Arial"/>
          <w:sz w:val="22"/>
          <w:szCs w:val="22"/>
          <w:color w:val="auto"/>
        </w:rPr>
        <w:t>evidencing the same debt, and entitled to the same benefits under this Indenture, as the Global Notes or Definitive Notes surrendered upon such registration of transfer or exchange.</w:t>
      </w:r>
    </w:p>
    <w:p>
      <w:pPr>
        <w:spacing w:after="0" w:line="175" w:lineRule="exact"/>
        <w:rPr>
          <w:sz w:val="20"/>
          <w:szCs w:val="20"/>
          <w:color w:val="auto"/>
        </w:rPr>
      </w:pPr>
    </w:p>
    <w:p>
      <w:pPr>
        <w:ind w:left="1740" w:hanging="435"/>
        <w:spacing w:after="0"/>
        <w:tabs>
          <w:tab w:leader="none" w:pos="17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Neither the Registrar nor the Issuers shall be required:</w:t>
      </w:r>
    </w:p>
    <w:p>
      <w:pPr>
        <w:spacing w:after="0" w:line="233" w:lineRule="exact"/>
        <w:rPr>
          <w:rFonts w:ascii="Arial" w:cs="Arial" w:eastAsia="Arial" w:hAnsi="Arial"/>
          <w:sz w:val="22"/>
          <w:szCs w:val="22"/>
          <w:color w:val="auto"/>
        </w:rPr>
      </w:pPr>
    </w:p>
    <w:p>
      <w:pPr>
        <w:jc w:val="both"/>
        <w:ind w:firstLine="1953"/>
        <w:spacing w:after="0" w:line="260" w:lineRule="auto"/>
        <w:tabs>
          <w:tab w:leader="none" w:pos="2425" w:val="left"/>
        </w:tabs>
        <w:numPr>
          <w:ilvl w:val="1"/>
          <w:numId w:val="89"/>
        </w:numPr>
        <w:rPr>
          <w:rFonts w:ascii="Arial" w:cs="Arial" w:eastAsia="Arial" w:hAnsi="Arial"/>
          <w:sz w:val="22"/>
          <w:szCs w:val="22"/>
          <w:color w:val="auto"/>
        </w:rPr>
      </w:pPr>
      <w:r>
        <w:rPr>
          <w:rFonts w:ascii="Arial" w:cs="Arial" w:eastAsia="Arial" w:hAnsi="Arial"/>
          <w:sz w:val="22"/>
          <w:szCs w:val="22"/>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177" w:lineRule="exact"/>
        <w:rPr>
          <w:rFonts w:ascii="Arial" w:cs="Arial" w:eastAsia="Arial" w:hAnsi="Arial"/>
          <w:sz w:val="22"/>
          <w:szCs w:val="22"/>
          <w:color w:val="auto"/>
        </w:rPr>
      </w:pPr>
    </w:p>
    <w:p>
      <w:pPr>
        <w:ind w:right="20" w:firstLine="1953"/>
        <w:spacing w:after="0" w:line="276" w:lineRule="auto"/>
        <w:tabs>
          <w:tab w:leader="none" w:pos="2453" w:val="left"/>
        </w:tabs>
        <w:numPr>
          <w:ilvl w:val="1"/>
          <w:numId w:val="89"/>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1"/>
          <w:numId w:val="89"/>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 interest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payment date.</w:t>
      </w:r>
    </w:p>
    <w:p>
      <w:pPr>
        <w:spacing w:after="0" w:line="215" w:lineRule="exact"/>
        <w:rPr>
          <w:rFonts w:ascii="Arial" w:cs="Arial" w:eastAsia="Arial" w:hAnsi="Arial"/>
          <w:sz w:val="19"/>
          <w:szCs w:val="19"/>
          <w:color w:val="auto"/>
        </w:rPr>
      </w:pPr>
    </w:p>
    <w:p>
      <w:pPr>
        <w:jc w:val="both"/>
        <w:ind w:left="660" w:firstLine="645"/>
        <w:spacing w:after="0" w:line="254" w:lineRule="auto"/>
        <w:tabs>
          <w:tab w:leader="none" w:pos="1794" w:val="left"/>
        </w:tabs>
        <w:numPr>
          <w:ilvl w:val="0"/>
          <w:numId w:val="89"/>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Issuers may deem and treat the Person in whose name any Note is registered as the absolute owner of such Note for the purpose of receiving payment of principal of and interest on such Notes and for all other purposes, and none of the Trustee, any Agent or the Issuers shall be affected by notice to the contrary.</w:t>
      </w:r>
    </w:p>
    <w:p>
      <w:pPr>
        <w:spacing w:after="0" w:line="185" w:lineRule="exact"/>
        <w:rPr>
          <w:rFonts w:ascii="Arial" w:cs="Arial" w:eastAsia="Arial" w:hAnsi="Arial"/>
          <w:sz w:val="22"/>
          <w:szCs w:val="22"/>
          <w:color w:val="auto"/>
        </w:rPr>
      </w:pPr>
    </w:p>
    <w:p>
      <w:pPr>
        <w:ind w:left="1760" w:hanging="455"/>
        <w:spacing w:after="0"/>
        <w:tabs>
          <w:tab w:leader="none" w:pos="17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2.02 hereof.</w:t>
      </w:r>
    </w:p>
    <w:p>
      <w:pPr>
        <w:spacing w:after="0" w:line="215" w:lineRule="exact"/>
        <w:rPr>
          <w:rFonts w:ascii="Arial" w:cs="Arial" w:eastAsia="Arial" w:hAnsi="Arial"/>
          <w:sz w:val="19"/>
          <w:szCs w:val="19"/>
          <w:color w:val="auto"/>
        </w:rPr>
      </w:pPr>
    </w:p>
    <w:p>
      <w:pPr>
        <w:ind w:left="660" w:right="20" w:firstLine="645"/>
        <w:spacing w:after="0" w:line="276" w:lineRule="auto"/>
        <w:tabs>
          <w:tab w:leader="none" w:pos="17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certifications and certificates required to be submitted to the Registrar pursuant to this Section 2.06 to effect a registration of transfer or exchange may be submitted by facsimile.</w:t>
      </w:r>
    </w:p>
    <w:p>
      <w:pPr>
        <w:spacing w:after="0" w:line="160" w:lineRule="exact"/>
        <w:rPr>
          <w:rFonts w:ascii="Arial" w:cs="Arial" w:eastAsia="Arial" w:hAnsi="Arial"/>
          <w:sz w:val="22"/>
          <w:szCs w:val="22"/>
          <w:color w:val="auto"/>
        </w:rPr>
      </w:pPr>
    </w:p>
    <w:p>
      <w:pPr>
        <w:jc w:val="both"/>
        <w:ind w:left="660" w:firstLine="645"/>
        <w:spacing w:after="0" w:line="266" w:lineRule="auto"/>
        <w:tabs>
          <w:tab w:leader="none" w:pos="1875"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Section 2.07</w:t>
      </w:r>
      <w:r>
        <w:rPr>
          <w:rFonts w:ascii="Arial" w:cs="Arial" w:eastAsia="Arial" w:hAnsi="Arial"/>
          <w:sz w:val="22"/>
          <w:szCs w:val="22"/>
          <w:i w:val="1"/>
          <w:iCs w:val="1"/>
          <w:color w:val="auto"/>
        </w:rPr>
        <w:t>Replacement Notes.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any mutilated Note is surrendered to the Trustee or the Issuers and the Trustee receives evidence to its satisfaction of the destruction, loss or theft of any Note, the Issuers shall issue and the Trustee, upon receipt of an Authentication Order, shall authenticate a replacement Note if the Trustee’s requirements are met. If required by the Trustee or the Issuers, an indemnity bond must be supplied by the Holder that is sufficient in the judgment of the Trustee and the Issuers to protect the Issuers, the Trustee, any Agent and any authenticating agent from any loss that any of them may suffer if a Note is replaced. The Issuers may charge for their expenses in replacing a Note.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106" w:name="page107"/>
    <w:bookmarkEnd w:id="106"/>
    <w:p>
      <w:pPr>
        <w:jc w:val="both"/>
        <w:ind w:firstLine="648"/>
        <w:spacing w:after="0" w:line="263" w:lineRule="auto"/>
        <w:rPr>
          <w:sz w:val="20"/>
          <w:szCs w:val="20"/>
          <w:color w:val="auto"/>
        </w:rPr>
      </w:pPr>
      <w:r>
        <w:rPr>
          <w:rFonts w:ascii="Arial" w:cs="Arial" w:eastAsia="Arial" w:hAnsi="Arial"/>
          <w:sz w:val="22"/>
          <w:szCs w:val="22"/>
          <w:color w:val="auto"/>
        </w:rPr>
        <w:t>Every replacement Note is an additional obligation of the Issuers and shall be entitled to all of the benefits of this Indenture equally and proportionately with all other Notes duly issued hereunder.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2.08</w:t>
      </w:r>
      <w:r>
        <w:rPr>
          <w:rFonts w:ascii="Arial" w:cs="Arial" w:eastAsia="Arial" w:hAnsi="Arial"/>
          <w:sz w:val="22"/>
          <w:szCs w:val="22"/>
          <w:i w:val="1"/>
          <w:iCs w:val="1"/>
          <w:color w:val="auto"/>
        </w:rPr>
        <w:t>Outstanding Notes.</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Issuers or an Affiliate of either Issuer holds the Note.</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Paying Agent (other than an Issuer, a Subsidiary of an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2.09</w:t>
      </w:r>
      <w:r>
        <w:rPr>
          <w:rFonts w:ascii="Arial" w:cs="Arial" w:eastAsia="Arial" w:hAnsi="Arial"/>
          <w:sz w:val="22"/>
          <w:szCs w:val="22"/>
          <w:i w:val="1"/>
          <w:iCs w:val="1"/>
          <w:color w:val="auto"/>
        </w:rPr>
        <w:t>Treasury Notes.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Issuers, or any of their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2.10</w:t>
      </w:r>
      <w:r>
        <w:rPr>
          <w:rFonts w:ascii="Arial" w:cs="Arial" w:eastAsia="Arial" w:hAnsi="Arial"/>
          <w:sz w:val="22"/>
          <w:szCs w:val="22"/>
          <w:i w:val="1"/>
          <w:iCs w:val="1"/>
          <w:color w:val="auto"/>
        </w:rPr>
        <w:t>Temporary Notes.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Until certificates representing Notes are ready for delivery, the Issuers may prepare and the Trustee, upon receipt of an Authentication Order, shall authenticate temporary Notes. Temporary Notes shall be substantially in the form of certificated Notes but may have variations that the Issuers consider appropriate for temporary Notes and as may be reasonably acceptable to the Trustee. Without unreasonable delay, the Issuers shall prepare and the Trustee shall authenticate Definitive Notes in exchange for temporary Notes.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2.11</w:t>
      </w:r>
      <w:r>
        <w:rPr>
          <w:rFonts w:ascii="Arial" w:cs="Arial" w:eastAsia="Arial" w:hAnsi="Arial"/>
          <w:sz w:val="22"/>
          <w:szCs w:val="22"/>
          <w:i w:val="1"/>
          <w:iCs w:val="1"/>
          <w:color w:val="auto"/>
        </w:rPr>
        <w:t>Cancellation.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at any time may deliver Notes to the Trustee for cancellation. The Registrar and Paying Agent shall forward to the Trustee any Notes surrendered to them for registration of transfer, exchange or payment. The Trustee and no one else shall cancel all Notes surrendered for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631" w:right="239" w:bottom="1440" w:gutter="0" w:footer="0" w:header="0"/>
        </w:sectPr>
      </w:pPr>
    </w:p>
    <w:bookmarkStart w:id="107" w:name="page108"/>
    <w:bookmarkEnd w:id="107"/>
    <w:p>
      <w:pPr>
        <w:jc w:val="both"/>
        <w:spacing w:after="0" w:line="312" w:lineRule="auto"/>
        <w:rPr>
          <w:sz w:val="20"/>
          <w:szCs w:val="20"/>
          <w:color w:val="auto"/>
        </w:rPr>
      </w:pPr>
      <w:r>
        <w:rPr>
          <w:rFonts w:ascii="Arial" w:cs="Arial" w:eastAsia="Arial" w:hAnsi="Arial"/>
          <w:sz w:val="19"/>
          <w:szCs w:val="19"/>
          <w:color w:val="auto"/>
        </w:rPr>
        <w:t>registration of transfer, exchange, payment, replacement or cancellation and shall destroy canceled Notes in its customary manner. Certification of the destruction of all canceled Notes shall be delivered to the Issuers upon their request. The Issuers may not issue new Notes to replace Notes that they have paid or that have been delivered to the Trustee for cancellation.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Section 2.12</w:t>
      </w:r>
      <w:r>
        <w:rPr>
          <w:rFonts w:ascii="Arial" w:cs="Arial" w:eastAsia="Arial" w:hAnsi="Arial"/>
          <w:sz w:val="22"/>
          <w:szCs w:val="22"/>
          <w:i w:val="1"/>
          <w:iCs w:val="1"/>
          <w:color w:val="auto"/>
        </w:rPr>
        <w:t>Defaulted Interest.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If the Issuers default in a payment of interest on the Notes, they shall pay the defaulted interest in any lawful manner plus, to the extent lawful, interest payable on the defaulted interest, to the Persons who are Holders on a subsequent special record date, in each case, at the rate provided in the Notes and in Section 4.01 hereof. The Issuers shall notify the Trustee in writing of the amount of defaulted interest proposed to be paid on each Note and the date of the proposed payment. The Issuers shall fix or cause to be fixed each such special record date and payment date, provided that no such special record date may be less than 10 days prior to the related payment date for such defaulted interest. At least 15 days before the special record date, the Issuers (or, upon the written request of the Issuers, the Trustee in the name and at the expense of the Issuers) shall mail or cause to be mailed to Holders a notice that states the special record date, the related payment date and the amount of such interest to be paid.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Section 2.13</w:t>
      </w:r>
      <w:r>
        <w:rPr>
          <w:rFonts w:ascii="Arial" w:cs="Arial" w:eastAsia="Arial" w:hAnsi="Arial"/>
          <w:sz w:val="22"/>
          <w:szCs w:val="22"/>
          <w:i w:val="1"/>
          <w:iCs w:val="1"/>
          <w:color w:val="auto"/>
        </w:rPr>
        <w:t>Issuance of Additional Notes.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Issuers will be entitled, upon delivery of an Officers’ Certificate, Opinion of Counsel and Authentication Order, subject to compliance with Section 2.02 hereof, to issue Additional Notes under this Indenture, which shall have identical terms as the Initial Notes issued on the Issue Date, other than with respect to the date of issuance, the initial date from which interest shall accrue on such Additional Notes and issue price. Without the consent of any Holder of Notes, the Issuers will be entitled to make any amendments to this Indenture or the Note Guarantees as they reasonably determine appropriate in good faith to facilitate the issuance of such Additional Notes.</w:t>
      </w:r>
    </w:p>
    <w:p>
      <w:pPr>
        <w:spacing w:after="0" w:line="19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With respect to any Additional Notes, the Issuers will set forth in a resolution of the Board of Directors of Wynn Resorts Capital and an Officers’ Certificate, a copy of each which shall be delivered to the Trustee, the following information:</w:t>
      </w:r>
    </w:p>
    <w:p>
      <w:pPr>
        <w:spacing w:after="0" w:line="105" w:lineRule="exact"/>
        <w:rPr>
          <w:sz w:val="20"/>
          <w:szCs w:val="20"/>
          <w:color w:val="auto"/>
        </w:rPr>
      </w:pPr>
    </w:p>
    <w:p>
      <w:pPr>
        <w:ind w:left="1120" w:hanging="464"/>
        <w:spacing w:after="0"/>
        <w:tabs>
          <w:tab w:leader="none" w:pos="11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aggregate principal amount of such Additional Notes to be authenticated and delivered pursuant to this Indenture;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jc w:val="both"/>
        <w:ind w:firstLine="656"/>
        <w:spacing w:after="0" w:line="260" w:lineRule="auto"/>
        <w:tabs>
          <w:tab w:leader="none" w:pos="1161"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respect to any Additional Notes, the Opinion of Counsel delivered to the Trustee shall state:</w:t>
      </w:r>
    </w:p>
    <w:p>
      <w:pPr>
        <w:spacing w:after="0" w:line="220"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that the form and terms of such Additional Notes have been established conformity with this Indenture; and</w:t>
      </w:r>
    </w:p>
    <w:p>
      <w:pPr>
        <w:spacing w:after="0" w:line="200" w:lineRule="exact"/>
        <w:rPr>
          <w:rFonts w:ascii="Arial" w:cs="Arial" w:eastAsia="Arial" w:hAnsi="Arial"/>
          <w:sz w:val="21"/>
          <w:szCs w:val="21"/>
          <w:color w:val="auto"/>
        </w:rPr>
      </w:pPr>
    </w:p>
    <w:p>
      <w:pPr>
        <w:spacing w:after="0" w:line="287" w:lineRule="exact"/>
        <w:rPr>
          <w:rFonts w:ascii="Arial" w:cs="Arial" w:eastAsia="Arial" w:hAnsi="Arial"/>
          <w:sz w:val="21"/>
          <w:szCs w:val="21"/>
          <w:color w:val="auto"/>
        </w:rPr>
      </w:pPr>
    </w:p>
    <w:p>
      <w:pPr>
        <w:ind w:left="5600"/>
        <w:spacing w:after="0"/>
        <w:rPr>
          <w:rFonts w:ascii="Arial" w:cs="Arial" w:eastAsia="Arial" w:hAnsi="Arial"/>
          <w:sz w:val="21"/>
          <w:szCs w:val="21"/>
          <w:color w:val="auto"/>
        </w:rPr>
      </w:pPr>
      <w:r>
        <w:rPr>
          <w:rFonts w:ascii="Arial" w:cs="Arial" w:eastAsia="Arial" w:hAnsi="Arial"/>
          <w:sz w:val="22"/>
          <w:szCs w:val="22"/>
          <w:color w:val="auto"/>
        </w:rPr>
        <w:t>45</w:t>
      </w:r>
    </w:p>
    <w:p>
      <w:pPr>
        <w:sectPr>
          <w:pgSz w:w="11900" w:h="16838" w:orient="portrait"/>
          <w:cols w:equalWidth="0" w:num="1">
            <w:col w:w="11420"/>
          </w:cols>
          <w:pgMar w:left="240" w:top="631" w:right="239" w:bottom="1440" w:gutter="0" w:footer="0" w:header="0"/>
        </w:sectPr>
      </w:pPr>
    </w:p>
    <w:bookmarkStart w:id="108" w:name="page109"/>
    <w:bookmarkEnd w:id="108"/>
    <w:p>
      <w:pPr>
        <w:jc w:val="both"/>
        <w:ind w:firstLine="656"/>
        <w:spacing w:after="0" w:line="307" w:lineRule="auto"/>
        <w:tabs>
          <w:tab w:leader="none" w:pos="1094"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that such Additional Notes, when authenticated and delivered by the Trustee and issued by Wynn Resorts Finance and Wynn Resorts Capital in the manner and subject to any conditions specified in such Opinion of Counsel, will constitute valid and binding obligations of the Issuers, enforceable in accordance with their terms, subject to bankruptcy, insolvency, reorganization and other laws of general applicability relating to or affecting the enforcement of creditors’ rights and to general equity principles.</w:t>
      </w:r>
    </w:p>
    <w:p>
      <w:pPr>
        <w:spacing w:after="0" w:line="13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REDEMPTION AND PREPAYMENT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3.01</w:t>
      </w:r>
      <w:r>
        <w:rPr>
          <w:rFonts w:ascii="Arial" w:cs="Arial" w:eastAsia="Arial" w:hAnsi="Arial"/>
          <w:sz w:val="22"/>
          <w:szCs w:val="22"/>
          <w:i w:val="1"/>
          <w:iCs w:val="1"/>
          <w:color w:val="auto"/>
        </w:rPr>
        <w:t>Notices to Trustee.</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If the Issuers elect to redeem Notes pursuant to the optional redemption provisions of Section 3.07 hereof, they must furnish to the Trustee, at least 15 days but not more than 60 days before a redemption date, an Officers’ Certificate setting forth:</w:t>
      </w:r>
    </w:p>
    <w:p>
      <w:pPr>
        <w:spacing w:after="0" w:line="105"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3.02</w:t>
      </w:r>
      <w:r>
        <w:rPr>
          <w:rFonts w:ascii="Arial" w:cs="Arial" w:eastAsia="Arial" w:hAnsi="Arial"/>
          <w:sz w:val="22"/>
          <w:szCs w:val="22"/>
          <w:i w:val="1"/>
          <w:iCs w:val="1"/>
          <w:color w:val="auto"/>
        </w:rPr>
        <w:t>Selection of Notes to Be Redeemed or Purchased.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less than all of the Notes are to be redeemed or purchased in an offer to purchase at any time, the Trustee shall select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Notes for redemption or purchase as follows:</w:t>
      </w:r>
    </w:p>
    <w:p>
      <w:pPr>
        <w:spacing w:after="0" w:line="202" w:lineRule="exact"/>
        <w:rPr>
          <w:sz w:val="20"/>
          <w:szCs w:val="20"/>
          <w:color w:val="auto"/>
        </w:rPr>
      </w:pPr>
    </w:p>
    <w:p>
      <w:pPr>
        <w:ind w:firstLine="656"/>
        <w:spacing w:after="0" w:line="276" w:lineRule="auto"/>
        <w:tabs>
          <w:tab w:leader="none" w:pos="1203"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the Notes are listed on any national securities exchange, in compliance with the requirements of the principal national securities exchange on which the Notes are listed; or</w:t>
      </w:r>
    </w:p>
    <w:p>
      <w:pPr>
        <w:spacing w:after="0" w:line="160" w:lineRule="exact"/>
        <w:rPr>
          <w:rFonts w:ascii="Arial" w:cs="Arial" w:eastAsia="Arial" w:hAnsi="Arial"/>
          <w:sz w:val="22"/>
          <w:szCs w:val="22"/>
          <w:color w:val="auto"/>
        </w:rPr>
      </w:pPr>
    </w:p>
    <w:p>
      <w:pPr>
        <w:ind w:firstLine="656"/>
        <w:spacing w:after="0" w:line="276" w:lineRule="auto"/>
        <w:tabs>
          <w:tab w:leader="none" w:pos="1148"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the Notes are not listed on any national securities exchange, on a pro rata basis, by lot or by such method as the Trustee shall deem fair and appropriate, and in compliance with the procedures of the Depositary.</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15 nor more than 60 days prior to the redemption or purchase date by the Trustee from the outstanding Notes not previously called for redemption or purchase.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Trustee shall promptly notify the Issuers in writing of the Notes selected for redemption or purchase and, in the case of any Note selected for partial redemption or purchase, the principal amount thereof to be redeemed or purchased. Notes and portions of Notes selected shall be in amounts of $2,000 or integral multiples of $1,000 in excess of $2,000; provided, however, that if all of the Notes of a Holder are to be redeemed or purchased, the entire outstanding amount of Notes held by such Holder, even if not a multiple of $1,000, shall be redeemed or purchased. Except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631" w:right="2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22"/>
          <w:szCs w:val="22"/>
          <w:color w:val="auto"/>
        </w:rPr>
        <w:t>provided in the preceding sentence, provisions of this Indenture that apply to Notes called for redemption or purchase also apply to portions of Notes called for redemption or purchase.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3.03</w:t>
      </w:r>
      <w:r>
        <w:rPr>
          <w:rFonts w:ascii="Arial" w:cs="Arial" w:eastAsia="Arial" w:hAnsi="Arial"/>
          <w:sz w:val="22"/>
          <w:szCs w:val="22"/>
          <w:i w:val="1"/>
          <w:iCs w:val="1"/>
          <w:color w:val="auto"/>
        </w:rPr>
        <w:t>Notice of Redemption.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At least 15 days but not more than 60 days before a redemption date, the Issuers shall deliver or cause to be delivered a notice of redemption to each Holder whose Notes are to be redeemed at its registered address, except that redemption notices may be delivered more than 60 days prior to a redemption date if the notice is issued in connection with a defeasance of the Notes or a satisfaction and discharge of this Indenture pursuant to Articles 8 or 12 of this Indenture.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shall identify the Notes to be redeemed and shall state:</w:t>
      </w:r>
    </w:p>
    <w:p>
      <w:pPr>
        <w:spacing w:after="0" w:line="220"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that Notes called for redemption must be surrendered to the Paying Agent to collect the redemption price;</w:t>
      </w:r>
    </w:p>
    <w:p>
      <w:pPr>
        <w:spacing w:after="0" w:line="233" w:lineRule="exact"/>
        <w:rPr>
          <w:rFonts w:ascii="Arial" w:cs="Arial" w:eastAsia="Arial" w:hAnsi="Arial"/>
          <w:sz w:val="22"/>
          <w:szCs w:val="22"/>
          <w:color w:val="auto"/>
        </w:rPr>
      </w:pPr>
    </w:p>
    <w:p>
      <w:pPr>
        <w:ind w:firstLine="656"/>
        <w:spacing w:after="0" w:line="276" w:lineRule="auto"/>
        <w:tabs>
          <w:tab w:leader="none" w:pos="1085"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that, unless the Issuers default in making such redemption payment, interest on Notes called for redemption ceases to accrue on and after the redemption date;</w:t>
      </w:r>
    </w:p>
    <w:p>
      <w:pPr>
        <w:spacing w:after="0" w:line="160" w:lineRule="exact"/>
        <w:rPr>
          <w:rFonts w:ascii="Arial" w:cs="Arial" w:eastAsia="Arial" w:hAnsi="Arial"/>
          <w:sz w:val="22"/>
          <w:szCs w:val="22"/>
          <w:color w:val="auto"/>
        </w:rPr>
      </w:pPr>
    </w:p>
    <w:p>
      <w:pPr>
        <w:ind w:firstLine="656"/>
        <w:spacing w:after="0" w:line="276" w:lineRule="auto"/>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160" w:lineRule="exact"/>
        <w:rPr>
          <w:rFonts w:ascii="Arial" w:cs="Arial" w:eastAsia="Arial" w:hAnsi="Arial"/>
          <w:sz w:val="22"/>
          <w:szCs w:val="22"/>
          <w:color w:val="auto"/>
        </w:rPr>
      </w:pPr>
    </w:p>
    <w:p>
      <w:pPr>
        <w:ind w:firstLine="656"/>
        <w:spacing w:after="0" w:line="276" w:lineRule="auto"/>
        <w:tabs>
          <w:tab w:leader="none" w:pos="1121"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16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At the Issuers’ request, the Trustee shall give the notice of redemption in the Issuers’ name and at their expense; provided, however, that the Issuers have delivered to the Trustee, at least 20 days prior to the redemption date (or such shorter time period otherwise agreed to by the Trustee), an Officers’ Certificate requesting that the Trustee give such notice and setting forth the information to be stated in such notice as provided in the preceding paragraph.</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Section 3.04</w:t>
      </w:r>
      <w:r>
        <w:rPr>
          <w:rFonts w:ascii="Arial" w:cs="Arial" w:eastAsia="Arial" w:hAnsi="Arial"/>
          <w:sz w:val="22"/>
          <w:szCs w:val="22"/>
          <w:i w:val="1"/>
          <w:iCs w:val="1"/>
          <w:color w:val="auto"/>
        </w:rPr>
        <w:t>Effect of Notice of Redemption.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such redemption pursuant to this Article 3 may, at the discretion of the Issuers, be subject to one or more conditions precedent, including a Change of Control. In addition, if such redemption is subject to the satisfaction of one or more conditions precedent, the related notice shall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31" w:right="239" w:bottom="1440" w:gutter="0" w:footer="0" w:header="0"/>
        </w:sectPr>
      </w:pPr>
    </w:p>
    <w:bookmarkStart w:id="110" w:name="page111"/>
    <w:bookmarkEnd w:id="110"/>
    <w:p>
      <w:pPr>
        <w:jc w:val="both"/>
        <w:spacing w:after="0" w:line="294" w:lineRule="auto"/>
        <w:rPr>
          <w:sz w:val="20"/>
          <w:szCs w:val="20"/>
          <w:color w:val="auto"/>
        </w:rPr>
      </w:pPr>
      <w:r>
        <w:rPr>
          <w:rFonts w:ascii="Arial" w:cs="Arial" w:eastAsia="Arial" w:hAnsi="Arial"/>
          <w:sz w:val="19"/>
          <w:szCs w:val="19"/>
          <w:color w:val="auto"/>
        </w:rPr>
        <w:t>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mailed), or such redemption may not occur and such notice may be rescinded in the event that any or all such conditions shall not have been satisfied or waived by the date of redemption, or by the date of redemption as so delayed. If mailed in the manner provided in Section 3.03 hereof, the notice of redemption shall be conclusively presumed to have been given whether or not the Holder receives such notice.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Section 3.05</w:t>
      </w:r>
      <w:r>
        <w:rPr>
          <w:rFonts w:ascii="Arial" w:cs="Arial" w:eastAsia="Arial" w:hAnsi="Arial"/>
          <w:sz w:val="22"/>
          <w:szCs w:val="22"/>
          <w:i w:val="1"/>
          <w:iCs w:val="1"/>
          <w:color w:val="auto"/>
        </w:rPr>
        <w:t>Deposit of Redemption or Purchase Price.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One Business Day prior to the redemption or purchase price date, the Issuers shall deposit with the Trustee or with the Paying Agent money sufficient to pay the redemption or purchase price of and accrued interest and premium, if any, on all Notes to be redeemed or purchased on that date. The Trustee or the Paying Agent shall promptly return to the Issuers any money deposited with the Trustee or the Paying Agent by the Issuers in excess of the amounts necessary to pay the redemption or purchase price of, and accrued interest and premium, if any, on, all Notes to be redeemed or purchased.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the Issuers comply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Issuers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Section 3.06</w:t>
      </w:r>
      <w:r>
        <w:rPr>
          <w:rFonts w:ascii="Arial" w:cs="Arial" w:eastAsia="Arial" w:hAnsi="Arial"/>
          <w:sz w:val="22"/>
          <w:szCs w:val="22"/>
          <w:i w:val="1"/>
          <w:iCs w:val="1"/>
          <w:color w:val="auto"/>
        </w:rPr>
        <w:t>Notes Redeemed or Purchased in Part.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surrender of a Note that is redeemed or purchased in part, the Issuers shall issue and, upon receipt of an Authentication Order, the Trustee shall authenticate for the Holder at the expense of the Issuers a new Note equal in principal amount to the unredeemed or unpurchased portion of the Note surrendered.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3.07</w:t>
      </w:r>
      <w:r>
        <w:rPr>
          <w:rFonts w:ascii="Arial" w:cs="Arial" w:eastAsia="Arial" w:hAnsi="Arial"/>
          <w:sz w:val="22"/>
          <w:szCs w:val="22"/>
          <w:i w:val="1"/>
          <w:iCs w:val="1"/>
          <w:color w:val="auto"/>
        </w:rPr>
        <w:t>Optional Redemption.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are redeemable at the Issuers’ election, in whole or in part at any time prior to their Stated Maturity.</w:t>
      </w:r>
    </w:p>
    <w:p>
      <w:pPr>
        <w:spacing w:after="0" w:line="220"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redemption price for the Notes that are redeemed before July 1, 2029 will be equal to the greater of:</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97"/>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111" w:name="page112"/>
    <w:bookmarkEnd w:id="111"/>
    <w:p>
      <w:pPr>
        <w:jc w:val="both"/>
        <w:ind w:left="660" w:firstLine="645"/>
        <w:spacing w:after="0" w:line="270" w:lineRule="auto"/>
        <w:tabs>
          <w:tab w:leader="none" w:pos="1754" w:val="left"/>
        </w:tabs>
        <w:numPr>
          <w:ilvl w:val="0"/>
          <w:numId w:val="98"/>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plus, in either of the above cases, accrued and unpaid interest to, but not including, the date of redemption on the Notes to be redeemed.</w:t>
      </w:r>
    </w:p>
    <w:p>
      <w:pPr>
        <w:spacing w:after="0" w:line="175" w:lineRule="exact"/>
        <w:rPr>
          <w:sz w:val="20"/>
          <w:szCs w:val="20"/>
          <w:color w:val="auto"/>
        </w:rPr>
      </w:pPr>
    </w:p>
    <w:p>
      <w:pPr>
        <w:ind w:firstLine="656"/>
        <w:spacing w:after="0" w:line="358" w:lineRule="auto"/>
        <w:tabs>
          <w:tab w:leader="none" w:pos="1121"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redemption price for Notes that are redeemed on or after July 1, 2029 will be equal to the sum of 100% of their principal amount, plus accrued and unpaid interest to, but not including, the date of redemption on the Notes to be redeemed.</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Section 3.08</w:t>
      </w:r>
      <w:r>
        <w:rPr>
          <w:rFonts w:ascii="Arial" w:cs="Arial" w:eastAsia="Arial" w:hAnsi="Arial"/>
          <w:sz w:val="22"/>
          <w:szCs w:val="22"/>
          <w:i w:val="1"/>
          <w:iCs w:val="1"/>
          <w:color w:val="auto"/>
        </w:rPr>
        <w:t>Mandatory Redemption.</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Other than as set forth in Section 3.09 below, the Issuers are not required to make mandatory redemption or sinking fund payments with respect to the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3.09</w:t>
      </w:r>
      <w:r>
        <w:rPr>
          <w:rFonts w:ascii="Arial" w:cs="Arial" w:eastAsia="Arial" w:hAnsi="Arial"/>
          <w:sz w:val="22"/>
          <w:szCs w:val="22"/>
          <w:i w:val="1"/>
          <w:iCs w:val="1"/>
          <w:color w:val="auto"/>
        </w:rPr>
        <w:t>Mandatory Disposition or Redemption Pursuant to Gaming Laws.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Notwithstanding any other provision hereof, each holder, by accepting a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then the Issuers shall have the right, at their option, to:</w:t>
      </w:r>
    </w:p>
    <w:p>
      <w:pPr>
        <w:spacing w:after="0" w:line="184" w:lineRule="exact"/>
        <w:rPr>
          <w:sz w:val="20"/>
          <w:szCs w:val="20"/>
          <w:color w:val="auto"/>
        </w:rPr>
      </w:pPr>
    </w:p>
    <w:p>
      <w:pPr>
        <w:ind w:firstLine="656"/>
        <w:spacing w:after="0" w:line="276" w:lineRule="auto"/>
        <w:tabs>
          <w:tab w:leader="none" w:pos="108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160" w:lineRule="exact"/>
        <w:rPr>
          <w:rFonts w:ascii="Arial" w:cs="Arial" w:eastAsia="Arial" w:hAnsi="Arial"/>
          <w:sz w:val="22"/>
          <w:szCs w:val="22"/>
          <w:color w:val="auto"/>
        </w:rPr>
      </w:pPr>
    </w:p>
    <w:p>
      <w:pPr>
        <w:jc w:val="both"/>
        <w:ind w:left="660" w:firstLine="645"/>
        <w:spacing w:after="0" w:line="260" w:lineRule="auto"/>
        <w:tabs>
          <w:tab w:leader="none" w:pos="187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77" w:lineRule="exact"/>
        <w:rPr>
          <w:rFonts w:ascii="Arial" w:cs="Arial" w:eastAsia="Arial" w:hAnsi="Arial"/>
          <w:sz w:val="22"/>
          <w:szCs w:val="22"/>
          <w:color w:val="auto"/>
        </w:rPr>
      </w:pPr>
    </w:p>
    <w:p>
      <w:pPr>
        <w:ind w:left="660" w:right="20" w:firstLine="645"/>
        <w:spacing w:after="0" w:line="276" w:lineRule="auto"/>
        <w:tabs>
          <w:tab w:leader="none" w:pos="176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price required by applicable law or by order of any Gaming Authority; 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112" w:name="page113"/>
    <w:bookmarkEnd w:id="112"/>
    <w:p>
      <w:pPr>
        <w:ind w:left="1740" w:hanging="435"/>
        <w:spacing w:after="0"/>
        <w:tabs>
          <w:tab w:leader="none" w:pos="17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33" w:lineRule="exact"/>
        <w:rPr>
          <w:rFonts w:ascii="Arial" w:cs="Arial" w:eastAsia="Arial" w:hAnsi="Arial"/>
          <w:sz w:val="22"/>
          <w:szCs w:val="22"/>
          <w:color w:val="auto"/>
        </w:rPr>
      </w:pPr>
    </w:p>
    <w:p>
      <w:pPr>
        <w:ind w:left="2420" w:hanging="467"/>
        <w:spacing w:after="0"/>
        <w:tabs>
          <w:tab w:leader="none" w:pos="242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in each case, together with accrued and unpaid interest, if any, on the Notes to, but not including, the earlier of (1) the date of redemption or such earlier date as is required by the Gaming Authority or (2) the date of the finding of unsuitability by the Gaming Authority, which may be less than 30 days following the notice of redemption. The Issuers shall notify the Trustee in writing of any redemption pursuant to this Section 3.09 as soon as reasonably practicable.</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05"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33" w:lineRule="exact"/>
        <w:rPr>
          <w:rFonts w:ascii="Arial" w:cs="Arial" w:eastAsia="Arial" w:hAnsi="Arial"/>
          <w:sz w:val="22"/>
          <w:szCs w:val="22"/>
          <w:color w:val="auto"/>
        </w:rPr>
      </w:pPr>
    </w:p>
    <w:p>
      <w:pPr>
        <w:ind w:firstLine="656"/>
        <w:spacing w:after="0" w:line="276" w:lineRule="auto"/>
        <w:tabs>
          <w:tab w:leader="none" w:pos="113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receive any interest or any other distribution or payment with respect to the Notes, or any remuneration in any form from the Issuers for services rendered or otherwise, except the redemption price of the Notes.</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Neither the Issuers nor the Trustee shall be responsible for any costs or expenses any Holder or Beneficial Owner may incur in connection with its registration, application for a license, qualification or a funding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14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4.01</w:t>
      </w:r>
      <w:r>
        <w:rPr>
          <w:rFonts w:ascii="Arial" w:cs="Arial" w:eastAsia="Arial" w:hAnsi="Arial"/>
          <w:sz w:val="22"/>
          <w:szCs w:val="22"/>
          <w:i w:val="1"/>
          <w:iCs w:val="1"/>
          <w:color w:val="auto"/>
        </w:rPr>
        <w:t>Payment of Notes.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Issuers shall pay or cause to be paid the principal of, premium, if any, and interest on the Notes on the dates and in the manner provided in the Notes. Principal, premium, if any, and interest shall be considered paid on the date due if the Paying Agent, if other than the Issuers or a Subsidiary thereof, holds as of 10:00 a.m. Eastern Time on the due date money deposited by the Issuers in immediately available funds and designated for and sufficient to pay all principal, premium, if any, and interest then due.</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shall pay interest (including post-petition interest in any proceeding under any Bankruptcy Law) on overdue principal at the rate equal to 1% per annum in excess of the then applicable interest rate on the Notes to the extent lawful; they shall pay interest (including post-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31" w:right="239" w:bottom="1440" w:gutter="0" w:footer="0" w:header="0"/>
        </w:sectPr>
      </w:pPr>
    </w:p>
    <w:bookmarkStart w:id="113" w:name="page114"/>
    <w:bookmarkEnd w:id="113"/>
    <w:p>
      <w:pPr>
        <w:jc w:val="both"/>
        <w:spacing w:after="0" w:line="263" w:lineRule="auto"/>
        <w:rPr>
          <w:sz w:val="20"/>
          <w:szCs w:val="20"/>
          <w:color w:val="auto"/>
        </w:rPr>
      </w:pPr>
      <w:r>
        <w:rPr>
          <w:rFonts w:ascii="Arial" w:cs="Arial" w:eastAsia="Arial" w:hAnsi="Arial"/>
          <w:sz w:val="22"/>
          <w:szCs w:val="22"/>
          <w:color w:val="auto"/>
        </w:rPr>
        <w:t>petition interest in any proceeding under any Bankruptcy Law) on overdue installments of interest (without regard to any applicable grace period) at the same rate to the extent lawful.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4.02</w:t>
      </w:r>
      <w:r>
        <w:rPr>
          <w:rFonts w:ascii="Arial" w:cs="Arial" w:eastAsia="Arial" w:hAnsi="Arial"/>
          <w:sz w:val="22"/>
          <w:szCs w:val="22"/>
          <w:i w:val="1"/>
          <w:iCs w:val="1"/>
          <w:color w:val="auto"/>
        </w:rPr>
        <w:t>Maintenance of Office or Agency.</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Issuers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Issuers in respect of the Notes and this Indenture may be served. The Issuers shall give prompt written notice to the Trustee of the location, and any change in the location, of such office or agency. If at any time the Issuers fail to maintain any such required office or agency or fail to furnish the Trustee with the address thereof, such presentations, surrenders, notices and demands may be made or served at the Corporate Trust Office of the Trustee.</w:t>
      </w:r>
    </w:p>
    <w:p>
      <w:pPr>
        <w:spacing w:after="0" w:line="15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Issuers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Issuers of their obligation to maintain an office or agency in the Borough of Manhattan, the City of New York for such purposes. The Issuers shall give prompt written notice to the Trustee of any such designation or rescission and of any change in the location of any such other office or agency.</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Issuers hereby designate the Corporate Trust Office of the Trustee as one such office or agency of the Issuers in accordance with Section 2.03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4.03</w:t>
      </w:r>
      <w:r>
        <w:rPr>
          <w:rFonts w:ascii="Arial" w:cs="Arial" w:eastAsia="Arial" w:hAnsi="Arial"/>
          <w:sz w:val="22"/>
          <w:szCs w:val="22"/>
          <w:i w:val="1"/>
          <w:iCs w:val="1"/>
          <w:color w:val="auto"/>
        </w:rPr>
        <w:t>Reports.</w:t>
      </w:r>
    </w:p>
    <w:p>
      <w:pPr>
        <w:spacing w:after="0" w:line="220" w:lineRule="exact"/>
        <w:rPr>
          <w:sz w:val="20"/>
          <w:szCs w:val="20"/>
          <w:color w:val="auto"/>
        </w:rPr>
      </w:pPr>
    </w:p>
    <w:p>
      <w:pPr>
        <w:ind w:left="1120" w:hanging="464"/>
        <w:spacing w:after="0"/>
        <w:tabs>
          <w:tab w:leader="none" w:pos="11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So long as any notes are outstanding, Wynn Resorts Finance shall furnish to the Trustee:</w:t>
      </w:r>
    </w:p>
    <w:p>
      <w:pPr>
        <w:spacing w:after="0" w:line="220" w:lineRule="exact"/>
        <w:rPr>
          <w:sz w:val="20"/>
          <w:szCs w:val="20"/>
          <w:color w:val="auto"/>
        </w:rPr>
      </w:pPr>
    </w:p>
    <w:p>
      <w:pPr>
        <w:jc w:val="both"/>
        <w:ind w:firstLine="656"/>
        <w:spacing w:after="0" w:line="262" w:lineRule="auto"/>
        <w:tabs>
          <w:tab w:leader="none" w:pos="106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within 90 days after the end of each fiscal year beginning with the fiscal year ended December 31, 2019, annual reports of Wynn Resorts Finance containing substantially all of the information that would have been required to be contained in an Annual Report on Form 10-K under the Exchange Act if Wynn Resorts Finance had been a reporting company under the Exchange Act (but only to the extent similar information is included in the Issuers’ Offering Memorandum, dated as of September 12, 2019, relating to the offering of the Initial Notes), including (i) “Management’s Discussion and Analysis of Financial Condition and Results of Operations”, (ii) audited financial statements prepared in accordance with US GAAP and (iii) a calculation of Consolidated EBITDA for the end of such fiscal year;</w:t>
      </w:r>
    </w:p>
    <w:p>
      <w:pPr>
        <w:spacing w:after="0" w:line="180" w:lineRule="exact"/>
        <w:rPr>
          <w:rFonts w:ascii="Arial" w:cs="Arial" w:eastAsia="Arial" w:hAnsi="Arial"/>
          <w:sz w:val="21"/>
          <w:szCs w:val="21"/>
          <w:color w:val="auto"/>
        </w:rPr>
      </w:pPr>
    </w:p>
    <w:p>
      <w:pPr>
        <w:jc w:val="both"/>
        <w:ind w:firstLine="656"/>
        <w:spacing w:after="0" w:line="266" w:lineRule="auto"/>
        <w:tabs>
          <w:tab w:leader="none" w:pos="10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within 45 days after the end of each of the first three fiscal quarters of each fiscal year beginning with the fiscal quarter ended September 30, 2019, quarterly reports of Wynn Resorts Finance containing substantially all of the information that would have been required to be contained in a Quarterly Report on Form 10-Q under the Exchange Act if Wynn Resorts Finance had been a reporting company under the Exchange Act (but only to the extent similar information is provided in the Issuers’ Offering Memorandum, dated as of September 12, 2019, relating to the offering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114" w:name="page115"/>
    <w:bookmarkEnd w:id="114"/>
    <w:p>
      <w:pPr>
        <w:jc w:val="both"/>
        <w:spacing w:after="0" w:line="312" w:lineRule="auto"/>
        <w:rPr>
          <w:sz w:val="20"/>
          <w:szCs w:val="20"/>
          <w:color w:val="auto"/>
        </w:rPr>
      </w:pPr>
      <w:r>
        <w:rPr>
          <w:rFonts w:ascii="Arial" w:cs="Arial" w:eastAsia="Arial" w:hAnsi="Arial"/>
          <w:sz w:val="19"/>
          <w:szCs w:val="19"/>
          <w:color w:val="auto"/>
        </w:rPr>
        <w:t>the Initial Notes), including (i) “Management’ Discussion and Analysis of Financial Condition and Results of Operations”, (ii) unaudited quarterly financial statements prepared in accordance with US GAAP and reviewed pursuant to Statement on Auditing Standards No. 100 (or any successor provision) and (iii) a calculation of Consolidated EBITDA for the relevant period; and</w:t>
      </w:r>
    </w:p>
    <w:p>
      <w:pPr>
        <w:spacing w:after="0" w:line="107" w:lineRule="exact"/>
        <w:rPr>
          <w:sz w:val="20"/>
          <w:szCs w:val="20"/>
          <w:color w:val="auto"/>
        </w:rPr>
      </w:pPr>
    </w:p>
    <w:p>
      <w:pPr>
        <w:jc w:val="both"/>
        <w:ind w:firstLine="656"/>
        <w:spacing w:after="0" w:line="243" w:lineRule="auto"/>
        <w:tabs>
          <w:tab w:leader="none" w:pos="110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within 10 business days after the occurrence of each event that would have been required to be reported in a Current Report on Form 8-K under the Exchange Act if Wynn Resorts Finance had been a reporting company under the Exchange Act, current reports containing substantially all of the information that would have been required to be contained in a Current Report on Form 8-K under the Exchange Act if Wynn Resorts Finance had been a reporting company under the Exchange Act; provided, however, that no such current report will be required to be furnished if Wynn Resorts Finance determines in its good faith judgment that such event is not material to noteholders or the business, assets, operations, financial positions or prospects of Wynn Resorts Finance and the Guarantors,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however, that such reports (i) will not be required to comply with Section 302 or Section 404 of the Sarbanes-Oxley Act of 2002, or related Items 307 and 308 of Regulation S-K promulgated by the SEC, or Item 10(e) of Regulation S-K (with respect to any non-US GAAP financial measures contained therein), (ii) will not be required to contain the separate financial information for Guarantors contemplated by Rule 3-10 or Rule 3-16 of Regulation S-X promulgated by the SEC, (iii) will only be required to include limited executive compensation disclosure consisting of a summary compensation table (including any equity awards), a description of employment agreements with officers and a description of any incentive plans and (iv) will not be required to include exhibits that would otherwise be required to be filed pursuant to Item 601 of Regulation S-K.</w:t>
      </w:r>
    </w:p>
    <w:p>
      <w:pPr>
        <w:spacing w:after="0" w:line="200" w:lineRule="exact"/>
        <w:rPr>
          <w:sz w:val="20"/>
          <w:szCs w:val="20"/>
          <w:color w:val="auto"/>
        </w:rPr>
      </w:pPr>
    </w:p>
    <w:p>
      <w:pPr>
        <w:spacing w:after="0" w:line="206" w:lineRule="exact"/>
        <w:rPr>
          <w:sz w:val="20"/>
          <w:szCs w:val="20"/>
          <w:color w:val="auto"/>
        </w:rPr>
      </w:pPr>
    </w:p>
    <w:p>
      <w:pPr>
        <w:ind w:left="1120" w:hanging="464"/>
        <w:spacing w:after="0"/>
        <w:tabs>
          <w:tab w:leader="none" w:pos="11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So long as any notes are outstanding, Wynn Resorts Finance shall also:</w:t>
      </w:r>
    </w:p>
    <w:p>
      <w:pPr>
        <w:spacing w:after="0" w:line="220" w:lineRule="exact"/>
        <w:rPr>
          <w:sz w:val="20"/>
          <w:szCs w:val="20"/>
          <w:color w:val="auto"/>
        </w:rPr>
      </w:pPr>
    </w:p>
    <w:p>
      <w:pPr>
        <w:jc w:val="both"/>
        <w:ind w:firstLine="656"/>
        <w:spacing w:after="0" w:line="307" w:lineRule="auto"/>
        <w:tabs>
          <w:tab w:leader="none" w:pos="112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first public disclosure of the annual and quarterly reports required by clauses (a) and (b) of this Section 4.03 announcing the date on which such reports will become publicly available and directing noteholders, prospective investors, broker-dealers and securities analysts to contact the investor relations office of Wynn Resorts Finance to obtain copies of such reports;</w:t>
      </w:r>
    </w:p>
    <w:p>
      <w:pPr>
        <w:spacing w:after="0" w:line="138" w:lineRule="exact"/>
        <w:rPr>
          <w:rFonts w:ascii="Arial" w:cs="Arial" w:eastAsia="Arial" w:hAnsi="Arial"/>
          <w:sz w:val="19"/>
          <w:szCs w:val="19"/>
          <w:color w:val="auto"/>
        </w:rPr>
      </w:pPr>
    </w:p>
    <w:p>
      <w:pPr>
        <w:ind w:firstLine="656"/>
        <w:spacing w:after="0" w:line="358" w:lineRule="auto"/>
        <w:tabs>
          <w:tab w:leader="none" w:pos="1107"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within 10 business days after furnishing to the trustee the annual and quarterly reports required by clauses (a) and (b) of this Section 4.03, hold a conference call to discuss such reports and the results of operations for the relevant reporting period;</w:t>
      </w:r>
    </w:p>
    <w:p>
      <w:pPr>
        <w:spacing w:after="0" w:line="90" w:lineRule="exact"/>
        <w:rPr>
          <w:rFonts w:ascii="Arial" w:cs="Arial" w:eastAsia="Arial" w:hAnsi="Arial"/>
          <w:sz w:val="19"/>
          <w:szCs w:val="19"/>
          <w:color w:val="auto"/>
        </w:rPr>
      </w:pPr>
    </w:p>
    <w:p>
      <w:pPr>
        <w:jc w:val="both"/>
        <w:ind w:firstLine="656"/>
        <w:spacing w:after="0" w:line="307" w:lineRule="auto"/>
        <w:tabs>
          <w:tab w:leader="none" w:pos="108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date of the conference call required to be held in accordance with this paragraph, announcing the time and date of such conference call and either including all information necessary to access the call or directing noteholders, prospective investors, broker-dealers and securities analysts to contact the appropriate person at Wynn Resorts Finance to obtain such information; and</w:t>
      </w:r>
    </w:p>
    <w:p>
      <w:pPr>
        <w:spacing w:after="0" w:line="138" w:lineRule="exact"/>
        <w:rPr>
          <w:rFonts w:ascii="Arial" w:cs="Arial" w:eastAsia="Arial" w:hAnsi="Arial"/>
          <w:sz w:val="19"/>
          <w:szCs w:val="19"/>
          <w:color w:val="auto"/>
        </w:rPr>
      </w:pPr>
    </w:p>
    <w:p>
      <w:pPr>
        <w:jc w:val="both"/>
        <w:ind w:firstLine="656"/>
        <w:spacing w:after="0" w:line="260" w:lineRule="auto"/>
        <w:tabs>
          <w:tab w:leader="none" w:pos="109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maintain a website to which noteholders, prospective investors, broker-dealers and securities analysts are given access and to which all of the reports and press releases required by this Section 4.03 are posted within the time periods required by this Section 4.03.</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115" w:name="page116"/>
    <w:bookmarkEnd w:id="115"/>
    <w:p>
      <w:pPr>
        <w:jc w:val="both"/>
        <w:ind w:firstLine="656"/>
        <w:spacing w:after="0" w:line="253" w:lineRule="auto"/>
        <w:tabs>
          <w:tab w:leader="none" w:pos="115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Wynn Resorts Finance shall furnish to noteholders, prospective investors, brokerdealers and securities analysts, upon their request, any information required to be delivered pursuant to Rule 144A(d)(4) under the Securities Act so long as the notes are not freely transferable under the Securities Act.</w:t>
      </w:r>
    </w:p>
    <w:p>
      <w:pPr>
        <w:spacing w:after="0" w:line="185" w:lineRule="exact"/>
        <w:rPr>
          <w:rFonts w:ascii="Arial" w:cs="Arial" w:eastAsia="Arial" w:hAnsi="Arial"/>
          <w:sz w:val="22"/>
          <w:szCs w:val="22"/>
          <w:color w:val="auto"/>
        </w:rPr>
      </w:pPr>
    </w:p>
    <w:p>
      <w:pPr>
        <w:jc w:val="both"/>
        <w:ind w:firstLine="656"/>
        <w:spacing w:after="0" w:line="271" w:lineRule="auto"/>
        <w:tabs>
          <w:tab w:leader="none" w:pos="118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Notwithstanding anything to the contrary in this Section 4.03, Wynn Resorts Finance may fulfill the requirement to furnish any such information described in Section 4.03(1)(a), (b) and (c) by filing the information with the SEC within the time periods specified in the SEC’s rules and regulations that are then applicable to Wynn Resorts Finance.</w:t>
      </w:r>
    </w:p>
    <w:p>
      <w:pPr>
        <w:spacing w:after="0" w:line="167" w:lineRule="exact"/>
        <w:rPr>
          <w:rFonts w:ascii="Arial" w:cs="Arial" w:eastAsia="Arial" w:hAnsi="Arial"/>
          <w:sz w:val="21"/>
          <w:szCs w:val="21"/>
          <w:color w:val="auto"/>
        </w:rPr>
      </w:pPr>
    </w:p>
    <w:p>
      <w:pPr>
        <w:jc w:val="both"/>
        <w:ind w:firstLine="656"/>
        <w:spacing w:after="0" w:line="250" w:lineRule="auto"/>
        <w:tabs>
          <w:tab w:leader="none" w:pos="127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their covenants hereunder (as to which the Trustee is entitled to rely exclusively on Officers’ Certificates).</w:t>
      </w:r>
    </w:p>
    <w:p>
      <w:pPr>
        <w:spacing w:after="0" w:line="16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Any Parent Entity may satisfy the obligations of Wynn Resorts Finance set forth in this Section 4.03 by providing the requisite financial and other information of such Parent Entity instead of Wynn Resorts Finance; provided that to the extent such information related to such Parent Entity, such information is accompanied by consolidating information, which may be unaudited, that explains in reasonable detail the differences between the information of such Parent Entity, on the one hand, and the information relating to Wynn Resorts Finance and its Subsidiaries on a stand-alone basis, on the other hand.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Section 4.04</w:t>
      </w:r>
      <w:r>
        <w:rPr>
          <w:rFonts w:ascii="Arial" w:cs="Arial" w:eastAsia="Arial" w:hAnsi="Arial"/>
          <w:sz w:val="22"/>
          <w:szCs w:val="22"/>
          <w:i w:val="1"/>
          <w:iCs w:val="1"/>
          <w:color w:val="auto"/>
        </w:rPr>
        <w:t>Compliance Certificate.</w:t>
      </w:r>
    </w:p>
    <w:p>
      <w:pPr>
        <w:spacing w:after="0" w:line="220" w:lineRule="exact"/>
        <w:rPr>
          <w:sz w:val="20"/>
          <w:szCs w:val="20"/>
          <w:color w:val="auto"/>
        </w:rPr>
      </w:pPr>
    </w:p>
    <w:p>
      <w:pPr>
        <w:jc w:val="both"/>
        <w:ind w:firstLine="656"/>
        <w:spacing w:after="0" w:line="259" w:lineRule="auto"/>
        <w:tabs>
          <w:tab w:leader="none" w:pos="1082"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Issuers shall deliver to the Trustee, within 90 days after the end of each fiscal year, an Officers’ Certificate stating that a review of the activities of the Issuers and their respective Subsidiaries during the preceding fiscal year has been made under the supervision of the signing Officers with a view to determining whether the Issuers have kept, observed, performed and fulfilled its obligations under this Indenture, and further stating, as to each such Officer signing such certificate, that to the best of his or her knowledge the Issuers have kept, observed, performed and fulfilled each and every covenant contained in this Indenture and are not in default in the performance or observance of any of the terms, provisions and conditions of this Indenture (or, if a Default or Event of Default has occurred, describing all such Defaults or Events of Default of which he or she may have knowledge and what action the Issuers are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Issuers are taking or propose to take with respect thereto.</w:t>
      </w:r>
    </w:p>
    <w:p>
      <w:pPr>
        <w:spacing w:after="0" w:line="185" w:lineRule="exact"/>
        <w:rPr>
          <w:rFonts w:ascii="Arial" w:cs="Arial" w:eastAsia="Arial" w:hAnsi="Arial"/>
          <w:sz w:val="21"/>
          <w:szCs w:val="21"/>
          <w:color w:val="auto"/>
        </w:rPr>
      </w:pPr>
    </w:p>
    <w:p>
      <w:pPr>
        <w:jc w:val="both"/>
        <w:ind w:firstLine="656"/>
        <w:spacing w:after="0" w:line="251" w:lineRule="auto"/>
        <w:tabs>
          <w:tab w:leader="none" w:pos="10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So long as not contrary to the then current recommendations of the American Institute of Certified Public Accountants, the year-end financial statements delivered pursuant to Section 4.03(1)(a) above shall be accompanied by a written statement of the Issuers’ independent public accountants (who shall be a firm of established national reputation) that in making the examination necessary for certification of such financial statements, nothing has come to their attention that would lead them to believe that the Issuers have violated any provisions of Article 4 or Article 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31" w:right="239" w:bottom="1440" w:gutter="0" w:footer="0" w:header="0"/>
        </w:sectPr>
      </w:pPr>
    </w:p>
    <w:bookmarkStart w:id="116" w:name="page117"/>
    <w:bookmarkEnd w:id="116"/>
    <w:p>
      <w:pPr>
        <w:ind w:right="20"/>
        <w:spacing w:after="0" w:line="343" w:lineRule="auto"/>
        <w:rPr>
          <w:sz w:val="20"/>
          <w:szCs w:val="20"/>
          <w:color w:val="auto"/>
        </w:rPr>
      </w:pPr>
      <w:r>
        <w:rPr>
          <w:rFonts w:ascii="Arial" w:cs="Arial" w:eastAsia="Arial" w:hAnsi="Arial"/>
          <w:sz w:val="19"/>
          <w:szCs w:val="19"/>
          <w:color w:val="auto"/>
        </w:rPr>
        <w:t>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05" w:lineRule="exact"/>
        <w:rPr>
          <w:sz w:val="20"/>
          <w:szCs w:val="20"/>
          <w:color w:val="auto"/>
        </w:rPr>
      </w:pPr>
    </w:p>
    <w:p>
      <w:pPr>
        <w:jc w:val="both"/>
        <w:ind w:firstLine="656"/>
        <w:spacing w:after="0" w:line="260" w:lineRule="auto"/>
        <w:tabs>
          <w:tab w:leader="none" w:pos="119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Issuers shall deliver to the Trustee, forthwith upon any Officer becoming aware of any Default or Event of Default, an Officers’ Certificate specifying such Default or Event of Default and what action the Issuers are taking or proposes to take with respect thereto.</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4.05</w:t>
      </w:r>
      <w:r>
        <w:rPr>
          <w:rFonts w:ascii="Arial" w:cs="Arial" w:eastAsia="Arial" w:hAnsi="Arial"/>
          <w:sz w:val="22"/>
          <w:szCs w:val="22"/>
          <w:i w:val="1"/>
          <w:iCs w:val="1"/>
          <w:color w:val="auto"/>
        </w:rPr>
        <w:t>Taxes.</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Issuers shall pay, and shall cause each of their respective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Section 4.06</w:t>
      </w:r>
      <w:r>
        <w:rPr>
          <w:rFonts w:ascii="Arial" w:cs="Arial" w:eastAsia="Arial" w:hAnsi="Arial"/>
          <w:sz w:val="22"/>
          <w:szCs w:val="22"/>
          <w:i w:val="1"/>
          <w:iCs w:val="1"/>
          <w:color w:val="auto"/>
        </w:rPr>
        <w:t>Stay, Extension and Usury Laws.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Issuers and each of the Guarantors covenant (to the extent that they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this Indenture; and each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Section 4.07</w:t>
      </w:r>
      <w:r>
        <w:rPr>
          <w:rFonts w:ascii="Arial" w:cs="Arial" w:eastAsia="Arial" w:hAnsi="Arial"/>
          <w:sz w:val="22"/>
          <w:szCs w:val="22"/>
          <w:i w:val="1"/>
          <w:iCs w:val="1"/>
          <w:color w:val="auto"/>
        </w:rPr>
        <w:t>Limitation on Liens Securing Indebtedness</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Other than as provided below under Section 4.09, neither Issuer nor any Guarantor may issue, assume or guarantee any Indebtedness secured by a Lien upon any Principal Property or on any evidences of Indebtedness or shares of Capital Stock of, or other ownership interests in, any Subsidiaries (regardless of whether the Principal Property, Indebtedness, Capital Stock or ownership interests were acquired before or after the Issue Date) without effectively providing that the Notes shall be secured equally and ratably with (or prior to) such Indebtedness so long as such Indebtedness shall be so secured, except that this restriction will not apply to:</w:t>
      </w:r>
    </w:p>
    <w:p>
      <w:pPr>
        <w:spacing w:after="0" w:line="194"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Liens existing on the Issue Date (excluding Liens securing the Senior Credit Facilities);</w:t>
      </w:r>
    </w:p>
    <w:p>
      <w:pPr>
        <w:spacing w:after="0" w:line="233" w:lineRule="exact"/>
        <w:rPr>
          <w:rFonts w:ascii="Arial" w:cs="Arial" w:eastAsia="Arial" w:hAnsi="Arial"/>
          <w:sz w:val="22"/>
          <w:szCs w:val="22"/>
          <w:color w:val="auto"/>
        </w:rPr>
      </w:pPr>
    </w:p>
    <w:p>
      <w:pPr>
        <w:jc w:val="both"/>
        <w:ind w:firstLine="656"/>
        <w:spacing w:after="0" w:line="307" w:lineRule="auto"/>
        <w:tabs>
          <w:tab w:leader="none" w:pos="110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Liens affecting property of a corporation or other entity existing at the time it becomes a Guarantor or at the time it is merged into or consolidated with an Issuer or a Guarantor (provided that such Liens are not incurred in connection with, or in contemplation of, such entity becoming a Guarantor or such merger or consolidation and do not extend to or cover property of an Issuer or any Guarantor other than property of the entity so acquired or which becomes a Guarantor);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17" w:name="page118"/>
    <w:bookmarkEnd w:id="117"/>
    <w:p>
      <w:pPr>
        <w:jc w:val="both"/>
        <w:ind w:firstLine="656"/>
        <w:spacing w:after="0" w:line="270" w:lineRule="auto"/>
        <w:tabs>
          <w:tab w:leader="none" w:pos="108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Liens (including purchase money Liens) existing at the time of acquisition thereof on property acquired after the Issue Date or to secure Indebtedness incurred prior to, at the time of, or within 24 months after the acquisition for the purpose of financing all or part of the purchase price of property acquired after the Issue Date (provided that such Liens do not extend to or cover any property of an Issuer or any Guarantor other than the property so acquired);</w:t>
      </w:r>
    </w:p>
    <w:p>
      <w:pPr>
        <w:spacing w:after="0" w:line="169" w:lineRule="exact"/>
        <w:rPr>
          <w:rFonts w:ascii="Arial" w:cs="Arial" w:eastAsia="Arial" w:hAnsi="Arial"/>
          <w:sz w:val="21"/>
          <w:szCs w:val="21"/>
          <w:color w:val="auto"/>
        </w:rPr>
      </w:pPr>
    </w:p>
    <w:p>
      <w:pPr>
        <w:jc w:val="both"/>
        <w:ind w:firstLine="656"/>
        <w:spacing w:after="0" w:line="248" w:lineRule="auto"/>
        <w:tabs>
          <w:tab w:leader="none" w:pos="121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on any property acquired, developed, constructed or otherwise improved by Wynn Resorts Finance or any Subsidiary (including liens on the Equity Interests of any Subsidiary of Wynn Resorts Finance and substantially all assets of such Subsidiary, in each case to the extent such property constitutes substantially all of the business of such Subsidiary) to secure or provide for the payment of any part of the purchase price of the property or the cost of the development, construction or improvement thereof (including architectural, engineering, financing, consultant, advisor and legal fees, preopening costs and gaming licensing fees), or any Indebtedness incurred to provide funds for such purposes, or any Lien on any such property existing at the time of acquisition thereof;</w:t>
      </w:r>
    </w:p>
    <w:p>
      <w:pPr>
        <w:spacing w:after="0" w:line="195" w:lineRule="exact"/>
        <w:rPr>
          <w:rFonts w:ascii="Arial" w:cs="Arial" w:eastAsia="Arial" w:hAnsi="Arial"/>
          <w:sz w:val="22"/>
          <w:szCs w:val="22"/>
          <w:color w:val="auto"/>
        </w:rPr>
      </w:pPr>
    </w:p>
    <w:p>
      <w:pPr>
        <w:ind w:left="1080" w:hanging="424"/>
        <w:spacing w:after="0"/>
        <w:tabs>
          <w:tab w:leader="none" w:pos="10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in favor of the Issuers or the Guarantors;</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58"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on the stock, partnership or other equity interest of Wynn Resorts Finance or any Guarantor in any Joint Venture or any Subsidiary that owns an equity interest in such Joint Venture to secure Indebtedness, provided the amount of such Indebtedness is contributed and/or advanced solely to such Joint Venture;</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to government entities, including pollution control or industrial revenue bond financing;</w:t>
      </w:r>
    </w:p>
    <w:p>
      <w:pPr>
        <w:spacing w:after="0" w:line="233" w:lineRule="exact"/>
        <w:rPr>
          <w:rFonts w:ascii="Arial" w:cs="Arial" w:eastAsia="Arial" w:hAnsi="Arial"/>
          <w:sz w:val="22"/>
          <w:szCs w:val="22"/>
          <w:color w:val="auto"/>
        </w:rPr>
      </w:pPr>
    </w:p>
    <w:p>
      <w:pPr>
        <w:ind w:right="20" w:firstLine="656"/>
        <w:spacing w:after="0" w:line="301" w:lineRule="auto"/>
        <w:tabs>
          <w:tab w:leader="none" w:pos="114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Liens required by any contract or statute in order to permit Wynn Resorts Finance or a Subsidiary of Wynn Resorts Finance to perform any contract or subcontract made by it with or at the request of a governmental entity;</w:t>
      </w:r>
    </w:p>
    <w:p>
      <w:pPr>
        <w:spacing w:after="0" w:line="110" w:lineRule="exact"/>
        <w:rPr>
          <w:rFonts w:ascii="Arial" w:cs="Arial" w:eastAsia="Arial" w:hAnsi="Arial"/>
          <w:sz w:val="21"/>
          <w:szCs w:val="21"/>
          <w:color w:val="auto"/>
        </w:rPr>
      </w:pPr>
    </w:p>
    <w:p>
      <w:pPr>
        <w:jc w:val="both"/>
        <w:ind w:firstLine="656"/>
        <w:spacing w:after="0" w:line="275" w:lineRule="auto"/>
        <w:tabs>
          <w:tab w:leader="none" w:pos="118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Liens imposed by Gaming Laws or Gaming Authorities, and Liens on deposits made to secure Gaming License applications or to secure the performance of surety or other bonds issued in connection therewith; provided, however, that to the extent such Liens are not imposed by law, such Liens shall in no event encumber any property other than cash and cash equivalents;</w:t>
      </w:r>
    </w:p>
    <w:p>
      <w:pPr>
        <w:spacing w:after="0" w:line="153" w:lineRule="exact"/>
        <w:rPr>
          <w:rFonts w:ascii="Arial" w:cs="Arial" w:eastAsia="Arial" w:hAnsi="Arial"/>
          <w:sz w:val="19"/>
          <w:szCs w:val="19"/>
          <w:color w:val="auto"/>
        </w:rPr>
      </w:pPr>
    </w:p>
    <w:p>
      <w:pPr>
        <w:ind w:left="1040" w:hanging="384"/>
        <w:spacing w:after="0"/>
        <w:tabs>
          <w:tab w:leader="none" w:pos="10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mechanic’s, materialman’s, carrier’s or other like Liens, arising in the ordinary course of business;</w:t>
      </w:r>
    </w:p>
    <w:p>
      <w:pPr>
        <w:spacing w:after="0" w:line="206" w:lineRule="exact"/>
        <w:rPr>
          <w:rFonts w:ascii="Arial" w:cs="Arial" w:eastAsia="Arial" w:hAnsi="Arial"/>
          <w:sz w:val="22"/>
          <w:szCs w:val="22"/>
          <w:color w:val="auto"/>
        </w:rPr>
      </w:pPr>
    </w:p>
    <w:p>
      <w:pPr>
        <w:ind w:left="1080" w:hanging="424"/>
        <w:spacing w:after="0"/>
        <w:tabs>
          <w:tab w:leader="none" w:pos="10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licenses and sublicenses of software and other technology licenses entered into in the ordinary course of business;</w:t>
      </w:r>
    </w:p>
    <w:p>
      <w:pPr>
        <w:spacing w:after="0" w:line="254" w:lineRule="exact"/>
        <w:rPr>
          <w:rFonts w:ascii="Arial" w:cs="Arial" w:eastAsia="Arial" w:hAnsi="Arial"/>
          <w:sz w:val="19"/>
          <w:szCs w:val="19"/>
          <w:color w:val="auto"/>
        </w:rPr>
      </w:pPr>
    </w:p>
    <w:p>
      <w:pPr>
        <w:ind w:firstLine="656"/>
        <w:spacing w:after="0" w:line="276" w:lineRule="auto"/>
        <w:tabs>
          <w:tab w:leader="none" w:pos="103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Liens for taxes, assessments or governmental charges, levies or claims that are not yet due and payable or delinquent or that are being contested in good faith by appropriate proceedings;</w:t>
      </w:r>
    </w:p>
    <w:p>
      <w:pPr>
        <w:spacing w:after="0" w:line="160" w:lineRule="exact"/>
        <w:rPr>
          <w:rFonts w:ascii="Arial" w:cs="Arial" w:eastAsia="Arial" w:hAnsi="Arial"/>
          <w:sz w:val="22"/>
          <w:szCs w:val="22"/>
          <w:color w:val="auto"/>
        </w:rPr>
      </w:pPr>
    </w:p>
    <w:p>
      <w:pPr>
        <w:ind w:firstLine="656"/>
        <w:spacing w:after="0" w:line="276" w:lineRule="auto"/>
        <w:tabs>
          <w:tab w:leader="none" w:pos="1221" w:val="left"/>
        </w:tabs>
        <w:numPr>
          <w:ilvl w:val="0"/>
          <w:numId w:val="112"/>
        </w:numPr>
        <w:rPr>
          <w:rFonts w:ascii="Arial" w:cs="Arial" w:eastAsia="Arial" w:hAnsi="Arial"/>
          <w:sz w:val="22"/>
          <w:szCs w:val="22"/>
          <w:color w:val="auto"/>
        </w:rPr>
      </w:pPr>
      <w:r>
        <w:rPr>
          <w:rFonts w:ascii="Arial" w:cs="Arial" w:eastAsia="Arial" w:hAnsi="Arial"/>
          <w:sz w:val="22"/>
          <w:szCs w:val="22"/>
          <w:color w:val="auto"/>
        </w:rPr>
        <w:t>filing of Uniform Commercial Code financing statements as a precautionary measure in connection with operating leases entered into in the ordinary course of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118" w:name="page119"/>
    <w:bookmarkEnd w:id="118"/>
    <w:p>
      <w:pPr>
        <w:jc w:val="both"/>
        <w:ind w:firstLine="656"/>
        <w:spacing w:after="0" w:line="262" w:lineRule="auto"/>
        <w:tabs>
          <w:tab w:leader="none" w:pos="112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survey exceptions, easements, encroachments, subdivisions or reservations of, or rights of others for, licenses, rights-of-way, sewers, electric lines, telegraph and telephone lines and other similar purposes, or zoning or other restrictions as to the use of real property that were not incurred in connection with Indebtedness and that do not individually or in the aggregate materially adversely affect the value of said properties or materially impair their use in the operation of the business of such Person; and</w:t>
      </w:r>
    </w:p>
    <w:p>
      <w:pPr>
        <w:spacing w:after="0" w:line="166" w:lineRule="exact"/>
        <w:rPr>
          <w:rFonts w:ascii="Arial" w:cs="Arial" w:eastAsia="Arial" w:hAnsi="Arial"/>
          <w:sz w:val="19"/>
          <w:szCs w:val="19"/>
          <w:color w:val="auto"/>
        </w:rPr>
      </w:pPr>
    </w:p>
    <w:p>
      <w:pPr>
        <w:ind w:firstLine="656"/>
        <w:spacing w:after="0" w:line="276" w:lineRule="auto"/>
        <w:tabs>
          <w:tab w:leader="none" w:pos="116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extension, renewal, replacement or refinancing of any Indebtedness secured by a Lien permitted by any of the foregoing clauses (a) through (f) and (n).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4.08</w:t>
      </w:r>
      <w:r>
        <w:rPr>
          <w:rFonts w:ascii="Arial" w:cs="Arial" w:eastAsia="Arial" w:hAnsi="Arial"/>
          <w:sz w:val="22"/>
          <w:szCs w:val="22"/>
          <w:i w:val="1"/>
          <w:iCs w:val="1"/>
          <w:color w:val="auto"/>
        </w:rPr>
        <w:t>Limitation on Sale and Leaseback Transactions.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Other than as provided below under Section 4.09, neither Issuer nor any Guarantor will enter into any Sale and Leaseback Transaction unless either:</w:t>
      </w:r>
    </w:p>
    <w:p>
      <w:pPr>
        <w:spacing w:after="0" w:line="175" w:lineRule="exact"/>
        <w:rPr>
          <w:sz w:val="20"/>
          <w:szCs w:val="20"/>
          <w:color w:val="auto"/>
        </w:rPr>
      </w:pPr>
    </w:p>
    <w:p>
      <w:pPr>
        <w:jc w:val="both"/>
        <w:ind w:firstLine="656"/>
        <w:spacing w:after="0" w:line="260" w:lineRule="auto"/>
        <w:tabs>
          <w:tab w:leader="none" w:pos="109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such Issuer or such Guarantor would be entitled, pursuant to the provisions described in clauses (a) through (o) under Section 4.07 to create, assume or suffer to exist a Lien on the property to be leased without equally and ratably securing the Notes; or</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 amount equal to the greater of the net cash proceeds of such sale or the Fair Market Value of such property (in the good faith opinion of the Board of Directors of Wynn Resorts Capital) is applied within 120 days to the retirement or other discharge of its Funded Debt.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4.09</w:t>
      </w:r>
      <w:r>
        <w:rPr>
          <w:rFonts w:ascii="Arial" w:cs="Arial" w:eastAsia="Arial" w:hAnsi="Arial"/>
          <w:sz w:val="22"/>
          <w:szCs w:val="22"/>
          <w:i w:val="1"/>
          <w:iCs w:val="1"/>
          <w:color w:val="auto"/>
        </w:rPr>
        <w:t>Exempted Liens and Sale and Leaseback Transactions.</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Notwithstanding the restrictions set forth in Section 4.07 and Section 4.08, an Issuer or any Guarantor may create, assume or suffer to exist Liens or enter into Sale and Leaseback Transactions not otherwise permitted in Section 4.07 or Section 4.08, respectively, provided that at the time of such event, and after giving effect thereto, the sum of outstanding Indebtedness secured by such Liens (not including Liens permitted under Section 4.07) plus all Attributable Debt in respect of such Sale and Leaseback Transactions entered into (not including Sale and Leaseback Transactions permitted under Section 4.08), measured, in each case, at the time any such Lien is incurred or any such Sale and Leaseback Transaction is entered into, by the Issuers and the Guarantors does not exceed the greater of (x) $1,850.0 million and (y) an amount that would cause the Consolidated Senior Secured Net Leverage Ratio to be greater than 3.00 to 1.00 on a pro forma basis and Liens securing Indebtedness in excess of such amount to the extent such Lien is incurred in connection with an extension, renewal, replacement or refinancing of Indebtedness (not to exceed the principal amount of such extended, renewed, replaced or refinanced Indebtedness plus fees, expenses and premium payable thereon) secured by a Lien incurred pursuant to the provisions of this Section 4.09 or any previous extension, renewal, replacement or refinancing of any such Indebtedness (which extended, renewed, replaced or refinanced Indebtedness shall, for the avoidance of doubt, thereafter be included in the calculation of such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apply to any Liens that secure any of the Existing LV Notes so long as such Liens are limited solely to the pledge of the stock of the issuer of such Existing LV Notes.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4.10</w:t>
      </w:r>
      <w:r>
        <w:rPr>
          <w:rFonts w:ascii="Arial" w:cs="Arial" w:eastAsia="Arial" w:hAnsi="Arial"/>
          <w:sz w:val="22"/>
          <w:szCs w:val="22"/>
          <w:i w:val="1"/>
          <w:iCs w:val="1"/>
          <w:color w:val="auto"/>
        </w:rPr>
        <w:t>Corporate and Organizational Existence.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04" w:right="239" w:bottom="1440" w:gutter="0" w:footer="0" w:header="0"/>
        </w:sectPr>
      </w:pPr>
    </w:p>
    <w:bookmarkStart w:id="119" w:name="page120"/>
    <w:bookmarkEnd w:id="119"/>
    <w:p>
      <w:pPr>
        <w:ind w:right="20" w:firstLine="648"/>
        <w:spacing w:after="0" w:line="287" w:lineRule="auto"/>
        <w:rPr>
          <w:sz w:val="20"/>
          <w:szCs w:val="20"/>
          <w:color w:val="auto"/>
        </w:rPr>
      </w:pPr>
      <w:r>
        <w:rPr>
          <w:rFonts w:ascii="Arial" w:cs="Arial" w:eastAsia="Arial" w:hAnsi="Arial"/>
          <w:sz w:val="21"/>
          <w:szCs w:val="21"/>
          <w:color w:val="auto"/>
        </w:rPr>
        <w:t>Subject to Article 5 hereof, except in the case of a Permitted C-Corp. Conversion, each of the Issuers shall, and shall cause the Guarantors to, do or cause to be done all things necessary to preserve and keep in full force and effect:</w:t>
      </w:r>
    </w:p>
    <w:p>
      <w:pPr>
        <w:spacing w:after="0" w:line="152" w:lineRule="exact"/>
        <w:rPr>
          <w:sz w:val="20"/>
          <w:szCs w:val="20"/>
          <w:color w:val="auto"/>
        </w:rPr>
      </w:pPr>
    </w:p>
    <w:p>
      <w:pPr>
        <w:ind w:right="20" w:firstLine="656"/>
        <w:spacing w:after="0" w:line="358" w:lineRule="auto"/>
        <w:tabs>
          <w:tab w:leader="none" w:pos="114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its corporate or limited liability company existence, and the corporate, partnership or other existence of each of its Subsidiaries, in accordance with their respective organizational documents (as the same may be amended from time to time); and</w:t>
      </w:r>
    </w:p>
    <w:p>
      <w:pPr>
        <w:spacing w:after="0" w:line="90" w:lineRule="exact"/>
        <w:rPr>
          <w:rFonts w:ascii="Arial" w:cs="Arial" w:eastAsia="Arial" w:hAnsi="Arial"/>
          <w:sz w:val="19"/>
          <w:szCs w:val="19"/>
          <w:color w:val="auto"/>
        </w:rPr>
      </w:pPr>
    </w:p>
    <w:p>
      <w:pPr>
        <w:jc w:val="both"/>
        <w:ind w:firstLine="656"/>
        <w:spacing w:after="0" w:line="264" w:lineRule="auto"/>
        <w:tabs>
          <w:tab w:leader="none" w:pos="117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rights (charter and statutory), licenses and franchises of the Issuers and their respective Subsidiaries;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Issuers and the Guarantors shall not be required to preserve any such right, license or franchise, or the corporate,</w:t>
      </w:r>
      <w:r>
        <w:rPr>
          <w:rFonts w:ascii="Arial" w:cs="Arial" w:eastAsia="Arial" w:hAnsi="Arial"/>
          <w:sz w:val="21"/>
          <w:szCs w:val="21"/>
          <w:i w:val="1"/>
          <w:iCs w:val="1"/>
          <w:color w:val="auto"/>
        </w:rPr>
        <w:t xml:space="preserve"> </w:t>
      </w:r>
      <w:r>
        <w:rPr>
          <w:rFonts w:ascii="Arial" w:cs="Arial" w:eastAsia="Arial" w:hAnsi="Arial"/>
          <w:sz w:val="21"/>
          <w:szCs w:val="21"/>
          <w:color w:val="auto"/>
        </w:rPr>
        <w:t>partnership or other existence of any of their respective Subsidiaries (other than the Issuers), if the Board of Directors of Wynn Resorts Capital or the applicable Guarantor shall determine that the preservation thereof is no longer desirable in the conduct of the business of Wynn Resorts Finance and the Guarantors, taken as a whole, and that the loss thereof is not adverse in any material respect to the Holders of the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4.11</w:t>
      </w:r>
      <w:r>
        <w:rPr>
          <w:rFonts w:ascii="Arial" w:cs="Arial" w:eastAsia="Arial" w:hAnsi="Arial"/>
          <w:sz w:val="22"/>
          <w:szCs w:val="22"/>
          <w:i w:val="1"/>
          <w:iCs w:val="1"/>
          <w:color w:val="auto"/>
        </w:rPr>
        <w:t>Offer to Purchase Upon Change of Control.</w:t>
      </w:r>
    </w:p>
    <w:p>
      <w:pPr>
        <w:spacing w:after="0" w:line="220" w:lineRule="exact"/>
        <w:rPr>
          <w:sz w:val="20"/>
          <w:szCs w:val="20"/>
          <w:color w:val="auto"/>
        </w:rPr>
      </w:pPr>
    </w:p>
    <w:p>
      <w:pPr>
        <w:jc w:val="both"/>
        <w:ind w:firstLine="656"/>
        <w:spacing w:after="0" w:line="264" w:lineRule="auto"/>
        <w:tabs>
          <w:tab w:leader="none" w:pos="1109" w:val="left"/>
        </w:tabs>
        <w:numPr>
          <w:ilvl w:val="0"/>
          <w:numId w:val="116"/>
        </w:numPr>
        <w:rPr>
          <w:rFonts w:ascii="Arial" w:cs="Arial" w:eastAsia="Arial" w:hAnsi="Arial"/>
          <w:sz w:val="21"/>
          <w:szCs w:val="21"/>
          <w:color w:val="auto"/>
        </w:rPr>
      </w:pPr>
      <w:r>
        <w:rPr>
          <w:rFonts w:ascii="Arial" w:cs="Arial" w:eastAsia="Arial" w:hAnsi="Arial"/>
          <w:sz w:val="21"/>
          <w:szCs w:val="21"/>
          <w:color w:val="auto"/>
        </w:rPr>
        <w:t>Upon the occurrence of a Change of Control Triggering Event, the Issuers shall make an offer (a “</w:t>
      </w:r>
      <w:r>
        <w:rPr>
          <w:rFonts w:ascii="Arial" w:cs="Arial" w:eastAsia="Arial" w:hAnsi="Arial"/>
          <w:sz w:val="21"/>
          <w:szCs w:val="21"/>
          <w:i w:val="1"/>
          <w:iCs w:val="1"/>
          <w:u w:val="single" w:color="auto"/>
          <w:color w:val="auto"/>
        </w:rPr>
        <w:t>Change of Control</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Offer</w:t>
      </w:r>
      <w:r>
        <w:rPr>
          <w:rFonts w:ascii="Arial" w:cs="Arial" w:eastAsia="Arial" w:hAnsi="Arial"/>
          <w:sz w:val="21"/>
          <w:szCs w:val="21"/>
          <w:color w:val="auto"/>
        </w:rPr>
        <w:t>”) to each Holder to repurchase all or any part (equal to $2,000 or an integral multiple of $1,000 in excess of $2,000) of each</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Notes at a purchase price equal to 101 % of the aggregate principal amount thereof plus accrued and unpaid interest on the Notes purchased, if any, to, but not including, the date of purchase (the “</w:t>
      </w:r>
      <w:r>
        <w:rPr>
          <w:rFonts w:ascii="Arial" w:cs="Arial" w:eastAsia="Arial" w:hAnsi="Arial"/>
          <w:sz w:val="21"/>
          <w:szCs w:val="21"/>
          <w:i w:val="1"/>
          <w:iCs w:val="1"/>
          <w:u w:val="single" w:color="auto"/>
          <w:color w:val="auto"/>
        </w:rPr>
        <w:t>Change of Control Payment</w:t>
      </w:r>
      <w:r>
        <w:rPr>
          <w:rFonts w:ascii="Arial" w:cs="Arial" w:eastAsia="Arial" w:hAnsi="Arial"/>
          <w:sz w:val="21"/>
          <w:szCs w:val="21"/>
          <w:color w:val="auto"/>
        </w:rPr>
        <w:t>”). Within ten days following any Change of Control Triggering Event, the Issuers shall mail a notice to each Holder describing the transaction or transactions that constitute the Change of Control Triggering Event and stating:</w:t>
      </w:r>
    </w:p>
    <w:p>
      <w:pPr>
        <w:spacing w:after="0" w:line="175" w:lineRule="exact"/>
        <w:rPr>
          <w:rFonts w:ascii="Arial" w:cs="Arial" w:eastAsia="Arial" w:hAnsi="Arial"/>
          <w:sz w:val="21"/>
          <w:szCs w:val="21"/>
          <w:color w:val="auto"/>
        </w:rPr>
      </w:pPr>
    </w:p>
    <w:p>
      <w:pPr>
        <w:ind w:left="660" w:firstLine="645"/>
        <w:spacing w:after="0" w:line="276" w:lineRule="auto"/>
        <w:tabs>
          <w:tab w:leader="none" w:pos="174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4.11 and that all Notes tendered shall be accepted for payment;</w:t>
      </w:r>
    </w:p>
    <w:p>
      <w:pPr>
        <w:spacing w:after="0" w:line="160" w:lineRule="exact"/>
        <w:rPr>
          <w:rFonts w:ascii="Arial" w:cs="Arial" w:eastAsia="Arial" w:hAnsi="Arial"/>
          <w:sz w:val="22"/>
          <w:szCs w:val="22"/>
          <w:color w:val="auto"/>
        </w:rPr>
      </w:pPr>
    </w:p>
    <w:p>
      <w:pPr>
        <w:ind w:left="660" w:right="20" w:firstLine="645"/>
        <w:spacing w:after="0" w:line="276" w:lineRule="auto"/>
        <w:tabs>
          <w:tab w:leader="none" w:pos="1754"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15 days and no later than 60 days from the date such notice is mailed (the “</w:t>
      </w:r>
      <w:r>
        <w:rPr>
          <w:rFonts w:ascii="Arial" w:cs="Arial" w:eastAsia="Arial" w:hAnsi="Arial"/>
          <w:sz w:val="22"/>
          <w:szCs w:val="22"/>
          <w:i w:val="1"/>
          <w:iCs w:val="1"/>
          <w:u w:val="single" w:color="auto"/>
          <w:color w:val="auto"/>
        </w:rPr>
        <w:t>Change of Control Payment Date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33" w:lineRule="exact"/>
        <w:rPr>
          <w:rFonts w:ascii="Arial" w:cs="Arial" w:eastAsia="Arial" w:hAnsi="Arial"/>
          <w:sz w:val="22"/>
          <w:szCs w:val="22"/>
          <w:color w:val="auto"/>
        </w:rPr>
      </w:pPr>
    </w:p>
    <w:p>
      <w:pPr>
        <w:ind w:left="660" w:firstLine="645"/>
        <w:spacing w:after="0" w:line="358" w:lineRule="auto"/>
        <w:tabs>
          <w:tab w:leader="none" w:pos="187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that, unless the Issuers default in the payment of the Change of Control Payment, all Notes accepted for payment pursuant to the Change of Control Offer shall cease to accrue interest after the Change of Control Payment Date;</w:t>
      </w:r>
    </w:p>
    <w:p>
      <w:pPr>
        <w:spacing w:after="0" w:line="90" w:lineRule="exact"/>
        <w:rPr>
          <w:rFonts w:ascii="Arial" w:cs="Arial" w:eastAsia="Arial" w:hAnsi="Arial"/>
          <w:sz w:val="19"/>
          <w:szCs w:val="19"/>
          <w:color w:val="auto"/>
        </w:rPr>
      </w:pPr>
    </w:p>
    <w:p>
      <w:pPr>
        <w:jc w:val="both"/>
        <w:ind w:left="660" w:firstLine="645"/>
        <w:spacing w:after="0" w:line="254" w:lineRule="auto"/>
        <w:tabs>
          <w:tab w:leader="none" w:pos="1781"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120" w:name="page121"/>
    <w:bookmarkEnd w:id="120"/>
    <w:p>
      <w:pPr>
        <w:jc w:val="both"/>
        <w:ind w:left="660" w:firstLine="645"/>
        <w:spacing w:after="0" w:line="270" w:lineRule="auto"/>
        <w:tabs>
          <w:tab w:leader="none" w:pos="1754"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that Holders shall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Notes delivered for purchase, and a statement that such Holder is withdrawing his election to have the Notes purchased; and</w:t>
      </w:r>
    </w:p>
    <w:p>
      <w:pPr>
        <w:spacing w:after="0" w:line="169" w:lineRule="exact"/>
        <w:rPr>
          <w:rFonts w:ascii="Arial" w:cs="Arial" w:eastAsia="Arial" w:hAnsi="Arial"/>
          <w:sz w:val="21"/>
          <w:szCs w:val="21"/>
          <w:color w:val="auto"/>
        </w:rPr>
      </w:pPr>
    </w:p>
    <w:p>
      <w:pPr>
        <w:jc w:val="both"/>
        <w:ind w:left="660" w:firstLine="645"/>
        <w:spacing w:after="0" w:line="260" w:lineRule="auto"/>
        <w:tabs>
          <w:tab w:leader="none" w:pos="17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$2,000 or in integral multiples of $1,000 in excess of $2,000.</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Issuers shall comply with the requirements of Rule 14e-1 under the Exchange Act and any other securities laws and regulations thereunder to the extent those laws and regulations are applicable in connection with the purchase of the Notes as a result of a Change of Control. To the extent that the provisions of any securities laws or regulations conflict with the provisions of Section 4.11 of this Indenture, the Issuers shall comply with the applicable securities laws and regulations and shall not be deemed to have breached their obligations under this Section 4.11 by virtue of such compliance.</w:t>
      </w:r>
    </w:p>
    <w:p>
      <w:pPr>
        <w:spacing w:after="0" w:line="176" w:lineRule="exact"/>
        <w:rPr>
          <w:sz w:val="20"/>
          <w:szCs w:val="20"/>
          <w:color w:val="auto"/>
        </w:rPr>
      </w:pPr>
    </w:p>
    <w:p>
      <w:pPr>
        <w:ind w:left="1080" w:hanging="424"/>
        <w:spacing w:after="0"/>
        <w:tabs>
          <w:tab w:leader="none" w:pos="10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On the Change of Control Payment Date, the Issuers shall, to the extent lawful:</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 Offer;</w:t>
      </w:r>
    </w:p>
    <w:p>
      <w:pPr>
        <w:spacing w:after="0" w:line="267" w:lineRule="exact"/>
        <w:rPr>
          <w:rFonts w:ascii="Arial" w:cs="Arial" w:eastAsia="Arial" w:hAnsi="Arial"/>
          <w:sz w:val="19"/>
          <w:szCs w:val="19"/>
          <w:color w:val="auto"/>
        </w:rPr>
      </w:pPr>
    </w:p>
    <w:p>
      <w:pPr>
        <w:ind w:left="660" w:firstLine="645"/>
        <w:spacing w:after="0" w:line="276" w:lineRule="auto"/>
        <w:tabs>
          <w:tab w:leader="none" w:pos="1794" w:val="left"/>
        </w:tabs>
        <w:numPr>
          <w:ilvl w:val="1"/>
          <w:numId w:val="118"/>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60" w:lineRule="exact"/>
        <w:rPr>
          <w:rFonts w:ascii="Arial" w:cs="Arial" w:eastAsia="Arial" w:hAnsi="Arial"/>
          <w:sz w:val="22"/>
          <w:szCs w:val="22"/>
          <w:color w:val="auto"/>
        </w:rPr>
      </w:pPr>
    </w:p>
    <w:p>
      <w:pPr>
        <w:ind w:left="660" w:firstLine="645"/>
        <w:spacing w:after="0" w:line="301" w:lineRule="auto"/>
        <w:tabs>
          <w:tab w:leader="none" w:pos="174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deliver or cause to be delivered to the Trustee the Notes properly accepted together with an Officers’ Certificate stating the aggregate principal amount of Notes or portions of Notes being purchased by the Issuers.</w:t>
      </w:r>
    </w:p>
    <w:p>
      <w:pPr>
        <w:spacing w:after="0" w:line="1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Paying Agent shall promptly deliver to each Holder of Notes properly tendered the Change of Control Payment for such Notes, and the Trustee shall promptly authenticate and mail (or cause to be transferred by book entry) to each Holder a new Note equal in principal amount to any unpurchased portion of the Notes surrendered, if any; provided that each new Note shall be in a principal amount of $2,000 or in integral multiples of $1,000 in excess of $2,000. The Issuers shall publicly announce the results of the Change of Control Offer on or as soon as practicable after the Change of Control Payment Date.</w:t>
      </w:r>
    </w:p>
    <w:p>
      <w:pPr>
        <w:spacing w:after="0" w:line="120" w:lineRule="exact"/>
        <w:rPr>
          <w:sz w:val="20"/>
          <w:szCs w:val="20"/>
          <w:color w:val="auto"/>
        </w:rPr>
      </w:pPr>
    </w:p>
    <w:p>
      <w:pPr>
        <w:jc w:val="both"/>
        <w:ind w:firstLine="656"/>
        <w:spacing w:after="0" w:line="250" w:lineRule="auto"/>
        <w:tabs>
          <w:tab w:leader="none" w:pos="112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4.11, the Issuers shall not be required to make a Change of Control Offer upon a Change of Control Triggering Event if (1) a third party makes the Change of Control Offer in the manner, at the times and otherwise in compliance with the requirements set forth in this Section 4.11 and purchases all Notes validly tendered and not withdrawn under the Change of Control Offer, or (2) a notice of redemption has been given pursuant to this Indenture as described above under Section 3.03 hereof, unless and until there is a default in payment of the applicable redemption price. Notwithstanding anything to the contrary contained herein, a Change of Control Offer may be made in advance of a Change of Control Triggering Event, conditioned upon the consummation of such Change of Control, if 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definitive agreement is in place for the Change of Control at the time the Change of Control Offer is made.</w:t>
      </w:r>
    </w:p>
    <w:p>
      <w:pPr>
        <w:spacing w:after="0" w:line="179" w:lineRule="exact"/>
        <w:rPr>
          <w:sz w:val="20"/>
          <w:szCs w:val="20"/>
          <w:color w:val="auto"/>
        </w:rPr>
      </w:pPr>
    </w:p>
    <w:p>
      <w:pPr>
        <w:jc w:val="both"/>
        <w:ind w:firstLine="656"/>
        <w:spacing w:after="0" w:line="223" w:lineRule="auto"/>
        <w:tabs>
          <w:tab w:leader="none" w:pos="117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If Holders of not less than 90% in aggregate principal amount of the outstanding Notes validly tender and do not withdraw such Notes in a Change of Control Offer and the Issuers, or any third party making a Change of Control Offer in lieu of the Issuers as described in Section 4.11(c), purchase all of the Notes validly tendered and not withdrawn by such Holders, the Issuers or such third party will have the right, upon not less than 30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not including, the date of redemption (subject to the right of Holders of record of Notes on the relevant record date to receive interest due on the relevant interest payment date).</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SUCCESSORS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5.01</w:t>
      </w:r>
      <w:r>
        <w:rPr>
          <w:rFonts w:ascii="Arial" w:cs="Arial" w:eastAsia="Arial" w:hAnsi="Arial"/>
          <w:sz w:val="22"/>
          <w:szCs w:val="22"/>
          <w:i w:val="1"/>
          <w:iCs w:val="1"/>
          <w:color w:val="auto"/>
        </w:rPr>
        <w:t>Merger, Consolidation, or Sale of Assets.</w:t>
      </w:r>
    </w:p>
    <w:p>
      <w:pPr>
        <w:spacing w:after="0" w:line="22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Neither Issuer may,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86" w:lineRule="exact"/>
        <w:rPr>
          <w:sz w:val="20"/>
          <w:szCs w:val="20"/>
          <w:color w:val="auto"/>
        </w:rPr>
      </w:pPr>
    </w:p>
    <w:p>
      <w:pPr>
        <w:jc w:val="both"/>
        <w:ind w:firstLine="1305"/>
        <w:spacing w:after="0" w:line="312" w:lineRule="auto"/>
        <w:tabs>
          <w:tab w:leader="none" w:pos="176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either (1) such Issuer is the surviving entity or (2)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133" w:lineRule="exact"/>
        <w:rPr>
          <w:rFonts w:ascii="Arial" w:cs="Arial" w:eastAsia="Arial" w:hAnsi="Arial"/>
          <w:sz w:val="19"/>
          <w:szCs w:val="19"/>
          <w:color w:val="auto"/>
        </w:rPr>
      </w:pPr>
    </w:p>
    <w:p>
      <w:pPr>
        <w:jc w:val="both"/>
        <w:ind w:firstLine="1305"/>
        <w:spacing w:after="0" w:line="312" w:lineRule="auto"/>
        <w:tabs>
          <w:tab w:leader="none" w:pos="177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and this Indenture pursuant to agreements reasonably satisfactory to the Trustee; and</w:t>
      </w:r>
    </w:p>
    <w:p>
      <w:pPr>
        <w:spacing w:after="0" w:line="133" w:lineRule="exact"/>
        <w:rPr>
          <w:rFonts w:ascii="Arial" w:cs="Arial" w:eastAsia="Arial" w:hAnsi="Arial"/>
          <w:sz w:val="19"/>
          <w:szCs w:val="19"/>
          <w:color w:val="auto"/>
        </w:rPr>
      </w:pPr>
    </w:p>
    <w:p>
      <w:pPr>
        <w:ind w:left="1760" w:hanging="455"/>
        <w:spacing w:after="0"/>
        <w:tabs>
          <w:tab w:leader="none" w:pos="17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immediately after such transaction, no Default or Event of Default exists.</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addition, no Issuer may, directly or indirectly, lease all or substantially all of its properties or assets, taken as a whole, in one or more related transactions, to any other Person.</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Notwithstanding the provisions of this Section 5.01, Wynn Resorts Finance or any of the Guarantors that is not a subchapter “C” corporation is permitted to convert into a corporation pursuant to a Permitted C-Corp. Conversion.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5.02</w:t>
      </w:r>
      <w:r>
        <w:rPr>
          <w:rFonts w:ascii="Arial" w:cs="Arial" w:eastAsia="Arial" w:hAnsi="Arial"/>
          <w:sz w:val="22"/>
          <w:szCs w:val="22"/>
          <w:i w:val="1"/>
          <w:iCs w:val="1"/>
          <w:color w:val="auto"/>
        </w:rPr>
        <w:t>Successor Corporation Substituted.</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Upon any consolidation or merger, or any sale, assignment, transfer, lease, conveyance or other disposition of all or substantially all of the assets of either Issuer in a transaction that is subject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04" w:right="239" w:bottom="1440" w:gutter="0" w:footer="0" w:header="0"/>
        </w:sectPr>
      </w:pPr>
    </w:p>
    <w:bookmarkStart w:id="122" w:name="page123"/>
    <w:bookmarkEnd w:id="122"/>
    <w:p>
      <w:pPr>
        <w:jc w:val="both"/>
        <w:spacing w:after="0" w:line="290" w:lineRule="auto"/>
        <w:rPr>
          <w:sz w:val="20"/>
          <w:szCs w:val="20"/>
          <w:color w:val="auto"/>
        </w:rPr>
      </w:pPr>
      <w:r>
        <w:rPr>
          <w:rFonts w:ascii="Arial" w:cs="Arial" w:eastAsia="Arial" w:hAnsi="Arial"/>
          <w:sz w:val="19"/>
          <w:szCs w:val="19"/>
          <w:color w:val="auto"/>
        </w:rPr>
        <w:t>to, and that complies with the provisions of, Section 5.01 hereof, the successor Person formed by such consolidation or into or with which such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such “Issuer” shall refer instead to the successor Person and not to such Issuer), and may exercise every right and power of such Issuer under this Indenture with the same effect as if such successor Person had been named as such Issuer herein; provided, however, that the predecessor Issuer shall not be relieved from the obligation to pay the principal of and interest and premium, if any, on the Notes, except in the case of a sale of all of such Issuer’s assets in a transaction that is subject to, and that complies with the provisions of Section 5.01 hereof.</w:t>
      </w:r>
    </w:p>
    <w:p>
      <w:pPr>
        <w:spacing w:after="0" w:line="15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DEFAULTS AND REMEDIES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6.01</w:t>
      </w:r>
      <w:r>
        <w:rPr>
          <w:rFonts w:ascii="Arial" w:cs="Arial" w:eastAsia="Arial" w:hAnsi="Arial"/>
          <w:sz w:val="22"/>
          <w:szCs w:val="22"/>
          <w:i w:val="1"/>
          <w:iCs w:val="1"/>
          <w:color w:val="auto"/>
        </w:rPr>
        <w:t>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20"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33" w:lineRule="exact"/>
        <w:rPr>
          <w:rFonts w:ascii="Arial" w:cs="Arial" w:eastAsia="Arial" w:hAnsi="Arial"/>
          <w:sz w:val="22"/>
          <w:szCs w:val="22"/>
          <w:color w:val="auto"/>
        </w:rPr>
      </w:pPr>
    </w:p>
    <w:p>
      <w:pPr>
        <w:ind w:firstLine="656"/>
        <w:spacing w:after="0" w:line="276" w:lineRule="auto"/>
        <w:tabs>
          <w:tab w:leader="none" w:pos="121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failure by Wynn Resorts Capital, Wynn Resorts Finance or any Guarantor:</w:t>
      </w:r>
    </w:p>
    <w:p>
      <w:pPr>
        <w:spacing w:after="0" w:line="233" w:lineRule="exact"/>
        <w:rPr>
          <w:rFonts w:ascii="Arial" w:cs="Arial" w:eastAsia="Arial" w:hAnsi="Arial"/>
          <w:sz w:val="22"/>
          <w:szCs w:val="22"/>
          <w:color w:val="auto"/>
        </w:rPr>
      </w:pPr>
    </w:p>
    <w:p>
      <w:pPr>
        <w:ind w:left="660" w:firstLine="645"/>
        <w:spacing w:after="0" w:line="276" w:lineRule="auto"/>
        <w:tabs>
          <w:tab w:leader="none" w:pos="178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4.11 hereof;</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33" w:lineRule="exact"/>
        <w:rPr>
          <w:rFonts w:ascii="Arial" w:cs="Arial" w:eastAsia="Arial" w:hAnsi="Arial"/>
          <w:sz w:val="22"/>
          <w:szCs w:val="22"/>
          <w:color w:val="auto"/>
        </w:rPr>
      </w:pPr>
    </w:p>
    <w:p>
      <w:pPr>
        <w:jc w:val="both"/>
        <w:ind w:firstLine="656"/>
        <w:spacing w:after="0" w:line="278" w:lineRule="auto"/>
        <w:tabs>
          <w:tab w:leader="none" w:pos="1134" w:val="left"/>
        </w:tabs>
        <w:numPr>
          <w:ilvl w:val="0"/>
          <w:numId w:val="122"/>
        </w:numPr>
        <w:rPr>
          <w:rFonts w:ascii="Arial" w:cs="Arial" w:eastAsia="Arial" w:hAnsi="Arial"/>
          <w:sz w:val="21"/>
          <w:szCs w:val="21"/>
          <w:color w:val="auto"/>
        </w:rPr>
      </w:pPr>
      <w:r>
        <w:rPr>
          <w:rFonts w:ascii="Arial" w:cs="Arial" w:eastAsia="Arial" w:hAnsi="Arial"/>
          <w:sz w:val="21"/>
          <w:szCs w:val="21"/>
          <w:color w:val="auto"/>
        </w:rPr>
        <w:t>failure by Wynn Resorts Capital, Wynn Resorts Finance or any Guarantor for 60 days after receipt of written notice from the Trustee or the Holders of at least 25% in aggregate principal amount of the Notes then outstanding voting as a single class to comply with any of the other agreements in this Indenture not set forth in Section 6.01(c) above;</w:t>
      </w:r>
    </w:p>
    <w:p>
      <w:pPr>
        <w:spacing w:after="0" w:line="160" w:lineRule="exact"/>
        <w:rPr>
          <w:rFonts w:ascii="Arial" w:cs="Arial" w:eastAsia="Arial" w:hAnsi="Arial"/>
          <w:sz w:val="21"/>
          <w:szCs w:val="21"/>
          <w:color w:val="auto"/>
        </w:rPr>
      </w:pPr>
    </w:p>
    <w:p>
      <w:pPr>
        <w:jc w:val="both"/>
        <w:ind w:firstLine="656"/>
        <w:spacing w:after="0" w:line="262" w:lineRule="auto"/>
        <w:tabs>
          <w:tab w:leader="none" w:pos="119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exists on the Issue Date, or is created after the Issue Date,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this Indenture;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123" w:name="page124"/>
    <w:bookmarkEnd w:id="123"/>
    <w:p>
      <w:pPr>
        <w:jc w:val="both"/>
        <w:ind w:firstLine="656"/>
        <w:spacing w:after="0" w:line="320" w:lineRule="auto"/>
        <w:tabs>
          <w:tab w:leader="none" w:pos="108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failure by Wynn Resorts Capital, Wynn Resorts Finance or any Guarantor to pay final non-appealable judgments (not paid or covered by insurance as to which the relevant insurance company has not denied responsibility) aggregating in excess of $125.0 million, which judgments are not paid, bonded, discharged or stayed for a period of 60 days;</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either Issuer or any Guarantor: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is for relief against either Issuer or any Guarantor in an involuntary case;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appoints a custodian of either Issuer or any Guarantor;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orders the liquidation of either Issuer or any Guarantor;</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and the order or decree remains unstayed and in effect for 60 consecutive days;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if a Default for a failure to report or failure to deliver a required certificate in connection with another default (the “</w:t>
      </w:r>
      <w:r>
        <w:rPr>
          <w:rFonts w:ascii="Arial" w:cs="Arial" w:eastAsia="Arial" w:hAnsi="Arial"/>
          <w:sz w:val="22"/>
          <w:szCs w:val="22"/>
          <w:i w:val="1"/>
          <w:iCs w:val="1"/>
          <w:color w:val="auto"/>
        </w:rPr>
        <w:t>Initial Default</w:t>
      </w:r>
      <w:r>
        <w:rPr>
          <w:rFonts w:ascii="Arial" w:cs="Arial" w:eastAsia="Arial" w:hAnsi="Arial"/>
          <w:sz w:val="22"/>
          <w:szCs w:val="22"/>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Section 6.02</w:t>
      </w:r>
      <w:r>
        <w:rPr>
          <w:rFonts w:ascii="Arial" w:cs="Arial" w:eastAsia="Arial" w:hAnsi="Arial"/>
          <w:sz w:val="22"/>
          <w:szCs w:val="22"/>
          <w:i w:val="1"/>
          <w:iCs w:val="1"/>
          <w:color w:val="auto"/>
        </w:rPr>
        <w:t>Acceleration.</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the case of an Event of Default specified in clause (g) or (h) of Section 6.01 hereof, with respect to either Issuer or any Guarantor,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 The Holders of a majority in aggregate principal amount of the then outstanding Notes by written notice to the Trustee may on behalf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631" w:right="239" w:bottom="1440" w:gutter="0" w:footer="0" w:header="0"/>
        </w:sectPr>
      </w:pPr>
    </w:p>
    <w:bookmarkStart w:id="124" w:name="page125"/>
    <w:bookmarkEnd w:id="124"/>
    <w:p>
      <w:pPr>
        <w:jc w:val="both"/>
        <w:ind w:right="20"/>
        <w:spacing w:after="0" w:line="253" w:lineRule="auto"/>
        <w:rPr>
          <w:sz w:val="20"/>
          <w:szCs w:val="20"/>
          <w:color w:val="auto"/>
        </w:rPr>
      </w:pPr>
      <w:r>
        <w:rPr>
          <w:rFonts w:ascii="Arial" w:cs="Arial" w:eastAsia="Arial" w:hAnsi="Arial"/>
          <w:sz w:val="22"/>
          <w:szCs w:val="22"/>
          <w:color w:val="auto"/>
        </w:rPr>
        <w:t>all of the Holders rescind an acceleration and its consequences if the rescission would not conflict with any judgment or decree and if all existing Events of Default (except nonpayment of principal, interest or premium, if any, that has become due solely because of the acceleration) have been cured or waived.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6.03</w:t>
      </w:r>
      <w:r>
        <w:rPr>
          <w:rFonts w:ascii="Arial" w:cs="Arial" w:eastAsia="Arial" w:hAnsi="Arial"/>
          <w:sz w:val="22"/>
          <w:szCs w:val="22"/>
          <w:i w:val="1"/>
          <w:iCs w:val="1"/>
          <w:color w:val="auto"/>
        </w:rPr>
        <w:t>Other Remedies.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6.04</w:t>
      </w:r>
      <w:r>
        <w:rPr>
          <w:rFonts w:ascii="Arial" w:cs="Arial" w:eastAsia="Arial" w:hAnsi="Arial"/>
          <w:sz w:val="22"/>
          <w:szCs w:val="22"/>
          <w:i w:val="1"/>
          <w:iCs w:val="1"/>
          <w:color w:val="auto"/>
        </w:rPr>
        <w:t>Waiver of Past Defaults.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provided, however,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Section 6.05</w:t>
      </w:r>
      <w:r>
        <w:rPr>
          <w:rFonts w:ascii="Arial" w:cs="Arial" w:eastAsia="Arial" w:hAnsi="Arial"/>
          <w:sz w:val="22"/>
          <w:szCs w:val="22"/>
          <w:i w:val="1"/>
          <w:iCs w:val="1"/>
          <w:color w:val="auto"/>
        </w:rPr>
        <w:t>Control by Majority.</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may be unduly prejudicial to the rights of other Holders of Notes or that may involve the Trustee in personal liability.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Section 6.06</w:t>
      </w:r>
      <w:r>
        <w:rPr>
          <w:rFonts w:ascii="Arial" w:cs="Arial" w:eastAsia="Arial" w:hAnsi="Arial"/>
          <w:sz w:val="22"/>
          <w:szCs w:val="22"/>
          <w:i w:val="1"/>
          <w:iCs w:val="1"/>
          <w:color w:val="auto"/>
        </w:rPr>
        <w:t>Limitation on Suits.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175" w:lineRule="exact"/>
        <w:rPr>
          <w:sz w:val="20"/>
          <w:szCs w:val="20"/>
          <w:color w:val="auto"/>
        </w:rPr>
      </w:pPr>
    </w:p>
    <w:p>
      <w:pPr>
        <w:ind w:left="5600" w:right="2080" w:hanging="4944"/>
        <w:spacing w:after="0" w:line="712" w:lineRule="auto"/>
        <w:tabs>
          <w:tab w:leader="none" w:pos="107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 62</w:t>
      </w:r>
    </w:p>
    <w:p>
      <w:pPr>
        <w:sectPr>
          <w:pgSz w:w="11900" w:h="16838" w:orient="portrait"/>
          <w:cols w:equalWidth="0" w:num="1">
            <w:col w:w="11420"/>
          </w:cols>
          <w:pgMar w:left="240" w:top="631" w:right="239" w:bottom="1440" w:gutter="0" w:footer="0" w:header="0"/>
        </w:sectPr>
      </w:pPr>
    </w:p>
    <w:bookmarkStart w:id="125" w:name="page126"/>
    <w:bookmarkEnd w:id="125"/>
    <w:p>
      <w:pPr>
        <w:ind w:firstLine="656"/>
        <w:spacing w:after="0" w:line="276" w:lineRule="auto"/>
        <w:tabs>
          <w:tab w:leader="none" w:pos="1107"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160" w:lineRule="exact"/>
        <w:rPr>
          <w:rFonts w:ascii="Arial" w:cs="Arial" w:eastAsia="Arial" w:hAnsi="Arial"/>
          <w:sz w:val="22"/>
          <w:szCs w:val="22"/>
          <w:color w:val="auto"/>
        </w:rPr>
      </w:pPr>
    </w:p>
    <w:p>
      <w:pPr>
        <w:ind w:right="20" w:firstLine="656"/>
        <w:spacing w:after="0" w:line="276" w:lineRule="auto"/>
        <w:tabs>
          <w:tab w:leader="none" w:pos="1095"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satisfactory to the Trustee against any loss, liability or expense;</w:t>
      </w:r>
    </w:p>
    <w:p>
      <w:pPr>
        <w:spacing w:after="0" w:line="160" w:lineRule="exact"/>
        <w:rPr>
          <w:rFonts w:ascii="Arial" w:cs="Arial" w:eastAsia="Arial" w:hAnsi="Arial"/>
          <w:sz w:val="22"/>
          <w:szCs w:val="22"/>
          <w:color w:val="auto"/>
        </w:rPr>
      </w:pPr>
    </w:p>
    <w:p>
      <w:pPr>
        <w:ind w:firstLine="656"/>
        <w:spacing w:after="0" w:line="276" w:lineRule="auto"/>
        <w:tabs>
          <w:tab w:leader="none" w:pos="114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60" w:lineRule="exact"/>
        <w:rPr>
          <w:rFonts w:ascii="Arial" w:cs="Arial" w:eastAsia="Arial" w:hAnsi="Arial"/>
          <w:sz w:val="22"/>
          <w:szCs w:val="22"/>
          <w:color w:val="auto"/>
        </w:rPr>
      </w:pPr>
    </w:p>
    <w:p>
      <w:pPr>
        <w:ind w:right="20" w:firstLine="656"/>
        <w:spacing w:after="0" w:line="276" w:lineRule="auto"/>
        <w:tabs>
          <w:tab w:leader="none" w:pos="1109"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foregoing, any notice of Default, notice of acceleration or</w:t>
      </w:r>
    </w:p>
    <w:p>
      <w:pPr>
        <w:spacing w:after="0" w:line="2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instruction to the Trustee to provide a notice of Default, notice of acceleration or take any other action (a “Noteholder Direction”) provided by any one or more Holders (each a “Directing Holder”) must be accompanied by a written representation from each such Holder to Wynn Resorts Finance and the Trustee that such Holder is not (or, in the case such Holder is the Depositary or its nominee, that such Holder is being instructed solely by Beneficial Owners that are not) Net Short (a “Position Representation”), which representation, in the case of a Noteholder Direction relating to a notice of Default shall be deemed repeated at all times until the resulting Event of Default is cured or otherwise ceases to exist or the Notes are accelerated. In addition, each Directing Holder must, at the time of providing a Noteholder Direction, covenant to provide the Issuers with such other information as the Issuers may reasonably request from time to time in order to verify the accuracy of such Holder’s Position Representation within five Business Days of request therefor (a “Verification Covenant”). In any case in which the Holder is the Depositary or its nominee, any Position Representation or Verification Covenant required hereunder shall be provided by the Beneficial Owner of the Notes in lieu of the Depositary or its nominee.</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Trustee shall not have any obligation to check, verify or confirm any information in any Position Representation and may rely conclusively on any Position Representation delivered to it.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6.07</w:t>
      </w:r>
      <w:r>
        <w:rPr>
          <w:rFonts w:ascii="Arial" w:cs="Arial" w:eastAsia="Arial" w:hAnsi="Arial"/>
          <w:sz w:val="22"/>
          <w:szCs w:val="22"/>
          <w:i w:val="1"/>
          <w:iCs w:val="1"/>
          <w:color w:val="auto"/>
        </w:rPr>
        <w:t>Rights of Holders of Notes to Receive Payment.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Notwithstanding any other provision of this Indenture,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 provided that a Holder shall not have the right to institute any such suit for the enforcement of payment if and to the extent that the institution or prosecution thereof or the entry of judgment therein would, under applicable law, result in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surrender, impairment, waiver or loss of the Lien of this Indenture upon any property subject to such Lien.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6.08</w:t>
      </w:r>
      <w:r>
        <w:rPr>
          <w:rFonts w:ascii="Arial" w:cs="Arial" w:eastAsia="Arial" w:hAnsi="Arial"/>
          <w:sz w:val="22"/>
          <w:szCs w:val="22"/>
          <w:i w:val="1"/>
          <w:iCs w:val="1"/>
          <w:color w:val="auto"/>
        </w:rPr>
        <w:t>Collection Suit by Trustee.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an Event of Default specified in Section 6.01(a) or (b) occurs and is continuing, the Trustee is authorized to recover judgment in its own name and as trustee of an express trust against the Issuers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Section 6.09</w:t>
      </w:r>
      <w:r>
        <w:rPr>
          <w:rFonts w:ascii="Arial" w:cs="Arial" w:eastAsia="Arial" w:hAnsi="Arial"/>
          <w:sz w:val="22"/>
          <w:szCs w:val="22"/>
          <w:i w:val="1"/>
          <w:iCs w:val="1"/>
          <w:color w:val="auto"/>
        </w:rPr>
        <w:t>Trustee May File Proofs of Claim.</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Issuers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hereof. To the extent that the payment of any such compensation, expenses, disbursements and advances of the Trustee, its agents and counsel, and any other amounts due the Trustee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Section 6.10</w:t>
      </w:r>
      <w:r>
        <w:rPr>
          <w:rFonts w:ascii="Arial" w:cs="Arial" w:eastAsia="Arial" w:hAnsi="Arial"/>
          <w:sz w:val="22"/>
          <w:szCs w:val="22"/>
          <w:i w:val="1"/>
          <w:iCs w:val="1"/>
          <w:color w:val="auto"/>
        </w:rPr>
        <w:t>Priorities.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20" w:lineRule="exact"/>
        <w:rPr>
          <w:sz w:val="20"/>
          <w:szCs w:val="20"/>
          <w:color w:val="auto"/>
        </w:rPr>
      </w:pPr>
    </w:p>
    <w:p>
      <w:pPr>
        <w:ind w:left="660" w:firstLine="648"/>
        <w:spacing w:after="0" w:line="287" w:lineRule="auto"/>
        <w:rPr>
          <w:sz w:val="20"/>
          <w:szCs w:val="20"/>
          <w:color w:val="auto"/>
        </w:rPr>
      </w:pPr>
      <w:r>
        <w:rPr>
          <w:rFonts w:ascii="Arial" w:cs="Arial" w:eastAsia="Arial" w:hAnsi="Arial"/>
          <w:sz w:val="21"/>
          <w:szCs w:val="21"/>
          <w:i w:val="1"/>
          <w:iCs w:val="1"/>
          <w:color w:val="auto"/>
        </w:rPr>
        <w:t>First</w:t>
      </w:r>
      <w:r>
        <w:rPr>
          <w:rFonts w:ascii="Arial" w:cs="Arial" w:eastAsia="Arial" w:hAnsi="Arial"/>
          <w:sz w:val="21"/>
          <w:szCs w:val="21"/>
          <w:color w:val="auto"/>
        </w:rPr>
        <w:t>: to the Trustee, for amounts due under Section 7.06 hereof, including payment of all compensation, expense</w:t>
      </w:r>
      <w:r>
        <w:rPr>
          <w:rFonts w:ascii="Arial" w:cs="Arial" w:eastAsia="Arial" w:hAnsi="Arial"/>
          <w:sz w:val="21"/>
          <w:szCs w:val="21"/>
          <w:i w:val="1"/>
          <w:iCs w:val="1"/>
          <w:color w:val="auto"/>
        </w:rPr>
        <w:t xml:space="preserve"> </w:t>
      </w:r>
      <w:r>
        <w:rPr>
          <w:rFonts w:ascii="Arial" w:cs="Arial" w:eastAsia="Arial" w:hAnsi="Arial"/>
          <w:sz w:val="21"/>
          <w:szCs w:val="21"/>
          <w:color w:val="auto"/>
        </w:rPr>
        <w:t>and liabilities incurred, and all advances made, by the Trustee and the costs and expenses of collection;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127" w:name="page128"/>
    <w:bookmarkEnd w:id="127"/>
    <w:p>
      <w:pPr>
        <w:jc w:val="both"/>
        <w:ind w:left="660" w:firstLine="648"/>
        <w:spacing w:after="0" w:line="253" w:lineRule="auto"/>
        <w:rPr>
          <w:sz w:val="20"/>
          <w:szCs w:val="20"/>
          <w:color w:val="auto"/>
        </w:rPr>
      </w:pPr>
      <w:r>
        <w:rPr>
          <w:rFonts w:ascii="Arial" w:cs="Arial" w:eastAsia="Arial" w:hAnsi="Arial"/>
          <w:sz w:val="22"/>
          <w:szCs w:val="22"/>
          <w:i w:val="1"/>
          <w:iCs w:val="1"/>
          <w:color w:val="auto"/>
        </w:rPr>
        <w:t xml:space="preserve">Second: </w:t>
      </w:r>
      <w:r>
        <w:rPr>
          <w:rFonts w:ascii="Arial" w:cs="Arial" w:eastAsia="Arial" w:hAnsi="Arial"/>
          <w:sz w:val="22"/>
          <w:szCs w:val="22"/>
          <w:color w:val="auto"/>
        </w:rPr>
        <w:t>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6"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i w:val="1"/>
          <w:iCs w:val="1"/>
          <w:color w:val="auto"/>
        </w:rPr>
        <w:t>Third:</w:t>
      </w:r>
      <w:r>
        <w:rPr>
          <w:sz w:val="20"/>
          <w:szCs w:val="20"/>
          <w:color w:val="auto"/>
        </w:rPr>
        <w:tab/>
      </w:r>
      <w:r>
        <w:rPr>
          <w:rFonts w:ascii="Arial" w:cs="Arial" w:eastAsia="Arial" w:hAnsi="Arial"/>
          <w:sz w:val="22"/>
          <w:szCs w:val="22"/>
          <w:color w:val="auto"/>
        </w:rPr>
        <w:t>to the Issuers or to such party as a court of competent jurisdiction shall direct.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Section 6.11</w:t>
      </w:r>
      <w:r>
        <w:rPr>
          <w:rFonts w:ascii="Arial" w:cs="Arial" w:eastAsia="Arial" w:hAnsi="Arial"/>
          <w:sz w:val="22"/>
          <w:szCs w:val="22"/>
          <w:i w:val="1"/>
          <w:iCs w:val="1"/>
          <w:color w:val="auto"/>
        </w:rPr>
        <w:t>Undertaking for Costs.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174"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right"/>
        <w:ind w:right="5200"/>
        <w:spacing w:after="0"/>
        <w:rPr>
          <w:sz w:val="20"/>
          <w:szCs w:val="20"/>
          <w:color w:val="auto"/>
        </w:rPr>
      </w:pPr>
      <w:r>
        <w:rPr>
          <w:rFonts w:ascii="Arial" w:cs="Arial" w:eastAsia="Arial" w:hAnsi="Arial"/>
          <w:sz w:val="22"/>
          <w:szCs w:val="22"/>
          <w:b w:val="1"/>
          <w:bCs w:val="1"/>
          <w:color w:val="auto"/>
        </w:rPr>
        <w:t>TRUSTEE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7.01</w:t>
      </w:r>
      <w:r>
        <w:rPr>
          <w:rFonts w:ascii="Arial" w:cs="Arial" w:eastAsia="Arial" w:hAnsi="Arial"/>
          <w:sz w:val="22"/>
          <w:szCs w:val="22"/>
          <w:i w:val="1"/>
          <w:iCs w:val="1"/>
          <w:color w:val="auto"/>
        </w:rPr>
        <w:t>Duties of Trustee.</w:t>
      </w:r>
    </w:p>
    <w:p>
      <w:pPr>
        <w:spacing w:after="0" w:line="220" w:lineRule="exact"/>
        <w:rPr>
          <w:sz w:val="20"/>
          <w:szCs w:val="20"/>
          <w:color w:val="auto"/>
        </w:rPr>
      </w:pPr>
    </w:p>
    <w:p>
      <w:pPr>
        <w:jc w:val="both"/>
        <w:ind w:firstLine="656"/>
        <w:spacing w:after="0" w:line="260" w:lineRule="auto"/>
        <w:tabs>
          <w:tab w:leader="none" w:pos="106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5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77" w:lineRule="exact"/>
        <w:rPr>
          <w:rFonts w:ascii="Arial" w:cs="Arial" w:eastAsia="Arial" w:hAnsi="Arial"/>
          <w:sz w:val="22"/>
          <w:szCs w:val="22"/>
          <w:color w:val="auto"/>
        </w:rPr>
      </w:pPr>
    </w:p>
    <w:p>
      <w:pPr>
        <w:jc w:val="both"/>
        <w:ind w:left="660" w:firstLine="645"/>
        <w:spacing w:after="0" w:line="254" w:lineRule="auto"/>
        <w:tabs>
          <w:tab w:leader="none" w:pos="1781" w:val="left"/>
        </w:tabs>
        <w:numPr>
          <w:ilvl w:val="1"/>
          <w:numId w:val="126"/>
        </w:numPr>
        <w:rPr>
          <w:rFonts w:ascii="Arial" w:cs="Arial" w:eastAsia="Arial" w:hAnsi="Arial"/>
          <w:sz w:val="22"/>
          <w:szCs w:val="22"/>
          <w:color w:val="auto"/>
        </w:rPr>
      </w:pPr>
      <w:r>
        <w:rPr>
          <w:rFonts w:ascii="Arial" w:cs="Arial" w:eastAsia="Arial" w:hAnsi="Arial"/>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w:t>
      </w:r>
    </w:p>
    <w:p>
      <w:pPr>
        <w:spacing w:after="0" w:line="185" w:lineRule="exact"/>
        <w:rPr>
          <w:rFonts w:ascii="Arial" w:cs="Arial" w:eastAsia="Arial" w:hAnsi="Arial"/>
          <w:sz w:val="22"/>
          <w:szCs w:val="22"/>
          <w:color w:val="auto"/>
        </w:rPr>
      </w:pPr>
    </w:p>
    <w:p>
      <w:pPr>
        <w:ind w:firstLine="656"/>
        <w:spacing w:after="0" w:line="276" w:lineRule="auto"/>
        <w:tabs>
          <w:tab w:leader="none" w:pos="106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128" w:name="page129"/>
    <w:bookmarkEnd w:id="128"/>
    <w:p>
      <w:pPr>
        <w:ind w:left="1740" w:hanging="435"/>
        <w:spacing w:after="0"/>
        <w:tabs>
          <w:tab w:leader="none" w:pos="1740"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33" w:lineRule="exact"/>
        <w:rPr>
          <w:rFonts w:ascii="Arial" w:cs="Arial" w:eastAsia="Arial" w:hAnsi="Arial"/>
          <w:sz w:val="22"/>
          <w:szCs w:val="22"/>
          <w:color w:val="auto"/>
        </w:rPr>
      </w:pPr>
    </w:p>
    <w:p>
      <w:pPr>
        <w:ind w:left="660" w:firstLine="645"/>
        <w:spacing w:after="0" w:line="276" w:lineRule="auto"/>
        <w:tabs>
          <w:tab w:leader="none" w:pos="1767"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60" w:lineRule="exact"/>
        <w:rPr>
          <w:rFonts w:ascii="Arial" w:cs="Arial" w:eastAsia="Arial" w:hAnsi="Arial"/>
          <w:sz w:val="22"/>
          <w:szCs w:val="22"/>
          <w:color w:val="auto"/>
        </w:rPr>
      </w:pPr>
    </w:p>
    <w:p>
      <w:pPr>
        <w:ind w:left="660" w:firstLine="645"/>
        <w:spacing w:after="0" w:line="276" w:lineRule="auto"/>
        <w:tabs>
          <w:tab w:leader="none" w:pos="179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160" w:lineRule="exact"/>
        <w:rPr>
          <w:rFonts w:ascii="Arial" w:cs="Arial" w:eastAsia="Arial" w:hAnsi="Arial"/>
          <w:sz w:val="22"/>
          <w:szCs w:val="22"/>
          <w:color w:val="auto"/>
        </w:rPr>
      </w:pPr>
    </w:p>
    <w:p>
      <w:pPr>
        <w:ind w:firstLine="656"/>
        <w:spacing w:after="0" w:line="276" w:lineRule="auto"/>
        <w:tabs>
          <w:tab w:leader="none" w:pos="10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60" w:lineRule="exact"/>
        <w:rPr>
          <w:rFonts w:ascii="Arial" w:cs="Arial" w:eastAsia="Arial" w:hAnsi="Arial"/>
          <w:sz w:val="22"/>
          <w:szCs w:val="22"/>
          <w:color w:val="auto"/>
        </w:rPr>
      </w:pPr>
    </w:p>
    <w:p>
      <w:pPr>
        <w:jc w:val="both"/>
        <w:ind w:firstLine="656"/>
        <w:spacing w:after="0" w:line="320" w:lineRule="auto"/>
        <w:tabs>
          <w:tab w:leader="none" w:pos="116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satisfactory to it against any loss, liability or expense.</w:t>
      </w:r>
    </w:p>
    <w:p>
      <w:pPr>
        <w:spacing w:after="0" w:line="125" w:lineRule="exact"/>
        <w:rPr>
          <w:rFonts w:ascii="Arial" w:cs="Arial" w:eastAsia="Arial" w:hAnsi="Arial"/>
          <w:sz w:val="19"/>
          <w:szCs w:val="19"/>
          <w:color w:val="auto"/>
        </w:rPr>
      </w:pPr>
    </w:p>
    <w:p>
      <w:pPr>
        <w:ind w:firstLine="656"/>
        <w:spacing w:after="0" w:line="358" w:lineRule="auto"/>
        <w:tabs>
          <w:tab w:leader="none" w:pos="105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Issuers. Money held in trust by the Trustee need not be segregated from other funds except to the extent required by law.</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Section 7.02</w:t>
      </w:r>
      <w:r>
        <w:rPr>
          <w:rFonts w:ascii="Arial" w:cs="Arial" w:eastAsia="Arial" w:hAnsi="Arial"/>
          <w:sz w:val="22"/>
          <w:szCs w:val="22"/>
          <w:i w:val="1"/>
          <w:iCs w:val="1"/>
          <w:color w:val="auto"/>
        </w:rPr>
        <w:t>Rights of Trustee.</w:t>
      </w:r>
    </w:p>
    <w:p>
      <w:pPr>
        <w:spacing w:after="0" w:line="220" w:lineRule="exact"/>
        <w:rPr>
          <w:sz w:val="20"/>
          <w:szCs w:val="20"/>
          <w:color w:val="auto"/>
        </w:rPr>
      </w:pPr>
    </w:p>
    <w:p>
      <w:pPr>
        <w:ind w:right="20" w:firstLine="656"/>
        <w:spacing w:after="0" w:line="301" w:lineRule="auto"/>
        <w:tabs>
          <w:tab w:leader="none" w:pos="120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Trustee may conclusively rely upon any document believed by it to be genuine and to have been signed or presented by the proper Person. The Trustee need not investigate any fact or matter stated in the document.</w:t>
      </w:r>
    </w:p>
    <w:p>
      <w:pPr>
        <w:spacing w:after="0" w:line="137" w:lineRule="exact"/>
        <w:rPr>
          <w:rFonts w:ascii="Arial" w:cs="Arial" w:eastAsia="Arial" w:hAnsi="Arial"/>
          <w:sz w:val="21"/>
          <w:szCs w:val="21"/>
          <w:color w:val="auto"/>
        </w:rPr>
      </w:pPr>
    </w:p>
    <w:p>
      <w:pPr>
        <w:jc w:val="both"/>
        <w:ind w:firstLine="656"/>
        <w:spacing w:after="0" w:line="251" w:lineRule="auto"/>
        <w:tabs>
          <w:tab w:leader="none" w:pos="116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and the written advice of such counsel or any Opinion of Counsel shall be full and complete authorization and protection from liability in respect of any action taken, suffered or omitted by it hereunder in good faith and in reliance thereon.</w:t>
      </w:r>
    </w:p>
    <w:p>
      <w:pPr>
        <w:spacing w:after="0" w:line="189" w:lineRule="exact"/>
        <w:rPr>
          <w:rFonts w:ascii="Arial" w:cs="Arial" w:eastAsia="Arial" w:hAnsi="Arial"/>
          <w:sz w:val="22"/>
          <w:szCs w:val="22"/>
          <w:color w:val="auto"/>
        </w:rPr>
      </w:pPr>
    </w:p>
    <w:p>
      <w:pPr>
        <w:ind w:firstLine="656"/>
        <w:spacing w:after="0" w:line="276" w:lineRule="auto"/>
        <w:tabs>
          <w:tab w:leader="none" w:pos="109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60" w:lineRule="exact"/>
        <w:rPr>
          <w:rFonts w:ascii="Arial" w:cs="Arial" w:eastAsia="Arial" w:hAnsi="Arial"/>
          <w:sz w:val="22"/>
          <w:szCs w:val="22"/>
          <w:color w:val="auto"/>
        </w:rPr>
      </w:pPr>
    </w:p>
    <w:p>
      <w:pPr>
        <w:ind w:firstLine="656"/>
        <w:spacing w:after="0" w:line="276" w:lineRule="auto"/>
        <w:tabs>
          <w:tab w:leader="none" w:pos="1107"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60" w:lineRule="exact"/>
        <w:rPr>
          <w:rFonts w:ascii="Arial" w:cs="Arial" w:eastAsia="Arial" w:hAnsi="Arial"/>
          <w:sz w:val="22"/>
          <w:szCs w:val="22"/>
          <w:color w:val="auto"/>
        </w:rPr>
      </w:pPr>
    </w:p>
    <w:p>
      <w:pPr>
        <w:ind w:firstLine="656"/>
        <w:spacing w:after="0" w:line="276" w:lineRule="auto"/>
        <w:tabs>
          <w:tab w:leader="none" w:pos="1068" w:val="left"/>
        </w:tabs>
        <w:numPr>
          <w:ilvl w:val="0"/>
          <w:numId w:val="129"/>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Issuers shall be sufficient if signed by an Officer of either Issuer.</w:t>
      </w:r>
    </w:p>
    <w:p>
      <w:pPr>
        <w:spacing w:after="0" w:line="160" w:lineRule="exact"/>
        <w:rPr>
          <w:rFonts w:ascii="Arial" w:cs="Arial" w:eastAsia="Arial" w:hAnsi="Arial"/>
          <w:sz w:val="22"/>
          <w:szCs w:val="22"/>
          <w:color w:val="auto"/>
        </w:rPr>
      </w:pPr>
    </w:p>
    <w:p>
      <w:pPr>
        <w:ind w:left="1060" w:hanging="404"/>
        <w:spacing w:after="0"/>
        <w:tabs>
          <w:tab w:leader="none" w:pos="106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631" w:right="239" w:bottom="1440" w:gutter="0" w:footer="0" w:header="0"/>
        </w:sectPr>
      </w:pPr>
    </w:p>
    <w:bookmarkStart w:id="129" w:name="page130"/>
    <w:bookmarkEnd w:id="129"/>
    <w:p>
      <w:pPr>
        <w:ind w:firstLine="656"/>
        <w:spacing w:after="0" w:line="276" w:lineRule="auto"/>
        <w:tabs>
          <w:tab w:leader="none" w:pos="10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Issuers with respect to the covenants contained in Articles 4 and 5 hereof.</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0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or obtained actual knowledge thereof.</w:t>
      </w:r>
    </w:p>
    <w:p>
      <w:pPr>
        <w:spacing w:after="0" w:line="177" w:lineRule="exact"/>
        <w:rPr>
          <w:rFonts w:ascii="Arial" w:cs="Arial" w:eastAsia="Arial" w:hAnsi="Arial"/>
          <w:sz w:val="22"/>
          <w:szCs w:val="22"/>
          <w:color w:val="auto"/>
        </w:rPr>
      </w:pPr>
    </w:p>
    <w:p>
      <w:pPr>
        <w:jc w:val="both"/>
        <w:ind w:firstLine="656"/>
        <w:spacing w:after="0" w:line="270" w:lineRule="auto"/>
        <w:tabs>
          <w:tab w:leader="none" w:pos="1073"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 Trustee may request that the Issuers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69" w:lineRule="exact"/>
        <w:rPr>
          <w:rFonts w:ascii="Arial" w:cs="Arial" w:eastAsia="Arial" w:hAnsi="Arial"/>
          <w:sz w:val="21"/>
          <w:szCs w:val="21"/>
          <w:color w:val="auto"/>
        </w:rPr>
      </w:pPr>
    </w:p>
    <w:p>
      <w:pPr>
        <w:ind w:left="1040" w:hanging="384"/>
        <w:spacing w:after="0"/>
        <w:tabs>
          <w:tab w:leader="none" w:pos="10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 duties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215" w:lineRule="exact"/>
        <w:rPr>
          <w:rFonts w:ascii="Arial" w:cs="Arial" w:eastAsia="Arial" w:hAnsi="Arial"/>
          <w:sz w:val="19"/>
          <w:szCs w:val="19"/>
          <w:color w:val="auto"/>
        </w:rPr>
      </w:pPr>
    </w:p>
    <w:p>
      <w:pPr>
        <w:jc w:val="both"/>
        <w:ind w:firstLine="656"/>
        <w:spacing w:after="0" w:line="264" w:lineRule="auto"/>
        <w:tabs>
          <w:tab w:leader="none" w:pos="1127"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5" w:lineRule="exact"/>
        <w:rPr>
          <w:rFonts w:ascii="Arial" w:cs="Arial" w:eastAsia="Arial" w:hAnsi="Arial"/>
          <w:sz w:val="21"/>
          <w:szCs w:val="21"/>
          <w:color w:val="auto"/>
        </w:rPr>
      </w:pPr>
    </w:p>
    <w:p>
      <w:pPr>
        <w:jc w:val="both"/>
        <w:ind w:firstLine="656"/>
        <w:spacing w:after="0" w:line="260" w:lineRule="auto"/>
        <w:tabs>
          <w:tab w:leader="none" w:pos="116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7.03</w:t>
      </w:r>
      <w:r>
        <w:rPr>
          <w:rFonts w:ascii="Arial" w:cs="Arial" w:eastAsia="Arial" w:hAnsi="Arial"/>
          <w:sz w:val="22"/>
          <w:szCs w:val="22"/>
          <w:i w:val="1"/>
          <w:iCs w:val="1"/>
          <w:color w:val="auto"/>
        </w:rPr>
        <w:t>Individual Rights of Trustee.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in its individual or any other capacity, may become the owner or pledgee of Notes and may otherwise deal with the Issuers or any Affiliate of the Issuers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7.09 hereof.</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7.04</w:t>
      </w:r>
      <w:r>
        <w:rPr>
          <w:rFonts w:ascii="Arial" w:cs="Arial" w:eastAsia="Arial" w:hAnsi="Arial"/>
          <w:sz w:val="22"/>
          <w:szCs w:val="22"/>
          <w:i w:val="1"/>
          <w:iCs w:val="1"/>
          <w:color w:val="auto"/>
        </w:rPr>
        <w:t>Trustee’s Disclaimer.</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31" w:right="239" w:bottom="1440" w:gutter="0" w:footer="0" w:header="0"/>
        </w:sectPr>
      </w:pPr>
    </w:p>
    <w:bookmarkStart w:id="130" w:name="page131"/>
    <w:bookmarkEnd w:id="130"/>
    <w:p>
      <w:pPr>
        <w:jc w:val="both"/>
        <w:spacing w:after="0" w:line="265" w:lineRule="auto"/>
        <w:rPr>
          <w:sz w:val="20"/>
          <w:szCs w:val="20"/>
          <w:color w:val="auto"/>
        </w:rPr>
      </w:pPr>
      <w:r>
        <w:rPr>
          <w:rFonts w:ascii="Arial" w:cs="Arial" w:eastAsia="Arial" w:hAnsi="Arial"/>
          <w:sz w:val="21"/>
          <w:szCs w:val="21"/>
          <w:color w:val="auto"/>
        </w:rPr>
        <w:t>from the Notes or any money paid to the Issuers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Section 7.05</w:t>
      </w:r>
      <w:r>
        <w:rPr>
          <w:rFonts w:ascii="Arial" w:cs="Arial" w:eastAsia="Arial" w:hAnsi="Arial"/>
          <w:sz w:val="22"/>
          <w:szCs w:val="22"/>
          <w:i w:val="1"/>
          <w:iCs w:val="1"/>
          <w:color w:val="auto"/>
        </w:rPr>
        <w:t>Notice of Defaults.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 Default or Event of Default occurs and is continuing and if it is known to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 determines that withholding the notice is in the interests of the Holders of the Notes.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Section 7.06</w:t>
      </w:r>
      <w:r>
        <w:rPr>
          <w:rFonts w:ascii="Arial" w:cs="Arial" w:eastAsia="Arial" w:hAnsi="Arial"/>
          <w:sz w:val="22"/>
          <w:szCs w:val="22"/>
          <w:i w:val="1"/>
          <w:iCs w:val="1"/>
          <w:color w:val="auto"/>
        </w:rPr>
        <w:t>Compensation and Indemnity.</w:t>
      </w:r>
    </w:p>
    <w:p>
      <w:pPr>
        <w:spacing w:after="0" w:line="220" w:lineRule="exact"/>
        <w:rPr>
          <w:sz w:val="20"/>
          <w:szCs w:val="20"/>
          <w:color w:val="auto"/>
        </w:rPr>
      </w:pPr>
    </w:p>
    <w:p>
      <w:pPr>
        <w:jc w:val="both"/>
        <w:ind w:firstLine="656"/>
        <w:spacing w:after="0" w:line="266" w:lineRule="auto"/>
        <w:tabs>
          <w:tab w:leader="none" w:pos="1068"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Issuers shall pay to the Trustee from time to time reasonable compensation for its acceptance of this Indenture and services hereunder. The Trustee’s compensation shall not be limited by any law on compensation of a trustee of an express trust. The Issuers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174" w:lineRule="exact"/>
        <w:rPr>
          <w:rFonts w:ascii="Arial" w:cs="Arial" w:eastAsia="Arial" w:hAnsi="Arial"/>
          <w:sz w:val="21"/>
          <w:szCs w:val="21"/>
          <w:color w:val="auto"/>
        </w:rPr>
      </w:pPr>
    </w:p>
    <w:p>
      <w:pPr>
        <w:jc w:val="both"/>
        <w:ind w:firstLine="656"/>
        <w:spacing w:after="0" w:line="259" w:lineRule="auto"/>
        <w:tabs>
          <w:tab w:leader="none" w:pos="1121"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Issuers and the Guarantors shall indemnify the Trustee against any and all losses, liabilities or expenses incurred by it arising out of or in connection with the acceptance or administration of its duties under this Indenture, including the costs and expenses of enforcing this Indenture against the Issuers and the Guarantors (including this Section 7.06) and defending itself against any claim (whether asserted by the Issuers, the Guarantors or any Holder or any other Person) or liability in connection with the exercise or performance of any of its powers or duties hereunder or thereunder, respectively, except to the extent any such loss, liability or expense may be attributable to its negligence or willful misconduct. The Trustee shall notify the Issuers promptly of any claim for which it may seek indemnity. Failure by the Trustee to so notify the Issuers shall not relieve the Issuers or any of the Guarantors of their obligations hereunder. The Issuers or such Guarantor shall defend the claim and the Trustee shall cooperate in the defense. The Trustee may have separate counsel and the Issuers shall pay the reasonable fees and expenses of such counsel. Neither the Issuers nor any Guarantor need pay for any settlement made without its consent, which consent shall not be unreasonably withheld.</w:t>
      </w:r>
    </w:p>
    <w:p>
      <w:pPr>
        <w:spacing w:after="0" w:line="185" w:lineRule="exact"/>
        <w:rPr>
          <w:rFonts w:ascii="Arial" w:cs="Arial" w:eastAsia="Arial" w:hAnsi="Arial"/>
          <w:sz w:val="21"/>
          <w:szCs w:val="21"/>
          <w:color w:val="auto"/>
        </w:rPr>
      </w:pPr>
    </w:p>
    <w:p>
      <w:pPr>
        <w:ind w:firstLine="656"/>
        <w:spacing w:after="0" w:line="276" w:lineRule="auto"/>
        <w:tabs>
          <w:tab w:leader="none" w:pos="106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obligations of the Issuers and the Guarantors under this Section 7.06 shall survive the satisfaction and discharge of this Indenture, and the resignation or removal of the Trustee.</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9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secure the Issuers’ and the Guarantors’ payment obligations in this Section 7.06, the Trustee shall have a Lien prior to the Notes on all money or property held or collected by the Trustee, except that held in trust to pay principal and interest on particular Notes. Such Lien shall survive the satisfaction and discharge of this Indenture.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31" w:right="239" w:bottom="1440" w:gutter="0" w:footer="0" w:header="0"/>
        </w:sectPr>
      </w:pPr>
    </w:p>
    <w:bookmarkStart w:id="131" w:name="page132"/>
    <w:bookmarkEnd w:id="131"/>
    <w:p>
      <w:pPr>
        <w:jc w:val="both"/>
        <w:ind w:firstLine="656"/>
        <w:spacing w:after="0" w:line="260" w:lineRule="auto"/>
        <w:tabs>
          <w:tab w:leader="none" w:pos="1163"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7.07</w:t>
      </w:r>
      <w:r>
        <w:rPr>
          <w:rFonts w:ascii="Arial" w:cs="Arial" w:eastAsia="Arial" w:hAnsi="Arial"/>
          <w:sz w:val="22"/>
          <w:szCs w:val="22"/>
          <w:i w:val="1"/>
          <w:iCs w:val="1"/>
          <w:color w:val="auto"/>
        </w:rPr>
        <w:t>Replacement of Trustee.</w:t>
      </w:r>
    </w:p>
    <w:p>
      <w:pPr>
        <w:spacing w:after="0" w:line="220" w:lineRule="exact"/>
        <w:rPr>
          <w:sz w:val="20"/>
          <w:szCs w:val="20"/>
          <w:color w:val="auto"/>
        </w:rPr>
      </w:pPr>
    </w:p>
    <w:p>
      <w:pPr>
        <w:ind w:firstLine="656"/>
        <w:spacing w:after="0" w:line="276" w:lineRule="auto"/>
        <w:tabs>
          <w:tab w:leader="none" w:pos="110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16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Issuers in writing. The Holders of a majority in principal amount of the then outstanding Notes may remove the Trustee by so notifying the Trustee and the Issuers in writing. The Issuers may remove the Trustee if:</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33" w:lineRule="exact"/>
        <w:rPr>
          <w:rFonts w:ascii="Arial" w:cs="Arial" w:eastAsia="Arial" w:hAnsi="Arial"/>
          <w:sz w:val="22"/>
          <w:szCs w:val="22"/>
          <w:color w:val="auto"/>
        </w:rPr>
      </w:pPr>
    </w:p>
    <w:p>
      <w:pPr>
        <w:ind w:left="660" w:firstLine="645"/>
        <w:spacing w:after="0" w:line="276" w:lineRule="auto"/>
        <w:tabs>
          <w:tab w:leader="none" w:pos="179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33" w:lineRule="exact"/>
        <w:rPr>
          <w:rFonts w:ascii="Arial" w:cs="Arial" w:eastAsia="Arial" w:hAnsi="Arial"/>
          <w:sz w:val="22"/>
          <w:szCs w:val="22"/>
          <w:color w:val="auto"/>
        </w:rPr>
      </w:pPr>
    </w:p>
    <w:p>
      <w:pPr>
        <w:jc w:val="both"/>
        <w:ind w:firstLine="656"/>
        <w:spacing w:after="0" w:line="254" w:lineRule="auto"/>
        <w:tabs>
          <w:tab w:leader="none" w:pos="114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the Trustee resigns or is removed or if a vacancy exists in the office of Trustee for any reason, the Issuers shall promptly appoint a successor Trustee. Within one year after the successor Trustee takes office, the Holders of a majority in principal amount of the then outstanding Notes may appoint a successor Trustee to replace the successor Trustee appointed by the Issuers.</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a successor Trustee does not take office within 60 days after the retiring Trustee resigns or is removed, the retiring Trustee, the Issuers, or the Holders of at least 10% in principal amount of the then outstanding Notes may petition any court of competent jurisdiction for the appointment of a successor Trustee.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9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7.09, such Holder may petition any court of competent jurisdiction for the removal of the Trustee and the appointment of a successor Trustee.</w:t>
      </w:r>
    </w:p>
    <w:p>
      <w:pPr>
        <w:spacing w:after="0" w:line="177" w:lineRule="exact"/>
        <w:rPr>
          <w:rFonts w:ascii="Arial" w:cs="Arial" w:eastAsia="Arial" w:hAnsi="Arial"/>
          <w:sz w:val="22"/>
          <w:szCs w:val="22"/>
          <w:color w:val="auto"/>
        </w:rPr>
      </w:pPr>
    </w:p>
    <w:p>
      <w:pPr>
        <w:jc w:val="both"/>
        <w:ind w:firstLine="656"/>
        <w:spacing w:after="0" w:line="250" w:lineRule="auto"/>
        <w:tabs>
          <w:tab w:leader="none" w:pos="1139"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Issuers.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provided all sums owing to the Trustee hereunder have been paid and subject to the Lien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for in Section 7.06 hereof. Notwithstanding replacement of the Trustee pursuant to this Section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631" w:right="2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7.07, the Issuers’ obligations under Section 7.06 hereof shall continue for the benefit of the retiring Trustee.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Section 7.08</w:t>
      </w:r>
      <w:r>
        <w:rPr>
          <w:rFonts w:ascii="Arial" w:cs="Arial" w:eastAsia="Arial" w:hAnsi="Arial"/>
          <w:sz w:val="22"/>
          <w:szCs w:val="22"/>
          <w:i w:val="1"/>
          <w:iCs w:val="1"/>
          <w:color w:val="auto"/>
        </w:rPr>
        <w:t>Successor Trustee by Merger, etc.</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7.09</w:t>
      </w:r>
      <w:r>
        <w:rPr>
          <w:rFonts w:ascii="Arial" w:cs="Arial" w:eastAsia="Arial" w:hAnsi="Arial"/>
          <w:sz w:val="22"/>
          <w:szCs w:val="22"/>
          <w:i w:val="1"/>
          <w:iCs w:val="1"/>
          <w:color w:val="auto"/>
        </w:rPr>
        <w:t>Eligibility; Disqualification; Conflicting Interests.</w:t>
      </w:r>
    </w:p>
    <w:p>
      <w:pPr>
        <w:spacing w:after="0" w:line="220" w:lineRule="exact"/>
        <w:rPr>
          <w:sz w:val="20"/>
          <w:szCs w:val="20"/>
          <w:color w:val="auto"/>
        </w:rPr>
      </w:pPr>
    </w:p>
    <w:p>
      <w:pPr>
        <w:jc w:val="both"/>
        <w:ind w:firstLine="656"/>
        <w:spacing w:after="0" w:line="270" w:lineRule="auto"/>
        <w:tabs>
          <w:tab w:leader="none" w:pos="1082"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 million as set forth in its most recent published annual report of condition.</w:t>
      </w:r>
    </w:p>
    <w:p>
      <w:pPr>
        <w:spacing w:after="0" w:line="169" w:lineRule="exact"/>
        <w:rPr>
          <w:rFonts w:ascii="Arial" w:cs="Arial" w:eastAsia="Arial" w:hAnsi="Arial"/>
          <w:sz w:val="21"/>
          <w:szCs w:val="21"/>
          <w:color w:val="auto"/>
        </w:rPr>
      </w:pPr>
    </w:p>
    <w:p>
      <w:pPr>
        <w:jc w:val="both"/>
        <w:ind w:firstLine="656"/>
        <w:spacing w:after="0" w:line="260" w:lineRule="auto"/>
        <w:tabs>
          <w:tab w:leader="none" w:pos="122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the Trustee has or shall acquire any “conflicting interest” within the meaning of Section 310(b) of the Trust Indenture Act, the Trustee and the Issuers shall in all respects comply with the provisions of Section 310(b) of the Trust Indenture Act.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7.10</w:t>
      </w:r>
      <w:r>
        <w:rPr>
          <w:rFonts w:ascii="Arial" w:cs="Arial" w:eastAsia="Arial" w:hAnsi="Arial"/>
          <w:sz w:val="22"/>
          <w:szCs w:val="22"/>
          <w:i w:val="1"/>
          <w:iCs w:val="1"/>
          <w:color w:val="auto"/>
        </w:rPr>
        <w:t>Preferential Collection of Claims Against the Issuers.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shall comply with Section 311(a) of the Trust Indenture Act, excluding any creditor relationship described in Section 311(b) of the Trust Indenture Act. A Trustee who has resigned or been removed shall continue to be subject to Section 311(a) of the Trust Indenture Act.</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LEGAL DEFEASANCE AND COVENANT DEFEASANCE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8.01</w:t>
      </w:r>
      <w:r>
        <w:rPr>
          <w:rFonts w:ascii="Arial" w:cs="Arial" w:eastAsia="Arial" w:hAnsi="Arial"/>
          <w:sz w:val="22"/>
          <w:szCs w:val="22"/>
          <w:i w:val="1"/>
          <w:iCs w:val="1"/>
          <w:color w:val="auto"/>
        </w:rPr>
        <w:t>Option to Effect Legal Defeasance or Covenant Defeasance.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Issuers may, at the option of their respective Boards of Directors evidenced by a resolution set forth in an Officers’ Certificate of each Issuer, at any time, elect to have either Section 8.02 or 8.03 hereof be applied to all outstanding Notes upon compliance with the conditions set forth below in this Article 8.</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8.02</w:t>
      </w:r>
      <w:r>
        <w:rPr>
          <w:rFonts w:ascii="Arial" w:cs="Arial" w:eastAsia="Arial" w:hAnsi="Arial"/>
          <w:sz w:val="22"/>
          <w:szCs w:val="22"/>
          <w:i w:val="1"/>
          <w:iCs w:val="1"/>
          <w:color w:val="auto"/>
        </w:rPr>
        <w:t>Legal Defeasance and Discharge.</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Upon the Issuers’ exercise under Section 8.01 hereof of the option applicable to this Section 8.02, the Issuers shall, subject to the satisfaction of the conditions set forth in Section 8.04 hereof, be deemed to have been discharged from their obligations with respect to all outstanding Notes, each of the Guarantors shall be deemed to be discharged from their obligations with respect to their Note Guarantees on the date the conditions set forth below are satisfied (hereinafter, “</w:t>
      </w:r>
      <w:r>
        <w:rPr>
          <w:rFonts w:ascii="Arial" w:cs="Arial" w:eastAsia="Arial" w:hAnsi="Arial"/>
          <w:sz w:val="22"/>
          <w:szCs w:val="22"/>
          <w:i w:val="1"/>
          <w:iCs w:val="1"/>
          <w:u w:val="single" w:color="auto"/>
          <w:color w:val="auto"/>
        </w:rPr>
        <w:t>Legal Defeasance</w:t>
      </w:r>
      <w:r>
        <w:rPr>
          <w:rFonts w:ascii="Arial" w:cs="Arial" w:eastAsia="Arial" w:hAnsi="Arial"/>
          <w:sz w:val="22"/>
          <w:szCs w:val="22"/>
          <w:color w:val="auto"/>
        </w:rPr>
        <w:t>”). For this purpose, Legal Defeasance means that the Issuers and each of the Guarantors shall be deemed to have paid and discharged the entire Indebtedness represented by the outstanding Notes (including the Note Guarantees), which shall thereafter be deemed to be “outstanding” only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133" w:name="page134"/>
    <w:bookmarkEnd w:id="133"/>
    <w:p>
      <w:pPr>
        <w:jc w:val="both"/>
        <w:spacing w:after="0" w:line="250" w:lineRule="auto"/>
        <w:rPr>
          <w:sz w:val="20"/>
          <w:szCs w:val="20"/>
          <w:color w:val="auto"/>
        </w:rPr>
      </w:pPr>
      <w:r>
        <w:rPr>
          <w:rFonts w:ascii="Arial" w:cs="Arial" w:eastAsia="Arial" w:hAnsi="Arial"/>
          <w:sz w:val="22"/>
          <w:szCs w:val="22"/>
          <w:color w:val="auto"/>
        </w:rPr>
        <w:t>for the purposes of Section 8.05 hereof and the other Sections of this Indenture referred to in Sections 8.02(a) and (b) below, and to have satisfied all their other obligations under such Notes, the Note Guarantees, and this Indenture (and the Trustee, on demand of and at the expense of the Issuers, shall execute proper instruments acknowledging the same), except for the following provisions which shall survive until otherwise terminated or discharged hereunder:</w:t>
      </w:r>
    </w:p>
    <w:p>
      <w:pPr>
        <w:spacing w:after="0" w:line="188" w:lineRule="exact"/>
        <w:rPr>
          <w:sz w:val="20"/>
          <w:szCs w:val="20"/>
          <w:color w:val="auto"/>
        </w:rPr>
      </w:pPr>
    </w:p>
    <w:p>
      <w:pPr>
        <w:ind w:firstLine="656"/>
        <w:spacing w:after="0" w:line="276" w:lineRule="auto"/>
        <w:tabs>
          <w:tab w:leader="none" w:pos="1082"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rights of Holders of outstanding Notes to receive payments in respect of the principal of, or interest or premium, if any, on such Notes when such payments are due from the trust referred to in Section 8.04 hereof;</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33" w:lineRule="exact"/>
        <w:rPr>
          <w:rFonts w:ascii="Arial" w:cs="Arial" w:eastAsia="Arial" w:hAnsi="Arial"/>
          <w:sz w:val="22"/>
          <w:szCs w:val="22"/>
          <w:color w:val="auto"/>
        </w:rPr>
      </w:pPr>
    </w:p>
    <w:p>
      <w:pPr>
        <w:ind w:firstLine="656"/>
        <w:spacing w:after="0" w:line="276" w:lineRule="auto"/>
        <w:tabs>
          <w:tab w:leader="none" w:pos="123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and the Guarantors’ obligations in connection therewith; and</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Subject to compliance with this Article 8, the Issuers may exercise their option under this Section 8.02 notwithstanding the prior exercise of its option under Section 8.03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8.03</w:t>
      </w:r>
      <w:r>
        <w:rPr>
          <w:rFonts w:ascii="Arial" w:cs="Arial" w:eastAsia="Arial" w:hAnsi="Arial"/>
          <w:sz w:val="22"/>
          <w:szCs w:val="22"/>
          <w:i w:val="1"/>
          <w:iCs w:val="1"/>
          <w:color w:val="auto"/>
        </w:rPr>
        <w:t>Covenant Defeasance.</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Upon the Issuers’ exercise under Section 8.01 hereof of the option applicable to this Section 8.03, the Issuers and any Guarantors shall, subject to the satisfaction of the conditions set forth in Section 8.04 hereof, be released from each of their obligations under the covenants contained in Sections 4.07, 4.08, 4.10 and 4.11 hereof with respect to the outstanding Notes on and after the date the conditions set forth in Section 8.04 hereof are satisfied (hereinafter, “</w:t>
      </w:r>
      <w:r>
        <w:rPr>
          <w:rFonts w:ascii="Arial" w:cs="Arial" w:eastAsia="Arial" w:hAnsi="Arial"/>
          <w:sz w:val="19"/>
          <w:szCs w:val="19"/>
          <w:i w:val="1"/>
          <w:iCs w:val="1"/>
          <w:u w:val="single" w:color="auto"/>
          <w:color w:val="auto"/>
        </w:rPr>
        <w:t>Covenant Defeasance</w:t>
      </w:r>
      <w:r>
        <w:rPr>
          <w:rFonts w:ascii="Arial" w:cs="Arial" w:eastAsia="Arial" w:hAnsi="Arial"/>
          <w:sz w:val="19"/>
          <w:szCs w:val="19"/>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and Note Guarantees, the Issuers and each of the Guarantors released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and Note Guarantees shall be unaffected thereby. In addition, upon the Issuers’ exercise under Section 8.01 hereof of the option applicable to this Section 8.03 hereof, subject to the satisfaction of the conditions set forth in Section 8.04 hereof, Sections 6.01(c) through 6.01(g) hereof shall not constitute Events of Default.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Section 8.04</w:t>
      </w:r>
      <w:r>
        <w:rPr>
          <w:rFonts w:ascii="Arial" w:cs="Arial" w:eastAsia="Arial" w:hAnsi="Arial"/>
          <w:sz w:val="22"/>
          <w:szCs w:val="22"/>
          <w:i w:val="1"/>
          <w:iCs w:val="1"/>
          <w:color w:val="auto"/>
        </w:rPr>
        <w:t>Conditions to Legal or Covenant Defeasance.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31"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31" w:lineRule="exact"/>
        <w:rPr>
          <w:sz w:val="20"/>
          <w:szCs w:val="20"/>
          <w:color w:val="auto"/>
        </w:rPr>
      </w:pPr>
    </w:p>
    <w:p>
      <w:pPr>
        <w:jc w:val="both"/>
        <w:ind w:firstLine="656"/>
        <w:spacing w:after="0" w:line="250" w:lineRule="auto"/>
        <w:tabs>
          <w:tab w:leader="none" w:pos="108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Issuers must irrevocably deposit with the Trustee, in trust, for the benefit of the Holders, cash in U.S. dollars, non-callable Government Securities, or a combination of cash in U.S. dollars and non-callable Government Securities, in amounts as shall be sufficient, in the opinion of a nationally recognized investment bank, appraisal firm, or firm of independent public accountants, to pay the principal of, or interest and premium, if any, on the outstanding Notes on the stated maturity or on the applicable redemption date, as the case may be, and the Issuers must specify whether the Notes are being defeased to maturity or to a particular redemption date;</w:t>
      </w:r>
    </w:p>
    <w:p>
      <w:pPr>
        <w:spacing w:after="0" w:line="188" w:lineRule="exact"/>
        <w:rPr>
          <w:rFonts w:ascii="Arial" w:cs="Arial" w:eastAsia="Arial" w:hAnsi="Arial"/>
          <w:sz w:val="22"/>
          <w:szCs w:val="22"/>
          <w:color w:val="auto"/>
        </w:rPr>
      </w:pPr>
    </w:p>
    <w:p>
      <w:pPr>
        <w:jc w:val="both"/>
        <w:ind w:firstLine="656"/>
        <w:spacing w:after="0" w:line="248" w:lineRule="auto"/>
        <w:tabs>
          <w:tab w:leader="none" w:pos="116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reasonably acceptable to the Trustee confirming that (1) the Issuers have received from, or there has been published by, the Internal Revenue Service a ruling or (2) since the Issue Date,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95" w:lineRule="exact"/>
        <w:rPr>
          <w:rFonts w:ascii="Arial" w:cs="Arial" w:eastAsia="Arial" w:hAnsi="Arial"/>
          <w:sz w:val="22"/>
          <w:szCs w:val="22"/>
          <w:color w:val="auto"/>
        </w:rPr>
      </w:pPr>
    </w:p>
    <w:p>
      <w:pPr>
        <w:jc w:val="both"/>
        <w:ind w:firstLine="656"/>
        <w:spacing w:after="0" w:line="307" w:lineRule="auto"/>
        <w:tabs>
          <w:tab w:leader="none" w:pos="1109"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in the case of an election under Section 8.03 hereof, the Issuers have delivered to the Trustee an Opinion of Counsel reasonably acceptable to the Trustee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38" w:lineRule="exact"/>
        <w:rPr>
          <w:rFonts w:ascii="Arial" w:cs="Arial" w:eastAsia="Arial" w:hAnsi="Arial"/>
          <w:sz w:val="19"/>
          <w:szCs w:val="19"/>
          <w:color w:val="auto"/>
        </w:rPr>
      </w:pPr>
    </w:p>
    <w:p>
      <w:pPr>
        <w:jc w:val="both"/>
        <w:ind w:firstLine="656"/>
        <w:spacing w:after="0" w:line="254" w:lineRule="auto"/>
        <w:tabs>
          <w:tab w:leader="none" w:pos="116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6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either Issuer or any Guarantor is a party or by which any such Person is bound;</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08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shall not be subject to the effect of any applicable bankruptcy, insolvency, reorganization or similar laws affecting creditors’ rights generally;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31" w:right="239" w:bottom="1440" w:gutter="0" w:footer="0" w:header="0"/>
        </w:sectPr>
      </w:pPr>
    </w:p>
    <w:bookmarkStart w:id="135" w:name="page136"/>
    <w:bookmarkEnd w:id="135"/>
    <w:p>
      <w:pPr>
        <w:jc w:val="both"/>
        <w:ind w:firstLine="656"/>
        <w:spacing w:after="0" w:line="260" w:lineRule="auto"/>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77" w:lineRule="exact"/>
        <w:rPr>
          <w:rFonts w:ascii="Arial" w:cs="Arial" w:eastAsia="Arial" w:hAnsi="Arial"/>
          <w:sz w:val="22"/>
          <w:szCs w:val="22"/>
          <w:color w:val="auto"/>
        </w:rPr>
      </w:pPr>
    </w:p>
    <w:p>
      <w:pPr>
        <w:ind w:firstLine="656"/>
        <w:spacing w:after="0" w:line="276" w:lineRule="auto"/>
        <w:tabs>
          <w:tab w:leader="none" w:pos="1229"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8.05</w:t>
      </w:r>
      <w:r>
        <w:rPr>
          <w:rFonts w:ascii="Arial" w:cs="Arial" w:eastAsia="Arial" w:hAnsi="Arial"/>
          <w:sz w:val="22"/>
          <w:szCs w:val="22"/>
          <w:i w:val="1"/>
          <w:iCs w:val="1"/>
          <w:color w:val="auto"/>
        </w:rPr>
        <w:t>Deposited Money and Government Securities to be Held in Trust; Other Miscellaneous Provisions.</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19"/>
          <w:szCs w:val="19"/>
          <w:u w:val="single" w:color="auto"/>
          <w:color w:val="auto"/>
        </w:rPr>
        <w:t>Trustee</w:t>
      </w:r>
      <w:r>
        <w:rPr>
          <w:rFonts w:ascii="Arial" w:cs="Arial" w:eastAsia="Arial" w:hAnsi="Arial"/>
          <w:sz w:val="19"/>
          <w:szCs w:val="19"/>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Issuers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Issuers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Issuers from time to time upon the request of the Issuers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Section 8.06</w:t>
      </w:r>
      <w:r>
        <w:rPr>
          <w:rFonts w:ascii="Arial" w:cs="Arial" w:eastAsia="Arial" w:hAnsi="Arial"/>
          <w:sz w:val="22"/>
          <w:szCs w:val="22"/>
          <w:i w:val="1"/>
          <w:iCs w:val="1"/>
          <w:color w:val="auto"/>
        </w:rPr>
        <w:t>Repayment to Issuers.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Any money deposited with the Trustee or any Paying Agent, or then held by the Issuers, in trust for the payment of the principal of, premium, if any, or interest on any Note and remaining unclaimed for two years after such principal, premium, if any, or interest has become due and payable shall be paid to the Issuers on its request or (if then held by the Issuers) shall be discharged from such trust; and the Holder of such Note shall thereafter be permitted to look only to the Issuers for payment thereof, and all liability of the Trustee or such Paying Agent with respect to such trust money, and all liability of the Issuers as trustee thereof, shall thereupon cease; provided, however, that the Trustee or such Paying Agent, before being required to make any such repayment, may at the expense of the Issuers cause to be published once, in the New York Times (national edition) and The Wall Street Journal (national edition), notice that such money remains unclaimed and that, after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136" w:name="page137"/>
    <w:bookmarkEnd w:id="136"/>
    <w:p>
      <w:pPr>
        <w:jc w:val="both"/>
        <w:spacing w:after="0" w:line="263" w:lineRule="auto"/>
        <w:rPr>
          <w:sz w:val="20"/>
          <w:szCs w:val="20"/>
          <w:color w:val="auto"/>
        </w:rPr>
      </w:pPr>
      <w:r>
        <w:rPr>
          <w:rFonts w:ascii="Arial" w:cs="Arial" w:eastAsia="Arial" w:hAnsi="Arial"/>
          <w:sz w:val="22"/>
          <w:szCs w:val="22"/>
          <w:color w:val="auto"/>
        </w:rPr>
        <w:t>a date specified therein, which shall not be less than 30 days from the date of such notification or publication, any unclaimed balance of such money then remaining shall be repaid to the Issuers.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8.07</w:t>
      </w:r>
      <w:r>
        <w:rPr>
          <w:rFonts w:ascii="Arial" w:cs="Arial" w:eastAsia="Arial" w:hAnsi="Arial"/>
          <w:sz w:val="22"/>
          <w:szCs w:val="22"/>
          <w:i w:val="1"/>
          <w:iCs w:val="1"/>
          <w:color w:val="auto"/>
        </w:rPr>
        <w:t>Reinstatement.</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or the Guarantors’ obligations under this Indenture, the Notes and the Note Guarantee shall be revived and reinstated as though no deposit had occurred pursuant to Section 8.02 or 8.03 hereof until such time as the Trustee or Paying Agent is permitted to apply all such money in accordance with Section</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8.02 or 8.03 hereof, as the case may be; provided, however, that, if the Issuers make any payment of principal of, premium, if any, or interest on any Note following the reinstatement of its obligations, the Issuers shall subrogated to the rights of the Holders of such Notes to receive such payment from the money held by the Trustee or Paying Agent.</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AMENDMENT, SUPPLEMENT AND WAIVER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9.01</w:t>
      </w:r>
      <w:r>
        <w:rPr>
          <w:rFonts w:ascii="Arial" w:cs="Arial" w:eastAsia="Arial" w:hAnsi="Arial"/>
          <w:sz w:val="22"/>
          <w:szCs w:val="22"/>
          <w:i w:val="1"/>
          <w:iCs w:val="1"/>
          <w:color w:val="auto"/>
        </w:rPr>
        <w:t>Without Consent of Holders of Notes.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Notwithstanding Section 9.02 of this Indenture, without the consent of any Holder, the Issuers, the Guarantors and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Trustee may amend or supplement this Indenture, the Notes or the Note Guarantees to:</w:t>
      </w:r>
    </w:p>
    <w:p>
      <w:pPr>
        <w:spacing w:after="0" w:line="202"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cure any ambiguity, defect or inconsistency;</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provide for uncertificated Notes in addition to or in place of certificated Notes;</w:t>
      </w:r>
    </w:p>
    <w:p>
      <w:pPr>
        <w:spacing w:after="0" w:line="233" w:lineRule="exact"/>
        <w:rPr>
          <w:rFonts w:ascii="Arial" w:cs="Arial" w:eastAsia="Arial" w:hAnsi="Arial"/>
          <w:sz w:val="22"/>
          <w:szCs w:val="22"/>
          <w:color w:val="auto"/>
        </w:rPr>
      </w:pPr>
    </w:p>
    <w:p>
      <w:pPr>
        <w:jc w:val="both"/>
        <w:ind w:firstLine="656"/>
        <w:spacing w:after="0" w:line="320" w:lineRule="auto"/>
        <w:tabs>
          <w:tab w:leader="none" w:pos="121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provide for the assumption of the Issuers’ or any Guarantor’s obligations to the Holders of the Notes and Note Guarantees by a successor to the Issuers or such Guarantor, as the case may be, in the case of a merger or consolidation or sale of all or substantially all of Wynn Resorts Finance’s or such Guarantor’s assets pursuant to Article 5 or Article 11 hereof;</w:t>
      </w:r>
    </w:p>
    <w:p>
      <w:pPr>
        <w:spacing w:after="0" w:line="125" w:lineRule="exact"/>
        <w:rPr>
          <w:rFonts w:ascii="Arial" w:cs="Arial" w:eastAsia="Arial" w:hAnsi="Arial"/>
          <w:sz w:val="19"/>
          <w:szCs w:val="19"/>
          <w:color w:val="auto"/>
        </w:rPr>
      </w:pPr>
    </w:p>
    <w:p>
      <w:pPr>
        <w:ind w:firstLine="656"/>
        <w:spacing w:after="0" w:line="276" w:lineRule="auto"/>
        <w:tabs>
          <w:tab w:leader="none" w:pos="116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06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conform the text of this Indenture, the Notes or the Note Guarantees to any provision of the “Description of the Notes” in the Issuers’ Offering Memorandum, dated as of September 12, 2019, relating to the offering of the Initial Notes, to the extent that such provision in the “Description of the Notes” was intended to be a verbatim recitation of a provision of this Indenture, the Notes or the Note Guarantees, which intent may be evidenced by an Officers’ Certificate to that effect;</w:t>
      </w:r>
    </w:p>
    <w:p>
      <w:pPr>
        <w:spacing w:after="0" w:line="169" w:lineRule="exact"/>
        <w:rPr>
          <w:rFonts w:ascii="Arial" w:cs="Arial" w:eastAsia="Arial" w:hAnsi="Arial"/>
          <w:sz w:val="21"/>
          <w:szCs w:val="21"/>
          <w:color w:val="auto"/>
        </w:rPr>
      </w:pPr>
    </w:p>
    <w:p>
      <w:pPr>
        <w:ind w:left="1060" w:hanging="404"/>
        <w:spacing w:after="0"/>
        <w:tabs>
          <w:tab w:leader="none" w:pos="106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to release the Note Guarantee of a Guarantor in accordance with the terms of this Indenture;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31" w:right="239" w:bottom="1440" w:gutter="0" w:footer="0" w:header="0"/>
        </w:sectPr>
      </w:pPr>
    </w:p>
    <w:bookmarkStart w:id="137" w:name="page138"/>
    <w:bookmarkEnd w:id="137"/>
    <w:p>
      <w:pPr>
        <w:ind w:left="1160" w:hanging="504"/>
        <w:spacing w:after="0"/>
        <w:tabs>
          <w:tab w:leader="none" w:pos="116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provide for the issuance of Additional Notes in accordance with the limitations set forth in this Indenture as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Issue Date;</w:t>
      </w:r>
    </w:p>
    <w:p>
      <w:pPr>
        <w:spacing w:after="0" w:line="215" w:lineRule="exact"/>
        <w:rPr>
          <w:rFonts w:ascii="Arial" w:cs="Arial" w:eastAsia="Arial" w:hAnsi="Arial"/>
          <w:sz w:val="19"/>
          <w:szCs w:val="19"/>
          <w:color w:val="auto"/>
        </w:rPr>
      </w:pPr>
    </w:p>
    <w:p>
      <w:pPr>
        <w:ind w:left="1080" w:hanging="424"/>
        <w:spacing w:after="0"/>
        <w:tabs>
          <w:tab w:leader="none" w:pos="108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allow any Guarantor to execute a supplemental indenture and/or a Note Guarantee with respect to the Notes;</w:t>
      </w:r>
    </w:p>
    <w:p>
      <w:pPr>
        <w:spacing w:after="0" w:line="244" w:lineRule="exact"/>
        <w:rPr>
          <w:rFonts w:ascii="Arial" w:cs="Arial" w:eastAsia="Arial" w:hAnsi="Arial"/>
          <w:sz w:val="21"/>
          <w:szCs w:val="21"/>
          <w:color w:val="auto"/>
        </w:rPr>
      </w:pPr>
    </w:p>
    <w:p>
      <w:pPr>
        <w:ind w:firstLine="656"/>
        <w:spacing w:after="0" w:line="276" w:lineRule="auto"/>
        <w:tabs>
          <w:tab w:leader="none" w:pos="103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comply with requirements of the SEC in order to effect or maintain the qualification of this Indenture under the Trust Indenture Act, if then applicable;</w:t>
      </w:r>
    </w:p>
    <w:p>
      <w:pPr>
        <w:spacing w:after="0" w:line="160" w:lineRule="exact"/>
        <w:rPr>
          <w:rFonts w:ascii="Arial" w:cs="Arial" w:eastAsia="Arial" w:hAnsi="Arial"/>
          <w:sz w:val="22"/>
          <w:szCs w:val="22"/>
          <w:color w:val="auto"/>
        </w:rPr>
      </w:pPr>
    </w:p>
    <w:p>
      <w:pPr>
        <w:ind w:firstLine="656"/>
        <w:spacing w:after="0" w:line="276" w:lineRule="auto"/>
        <w:tabs>
          <w:tab w:leader="none" w:pos="103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comply with requirements of applicable Gaming Laws or to provide for requirements imposed by applicable Gaming Authorities;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provide for the acceptance or appointment of a successor trustee; or</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provide for the Notes to become secured.</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Upon the request of the Issuers accompanied by a resolution of their respective Boards of Directors authorizing the execution of any such amended or supplemental indenture, and upon receipt by the Trustee of the documents described in Section 7.02 hereof, the Trustee shall join with the Issuers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Section 9.02</w:t>
      </w:r>
      <w:r>
        <w:rPr>
          <w:rFonts w:ascii="Arial" w:cs="Arial" w:eastAsia="Arial" w:hAnsi="Arial"/>
          <w:sz w:val="22"/>
          <w:szCs w:val="22"/>
          <w:i w:val="1"/>
          <w:iCs w:val="1"/>
          <w:color w:val="auto"/>
        </w:rPr>
        <w:t>With Consent of Holders of Notes.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Except as provided below in this Section 9.02, the Issuers, the Guarantors and the Trustee may amend or supplement this Indenture (including, without limitation, Section 4.11 hereof), the Notes and the Note Guarantees, with the consent of the Holders of at least a majority in aggregate principal amount of the then outstanding Notes (including, without limitation, Additional Notes, if any) voting as a single class (including, without limitation, consents obtained in connection with a purchase 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the Notes or the Note Guarantees,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w:t>
      </w:r>
    </w:p>
    <w:p>
      <w:pPr>
        <w:spacing w:after="0" w:line="16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Upon the request of the Issuers accompanied by a resolution of their respective Boards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Issuers and the Guarantors in the execution of such amended 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31" w:right="239" w:bottom="1440" w:gutter="0" w:footer="0" w:header="0"/>
        </w:sectPr>
      </w:pPr>
    </w:p>
    <w:bookmarkStart w:id="138" w:name="page139"/>
    <w:bookmarkEnd w:id="138"/>
    <w:p>
      <w:pPr>
        <w:jc w:val="both"/>
        <w:spacing w:after="0" w:line="253" w:lineRule="auto"/>
        <w:rPr>
          <w:sz w:val="20"/>
          <w:szCs w:val="20"/>
          <w:color w:val="auto"/>
        </w:rPr>
      </w:pPr>
      <w:r>
        <w:rPr>
          <w:rFonts w:ascii="Arial" w:cs="Arial" w:eastAsia="Arial" w:hAnsi="Arial"/>
          <w:sz w:val="22"/>
          <w:szCs w:val="22"/>
          <w:color w:val="auto"/>
        </w:rPr>
        <w:t>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After an amendment, supplement or waiver under this Section 9.02 becomes effective, the Issuers shall mail to the Holders of Notes affected thereby a notice briefly describing the amendment, supplement or waiver. Any failure of the Issuers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Issuers with any provision of this Indenture or the Notes or by the Guarantors with any provision of the Note Guarantees. However, without the consent of each Holder affected an amendment, supplement or waiver under this Section 9.02 may not (with respect to any Notes held by a non-consenting Holder):</w:t>
      </w:r>
    </w:p>
    <w:p>
      <w:pPr>
        <w:spacing w:after="0" w:line="195"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reduce the principal amount of Notes whose Holders must consent to an amendment, supplement or waiver;</w:t>
      </w:r>
    </w:p>
    <w:p>
      <w:pPr>
        <w:spacing w:after="0" w:line="244" w:lineRule="exact"/>
        <w:rPr>
          <w:rFonts w:ascii="Arial" w:cs="Arial" w:eastAsia="Arial" w:hAnsi="Arial"/>
          <w:sz w:val="21"/>
          <w:szCs w:val="21"/>
          <w:color w:val="auto"/>
        </w:rPr>
      </w:pPr>
    </w:p>
    <w:p>
      <w:pPr>
        <w:ind w:firstLine="656"/>
        <w:spacing w:after="0" w:line="276" w:lineRule="auto"/>
        <w:tabs>
          <w:tab w:leader="none" w:pos="109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4.11 hereof;</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33"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 acceleration);</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33" w:lineRule="exact"/>
        <w:rPr>
          <w:rFonts w:ascii="Arial" w:cs="Arial" w:eastAsia="Arial" w:hAnsi="Arial"/>
          <w:sz w:val="22"/>
          <w:szCs w:val="22"/>
          <w:color w:val="auto"/>
        </w:rPr>
      </w:pPr>
    </w:p>
    <w:p>
      <w:pPr>
        <w:ind w:firstLine="656"/>
        <w:spacing w:after="0" w:line="276" w:lineRule="auto"/>
        <w:tabs>
          <w:tab w:leader="none" w:pos="112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waive a redemption payment with respect to any Note (other than a payment required by Sections 4.11 hereof);</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631" w:right="239" w:bottom="1440" w:gutter="0" w:footer="0" w:header="0"/>
        </w:sectPr>
      </w:pPr>
    </w:p>
    <w:bookmarkStart w:id="139" w:name="page140"/>
    <w:bookmarkEnd w:id="139"/>
    <w:p>
      <w:pPr>
        <w:jc w:val="both"/>
        <w:ind w:firstLine="656"/>
        <w:spacing w:after="0" w:line="260" w:lineRule="auto"/>
        <w:tabs>
          <w:tab w:leader="none" w:pos="110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amend or modify any Note Guarantee in a manner that would adversely affect the holders of the Notes or release any Guarantor from any of its obligations under its Note Guarantee or this Indenture (except in accordance with the terms of this Indenture); or</w:t>
      </w:r>
    </w:p>
    <w:p>
      <w:pPr>
        <w:spacing w:after="0" w:line="177" w:lineRule="exact"/>
        <w:rPr>
          <w:rFonts w:ascii="Arial" w:cs="Arial" w:eastAsia="Arial" w:hAnsi="Arial"/>
          <w:sz w:val="22"/>
          <w:szCs w:val="22"/>
          <w:color w:val="auto"/>
        </w:rPr>
      </w:pPr>
    </w:p>
    <w:p>
      <w:pPr>
        <w:ind w:left="1040" w:hanging="384"/>
        <w:spacing w:after="0"/>
        <w:tabs>
          <w:tab w:leader="none" w:pos="10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Section 9.03</w:t>
      </w:r>
      <w:r>
        <w:rPr>
          <w:rFonts w:ascii="Arial" w:cs="Arial" w:eastAsia="Arial" w:hAnsi="Arial"/>
          <w:sz w:val="22"/>
          <w:szCs w:val="22"/>
          <w:i w:val="1"/>
          <w:iCs w:val="1"/>
          <w:color w:val="auto"/>
        </w:rPr>
        <w:t>Revocation and Effect of Consents.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Section 9.04</w:t>
      </w:r>
      <w:r>
        <w:rPr>
          <w:rFonts w:ascii="Arial" w:cs="Arial" w:eastAsia="Arial" w:hAnsi="Arial"/>
          <w:sz w:val="22"/>
          <w:szCs w:val="22"/>
          <w:i w:val="1"/>
          <w:iCs w:val="1"/>
          <w:color w:val="auto"/>
        </w:rPr>
        <w:t>Notation on or Exchange of Notes.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Issuers in exchange for all Notes may issue and the Trustee shall, upon receipt of an Authentication Order, authenticate new Notes that reflect the amendment, supplement or waiver.</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9.05</w:t>
      </w:r>
      <w:r>
        <w:rPr>
          <w:rFonts w:ascii="Arial" w:cs="Arial" w:eastAsia="Arial" w:hAnsi="Arial"/>
          <w:sz w:val="22"/>
          <w:szCs w:val="22"/>
          <w:i w:val="1"/>
          <w:iCs w:val="1"/>
          <w:color w:val="auto"/>
        </w:rPr>
        <w:t>Trustee to Sign Amendments, etc.</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Trustee shall sign any amended or supplemental indenture authorized pursuant to this Article 9 if the amendment or supplement does not adversely affect the rights, duties, liabilities or immunities of the Trustee. The Issuers and the Guarantors may not sign an amendment or supplemental indenture until their respective Boards of Directors approve it. In executing any amended or supplemental indenture, the Trustee shall be entitled to receive and (subject to Section 7.01 hereof) shall be fully protected in relying upon, in addition to the documents required by Section 14.02 hereof, an Officers’ Certificate and an Opinion of Counsel stating that the execution of such amended or supplemental indenture is authorized or permitted by this Indenture and an Opinion of Counsel stating that the supplemental indenture is a valid and binding obligation of the Issuers, enforceable against each of them in accordance with its terms.</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NOTE GUARANTEES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31"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Section 11.01</w:t>
      </w:r>
      <w:r>
        <w:rPr>
          <w:rFonts w:ascii="Arial" w:cs="Arial" w:eastAsia="Arial" w:hAnsi="Arial"/>
          <w:sz w:val="22"/>
          <w:szCs w:val="22"/>
          <w:i w:val="1"/>
          <w:iCs w:val="1"/>
          <w:color w:val="auto"/>
        </w:rPr>
        <w:t>Note Guarantee.</w:t>
      </w:r>
    </w:p>
    <w:p>
      <w:pPr>
        <w:spacing w:after="0" w:line="220" w:lineRule="exact"/>
        <w:rPr>
          <w:sz w:val="20"/>
          <w:szCs w:val="20"/>
          <w:color w:val="auto"/>
        </w:rPr>
      </w:pPr>
    </w:p>
    <w:p>
      <w:pPr>
        <w:jc w:val="both"/>
        <w:ind w:firstLine="656"/>
        <w:spacing w:after="0" w:line="320" w:lineRule="auto"/>
        <w:tabs>
          <w:tab w:leader="none" w:pos="1163" w:val="left"/>
        </w:tabs>
        <w:numPr>
          <w:ilvl w:val="0"/>
          <w:numId w:val="142"/>
        </w:numPr>
        <w:rPr>
          <w:rFonts w:ascii="Arial" w:cs="Arial" w:eastAsia="Arial" w:hAnsi="Arial"/>
          <w:sz w:val="19"/>
          <w:szCs w:val="19"/>
          <w:color w:val="auto"/>
        </w:rPr>
      </w:pPr>
      <w:r>
        <w:rPr>
          <w:rFonts w:ascii="Arial" w:cs="Arial" w:eastAsia="Arial" w:hAnsi="Arial"/>
          <w:sz w:val="19"/>
          <w:szCs w:val="19"/>
          <w:color w:val="auto"/>
        </w:rPr>
        <w:t>Subject to this Article 11, each of the Guarantors hereby, jointly and severally, unconditionally guarantees to each Holder of a Note authenticated and delivered by the Trustee and to the Trustee and its successors and assigns, irrespective of the validity and enforceability of this Indenture, the Notes or the obligations of the Issuers hereunder or thereunder, that:</w:t>
      </w:r>
    </w:p>
    <w:p>
      <w:pPr>
        <w:spacing w:after="0" w:line="125" w:lineRule="exact"/>
        <w:rPr>
          <w:rFonts w:ascii="Arial" w:cs="Arial" w:eastAsia="Arial" w:hAnsi="Arial"/>
          <w:sz w:val="19"/>
          <w:szCs w:val="19"/>
          <w:color w:val="auto"/>
        </w:rPr>
      </w:pPr>
    </w:p>
    <w:p>
      <w:pPr>
        <w:jc w:val="both"/>
        <w:ind w:left="660" w:firstLine="645"/>
        <w:spacing w:after="0" w:line="270" w:lineRule="auto"/>
        <w:tabs>
          <w:tab w:leader="none" w:pos="1754" w:val="left"/>
        </w:tabs>
        <w:numPr>
          <w:ilvl w:val="1"/>
          <w:numId w:val="142"/>
        </w:numPr>
        <w:rPr>
          <w:rFonts w:ascii="Arial" w:cs="Arial" w:eastAsia="Arial" w:hAnsi="Arial"/>
          <w:sz w:val="21"/>
          <w:szCs w:val="21"/>
          <w:color w:val="auto"/>
        </w:rPr>
      </w:pPr>
      <w:r>
        <w:rPr>
          <w:rFonts w:ascii="Arial" w:cs="Arial" w:eastAsia="Arial" w:hAnsi="Arial"/>
          <w:sz w:val="21"/>
          <w:szCs w:val="21"/>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169" w:lineRule="exact"/>
        <w:rPr>
          <w:rFonts w:ascii="Arial" w:cs="Arial" w:eastAsia="Arial" w:hAnsi="Arial"/>
          <w:sz w:val="21"/>
          <w:szCs w:val="21"/>
          <w:color w:val="auto"/>
        </w:rPr>
      </w:pPr>
    </w:p>
    <w:p>
      <w:pPr>
        <w:jc w:val="both"/>
        <w:ind w:left="660" w:firstLine="645"/>
        <w:spacing w:after="0" w:line="260" w:lineRule="auto"/>
        <w:tabs>
          <w:tab w:leader="none" w:pos="174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 Each Guarantor agrees that this is a guarantee of payment and performance and not a guarantee of collection.</w:t>
      </w:r>
    </w:p>
    <w:p>
      <w:pPr>
        <w:spacing w:after="0" w:line="186" w:lineRule="exact"/>
        <w:rPr>
          <w:sz w:val="20"/>
          <w:szCs w:val="20"/>
          <w:color w:val="auto"/>
        </w:rPr>
      </w:pPr>
    </w:p>
    <w:p>
      <w:pPr>
        <w:jc w:val="both"/>
        <w:ind w:firstLine="656"/>
        <w:spacing w:after="0" w:line="289" w:lineRule="auto"/>
        <w:tabs>
          <w:tab w:leader="none" w:pos="110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 Each of the Guarantors hereby waives diligence, presentment, demand of payment, filing of claims with a court in the event of insolvency or bankruptcy of either Issuer, any right to require a proceeding first against the Issuers, protest, notice and all demands whatsoever and covenant that this Note Guarantee shall not be discharged except by complete performance of the obligations contained in the Notes and this Indenture. Each Guarantor waives any right or claims of right to cause a marshalling of the Issuers’ or any Guarantor’s assets or to proceed against any Guarantor, any Issuer or any other guarantor of any Obligations that are Guaranteed in any particular order, including, but not limited to, any right arising out of Nevada Revised Statutes 40.430, to the fullest extent permitted by Nevada Revised Statutes 40.495(2).</w:t>
      </w:r>
    </w:p>
    <w:p>
      <w:pPr>
        <w:spacing w:after="0" w:line="158" w:lineRule="exact"/>
        <w:rPr>
          <w:rFonts w:ascii="Arial" w:cs="Arial" w:eastAsia="Arial" w:hAnsi="Arial"/>
          <w:sz w:val="19"/>
          <w:szCs w:val="19"/>
          <w:color w:val="auto"/>
        </w:rPr>
      </w:pPr>
    </w:p>
    <w:p>
      <w:pPr>
        <w:jc w:val="both"/>
        <w:ind w:firstLine="656"/>
        <w:spacing w:after="0" w:line="320" w:lineRule="auto"/>
        <w:tabs>
          <w:tab w:leader="none" w:pos="117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any Holder or the Trustee is required by any court or otherwise to return to the Issuers, the Guarantors or any custodian, trustee, liquidator or other similar official acting in relation to either Issuer or any Guarantor, any amount paid by either to the Trustee or such Holder, this Note Guarantee, to the extent theretofore discharged, shall be reinstated in full force and effect.</w:t>
      </w:r>
    </w:p>
    <w:p>
      <w:pPr>
        <w:spacing w:after="0" w:line="125" w:lineRule="exact"/>
        <w:rPr>
          <w:rFonts w:ascii="Arial" w:cs="Arial" w:eastAsia="Arial" w:hAnsi="Arial"/>
          <w:sz w:val="19"/>
          <w:szCs w:val="19"/>
          <w:color w:val="auto"/>
        </w:rPr>
      </w:pPr>
    </w:p>
    <w:p>
      <w:pPr>
        <w:jc w:val="both"/>
        <w:ind w:firstLine="656"/>
        <w:spacing w:after="0" w:line="260" w:lineRule="auto"/>
        <w:tabs>
          <w:tab w:leader="none" w:pos="117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Each of the Guarantors agrees that it shall not be entitled to any right of subrogation in relation to the Holders in respect of any obligations guaranteed hereby until payment in full of all obligations guaranteed hereby. Each of the Guarantors further agrees that, as between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631" w:right="239" w:bottom="1440" w:gutter="0" w:footer="0" w:header="0"/>
        </w:sectPr>
      </w:pPr>
    </w:p>
    <w:bookmarkStart w:id="141" w:name="page142"/>
    <w:bookmarkEnd w:id="141"/>
    <w:p>
      <w:pPr>
        <w:jc w:val="both"/>
        <w:spacing w:after="0" w:line="292" w:lineRule="auto"/>
        <w:rPr>
          <w:sz w:val="20"/>
          <w:szCs w:val="20"/>
          <w:color w:val="auto"/>
        </w:rPr>
      </w:pPr>
      <w:r>
        <w:rPr>
          <w:rFonts w:ascii="Arial" w:cs="Arial" w:eastAsia="Arial" w:hAnsi="Arial"/>
          <w:sz w:val="19"/>
          <w:szCs w:val="19"/>
          <w:color w:val="auto"/>
        </w:rPr>
        <w:t>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shall forthwith become due and payable by the Guarantors for the purpose of this Note Guarantee. The Guarantors shall have the right to seek contribution from any non-paying Guarantor, as the case may be, so long as the exercise of such right does not impair the rights of the Holders under the Note Guarantee.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Section 11.02</w:t>
      </w:r>
      <w:r>
        <w:rPr>
          <w:rFonts w:ascii="Arial" w:cs="Arial" w:eastAsia="Arial" w:hAnsi="Arial"/>
          <w:sz w:val="22"/>
          <w:szCs w:val="22"/>
          <w:i w:val="1"/>
          <w:iCs w:val="1"/>
          <w:color w:val="auto"/>
        </w:rPr>
        <w:t>Limitation on Guarantor Liability.</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such Guarantor shall be limited to the maximum amount that shall, after giving effect to such maximum amount and all other contingent and fixed liabilities of such Guarantor, as the case may be,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transfer or conveyance.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Section 11.03</w:t>
      </w:r>
      <w:r>
        <w:rPr>
          <w:rFonts w:ascii="Arial" w:cs="Arial" w:eastAsia="Arial" w:hAnsi="Arial"/>
          <w:sz w:val="22"/>
          <w:szCs w:val="22"/>
          <w:i w:val="1"/>
          <w:iCs w:val="1"/>
          <w:color w:val="auto"/>
        </w:rPr>
        <w:t>Execution and Delivery of Note Guarantee.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To evidence its Note Guarantee set forth in Section 11.01, each of the Guarantors hereby agrees that a notation of such Note Guarantee substantially in the form attached as Exhibit E hereto shall be endorsed by an Officer of such Guarantor on each Note authenticated and delivered by the Trustee and that this Indenture shall be executed on behalf of such Guarantor by one of its Officers.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of the Guarantors hereby agrees that its Note Guarantee set forth in Section 11.01 shall remain in full force and effect notwithstanding any failure to endorse on each Note a notation of such Note Guarantee.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an Officer whose signature is on this Indenture or on the Note Guarantee no longer holds that office at the time the Trustee authenticates the Note on which a Note Guarantee is endorsed, the Note Guarantee shall be valid nevertheless.</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delivery of any Note by the Trustee, after the authentication thereof hereunder, shall constitute due delivery of the Note Guarantee set forth in this Indenture on behalf of the Guarantors.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11.04</w:t>
      </w:r>
      <w:r>
        <w:rPr>
          <w:rFonts w:ascii="Arial" w:cs="Arial" w:eastAsia="Arial" w:hAnsi="Arial"/>
          <w:sz w:val="22"/>
          <w:szCs w:val="22"/>
          <w:i w:val="1"/>
          <w:iCs w:val="1"/>
          <w:color w:val="auto"/>
        </w:rPr>
        <w:t>Guarantors May Consolidate, etc., on Certain Terms.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31" w:right="239" w:bottom="1440" w:gutter="0" w:footer="0" w:header="0"/>
        </w:sectPr>
      </w:pPr>
    </w:p>
    <w:bookmarkStart w:id="142" w:name="page143"/>
    <w:bookmarkEnd w:id="142"/>
    <w:p>
      <w:pPr>
        <w:ind w:firstLine="656"/>
        <w:spacing w:after="0" w:line="276" w:lineRule="auto"/>
        <w:tabs>
          <w:tab w:leader="none" w:pos="110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 Guarantor may not consolidate with or merge with or into (whether or not such Guarantor is the surviving Person) another Person, other than either of the Issuers or another Guarantor, unless: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immediately after giving effect to that transaction, no Default or Event of Default exists; and</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67"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Person surviving any such consolidation or merger assumes all the obligations of that Guarantor under this Indenture and its Note Guarantee pursuant to a supplemental indenture and other appropriate documents satisfactory to the Trustee.</w:t>
      </w:r>
    </w:p>
    <w:p>
      <w:pPr>
        <w:spacing w:after="0" w:line="177" w:lineRule="exact"/>
        <w:rPr>
          <w:rFonts w:ascii="Arial" w:cs="Arial" w:eastAsia="Arial" w:hAnsi="Arial"/>
          <w:sz w:val="22"/>
          <w:szCs w:val="22"/>
          <w:color w:val="auto"/>
        </w:rPr>
      </w:pPr>
    </w:p>
    <w:p>
      <w:pPr>
        <w:jc w:val="both"/>
        <w:ind w:firstLine="656"/>
        <w:spacing w:after="0" w:line="291" w:lineRule="auto"/>
        <w:tabs>
          <w:tab w:leader="none" w:pos="10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In case of any consolidation or merger involving a Guarantor under this Section 11.04 hereof,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issuable hereunder which theretofore shall not have been signed by the Issuers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54" w:lineRule="exact"/>
        <w:rPr>
          <w:rFonts w:ascii="Arial" w:cs="Arial" w:eastAsia="Arial" w:hAnsi="Arial"/>
          <w:sz w:val="19"/>
          <w:szCs w:val="19"/>
          <w:color w:val="auto"/>
        </w:rPr>
      </w:pPr>
    </w:p>
    <w:p>
      <w:pPr>
        <w:ind w:firstLine="656"/>
        <w:spacing w:after="0" w:line="276" w:lineRule="auto"/>
        <w:tabs>
          <w:tab w:leader="none" w:pos="109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Except as set forth in Articles 4 and 5 hereof, nothing contained in this Indenture or in any of the Notes shall prevent any consolidation or merger of a Guarantor with or into the Issuers or another Guarantor.</w:t>
      </w:r>
    </w:p>
    <w:p>
      <w:pPr>
        <w:spacing w:after="0" w:line="160" w:lineRule="exact"/>
        <w:rPr>
          <w:rFonts w:ascii="Arial" w:cs="Arial" w:eastAsia="Arial" w:hAnsi="Arial"/>
          <w:sz w:val="22"/>
          <w:szCs w:val="22"/>
          <w:color w:val="auto"/>
        </w:rPr>
      </w:pPr>
    </w:p>
    <w:p>
      <w:pPr>
        <w:ind w:right="20" w:firstLine="656"/>
        <w:spacing w:after="0" w:line="276" w:lineRule="auto"/>
        <w:tabs>
          <w:tab w:leader="none" w:pos="112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Notwithstanding the foregoing, each Guarantor is permitted to reorganize as a corporation pursuant to a Permitted C-Corp. Conversion.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11.05</w:t>
      </w:r>
      <w:r>
        <w:rPr>
          <w:rFonts w:ascii="Arial" w:cs="Arial" w:eastAsia="Arial" w:hAnsi="Arial"/>
          <w:sz w:val="22"/>
          <w:szCs w:val="22"/>
          <w:i w:val="1"/>
          <w:iCs w:val="1"/>
          <w:color w:val="auto"/>
        </w:rPr>
        <w:t>Release of Guarantees.</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Subject to compliance with the provisions described above under this Article 11, the Note Guarantee of a Guarantor and the security interests granted by that Guarantor to secure its Note Guarantee will be released:</w:t>
      </w:r>
    </w:p>
    <w:p>
      <w:pPr>
        <w:spacing w:after="0" w:line="175" w:lineRule="exact"/>
        <w:rPr>
          <w:sz w:val="20"/>
          <w:szCs w:val="20"/>
          <w:color w:val="auto"/>
        </w:rPr>
      </w:pPr>
    </w:p>
    <w:p>
      <w:pPr>
        <w:jc w:val="both"/>
        <w:ind w:firstLine="656"/>
        <w:spacing w:after="0" w:line="260" w:lineRule="auto"/>
        <w:tabs>
          <w:tab w:leader="none" w:pos="1068"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 connection with any sale, assignment, exchange, transfer conveyance or other disposition of all or substantially all of the assets of that Guarantor (including by way of merger, consolidation, amalgamation or otherwise) to a Person that is not (either before or after giving effect to such transaction) an Issuer or a Guarantor;</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in connection with any sale, assignment, exchange, transfer, conveyance or other disposition of all of the Capital Stock of that Guarantor by way of merger, consolidation, amalgamation or otherwise to a Person that is not (either before or after giving effect to such transaction) an Issuer or a Guarantor;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631" w:right="239" w:bottom="1440" w:gutter="0" w:footer="0" w:header="0"/>
        </w:sectPr>
      </w:pPr>
    </w:p>
    <w:bookmarkStart w:id="143" w:name="page144"/>
    <w:bookmarkEnd w:id="143"/>
    <w:p>
      <w:pPr>
        <w:ind w:firstLine="656"/>
        <w:spacing w:after="0" w:line="276" w:lineRule="auto"/>
        <w:tabs>
          <w:tab w:leader="none" w:pos="1203" w:val="left"/>
        </w:tabs>
        <w:numPr>
          <w:ilvl w:val="0"/>
          <w:numId w:val="146"/>
        </w:numPr>
        <w:rPr>
          <w:rFonts w:ascii="Arial" w:cs="Arial" w:eastAsia="Arial" w:hAnsi="Arial"/>
          <w:sz w:val="22"/>
          <w:szCs w:val="22"/>
          <w:color w:val="auto"/>
        </w:rPr>
      </w:pPr>
      <w:r>
        <w:rPr>
          <w:rFonts w:ascii="Arial" w:cs="Arial" w:eastAsia="Arial" w:hAnsi="Arial"/>
          <w:sz w:val="22"/>
          <w:szCs w:val="22"/>
          <w:color w:val="auto"/>
        </w:rPr>
        <w:t>upon Legal Defeasance as provided for in Section 8.02 hereof or satisfaction and discharge of this Indenture as provided for in Section 12.01 hereof; or</w:t>
      </w:r>
    </w:p>
    <w:p>
      <w:pPr>
        <w:spacing w:after="0" w:line="160" w:lineRule="exact"/>
        <w:rPr>
          <w:rFonts w:ascii="Arial" w:cs="Arial" w:eastAsia="Arial" w:hAnsi="Arial"/>
          <w:sz w:val="22"/>
          <w:szCs w:val="22"/>
          <w:color w:val="auto"/>
        </w:rPr>
      </w:pPr>
    </w:p>
    <w:p>
      <w:pPr>
        <w:ind w:firstLine="656"/>
        <w:spacing w:after="0" w:line="276" w:lineRule="auto"/>
        <w:tabs>
          <w:tab w:leader="none" w:pos="114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upon the liquidation or dissolution of a Guarantor in a transaction or series of transactions that does not violate the terms of this Indenture.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Section 11.06</w:t>
      </w:r>
      <w:r>
        <w:rPr>
          <w:rFonts w:ascii="Arial" w:cs="Arial" w:eastAsia="Arial" w:hAnsi="Arial"/>
          <w:sz w:val="22"/>
          <w:szCs w:val="22"/>
          <w:i w:val="1"/>
          <w:iCs w:val="1"/>
          <w:color w:val="auto"/>
        </w:rPr>
        <w:t>Additional Note Guarantees.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Each Domestic Subsidiary of Wynn Resorts Finance that incurs or guarantees obligations under the Senior Credit Facilities or certain other capital markets debt securities (excluding any project financings in connection with Expansion Capital Expenditures) in excess of $100.0 million will guarantee the Notes and execute a supplemental indenture within 10 Business Days of such incurrence or guarantee;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Domestic Subsidiary that constitutes an Immaterial Subsidiary or an Excluded Subsidiary need not become a guarantor until such time as it ceases to be an Immaterial Subsidiary or an Excluded Subsidiary.</w:t>
      </w:r>
    </w:p>
    <w:p>
      <w:pPr>
        <w:spacing w:after="0" w:line="141"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SATISFACTION AND DISCHARGE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12.01</w:t>
      </w:r>
      <w:r>
        <w:rPr>
          <w:rFonts w:ascii="Arial" w:cs="Arial" w:eastAsia="Arial" w:hAnsi="Arial"/>
          <w:sz w:val="22"/>
          <w:szCs w:val="22"/>
          <w:i w:val="1"/>
          <w:iCs w:val="1"/>
          <w:color w:val="auto"/>
        </w:rPr>
        <w:t>Satisfaction and Discharge.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231"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either:</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9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Issuers, have been delivered to the Trustee for cancellation; or</w:t>
      </w:r>
    </w:p>
    <w:p>
      <w:pPr>
        <w:spacing w:after="0" w:line="177" w:lineRule="exact"/>
        <w:rPr>
          <w:rFonts w:ascii="Arial" w:cs="Arial" w:eastAsia="Arial" w:hAnsi="Arial"/>
          <w:sz w:val="22"/>
          <w:szCs w:val="22"/>
          <w:color w:val="auto"/>
        </w:rPr>
      </w:pPr>
    </w:p>
    <w:p>
      <w:pPr>
        <w:jc w:val="both"/>
        <w:ind w:left="660" w:firstLine="645"/>
        <w:spacing w:after="0" w:line="262" w:lineRule="auto"/>
        <w:tabs>
          <w:tab w:leader="none" w:pos="1754" w:val="left"/>
        </w:tabs>
        <w:numPr>
          <w:ilvl w:val="1"/>
          <w:numId w:val="147"/>
        </w:numPr>
        <w:rPr>
          <w:rFonts w:ascii="Arial" w:cs="Arial" w:eastAsia="Arial" w:hAnsi="Arial"/>
          <w:sz w:val="21"/>
          <w:szCs w:val="21"/>
          <w:color w:val="auto"/>
        </w:rPr>
      </w:pPr>
      <w:r>
        <w:rPr>
          <w:rFonts w:ascii="Arial" w:cs="Arial" w:eastAsia="Arial" w:hAnsi="Arial"/>
          <w:sz w:val="21"/>
          <w:szCs w:val="21"/>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thereof, in such amounts as shall be sufficient without consideration of any reinvestment of interest, to pay and discharge the entire Indebtedness on the Notes not delivered to the Trustee for cancellation for principal, premium, if any, and accrued interest to, but not including, the date of maturity or redemption;</w:t>
      </w:r>
    </w:p>
    <w:p>
      <w:pPr>
        <w:spacing w:after="0" w:line="180" w:lineRule="exact"/>
        <w:rPr>
          <w:rFonts w:ascii="Arial" w:cs="Arial" w:eastAsia="Arial" w:hAnsi="Arial"/>
          <w:sz w:val="21"/>
          <w:szCs w:val="21"/>
          <w:color w:val="auto"/>
        </w:rPr>
      </w:pPr>
    </w:p>
    <w:p>
      <w:pPr>
        <w:jc w:val="both"/>
        <w:ind w:firstLine="656"/>
        <w:spacing w:after="0" w:line="254" w:lineRule="auto"/>
        <w:tabs>
          <w:tab w:leader="none" w:pos="110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such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either Issuer or any Guarantor is a party or by which either Issuer or any Guarantor is bound;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631" w:right="239" w:bottom="1440" w:gutter="0" w:footer="0" w:header="0"/>
        </w:sectPr>
      </w:pPr>
    </w:p>
    <w:bookmarkStart w:id="144" w:name="page145"/>
    <w:bookmarkEnd w:id="144"/>
    <w:p>
      <w:pPr>
        <w:ind w:left="1080" w:hanging="424"/>
        <w:spacing w:after="0"/>
        <w:tabs>
          <w:tab w:leader="none" w:pos="108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Issuers or any Guarantor have paid or caused to be paid all sums payable by the Issuers under this Indenture; and</w:t>
      </w:r>
    </w:p>
    <w:p>
      <w:pPr>
        <w:spacing w:after="0" w:line="267" w:lineRule="exact"/>
        <w:rPr>
          <w:rFonts w:ascii="Arial" w:cs="Arial" w:eastAsia="Arial" w:hAnsi="Arial"/>
          <w:sz w:val="19"/>
          <w:szCs w:val="19"/>
          <w:color w:val="auto"/>
        </w:rPr>
      </w:pPr>
    </w:p>
    <w:p>
      <w:pPr>
        <w:ind w:firstLine="656"/>
        <w:spacing w:after="0" w:line="276" w:lineRule="auto"/>
        <w:tabs>
          <w:tab w:leader="none" w:pos="114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Issuers have delivered irrevocable instructions to the Trustee under this Indenture to apply the deposited money toward the payment of the Notes at maturity or the redemption date, as the case may be.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the Issuers must deliver an Officers’ Certificate and an Opinion of Counsel to the Trustee stating that all conditions precedent to satisfaction and discharge have been satisfied.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12.02 and Section 8.06 shall survive. In addition, nothing in this Section 12.01 shall be deemed to discharge those provisions of Section 7.06 hereof, that, by their terms, survive the satisfaction and discharge of this Indenture.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Section 12.02</w:t>
      </w:r>
      <w:r>
        <w:rPr>
          <w:rFonts w:ascii="Arial" w:cs="Arial" w:eastAsia="Arial" w:hAnsi="Arial"/>
          <w:sz w:val="22"/>
          <w:szCs w:val="22"/>
          <w:i w:val="1"/>
          <w:iCs w:val="1"/>
          <w:color w:val="auto"/>
        </w:rPr>
        <w:t>Application of Trust Money.</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provisions of Section 8.06, all money deposited with the Trustee pursuant to Section 12.01 shall be held in trust and applied by it, in accordance with the provisions of the Notes and this Indenture, to the payment, either directly or through any Paying Agent (including the Issuers acting as their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If the Trustee or Paying Agent is unable to apply any money or Government Securities in accordance with Section 12.01 by reason of any legal proceeding or by reason of any order or judgment of any court or governmental authority enjoining, restraining or otherwise prohibiting such application, the Issuers’ and any Guarantor’s obligations under this Indenture, the Notes and the Note Guarantees shall be revived and reinstated as though no deposit had occurred pursuant to Section 12.01; provided that if the Issuers have made any payment of principal of, premium, if any, or interest on any Notes because of the reinstatement of its obligations, the Issuers shall be subrogated to the rights of the Holders of such Notes to receive such payment from the money or Government Securities held by the Trustee or Paying Agent.</w:t>
      </w:r>
    </w:p>
    <w:p>
      <w:pPr>
        <w:spacing w:after="0" w:line="175"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JOINT AND SEVERAL LIABILITY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13.01</w:t>
      </w:r>
      <w:r>
        <w:rPr>
          <w:rFonts w:ascii="Arial" w:cs="Arial" w:eastAsia="Arial" w:hAnsi="Arial"/>
          <w:sz w:val="22"/>
          <w:szCs w:val="22"/>
          <w:i w:val="1"/>
          <w:iCs w:val="1"/>
          <w:color w:val="auto"/>
        </w:rPr>
        <w:t>Joint and Several Liability.</w:t>
      </w:r>
    </w:p>
    <w:p>
      <w:pPr>
        <w:spacing w:after="0" w:line="220" w:lineRule="exact"/>
        <w:rPr>
          <w:sz w:val="20"/>
          <w:szCs w:val="20"/>
          <w:color w:val="auto"/>
        </w:rPr>
      </w:pPr>
    </w:p>
    <w:p>
      <w:pPr>
        <w:jc w:val="both"/>
        <w:ind w:firstLine="656"/>
        <w:spacing w:after="0" w:line="254" w:lineRule="auto"/>
        <w:tabs>
          <w:tab w:leader="none" w:pos="117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Notwithstanding any contrary provision contained in this Indenture and the Notes, the covenants, agreements and obligations of the Issuers, and either of them, shall be deemed joint and several obligations of the Issuers. Any waiver including, without limitation, any suretyship waiver, made by either Issuer in this Indenture or the Notes shall be deemed to be made also by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631" w:right="23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22"/>
          <w:szCs w:val="22"/>
          <w:color w:val="auto"/>
        </w:rPr>
        <w:t>other Issuer and references in any such waiver to either Issuer shall be deemed to include the other Issuer and each of them to the fullest extent permitted by applicable law.</w:t>
      </w:r>
    </w:p>
    <w:p>
      <w:pPr>
        <w:spacing w:after="0" w:line="175" w:lineRule="exact"/>
        <w:rPr>
          <w:sz w:val="20"/>
          <w:szCs w:val="20"/>
          <w:color w:val="auto"/>
        </w:rPr>
      </w:pPr>
    </w:p>
    <w:p>
      <w:pPr>
        <w:ind w:firstLine="656"/>
        <w:spacing w:after="0" w:line="276" w:lineRule="auto"/>
        <w:tabs>
          <w:tab w:leader="none" w:pos="113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Notwithstanding any contrary provision contained in this Indenture or the Notes, each such document to which both Issuers are party shall be deemed to include, without limitation, the following waivers:</w:t>
      </w:r>
    </w:p>
    <w:p>
      <w:pPr>
        <w:spacing w:after="0" w:line="16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Each of the Issuers hereby waives and relinquishes all rights and remedies accorded by applicable law to sureties or guarantors and agrees not to assert or take advantage of any such rights or remedies, including, without limitation, (i) any right to require the Trustee or any of the Holders (each a “</w:t>
      </w:r>
      <w:r>
        <w:rPr>
          <w:rFonts w:ascii="Arial" w:cs="Arial" w:eastAsia="Arial" w:hAnsi="Arial"/>
          <w:sz w:val="19"/>
          <w:szCs w:val="19"/>
          <w:i w:val="1"/>
          <w:iCs w:val="1"/>
          <w:u w:val="single" w:color="auto"/>
          <w:color w:val="auto"/>
        </w:rPr>
        <w:t>Beneficiary</w:t>
      </w:r>
      <w:r>
        <w:rPr>
          <w:rFonts w:ascii="Arial" w:cs="Arial" w:eastAsia="Arial" w:hAnsi="Arial"/>
          <w:sz w:val="19"/>
          <w:szCs w:val="19"/>
          <w:color w:val="auto"/>
        </w:rPr>
        <w:t>”) to proceed against either of the Issuers or any other Person or to proceed against or exhaust any security held by a Beneficiary at any time or to pursue any other remedy in the power of a Beneficiary before proceeding against such Issuer or other Person, (ii) the defense of the statute of limitations in any action hereunder or in any action for the collection or performance of the Obligations under this Indenture and the Notes (collectively, the “</w:t>
      </w:r>
      <w:r>
        <w:rPr>
          <w:rFonts w:ascii="Arial" w:cs="Arial" w:eastAsia="Arial" w:hAnsi="Arial"/>
          <w:sz w:val="19"/>
          <w:szCs w:val="19"/>
          <w:i w:val="1"/>
          <w:iCs w:val="1"/>
          <w:u w:val="single" w:color="auto"/>
          <w:color w:val="auto"/>
        </w:rPr>
        <w:t>Note Obligations</w:t>
      </w:r>
      <w:r>
        <w:rPr>
          <w:rFonts w:ascii="Arial" w:cs="Arial" w:eastAsia="Arial" w:hAnsi="Arial"/>
          <w:sz w:val="19"/>
          <w:szCs w:val="19"/>
          <w:color w:val="auto"/>
        </w:rPr>
        <w:t>”), (iii) any defense that may arise by reason of the incapacity, lack of authority, death or disability of any Person or the failure of a Beneficiary to file or enforce a claim against the estate (in administration, bankruptcy or any other proceeding) of any Person, (iv) appraisal, valuation, stay, extension, marshaling of assets, redemption, exemption, demand, presentment, protest and notice of any kind, including, without limitation, notice of the existence, creation or incurring of any new or additional indebtedness or obligation or of any action or non-action on the part of a Beneficiary, any Issuer, any endorser, guarantor or creditor of either Issuer or on the part of any other Person under this or any other instrument or document in connection with any Obligation or evidence of Indebtedness held by a Beneficiary as collateral or in connection with the Note Obligations, (v) any defense based upon an election of remedies by a Beneficiary, including, without limitation, an election to proceed by non judicial rather than judicial foreclosure, which destroys or otherwise impairs the subrogation rights of either Issuer, the right of either Issuer to proceed against the other Issuer or any other Person for reimbursement, or both, (vi) any defense based upon any statute or rule of law which provides that the obligation of a surety must be neither larger in amount nor in other respects more burdensome than that of the principal, (vii) any duty on the part of a Beneficiary to disclose to either Issuer any facts a Beneficiary may now or hereafter know about either of the Issuers or any other Person, regardless of whether a Beneficiary has reason to believe that any such facts materially increase the risk beyond that which such Issuer intends to assume, or has reason to believe that such facts are unknown to such Issuer, or has a reasonable opportunity to communicate such facts to the either Issuer, because each Issuer acknowledges that each Issuer is fully responsible for being and keeping informed of the financial condition of each of the Issuers or any other Person and of all circumstances bearing on the risk of nonpayment of any Note Obligations, (viii) any defense arising because of the election of a Beneficiary, in any proceeding instituted under the Bankruptcy Law, of the application of Section 1111(b)(2) of the Bankruptcy Law, (ix) any defense based upon any borrowing or grant of a security interest under Section 364 of the Bankruptcy Law, (x) any claim or other rights which it may now or hereafter acquire against the other Issuer or any other Person that arises from the existence of performance of each Issuer of its obligations under this Indenture or the Notes, including, without limitation, any right of subrogation, reimbursement, exoneration, contribution, indemnification, any right to participate in any claim or remedy by a Beneficiary against the other Issuer or any collateral which a Beneficiary now has or hereafter acquires, whether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631" w:right="239" w:bottom="1440" w:gutter="0" w:footer="0" w:header="0"/>
        </w:sectPr>
      </w:pPr>
    </w:p>
    <w:bookmarkStart w:id="146" w:name="page147"/>
    <w:bookmarkEnd w:id="146"/>
    <w:p>
      <w:pPr>
        <w:jc w:val="both"/>
        <w:spacing w:after="0" w:line="258" w:lineRule="auto"/>
        <w:rPr>
          <w:sz w:val="20"/>
          <w:szCs w:val="20"/>
          <w:color w:val="auto"/>
        </w:rPr>
      </w:pPr>
      <w:r>
        <w:rPr>
          <w:rFonts w:ascii="Arial" w:cs="Arial" w:eastAsia="Arial" w:hAnsi="Arial"/>
          <w:sz w:val="21"/>
          <w:szCs w:val="21"/>
          <w:color w:val="auto"/>
        </w:rPr>
        <w:t>or not such claim, remedy or right arises in equity or under contract, statute or common law, by any payment made hereunder or otherwise, including, without limitation, the right to take or receive from either of the Issuers or any other Person, directly or indirectly, in cash or other property or by set off or in any other manner, payment or security on account of such claim or other rights, (xi) any rights which it may acquire by way of contribution under this Indenture or the Notes, by any payment made hereunder or otherwise, including, without limitation, the right to take or receive from any other Person, directly or indirectly, in cash or other property or by set off or in any other manner, payment or security on account of such contribution rights, and (xii) any defense based on one action laws and any other anti-deficiency protections granted to guarantors by applicable law. No failure or delay on the Trustee’s part in exercising any power, right or privilege under this Indenture shall impair or waive one such power, right or privilege. Each of the Issuers acknowledges and agrees that any nonrecourse or exculpation provided for in this Indenture or the Notes, or any other provision of this Indenture or the Notes, limiting the Beneficiaries’ recourse to specific collateral, or limiting the Beneficiaries’ right to enforce a deficiency judgment against the Issuers, shall have absolutely no application to the Issuers’ liability under this Indenture or the Notes.</w:t>
      </w:r>
    </w:p>
    <w:p>
      <w:pPr>
        <w:spacing w:after="0" w:line="180" w:lineRule="exact"/>
        <w:rPr>
          <w:sz w:val="20"/>
          <w:szCs w:val="20"/>
          <w:color w:val="auto"/>
        </w:rPr>
      </w:pPr>
    </w:p>
    <w:p>
      <w:pPr>
        <w:ind w:firstLine="656"/>
        <w:spacing w:after="0" w:line="276" w:lineRule="auto"/>
        <w:tabs>
          <w:tab w:leader="none" w:pos="113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In the event of any inconsistency between the provisions of this Article 13 and the corresponding provisions of this Indenture or the Notes, the provisions of this Indenture shall govern.</w:t>
      </w:r>
    </w:p>
    <w:p>
      <w:pPr>
        <w:spacing w:after="0" w:line="155"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Section 14.01</w:t>
      </w:r>
      <w:r>
        <w:rPr>
          <w:rFonts w:ascii="Arial" w:cs="Arial" w:eastAsia="Arial" w:hAnsi="Arial"/>
          <w:sz w:val="22"/>
          <w:szCs w:val="22"/>
          <w:i w:val="1"/>
          <w:iCs w:val="1"/>
          <w:color w:val="auto"/>
        </w:rPr>
        <w:t>Notices.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notice or communication by the Issuers, any Guarantor or the Trustee to the others is duly given if in writing and delivered in Person or mailed by first class mail (registered or certified, return receipt requested), telex, fax or overnight air courier guaranteeing next day delivery, to the others’ address: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Issuers and/or any Guarantor: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Resorts Finance,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South Las Vegas, Nevada 89109</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 (702) 770-1518</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further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Latham &amp; Watkins LLP</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885 Third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 (212) 751-4864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Senet Bischoff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631" w:right="239" w:bottom="1440" w:gutter="0" w:footer="0" w:header="0"/>
        </w:sectPr>
      </w:pPr>
    </w:p>
    <w:bookmarkStart w:id="147" w:name="page148"/>
    <w:bookmarkEnd w:id="147"/>
    <w:p>
      <w:pPr>
        <w:ind w:left="1300"/>
        <w:spacing w:after="0"/>
        <w:rPr>
          <w:sz w:val="20"/>
          <w:szCs w:val="20"/>
          <w:color w:val="auto"/>
        </w:rPr>
      </w:pPr>
      <w:r>
        <w:rPr>
          <w:rFonts w:ascii="Arial" w:cs="Arial" w:eastAsia="Arial" w:hAnsi="Arial"/>
          <w:sz w:val="22"/>
          <w:szCs w:val="22"/>
          <w:color w:val="auto"/>
        </w:rPr>
        <w:t>Erika Weinberg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St. Paul, MN 55107-2292</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 (651) 495-8097</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Issuers, any Guarantor or the Trustee, by notice to the others may designate additional or different addresses for subsequent notices or communications.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answered back, if telexed; when receipt acknowledged, if faxed; and the next Business Day after timely delivery to the courier, if sent by overnight air courier guaranteeing next day delivery.</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Issuers mail a notice or communication to Holders, they shall mail a copy to the Trustee and each Agent at the same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Section 14.02</w:t>
      </w:r>
      <w:r>
        <w:rPr>
          <w:rFonts w:ascii="Arial" w:cs="Arial" w:eastAsia="Arial" w:hAnsi="Arial"/>
          <w:sz w:val="22"/>
          <w:szCs w:val="22"/>
          <w:i w:val="1"/>
          <w:iCs w:val="1"/>
          <w:color w:val="auto"/>
        </w:rPr>
        <w:t>Certificate and Opinion as to Conditions Precedent.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Upon any request or application by the Issuers to the Trustee to take any action under this Indenture, the Issuers shall furnish to the Trustee:</w:t>
      </w:r>
    </w:p>
    <w:p>
      <w:pPr>
        <w:spacing w:after="0" w:line="175" w:lineRule="exact"/>
        <w:rPr>
          <w:sz w:val="20"/>
          <w:szCs w:val="20"/>
          <w:color w:val="auto"/>
        </w:rPr>
      </w:pPr>
    </w:p>
    <w:p>
      <w:pPr>
        <w:jc w:val="both"/>
        <w:ind w:firstLine="656"/>
        <w:spacing w:after="0" w:line="260" w:lineRule="auto"/>
        <w:tabs>
          <w:tab w:leader="none" w:pos="106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 Officers’ Certificate in form and substance reasonably satisfactory to the Trustee (which must include the statements set forth in Section 14.03 hereof) stating that, in the opinion of the signers, all conditions precedent and covenants, if any, provided for in this Indenture relating to the proposed action have been satisfied; and</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14.03 hereof) stating that, in the opinion of such counsel, all such conditions precedent and covenants have been satisfied.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Section 14.03</w:t>
      </w:r>
      <w:r>
        <w:rPr>
          <w:rFonts w:ascii="Arial" w:cs="Arial" w:eastAsia="Arial" w:hAnsi="Arial"/>
          <w:sz w:val="22"/>
          <w:szCs w:val="22"/>
          <w:i w:val="1"/>
          <w:iCs w:val="1"/>
          <w:color w:val="auto"/>
        </w:rPr>
        <w:t>Statements Required in Certificate or Opinion.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631" w:right="239" w:bottom="1440" w:gutter="0" w:footer="0" w:header="0"/>
        </w:sectPr>
      </w:pPr>
    </w:p>
    <w:bookmarkStart w:id="148" w:name="page149"/>
    <w:bookmarkEnd w:id="148"/>
    <w:p>
      <w:pPr>
        <w:ind w:firstLine="648"/>
        <w:spacing w:after="0" w:line="26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5" w:lineRule="exact"/>
        <w:rPr>
          <w:sz w:val="20"/>
          <w:szCs w:val="20"/>
          <w:color w:val="auto"/>
        </w:rPr>
      </w:pPr>
    </w:p>
    <w:p>
      <w:pPr>
        <w:ind w:left="1080" w:hanging="424"/>
        <w:spacing w:after="0"/>
        <w:tabs>
          <w:tab w:leader="none" w:pos="10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33" w:lineRule="exact"/>
        <w:rPr>
          <w:rFonts w:ascii="Arial" w:cs="Arial" w:eastAsia="Arial" w:hAnsi="Arial"/>
          <w:sz w:val="22"/>
          <w:szCs w:val="22"/>
          <w:color w:val="auto"/>
        </w:rPr>
      </w:pPr>
    </w:p>
    <w:p>
      <w:pPr>
        <w:ind w:firstLine="656"/>
        <w:spacing w:after="0" w:line="276" w:lineRule="auto"/>
        <w:tabs>
          <w:tab w:leader="none" w:pos="109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60" w:lineRule="exact"/>
        <w:rPr>
          <w:rFonts w:ascii="Arial" w:cs="Arial" w:eastAsia="Arial" w:hAnsi="Arial"/>
          <w:sz w:val="22"/>
          <w:szCs w:val="22"/>
          <w:color w:val="auto"/>
        </w:rPr>
      </w:pPr>
    </w:p>
    <w:p>
      <w:pPr>
        <w:ind w:firstLine="656"/>
        <w:spacing w:after="0" w:line="358" w:lineRule="auto"/>
        <w:tabs>
          <w:tab w:leader="none" w:pos="106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90" w:lineRule="exact"/>
        <w:rPr>
          <w:rFonts w:ascii="Arial" w:cs="Arial" w:eastAsia="Arial" w:hAnsi="Arial"/>
          <w:sz w:val="19"/>
          <w:szCs w:val="19"/>
          <w:color w:val="auto"/>
        </w:rPr>
      </w:pPr>
    </w:p>
    <w:p>
      <w:pPr>
        <w:ind w:left="1080" w:hanging="424"/>
        <w:spacing w:after="0"/>
        <w:tabs>
          <w:tab w:leader="none" w:pos="108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Section 14.04</w:t>
      </w:r>
      <w:r>
        <w:rPr>
          <w:rFonts w:ascii="Arial" w:cs="Arial" w:eastAsia="Arial" w:hAnsi="Arial"/>
          <w:sz w:val="22"/>
          <w:szCs w:val="22"/>
          <w:i w:val="1"/>
          <w:iCs w:val="1"/>
          <w:color w:val="auto"/>
        </w:rPr>
        <w:t>Rules by Trustee and Agents.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14.05</w:t>
      </w:r>
      <w:r>
        <w:rPr>
          <w:rFonts w:ascii="Arial" w:cs="Arial" w:eastAsia="Arial" w:hAnsi="Arial"/>
          <w:sz w:val="22"/>
          <w:szCs w:val="22"/>
          <w:i w:val="1"/>
          <w:iCs w:val="1"/>
          <w:color w:val="auto"/>
        </w:rPr>
        <w:t>No Personal Liability of Directors, Officers, Employees and Equity Holders.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 past, present or future director, officer, employee, incorporator, organizer, equity holder or member of either Issuer or any Guarantor, as such, shall have any liability for any obligations of either Issuer or any Guarantor under the Notes, the Note Guarantees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Section 14.06</w:t>
      </w:r>
      <w:r>
        <w:rPr>
          <w:rFonts w:ascii="Arial" w:cs="Arial" w:eastAsia="Arial" w:hAnsi="Arial"/>
          <w:sz w:val="22"/>
          <w:szCs w:val="22"/>
          <w:i w:val="1"/>
          <w:iCs w:val="1"/>
          <w:color w:val="auto"/>
        </w:rPr>
        <w:t>Governing Law.</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INDENTURE, THE NOTES AND THE NOTE GUARANTEES SHALL BE GOVERNED BY AND CONSTRUED IN ACCORDANCE WITH THE LAWS OF THE STATE OF NEW YORK, INCLUDING, WITHOUT LIMITATION, SECTION 5-1401 OF THE NEW YORK OBLIGATIONS LAW.</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14.07</w:t>
      </w:r>
      <w:r>
        <w:rPr>
          <w:rFonts w:ascii="Arial" w:cs="Arial" w:eastAsia="Arial" w:hAnsi="Arial"/>
          <w:sz w:val="22"/>
          <w:szCs w:val="22"/>
          <w:i w:val="1"/>
          <w:iCs w:val="1"/>
          <w:color w:val="auto"/>
        </w:rPr>
        <w:t>No Adverse Interpretation of Other Agreements.</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Issuers or their respective Subsidiaries or of any other Person. Any such indenture, loan or debt agreement may not be used to interpret this Indenture.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Section 14.08</w:t>
      </w:r>
      <w:r>
        <w:rPr>
          <w:rFonts w:ascii="Arial" w:cs="Arial" w:eastAsia="Arial" w:hAnsi="Arial"/>
          <w:sz w:val="22"/>
          <w:szCs w:val="22"/>
          <w:i w:val="1"/>
          <w:iCs w:val="1"/>
          <w:color w:val="auto"/>
        </w:rPr>
        <w:t>Successors.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631" w:right="239" w:bottom="1440" w:gutter="0" w:footer="0" w:header="0"/>
        </w:sectPr>
      </w:pPr>
    </w:p>
    <w:bookmarkStart w:id="149" w:name="page150"/>
    <w:bookmarkEnd w:id="149"/>
    <w:p>
      <w:pPr>
        <w:jc w:val="both"/>
        <w:ind w:firstLine="648"/>
        <w:spacing w:after="0" w:line="253" w:lineRule="auto"/>
        <w:rPr>
          <w:sz w:val="20"/>
          <w:szCs w:val="20"/>
          <w:color w:val="auto"/>
        </w:rPr>
      </w:pPr>
      <w:r>
        <w:rPr>
          <w:rFonts w:ascii="Arial" w:cs="Arial" w:eastAsia="Arial" w:hAnsi="Arial"/>
          <w:sz w:val="22"/>
          <w:szCs w:val="22"/>
          <w:color w:val="auto"/>
        </w:rPr>
        <w:t>All agreements of the Issuers in this Indenture and the Notes shall bind their successors. All agreements of the Trustee in this Indenture shall bind its successors. All agreements of each Guarantor in this Indenture shall bind its successors, except as otherwise provided in Section 11.05.</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Section 14.09</w:t>
      </w:r>
      <w:r>
        <w:rPr>
          <w:rFonts w:ascii="Arial" w:cs="Arial" w:eastAsia="Arial" w:hAnsi="Arial"/>
          <w:sz w:val="22"/>
          <w:szCs w:val="22"/>
          <w:i w:val="1"/>
          <w:iCs w:val="1"/>
          <w:color w:val="auto"/>
        </w:rPr>
        <w:t>Severability.</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14.10</w:t>
      </w:r>
      <w:r>
        <w:rPr>
          <w:rFonts w:ascii="Arial" w:cs="Arial" w:eastAsia="Arial" w:hAnsi="Arial"/>
          <w:sz w:val="22"/>
          <w:szCs w:val="22"/>
          <w:i w:val="1"/>
          <w:iCs w:val="1"/>
          <w:color w:val="auto"/>
        </w:rPr>
        <w:t>Counterpart Originals.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parties may sign any number of copies of this Indenture. Each signed copy shall be an original, but all of them together represent the same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Section 14.11</w:t>
      </w:r>
      <w:r>
        <w:rPr>
          <w:rFonts w:ascii="Arial" w:cs="Arial" w:eastAsia="Arial" w:hAnsi="Arial"/>
          <w:sz w:val="22"/>
          <w:szCs w:val="22"/>
          <w:i w:val="1"/>
          <w:iCs w:val="1"/>
          <w:color w:val="auto"/>
        </w:rPr>
        <w:t>Table of Contents, Headings, etc.</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31" w:right="239" w:bottom="1440" w:gutter="0" w:footer="0" w:header="0"/>
        </w:sectPr>
      </w:pPr>
    </w:p>
    <w:bookmarkStart w:id="150" w:name="page151"/>
    <w:bookmarkEnd w:id="150"/>
    <w:p>
      <w:pPr>
        <w:ind w:left="4900"/>
        <w:spacing w:after="0"/>
        <w:rPr>
          <w:sz w:val="20"/>
          <w:szCs w:val="20"/>
          <w:color w:val="auto"/>
        </w:rPr>
      </w:pPr>
      <w:r>
        <w:rPr>
          <w:rFonts w:ascii="Arial" w:cs="Arial" w:eastAsia="Arial" w:hAnsi="Arial"/>
          <w:sz w:val="22"/>
          <w:szCs w:val="22"/>
          <w:b w:val="1"/>
          <w:bCs w:val="1"/>
          <w:color w:val="auto"/>
        </w:rPr>
        <w:t>SIGNATURES</w:t>
      </w:r>
    </w:p>
    <w:p>
      <w:pPr>
        <w:spacing w:after="0" w:line="368" w:lineRule="exact"/>
        <w:rPr>
          <w:sz w:val="20"/>
          <w:szCs w:val="20"/>
          <w:color w:val="auto"/>
        </w:rPr>
      </w:pPr>
    </w:p>
    <w:p>
      <w:pPr>
        <w:spacing w:after="0"/>
        <w:tabs>
          <w:tab w:leader="none" w:pos="4540" w:val="left"/>
        </w:tabs>
        <w:rPr>
          <w:sz w:val="20"/>
          <w:szCs w:val="20"/>
          <w:color w:val="auto"/>
        </w:rPr>
      </w:pPr>
      <w:r>
        <w:rPr>
          <w:rFonts w:ascii="Arial" w:cs="Arial" w:eastAsia="Arial" w:hAnsi="Arial"/>
          <w:sz w:val="22"/>
          <w:szCs w:val="22"/>
          <w:color w:val="auto"/>
        </w:rPr>
        <w:t>Dated as of September 20, 2019</w:t>
      </w:r>
      <w:r>
        <w:rPr>
          <w:sz w:val="20"/>
          <w:szCs w:val="20"/>
          <w:color w:val="auto"/>
        </w:rPr>
        <w:tab/>
      </w:r>
      <w:r>
        <w:rPr>
          <w:rFonts w:ascii="Arial" w:cs="Arial" w:eastAsia="Arial" w:hAnsi="Arial"/>
          <w:sz w:val="19"/>
          <w:szCs w:val="19"/>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WYNN RESORTS FINANCE, LLC</w:t>
      </w:r>
    </w:p>
    <w:p>
      <w:pPr>
        <w:spacing w:after="0" w:line="266" w:lineRule="exact"/>
        <w:rPr>
          <w:sz w:val="20"/>
          <w:szCs w:val="20"/>
          <w:color w:val="auto"/>
        </w:rPr>
      </w:pPr>
    </w:p>
    <w:p>
      <w:pPr>
        <w:ind w:left="3780"/>
        <w:spacing w:after="0"/>
        <w:rPr>
          <w:sz w:val="20"/>
          <w:szCs w:val="20"/>
          <w:color w:val="auto"/>
        </w:rPr>
      </w:pPr>
      <w:r>
        <w:rPr>
          <w:rFonts w:ascii="Arial" w:cs="Arial" w:eastAsia="Arial" w:hAnsi="Arial"/>
          <w:sz w:val="21"/>
          <w:szCs w:val="21"/>
          <w:color w:val="auto"/>
        </w:rPr>
        <w:t>By:Wynn Resorts Holdings, LLC, its sole member</w:t>
      </w:r>
    </w:p>
    <w:p>
      <w:pPr>
        <w:spacing w:after="0" w:line="27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By: Wynn Resorts, Limited, its sole member</w:t>
      </w:r>
    </w:p>
    <w:p>
      <w:pPr>
        <w:spacing w:after="0" w:line="200" w:lineRule="exact"/>
        <w:rPr>
          <w:sz w:val="20"/>
          <w:szCs w:val="20"/>
          <w:color w:val="auto"/>
        </w:rPr>
      </w:pPr>
    </w:p>
    <w:p>
      <w:pPr>
        <w:spacing w:after="0" w:line="317"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-17780</wp:posOffset>
            </wp:positionV>
            <wp:extent cx="13569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jc w:val="right"/>
        <w:ind w:right="1639"/>
        <w:spacing w:after="0"/>
        <w:rPr>
          <w:sz w:val="20"/>
          <w:szCs w:val="20"/>
          <w:color w:val="auto"/>
        </w:rPr>
      </w:pPr>
      <w:r>
        <w:rPr>
          <w:rFonts w:ascii="Arial" w:cs="Arial" w:eastAsia="Arial" w:hAnsi="Arial"/>
          <w:sz w:val="22"/>
          <w:szCs w:val="22"/>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WYNN RESORTS CAPITAL CORP.</w:t>
      </w:r>
    </w:p>
    <w:p>
      <w:pPr>
        <w:spacing w:after="0" w:line="200" w:lineRule="exact"/>
        <w:rPr>
          <w:sz w:val="20"/>
          <w:szCs w:val="20"/>
          <w:color w:val="auto"/>
        </w:rPr>
      </w:pPr>
    </w:p>
    <w:p>
      <w:pPr>
        <w:spacing w:after="0" w:line="363"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2631440</wp:posOffset>
            </wp:positionH>
            <wp:positionV relativeFrom="paragraph">
              <wp:posOffset>-17780</wp:posOffset>
            </wp:positionV>
            <wp:extent cx="13569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2" w:lineRule="exact"/>
        <w:rPr>
          <w:sz w:val="20"/>
          <w:szCs w:val="20"/>
          <w:color w:val="auto"/>
        </w:rPr>
      </w:pPr>
    </w:p>
    <w:p>
      <w:pPr>
        <w:ind w:left="3780"/>
        <w:spacing w:after="0"/>
        <w:rPr>
          <w:sz w:val="20"/>
          <w:szCs w:val="20"/>
          <w:color w:val="auto"/>
        </w:rPr>
      </w:pPr>
      <w:r>
        <w:rPr>
          <w:rFonts w:ascii="Arial" w:cs="Arial" w:eastAsia="Arial" w:hAnsi="Arial"/>
          <w:sz w:val="22"/>
          <w:szCs w:val="22"/>
          <w:color w:val="auto"/>
        </w:rPr>
        <w:t>Name: Craig S. Billings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Title: President and Treasurer</w:t>
      </w:r>
    </w:p>
    <w:p>
      <w:pPr>
        <w:spacing w:after="0" w:line="200" w:lineRule="exact"/>
        <w:rPr>
          <w:sz w:val="20"/>
          <w:szCs w:val="20"/>
          <w:color w:val="auto"/>
        </w:rPr>
      </w:pPr>
    </w:p>
    <w:p>
      <w:pPr>
        <w:spacing w:after="0" w:line="29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0099"/>
          </w:cols>
          <w:pgMar w:left="360" w:top="625" w:right="1440" w:bottom="1440" w:gutter="0" w:footer="0" w:header="0"/>
        </w:sectPr>
      </w:pPr>
    </w:p>
    <w:bookmarkStart w:id="151" w:name="page152"/>
    <w:bookmarkEnd w:id="151"/>
    <w:p>
      <w:pPr>
        <w:ind w:left="2220"/>
        <w:spacing w:after="0"/>
        <w:rPr>
          <w:sz w:val="20"/>
          <w:szCs w:val="20"/>
          <w:color w:val="auto"/>
        </w:rPr>
      </w:pPr>
      <w:r>
        <w:rPr>
          <w:rFonts w:ascii="Arial" w:cs="Arial" w:eastAsia="Arial" w:hAnsi="Arial"/>
          <w:sz w:val="22"/>
          <w:szCs w:val="22"/>
          <w:b w:val="1"/>
          <w:bCs w:val="1"/>
          <w:color w:val="auto"/>
        </w:rPr>
        <w:t>GUARANTORS:</w:t>
      </w:r>
    </w:p>
    <w:p>
      <w:pPr>
        <w:spacing w:after="0" w:line="251"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EBH HOLDINGS,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MA, LLC, its sole member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7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EBH MA PROPERTY,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MA, LLC, its managing member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GROUP ASIA, INC.</w:t>
      </w: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9019"/>
          </w:cols>
          <w:pgMar w:left="1440" w:top="625" w:right="1440" w:bottom="1440" w:gutter="0" w:footer="0" w:header="0"/>
        </w:sectPr>
      </w:pPr>
    </w:p>
    <w:bookmarkStart w:id="152" w:name="page153"/>
    <w:bookmarkEnd w:id="152"/>
    <w:p>
      <w:pPr>
        <w:ind w:left="2700"/>
        <w:spacing w:after="0"/>
        <w:rPr>
          <w:sz w:val="20"/>
          <w:szCs w:val="20"/>
          <w:color w:val="auto"/>
        </w:rPr>
      </w:pPr>
      <w:r>
        <w:rPr>
          <w:rFonts w:ascii="Arial" w:cs="Arial" w:eastAsia="Arial" w:hAnsi="Arial"/>
          <w:sz w:val="20"/>
          <w:szCs w:val="20"/>
          <w:b w:val="1"/>
          <w:bCs w:val="1"/>
          <w:color w:val="auto"/>
        </w:rPr>
        <w:t>EVERETT PROPERTY,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AMERICA GROUP,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LAS VEGAS HOLDINGS,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616" w:right="1440" w:bottom="1440" w:gutter="0" w:footer="0" w:header="0"/>
        </w:sectPr>
      </w:pPr>
    </w:p>
    <w:bookmarkStart w:id="153" w:name="page154"/>
    <w:bookmarkEnd w:id="153"/>
    <w:p>
      <w:pPr>
        <w:ind w:left="2700"/>
        <w:spacing w:after="0"/>
        <w:rPr>
          <w:sz w:val="20"/>
          <w:szCs w:val="20"/>
          <w:color w:val="auto"/>
        </w:rPr>
      </w:pPr>
      <w:r>
        <w:rPr>
          <w:rFonts w:ascii="Arial" w:cs="Arial" w:eastAsia="Arial" w:hAnsi="Arial"/>
          <w:sz w:val="20"/>
          <w:szCs w:val="20"/>
          <w:b w:val="1"/>
          <w:bCs w:val="1"/>
          <w:color w:val="auto"/>
        </w:rPr>
        <w:t>WYNN LAS VEGAS,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WYNN MA, LLC</w:t>
      </w: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SUNRISE,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Las Vegas, LLC its sole member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91"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154" w:name="page155"/>
    <w:bookmarkEnd w:id="154"/>
    <w:p>
      <w:pPr>
        <w:ind w:left="2700"/>
        <w:spacing w:after="0"/>
        <w:rPr>
          <w:sz w:val="20"/>
          <w:szCs w:val="20"/>
          <w:color w:val="auto"/>
        </w:rPr>
      </w:pPr>
      <w:r>
        <w:rPr>
          <w:rFonts w:ascii="Arial" w:cs="Arial" w:eastAsia="Arial" w:hAnsi="Arial"/>
          <w:sz w:val="20"/>
          <w:szCs w:val="20"/>
          <w:color w:val="auto"/>
        </w:rPr>
        <w:t>Name: Craig S. Billings</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ectPr>
          <w:pgSz w:w="11900" w:h="16838" w:orient="portrait"/>
          <w:cols w:equalWidth="0" w:num="1">
            <w:col w:w="9019"/>
          </w:cols>
          <w:pgMar w:left="1440" w:top="622" w:right="1440" w:bottom="1440" w:gutter="0" w:footer="0" w:header="0"/>
        </w:sectPr>
      </w:pPr>
    </w:p>
    <w:bookmarkStart w:id="155" w:name="page156"/>
    <w:bookmarkEnd w:id="155"/>
    <w:p>
      <w:pPr>
        <w:jc w:val="center"/>
        <w:ind w:right="259"/>
        <w:spacing w:after="0"/>
        <w:rPr>
          <w:sz w:val="20"/>
          <w:szCs w:val="20"/>
          <w:color w:val="auto"/>
        </w:rPr>
      </w:pPr>
      <w:r>
        <w:rPr>
          <w:rFonts w:ascii="Arial" w:cs="Arial" w:eastAsia="Arial" w:hAnsi="Arial"/>
          <w:sz w:val="19"/>
          <w:szCs w:val="19"/>
          <w:b w:val="1"/>
          <w:bCs w:val="1"/>
          <w:color w:val="auto"/>
        </w:rPr>
        <w:t>WYNN LAS VEGAS CAPITAL CORP.</w:t>
      </w:r>
    </w:p>
    <w:p>
      <w:pPr>
        <w:spacing w:after="0" w:line="200" w:lineRule="exact"/>
        <w:rPr>
          <w:sz w:val="20"/>
          <w:szCs w:val="20"/>
          <w:color w:val="auto"/>
        </w:rPr>
      </w:pPr>
    </w:p>
    <w:p>
      <w:pPr>
        <w:spacing w:after="0" w:line="28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-10160</wp:posOffset>
            </wp:positionV>
            <wp:extent cx="13569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Craig S. Billings</w:t>
      </w:r>
    </w:p>
    <w:p>
      <w:pPr>
        <w:spacing w:after="0" w:line="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Title: President and Chief Financial Officer</w:t>
      </w:r>
    </w:p>
    <w:p>
      <w:pPr>
        <w:sectPr>
          <w:pgSz w:w="11900" w:h="16838" w:orient="portrait"/>
          <w:cols w:equalWidth="0" w:num="1">
            <w:col w:w="9019"/>
          </w:cols>
          <w:pgMar w:left="1440" w:top="616" w:right="1440" w:bottom="1440" w:gutter="0" w:footer="0" w:header="0"/>
        </w:sectPr>
      </w:pPr>
    </w:p>
    <w:bookmarkStart w:id="156" w:name="page157"/>
    <w:bookmarkEnd w:id="156"/>
    <w:p>
      <w:pPr>
        <w:ind w:left="270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not in its individual capacity but solely as Trustee</w:t>
      </w: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-17780</wp:posOffset>
            </wp:positionV>
            <wp:extent cx="1638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638935" cy="8890"/>
                    </a:xfrm>
                    <a:prstGeom prst="rect">
                      <a:avLst/>
                    </a:prstGeom>
                    <a:noFill/>
                  </pic:spPr>
                </pic:pic>
              </a:graphicData>
            </a:graphic>
          </wp:anchor>
        </w:drawing>
      </w:r>
    </w:p>
    <w:p>
      <w:pPr>
        <w:spacing w:after="0" w:line="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Name: Raymond S. Haverstock</w:t>
      </w:r>
    </w:p>
    <w:p>
      <w:pPr>
        <w:spacing w:after="0" w:line="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9019"/>
          </w:cols>
          <w:pgMar w:left="1440" w:top="625" w:right="1440" w:bottom="1440" w:gutter="0" w:footer="0" w:header="0"/>
        </w:sectPr>
      </w:pPr>
    </w:p>
    <w:bookmarkStart w:id="157" w:name="page158"/>
    <w:bookmarkEnd w:id="157"/>
    <w:p>
      <w:pPr>
        <w:ind w:left="10100"/>
        <w:spacing w:after="0"/>
        <w:rPr>
          <w:sz w:val="20"/>
          <w:szCs w:val="20"/>
          <w:color w:val="auto"/>
        </w:rPr>
      </w:pPr>
      <w:r>
        <w:rPr>
          <w:rFonts w:ascii="Arial" w:cs="Arial" w:eastAsia="Arial" w:hAnsi="Arial"/>
          <w:sz w:val="22"/>
          <w:szCs w:val="22"/>
          <w:b w:val="1"/>
          <w:bCs w:val="1"/>
          <w:color w:val="auto"/>
        </w:rPr>
        <w:t>EXHIBIT A-1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CUSIP/ISIN 983133 AA7/US983133AA70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5.125% Senior Notes due 2029</w:t>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spacing w:after="0" w:line="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WYNN RESORTS FINANCE, LLC</w:t>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WYNN RESORTS CAPITAL CORP.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DOLLARS on October 1, 2029.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April 1 and October 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Record Dates: March 15 and September 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September 20, 2019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420"/>
          </w:cols>
          <w:pgMar w:left="240" w:top="882" w:right="239" w:bottom="1440" w:gutter="0" w:footer="0" w:header="0"/>
        </w:sectPr>
      </w:pPr>
    </w:p>
    <w:bookmarkStart w:id="158" w:name="page159"/>
    <w:bookmarkEnd w:id="158"/>
    <w:p>
      <w:pPr>
        <w:ind w:left="2700"/>
        <w:spacing w:after="0"/>
        <w:rPr>
          <w:sz w:val="20"/>
          <w:szCs w:val="20"/>
          <w:color w:val="auto"/>
        </w:rPr>
      </w:pPr>
      <w:r>
        <w:rPr>
          <w:rFonts w:ascii="Arial" w:cs="Arial" w:eastAsia="Arial" w:hAnsi="Arial"/>
          <w:sz w:val="20"/>
          <w:szCs w:val="20"/>
          <w:b w:val="1"/>
          <w:bCs w:val="1"/>
          <w:color w:val="auto"/>
        </w:rPr>
        <w:t>WYNN RESORTS FINANCE,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RESORTS CAPITAL CORP.</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20"/>
          <w:szCs w:val="20"/>
          <w:color w:val="auto"/>
        </w:rPr>
        <w:t>Title: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9019"/>
          </w:cols>
          <w:pgMar w:left="1440" w:top="617" w:right="1440"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within-mentioned Indenture: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Trustee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Authorized Signatory</w:t>
      </w:r>
    </w:p>
    <w:p>
      <w:pPr>
        <w:spacing w:after="0" w:line="246" w:lineRule="exact"/>
        <w:rPr>
          <w:sz w:val="20"/>
          <w:szCs w:val="20"/>
          <w:color w:val="auto"/>
        </w:rPr>
      </w:pPr>
    </w:p>
    <w:p>
      <w:pPr>
        <w:jc w:val="right"/>
        <w:ind w:right="4239"/>
        <w:spacing w:after="0"/>
        <w:rPr>
          <w:sz w:val="20"/>
          <w:szCs w:val="20"/>
          <w:color w:val="auto"/>
        </w:rPr>
      </w:pPr>
      <w:r>
        <w:rPr>
          <w:rFonts w:ascii="Arial" w:cs="Arial" w:eastAsia="Arial" w:hAnsi="Arial"/>
          <w:sz w:val="22"/>
          <w:szCs w:val="22"/>
          <w:color w:val="auto"/>
        </w:rPr>
        <w:t>A-1-3</w:t>
      </w:r>
    </w:p>
    <w:p>
      <w:pPr>
        <w:sectPr>
          <w:pgSz w:w="11900" w:h="16838" w:orient="portrait"/>
          <w:cols w:equalWidth="0" w:num="1">
            <w:col w:w="10219"/>
          </w:cols>
          <w:pgMar w:left="240" w:top="622" w:right="1440" w:bottom="1440" w:gutter="0" w:footer="0" w:header="0"/>
        </w:sectPr>
      </w:pPr>
    </w:p>
    <w:bookmarkStart w:id="160" w:name="page161"/>
    <w:bookmarkEnd w:id="160"/>
    <w:p>
      <w:pPr>
        <w:jc w:val="center"/>
        <w:ind w:right="40"/>
        <w:spacing w:after="0"/>
        <w:rPr>
          <w:sz w:val="20"/>
          <w:szCs w:val="20"/>
          <w:color w:val="auto"/>
        </w:rPr>
      </w:pPr>
      <w:r>
        <w:rPr>
          <w:rFonts w:ascii="Arial" w:cs="Arial" w:eastAsia="Arial" w:hAnsi="Arial"/>
          <w:sz w:val="22"/>
          <w:szCs w:val="22"/>
          <w:color w:val="auto"/>
        </w:rPr>
        <w:t>[Back of Note]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5.125%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2" w:lineRule="exact"/>
        <w:rPr>
          <w:sz w:val="20"/>
          <w:szCs w:val="20"/>
          <w:color w:val="auto"/>
        </w:rPr>
      </w:pPr>
    </w:p>
    <w:p>
      <w:pPr>
        <w:ind w:right="2800"/>
        <w:spacing w:after="0" w:line="519"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Insert the Private Placement Legend, if applicable, pursuant to Section 2.06(f)(1) of the Indenture</w:t>
      </w:r>
      <w:r>
        <w:rPr>
          <w:rFonts w:ascii="Arial" w:cs="Arial" w:eastAsia="Arial" w:hAnsi="Arial"/>
          <w:sz w:val="19"/>
          <w:szCs w:val="19"/>
          <w:color w:val="auto"/>
        </w:rPr>
        <w:t>] [</w:t>
      </w:r>
      <w:r>
        <w:rPr>
          <w:rFonts w:ascii="Arial" w:cs="Arial" w:eastAsia="Arial" w:hAnsi="Arial"/>
          <w:sz w:val="19"/>
          <w:szCs w:val="19"/>
          <w:i w:val="1"/>
          <w:iCs w:val="1"/>
          <w:color w:val="auto"/>
        </w:rPr>
        <w:t>Insert the Global Notes Legend, if applicable, pursuant to Section 2.06(f)(2) of the Indenture</w:t>
      </w:r>
      <w:r>
        <w:rPr>
          <w:rFonts w:ascii="Arial" w:cs="Arial" w:eastAsia="Arial" w:hAnsi="Arial"/>
          <w:sz w:val="19"/>
          <w:szCs w:val="19"/>
          <w:color w:val="auto"/>
        </w:rPr>
        <w:t>]</w:t>
      </w: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5"/>
        <w:spacing w:after="0" w:line="288" w:lineRule="auto"/>
        <w:tabs>
          <w:tab w:leader="none" w:pos="1850" w:val="left"/>
        </w:tabs>
        <w:numPr>
          <w:ilvl w:val="0"/>
          <w:numId w:val="154"/>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Resorts Finance, LLC, a Nevada limited liability company (“</w:t>
      </w:r>
      <w:r>
        <w:rPr>
          <w:rFonts w:ascii="Arial" w:cs="Arial" w:eastAsia="Arial" w:hAnsi="Arial"/>
          <w:sz w:val="19"/>
          <w:szCs w:val="19"/>
          <w:i w:val="1"/>
          <w:iCs w:val="1"/>
          <w:u w:val="single" w:color="auto"/>
          <w:color w:val="auto"/>
        </w:rPr>
        <w:t>Wynn Resorts Finance</w:t>
      </w:r>
      <w:r>
        <w:rPr>
          <w:rFonts w:ascii="Arial" w:cs="Arial" w:eastAsia="Arial" w:hAnsi="Arial"/>
          <w:sz w:val="19"/>
          <w:szCs w:val="19"/>
          <w:color w:val="auto"/>
        </w:rPr>
        <w:t>” ) and</w:t>
      </w:r>
      <w:r>
        <w:rPr>
          <w:rFonts w:ascii="Arial" w:cs="Arial" w:eastAsia="Arial" w:hAnsi="Arial"/>
          <w:sz w:val="19"/>
          <w:szCs w:val="19"/>
          <w:i w:val="1"/>
          <w:iCs w:val="1"/>
          <w:color w:val="auto"/>
        </w:rPr>
        <w:t xml:space="preserve"> </w:t>
      </w:r>
      <w:r>
        <w:rPr>
          <w:rFonts w:ascii="Arial" w:cs="Arial" w:eastAsia="Arial" w:hAnsi="Arial"/>
          <w:sz w:val="19"/>
          <w:szCs w:val="19"/>
          <w:color w:val="auto"/>
        </w:rPr>
        <w:t>Wynn Resorts Capital Corp., a Nevada corporation (“Wynn Resorts Capital,” and together with Wynn Resorts Finance,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5.125% per annum from September 20, 2019 until maturity. The Issuers shall pay interest semi-annually in arrears on April 1 and October 1 of each year, or if any such day is not a Business Day, on the next succeeding Business Day (each, an “</w:t>
      </w:r>
      <w:r>
        <w:rPr>
          <w:rFonts w:ascii="Arial" w:cs="Arial" w:eastAsia="Arial" w:hAnsi="Arial"/>
          <w:sz w:val="19"/>
          <w:szCs w:val="19"/>
          <w:i w:val="1"/>
          <w:iCs w:val="1"/>
          <w:u w:val="single" w:color="auto"/>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April 1, 2020.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305"/>
        <w:spacing w:after="0" w:line="290" w:lineRule="auto"/>
        <w:tabs>
          <w:tab w:leader="none" w:pos="1769" w:val="left"/>
        </w:tabs>
        <w:numPr>
          <w:ilvl w:val="0"/>
          <w:numId w:val="154"/>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registered Holders of Notes at the close of business on the March 15 or September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155" w:lineRule="exact"/>
        <w:rPr>
          <w:rFonts w:ascii="Arial" w:cs="Arial" w:eastAsia="Arial" w:hAnsi="Arial"/>
          <w:sz w:val="19"/>
          <w:szCs w:val="19"/>
          <w:color w:val="auto"/>
        </w:rPr>
      </w:pPr>
    </w:p>
    <w:p>
      <w:pPr>
        <w:ind w:firstLine="1305"/>
        <w:spacing w:after="0" w:line="276" w:lineRule="auto"/>
        <w:tabs>
          <w:tab w:leader="none" w:pos="1783" w:val="left"/>
        </w:tabs>
        <w:numPr>
          <w:ilvl w:val="0"/>
          <w:numId w:val="154"/>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act as Paying Agent and Registrar. The Issuers may change 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ectPr>
          <w:pgSz w:w="11900" w:h="16838" w:orient="portrait"/>
          <w:cols w:equalWidth="0" w:num="1">
            <w:col w:w="11420"/>
          </w:cols>
          <w:pgMar w:left="240" w:top="631"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Paying Agent or Registrar without notice to any Holder. Either Issuer or any Guarantor may act in any such capacity.</w:t>
      </w:r>
    </w:p>
    <w:p>
      <w:pPr>
        <w:spacing w:after="0" w:line="220" w:lineRule="exact"/>
        <w:rPr>
          <w:sz w:val="20"/>
          <w:szCs w:val="20"/>
          <w:color w:val="auto"/>
        </w:rPr>
      </w:pPr>
    </w:p>
    <w:p>
      <w:pPr>
        <w:jc w:val="both"/>
        <w:ind w:firstLine="1305"/>
        <w:spacing w:after="0" w:line="294" w:lineRule="auto"/>
        <w:tabs>
          <w:tab w:leader="none" w:pos="1783" w:val="left"/>
        </w:tabs>
        <w:numPr>
          <w:ilvl w:val="0"/>
          <w:numId w:val="155"/>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Issuers issued the Notes under an Indenture dated as of September 20, 2019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2" w:lineRule="exact"/>
        <w:rPr>
          <w:rFonts w:ascii="Arial" w:cs="Arial" w:eastAsia="Arial" w:hAnsi="Arial"/>
          <w:sz w:val="19"/>
          <w:szCs w:val="19"/>
          <w:color w:val="auto"/>
        </w:rPr>
      </w:pPr>
    </w:p>
    <w:p>
      <w:pPr>
        <w:ind w:right="20" w:firstLine="1305"/>
        <w:spacing w:after="0" w:line="276" w:lineRule="auto"/>
        <w:tabs>
          <w:tab w:leader="none" w:pos="1728" w:val="left"/>
        </w:tabs>
        <w:numPr>
          <w:ilvl w:val="0"/>
          <w:numId w:val="155"/>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The Notes are redeemable at the Issuers’ election, in whole or in part at any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their Stated Maturity.</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July 1, 2029 will be equal to the greater of:</w:t>
      </w:r>
    </w:p>
    <w:p>
      <w:pPr>
        <w:spacing w:after="0" w:line="267" w:lineRule="exact"/>
        <w:rPr>
          <w:rFonts w:ascii="Arial" w:cs="Arial" w:eastAsia="Arial" w:hAnsi="Arial"/>
          <w:sz w:val="19"/>
          <w:szCs w:val="19"/>
          <w:color w:val="auto"/>
        </w:rPr>
      </w:pPr>
    </w:p>
    <w:p>
      <w:pPr>
        <w:ind w:left="2920" w:hanging="319"/>
        <w:spacing w:after="0"/>
        <w:tabs>
          <w:tab w:leader="none" w:pos="2920" w:val="left"/>
        </w:tabs>
        <w:numPr>
          <w:ilvl w:val="2"/>
          <w:numId w:val="155"/>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2920" w:hanging="319"/>
        <w:spacing w:after="0" w:line="263" w:lineRule="auto"/>
        <w:tabs>
          <w:tab w:leader="none" w:pos="2920" w:val="left"/>
        </w:tabs>
        <w:numPr>
          <w:ilvl w:val="2"/>
          <w:numId w:val="155"/>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plus, in either of the above cases, accrued and unpaid interest to, but not including, the date of redemption on the Notes to be redeemed.</w:t>
      </w:r>
    </w:p>
    <w:p>
      <w:pPr>
        <w:spacing w:after="0" w:line="175" w:lineRule="exact"/>
        <w:rPr>
          <w:sz w:val="20"/>
          <w:szCs w:val="20"/>
          <w:color w:val="auto"/>
        </w:rPr>
      </w:pPr>
    </w:p>
    <w:p>
      <w:pPr>
        <w:jc w:val="both"/>
        <w:ind w:firstLine="1953"/>
        <w:spacing w:after="0" w:line="260" w:lineRule="auto"/>
        <w:tabs>
          <w:tab w:leader="none" w:pos="241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redemption price for Notes that are redeemed on or after July 1, 2029 will be equal to the sum of 100% of their principal amount, plus accrued and unpaid interest to, but not including, the date of redemption on the Notes to be redeemed.</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mailed), or such redemption may not occur and such notice may be rescinded in the event that any or all such conditions shall not have been satisfied or waived by the date of redemption, or by the date of redemption as so delayed.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ectPr>
          <w:pgSz w:w="11900" w:h="16838" w:orient="portrait"/>
          <w:cols w:equalWidth="0" w:num="1">
            <w:col w:w="11420"/>
          </w:cols>
          <w:pgMar w:left="240" w:top="631" w:right="239" w:bottom="1440" w:gutter="0" w:footer="0" w:header="0"/>
        </w:sectPr>
      </w:pPr>
    </w:p>
    <w:bookmarkStart w:id="162" w:name="page163"/>
    <w:bookmarkEnd w:id="162"/>
    <w:p>
      <w:pPr>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ind w:right="20" w:firstLine="1305"/>
        <w:spacing w:after="0" w:line="276" w:lineRule="auto"/>
        <w:tabs>
          <w:tab w:leader="none" w:pos="1742" w:val="left"/>
        </w:tabs>
        <w:numPr>
          <w:ilvl w:val="0"/>
          <w:numId w:val="157"/>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mandatory redemption or sinking fund payments with respect to the Notes.</w:t>
      </w:r>
    </w:p>
    <w:p>
      <w:pPr>
        <w:spacing w:after="0" w:line="160" w:lineRule="exact"/>
        <w:rPr>
          <w:rFonts w:ascii="Arial" w:cs="Arial" w:eastAsia="Arial" w:hAnsi="Arial"/>
          <w:sz w:val="22"/>
          <w:szCs w:val="22"/>
          <w:color w:val="auto"/>
        </w:rPr>
      </w:pPr>
    </w:p>
    <w:p>
      <w:pPr>
        <w:jc w:val="both"/>
        <w:ind w:firstLine="1305"/>
        <w:spacing w:after="0" w:line="286" w:lineRule="auto"/>
        <w:tabs>
          <w:tab w:leader="none" w:pos="1769" w:val="left"/>
        </w:tabs>
        <w:numPr>
          <w:ilvl w:val="0"/>
          <w:numId w:val="157"/>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6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 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ectPr>
          <w:pgSz w:w="11900" w:h="16838" w:orient="portrait"/>
          <w:cols w:equalWidth="0" w:num="1">
            <w:col w:w="11420"/>
          </w:cols>
          <w:pgMar w:left="240" w:top="631" w:right="239" w:bottom="1440" w:gutter="0" w:footer="0" w:header="0"/>
        </w:sectPr>
      </w:pPr>
    </w:p>
    <w:bookmarkStart w:id="163" w:name="page164"/>
    <w:bookmarkEnd w:id="163"/>
    <w:p>
      <w:pPr>
        <w:jc w:val="both"/>
        <w:ind w:firstLine="1305"/>
        <w:spacing w:after="0" w:line="250" w:lineRule="auto"/>
        <w:tabs>
          <w:tab w:leader="none" w:pos="1810" w:val="left"/>
        </w:tabs>
        <w:numPr>
          <w:ilvl w:val="0"/>
          <w:numId w:val="158"/>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 If a Change of Control Triggering Event occurs, the Issuers shall make an</w:t>
      </w:r>
      <w:r>
        <w:rPr>
          <w:rFonts w:ascii="Arial" w:cs="Arial" w:eastAsia="Arial" w:hAnsi="Arial"/>
          <w:sz w:val="22"/>
          <w:szCs w:val="22"/>
          <w:i w:val="1"/>
          <w:iCs w:val="1"/>
          <w:color w:val="auto"/>
        </w:rPr>
        <w:t xml:space="preserve"> </w:t>
      </w:r>
      <w:r>
        <w:rPr>
          <w:rFonts w:ascii="Arial" w:cs="Arial" w:eastAsia="Arial" w:hAnsi="Arial"/>
          <w:sz w:val="22"/>
          <w:szCs w:val="22"/>
          <w:color w:val="auto"/>
        </w:rPr>
        <w:t>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Triggering Event, the Issuers shall mail a notice to each Holder setting forth the procedures governing the Change of Control Offer as required by the Indenture.</w:t>
      </w:r>
    </w:p>
    <w:p>
      <w:pPr>
        <w:spacing w:after="0" w:line="188" w:lineRule="exact"/>
        <w:rPr>
          <w:rFonts w:ascii="Arial" w:cs="Arial" w:eastAsia="Arial" w:hAnsi="Arial"/>
          <w:sz w:val="22"/>
          <w:szCs w:val="22"/>
          <w:color w:val="auto"/>
        </w:rPr>
      </w:pPr>
    </w:p>
    <w:p>
      <w:pPr>
        <w:jc w:val="both"/>
        <w:ind w:firstLine="1305"/>
        <w:spacing w:after="0" w:line="297" w:lineRule="auto"/>
        <w:tabs>
          <w:tab w:leader="none" w:pos="1823"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15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46" w:lineRule="exact"/>
        <w:rPr>
          <w:rFonts w:ascii="Arial" w:cs="Arial" w:eastAsia="Arial" w:hAnsi="Arial"/>
          <w:sz w:val="19"/>
          <w:szCs w:val="19"/>
          <w:color w:val="auto"/>
        </w:rPr>
      </w:pPr>
    </w:p>
    <w:p>
      <w:pPr>
        <w:jc w:val="both"/>
        <w:ind w:firstLine="1305"/>
        <w:spacing w:after="0" w:line="261" w:lineRule="auto"/>
        <w:tabs>
          <w:tab w:leader="none" w:pos="1891" w:val="left"/>
        </w:tabs>
        <w:numPr>
          <w:ilvl w:val="0"/>
          <w:numId w:val="158"/>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81" w:lineRule="exact"/>
        <w:rPr>
          <w:rFonts w:ascii="Arial" w:cs="Arial" w:eastAsia="Arial" w:hAnsi="Arial"/>
          <w:sz w:val="21"/>
          <w:szCs w:val="21"/>
          <w:color w:val="auto"/>
        </w:rPr>
      </w:pPr>
    </w:p>
    <w:p>
      <w:pPr>
        <w:ind w:left="1840" w:hanging="535"/>
        <w:spacing w:after="0"/>
        <w:tabs>
          <w:tab w:leader="none" w:pos="1840" w:val="left"/>
        </w:tabs>
        <w:numPr>
          <w:ilvl w:val="0"/>
          <w:numId w:val="158"/>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1840" w:hanging="535"/>
        <w:spacing w:after="0"/>
        <w:tabs>
          <w:tab w:leader="none" w:pos="1840" w:val="left"/>
        </w:tabs>
        <w:numPr>
          <w:ilvl w:val="0"/>
          <w:numId w:val="158"/>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51" w:lineRule="auto"/>
        <w:tabs>
          <w:tab w:leader="none" w:pos="2446" w:val="left"/>
        </w:tabs>
        <w:numPr>
          <w:ilvl w:val="1"/>
          <w:numId w:val="158"/>
        </w:numPr>
        <w:rPr>
          <w:rFonts w:ascii="Arial" w:cs="Arial" w:eastAsia="Arial" w:hAnsi="Arial"/>
          <w:sz w:val="22"/>
          <w:szCs w:val="22"/>
          <w:color w:val="auto"/>
        </w:rPr>
      </w:pPr>
      <w:r>
        <w:rPr>
          <w:rFonts w:ascii="Arial" w:cs="Arial" w:eastAsia="Arial" w:hAnsi="Arial"/>
          <w:sz w:val="22"/>
          <w:szCs w:val="22"/>
          <w:color w:val="auto"/>
        </w:rPr>
        <w:t>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89" w:lineRule="exact"/>
        <w:rPr>
          <w:rFonts w:ascii="Arial" w:cs="Arial" w:eastAsia="Arial" w:hAnsi="Arial"/>
          <w:sz w:val="22"/>
          <w:szCs w:val="22"/>
          <w:color w:val="auto"/>
        </w:rPr>
      </w:pPr>
    </w:p>
    <w:p>
      <w:pPr>
        <w:jc w:val="both"/>
        <w:ind w:firstLine="1953"/>
        <w:spacing w:after="0" w:line="270" w:lineRule="auto"/>
        <w:tabs>
          <w:tab w:leader="none" w:pos="2431" w:val="left"/>
        </w:tabs>
        <w:numPr>
          <w:ilvl w:val="1"/>
          <w:numId w:val="158"/>
        </w:numPr>
        <w:rPr>
          <w:rFonts w:ascii="Arial" w:cs="Arial" w:eastAsia="Arial" w:hAnsi="Arial"/>
          <w:sz w:val="21"/>
          <w:szCs w:val="21"/>
          <w:color w:val="auto"/>
        </w:rPr>
      </w:pPr>
      <w:r>
        <w:rPr>
          <w:rFonts w:ascii="Arial" w:cs="Arial" w:eastAsia="Arial" w:hAnsi="Arial"/>
          <w:sz w:val="21"/>
          <w:szCs w:val="21"/>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ectPr>
          <w:pgSz w:w="11900" w:h="16838" w:orient="portrait"/>
          <w:cols w:equalWidth="0" w:num="1">
            <w:col w:w="11420"/>
          </w:cols>
          <w:pgMar w:left="240" w:top="632" w:right="239" w:bottom="1440" w:gutter="0" w:footer="0" w:header="0"/>
        </w:sectPr>
      </w:pPr>
    </w:p>
    <w:bookmarkStart w:id="164" w:name="page165"/>
    <w:bookmarkEnd w:id="164"/>
    <w:p>
      <w:pPr>
        <w:jc w:val="both"/>
        <w:spacing w:after="0" w:line="289" w:lineRule="auto"/>
        <w:rPr>
          <w:sz w:val="20"/>
          <w:szCs w:val="20"/>
          <w:color w:val="auto"/>
        </w:rPr>
      </w:pPr>
      <w:r>
        <w:rPr>
          <w:rFonts w:ascii="Arial" w:cs="Arial" w:eastAsia="Arial" w:hAnsi="Arial"/>
          <w:sz w:val="19"/>
          <w:szCs w:val="19"/>
          <w:color w:val="auto"/>
        </w:rPr>
        <w:t>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spacing w:after="0" w:line="158" w:lineRule="exact"/>
        <w:rPr>
          <w:sz w:val="20"/>
          <w:szCs w:val="20"/>
          <w:color w:val="auto"/>
        </w:rPr>
      </w:pPr>
    </w:p>
    <w:p>
      <w:pPr>
        <w:jc w:val="both"/>
        <w:ind w:firstLine="1953"/>
        <w:spacing w:after="0" w:line="286" w:lineRule="auto"/>
        <w:tabs>
          <w:tab w:leader="none" w:pos="2378" w:val="left"/>
        </w:tabs>
        <w:numPr>
          <w:ilvl w:val="1"/>
          <w:numId w:val="159"/>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September 12, 2019,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 applicable Gaming Laws or to provide for requirements imposed by applicable Gaming Authorities; (xi) to provide for the acceptance or appointment of a successor trustee or (xii) provide for the Notes to be secured.</w:t>
      </w:r>
    </w:p>
    <w:p>
      <w:pPr>
        <w:spacing w:after="0" w:line="165" w:lineRule="exact"/>
        <w:rPr>
          <w:rFonts w:ascii="Arial" w:cs="Arial" w:eastAsia="Arial" w:hAnsi="Arial"/>
          <w:sz w:val="19"/>
          <w:szCs w:val="19"/>
          <w:color w:val="auto"/>
        </w:rPr>
      </w:pPr>
    </w:p>
    <w:p>
      <w:pPr>
        <w:jc w:val="both"/>
        <w:ind w:firstLine="1305"/>
        <w:spacing w:after="0" w:line="297" w:lineRule="auto"/>
        <w:tabs>
          <w:tab w:leader="none" w:pos="1837" w:val="left"/>
        </w:tabs>
        <w:numPr>
          <w:ilvl w:val="0"/>
          <w:numId w:val="160"/>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ectPr>
          <w:pgSz w:w="11900" w:h="16838" w:orient="portrait"/>
          <w:cols w:equalWidth="0" w:num="1">
            <w:col w:w="11420"/>
          </w:cols>
          <w:pgMar w:left="240" w:top="631" w:right="239" w:bottom="1440" w:gutter="0" w:footer="0" w:header="0"/>
        </w:sectPr>
      </w:pPr>
    </w:p>
    <w:bookmarkStart w:id="165" w:name="page166"/>
    <w:bookmarkEnd w:id="165"/>
    <w:p>
      <w:pPr>
        <w:jc w:val="both"/>
        <w:spacing w:after="0" w:line="283" w:lineRule="auto"/>
        <w:rPr>
          <w:sz w:val="20"/>
          <w:szCs w:val="20"/>
          <w:color w:val="auto"/>
        </w:rPr>
      </w:pPr>
      <w:r>
        <w:rPr>
          <w:rFonts w:ascii="Arial" w:cs="Arial" w:eastAsia="Arial" w:hAnsi="Arial"/>
          <w:sz w:val="19"/>
          <w:szCs w:val="19"/>
          <w:color w:val="auto"/>
        </w:rPr>
        <w:t xml:space="preserve">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w:t>
      </w:r>
    </w:p>
    <w:p>
      <w:pPr>
        <w:spacing w:after="0" w:line="7" w:lineRule="exact"/>
        <w:rPr>
          <w:sz w:val="20"/>
          <w:szCs w:val="20"/>
          <w:color w:val="auto"/>
        </w:rPr>
      </w:pPr>
    </w:p>
    <w:p>
      <w:pPr>
        <w:jc w:val="both"/>
        <w:ind w:firstLine="8"/>
        <w:spacing w:after="0" w:line="257" w:lineRule="auto"/>
        <w:tabs>
          <w:tab w:leader="none" w:pos="287"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if a Default for a failure to report or failure to deliver a required certificate in connection with another default (the “</w:t>
      </w:r>
      <w:r>
        <w:rPr>
          <w:rFonts w:ascii="Arial" w:cs="Arial" w:eastAsia="Arial" w:hAnsi="Arial"/>
          <w:sz w:val="21"/>
          <w:szCs w:val="21"/>
          <w:i w:val="1"/>
          <w:iCs w:val="1"/>
          <w:color w:val="auto"/>
        </w:rPr>
        <w:t>Initial</w:t>
      </w:r>
      <w:r>
        <w:rPr>
          <w:rFonts w:ascii="Arial" w:cs="Arial" w:eastAsia="Arial" w:hAnsi="Arial"/>
          <w:sz w:val="21"/>
          <w:szCs w:val="21"/>
          <w:color w:val="auto"/>
        </w:rPr>
        <w:t xml:space="preserve"> </w:t>
      </w:r>
      <w:r>
        <w:rPr>
          <w:rFonts w:ascii="Arial" w:cs="Arial" w:eastAsia="Arial" w:hAnsi="Arial"/>
          <w:sz w:val="21"/>
          <w:szCs w:val="21"/>
          <w:i w:val="1"/>
          <w:iCs w:val="1"/>
          <w:color w:val="auto"/>
        </w:rPr>
        <w:t>Default</w:t>
      </w:r>
      <w:r>
        <w:rPr>
          <w:rFonts w:ascii="Arial" w:cs="Arial" w:eastAsia="Arial" w:hAnsi="Arial"/>
          <w:sz w:val="21"/>
          <w:szCs w:val="21"/>
          <w:color w:val="auto"/>
        </w:rPr>
        <w:t>”) occurs, then at the time such Initial Default is cured, such Default for a failure to report or failure to deliver a required</w:t>
      </w:r>
      <w:r>
        <w:rPr>
          <w:rFonts w:ascii="Arial" w:cs="Arial" w:eastAsia="Arial" w:hAnsi="Arial"/>
          <w:sz w:val="21"/>
          <w:szCs w:val="21"/>
          <w:i w:val="1"/>
          <w:iCs w:val="1"/>
          <w:color w:val="auto"/>
        </w:rPr>
        <w:t xml:space="preserve"> </w:t>
      </w:r>
      <w:r>
        <w:rPr>
          <w:rFonts w:ascii="Arial" w:cs="Arial" w:eastAsia="Arial" w:hAnsi="Arial"/>
          <w:sz w:val="21"/>
          <w:szCs w:val="21"/>
          <w:color w:val="auto"/>
        </w:rPr>
        <w:t>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or</w:t>
      </w:r>
    </w:p>
    <w:p>
      <w:pPr>
        <w:spacing w:after="0" w:line="56" w:lineRule="exact"/>
        <w:rPr>
          <w:sz w:val="20"/>
          <w:szCs w:val="20"/>
          <w:color w:val="auto"/>
        </w:rPr>
      </w:pPr>
    </w:p>
    <w:p>
      <w:pPr>
        <w:jc w:val="both"/>
        <w:ind w:firstLine="8"/>
        <w:spacing w:after="0" w:line="285" w:lineRule="auto"/>
        <w:tabs>
          <w:tab w:leader="none" w:pos="32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63" w:lineRule="exact"/>
        <w:rPr>
          <w:rFonts w:ascii="Arial" w:cs="Arial" w:eastAsia="Arial" w:hAnsi="Arial"/>
          <w:sz w:val="19"/>
          <w:szCs w:val="19"/>
          <w:color w:val="auto"/>
        </w:rPr>
      </w:pPr>
    </w:p>
    <w:p>
      <w:pPr>
        <w:ind w:left="1840" w:hanging="535"/>
        <w:spacing w:after="0"/>
        <w:tabs>
          <w:tab w:leader="none" w:pos="1840" w:val="left"/>
        </w:tabs>
        <w:numPr>
          <w:ilvl w:val="1"/>
          <w:numId w:val="162"/>
        </w:numPr>
        <w:rPr>
          <w:rFonts w:ascii="Arial" w:cs="Arial" w:eastAsia="Arial" w:hAnsi="Arial"/>
          <w:sz w:val="22"/>
          <w:szCs w:val="22"/>
          <w:color w:val="auto"/>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A-1-9</w:t>
      </w:r>
    </w:p>
    <w:p>
      <w:pPr>
        <w:sectPr>
          <w:pgSz w:w="11900" w:h="16838" w:orient="portrait"/>
          <w:cols w:equalWidth="0" w:num="1">
            <w:col w:w="11420"/>
          </w:cols>
          <w:pgMar w:left="240" w:top="631" w:right="239" w:bottom="1440" w:gutter="0" w:footer="0" w:header="0"/>
        </w:sectPr>
      </w:pPr>
    </w:p>
    <w:bookmarkStart w:id="166" w:name="page167"/>
    <w:bookmarkEnd w:id="166"/>
    <w:p>
      <w:pPr>
        <w:jc w:val="both"/>
        <w:ind w:firstLine="1305"/>
        <w:spacing w:after="0" w:line="307" w:lineRule="auto"/>
        <w:tabs>
          <w:tab w:leader="none" w:pos="1864"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 or</w:t>
      </w:r>
      <w:r>
        <w:rPr>
          <w:rFonts w:ascii="Arial" w:cs="Arial" w:eastAsia="Arial" w:hAnsi="Arial"/>
          <w:sz w:val="19"/>
          <w:szCs w:val="19"/>
          <w:i w:val="1"/>
          <w:iCs w:val="1"/>
          <w:color w:val="auto"/>
        </w:rPr>
        <w:t xml:space="preserve"> </w:t>
      </w:r>
      <w:r>
        <w:rPr>
          <w:rFonts w:ascii="Arial" w:cs="Arial" w:eastAsia="Arial" w:hAnsi="Arial"/>
          <w:sz w:val="19"/>
          <w:szCs w:val="19"/>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38" w:lineRule="exact"/>
        <w:rPr>
          <w:rFonts w:ascii="Arial" w:cs="Arial" w:eastAsia="Arial" w:hAnsi="Arial"/>
          <w:sz w:val="19"/>
          <w:szCs w:val="19"/>
          <w:color w:val="auto"/>
        </w:rPr>
      </w:pPr>
    </w:p>
    <w:p>
      <w:pPr>
        <w:jc w:val="both"/>
        <w:ind w:firstLine="1305"/>
        <w:spacing w:after="0" w:line="300" w:lineRule="auto"/>
        <w:tabs>
          <w:tab w:leader="none" w:pos="1904"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 organizer,</w:t>
      </w:r>
      <w:r>
        <w:rPr>
          <w:rFonts w:ascii="Arial" w:cs="Arial" w:eastAsia="Arial" w:hAnsi="Arial"/>
          <w:sz w:val="19"/>
          <w:szCs w:val="19"/>
          <w:i w:val="1"/>
          <w:iCs w:val="1"/>
          <w:color w:val="auto"/>
        </w:rPr>
        <w:t xml:space="preserve"> </w:t>
      </w:r>
      <w:r>
        <w:rPr>
          <w:rFonts w:ascii="Arial" w:cs="Arial" w:eastAsia="Arial" w:hAnsi="Arial"/>
          <w:sz w:val="19"/>
          <w:szCs w:val="19"/>
          <w:color w:val="auto"/>
        </w:rPr>
        <w:t>equity holder or member of either Issuer or any Guarantor, as such, shall have any liability for any obligations of either Issuer or any Guarantor under the Notes, the Note Guarantees,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left="1880" w:hanging="575"/>
        <w:spacing w:after="0"/>
        <w:tabs>
          <w:tab w:leader="none" w:pos="1880"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authenticating agent.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891"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2093"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2026" w:val="left"/>
        </w:tabs>
        <w:numPr>
          <w:ilvl w:val="0"/>
          <w:numId w:val="163"/>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9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Requests may be made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Resorts Finance,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 (702) 770-1520</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A-1-10</w:t>
      </w:r>
    </w:p>
    <w:p>
      <w:pPr>
        <w:sectPr>
          <w:pgSz w:w="11900" w:h="16838" w:orient="portrait"/>
          <w:cols w:equalWidth="0" w:num="1">
            <w:col w:w="11420"/>
          </w:cols>
          <w:pgMar w:left="240" w:top="631"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jc w:val="right"/>
        <w:ind w:right="452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(Print or type assignee’s name, address and zip code)</w:t>
      </w:r>
    </w:p>
    <w:p>
      <w:pPr>
        <w:sectPr>
          <w:pgSz w:w="11900" w:h="16838" w:orient="portrait"/>
          <w:cols w:equalWidth="0" w:num="1">
            <w:col w:w="11420"/>
          </w:cols>
          <w:pgMar w:left="240" w:top="632"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2" w:lineRule="exact"/>
        <w:rPr>
          <w:sz w:val="20"/>
          <w:szCs w:val="20"/>
          <w:color w:val="auto"/>
        </w:rPr>
      </w:pPr>
    </w:p>
    <w:p>
      <w:pPr>
        <w:spacing w:after="0" w:line="45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60"/>
            <w:col w:w="7220"/>
          </w:cols>
          <w:pgMar w:left="240" w:top="632" w:right="239" w:bottom="1440" w:gutter="0" w:footer="0" w:header="0"/>
          <w:type w:val="continuous"/>
        </w:sect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A-1-11</w:t>
      </w:r>
    </w:p>
    <w:p>
      <w:pPr>
        <w:sectPr>
          <w:pgSz w:w="11900" w:h="16838" w:orient="portrait"/>
          <w:cols w:equalWidth="0" w:num="1">
            <w:col w:w="11420"/>
          </w:cols>
          <w:pgMar w:left="240" w:top="632" w:right="239" w:bottom="1440" w:gutter="0" w:footer="0" w:header="0"/>
          <w:type w:val="continuous"/>
        </w:sectPr>
      </w:pPr>
    </w:p>
    <w:bookmarkStart w:id="168" w:name="page169"/>
    <w:bookmarkEnd w:id="168"/>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Issuers pursuant to Section 4.11 of the Indenture, check the appropriate box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A-1-12</w:t>
      </w:r>
    </w:p>
    <w:p>
      <w:pPr>
        <w:sectPr>
          <w:pgSz w:w="11900" w:h="16838" w:orient="portrait"/>
          <w:cols w:equalWidth="0" w:num="1">
            <w:col w:w="11420"/>
          </w:cols>
          <w:pgMar w:left="240" w:top="631" w:right="2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8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Amount of decrease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78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17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authorized officer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0" w:right="4700" w:hanging="5392"/>
        <w:spacing w:after="0" w:line="744" w:lineRule="auto"/>
        <w:tabs>
          <w:tab w:leader="none" w:pos="330" w:val="left"/>
        </w:tabs>
        <w:numPr>
          <w:ilvl w:val="0"/>
          <w:numId w:val="166"/>
        </w:numPr>
        <w:rPr>
          <w:rFonts w:ascii="Arial" w:cs="Arial" w:eastAsia="Arial" w:hAnsi="Arial"/>
          <w:sz w:val="21"/>
          <w:szCs w:val="21"/>
          <w:color w:val="auto"/>
        </w:rPr>
      </w:pPr>
      <w:r>
        <w:rPr>
          <w:rFonts w:ascii="Arial" w:cs="Arial" w:eastAsia="Arial" w:hAnsi="Arial"/>
          <w:sz w:val="21"/>
          <w:szCs w:val="21"/>
          <w:i w:val="1"/>
          <w:iCs w:val="1"/>
          <w:color w:val="auto"/>
        </w:rPr>
        <w:t xml:space="preserve">This schedule should be included only if the Note is issued in global form. </w:t>
      </w:r>
      <w:r>
        <w:rPr>
          <w:rFonts w:ascii="Arial" w:cs="Arial" w:eastAsia="Arial" w:hAnsi="Arial"/>
          <w:sz w:val="21"/>
          <w:szCs w:val="21"/>
          <w:color w:val="auto"/>
        </w:rPr>
        <w:t>A-1-13</w:t>
      </w:r>
    </w:p>
    <w:p>
      <w:pPr>
        <w:sectPr>
          <w:pgSz w:w="11900" w:h="16838" w:orient="portrait"/>
          <w:cols w:equalWidth="0" w:num="1">
            <w:col w:w="11420"/>
          </w:cols>
          <w:pgMar w:left="240" w:top="631"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A-2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[Face of Regulation S Temporary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CUSIP/ISIN U98354 AA8/USU98354AA80</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5.125% Senior Notes due 2029</w:t>
      </w:r>
    </w:p>
    <w:p>
      <w:pPr>
        <w:spacing w:after="0" w:line="115"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No. ___</w:t>
      </w:r>
      <w:r>
        <w:rPr>
          <w:sz w:val="20"/>
          <w:szCs w:val="20"/>
          <w:color w:val="auto"/>
        </w:rPr>
        <w:tab/>
      </w:r>
      <w:r>
        <w:rPr>
          <w:rFonts w:ascii="Arial" w:cs="Arial" w:eastAsia="Arial" w:hAnsi="Arial"/>
          <w:sz w:val="15"/>
          <w:szCs w:val="15"/>
          <w:color w:val="auto"/>
        </w:rPr>
        <w:t>$____________</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WYNN RESORTS FINANCE, LLC</w:t>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WYNN RESORTS CAPITAL CORP.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promise to pay to ______________________ or registered assigns,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sum of</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DOLLARS on October 1, 2029.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Payment Dates: April 1 and October 1</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Record Dates: March 15 and September 15</w:t>
      </w:r>
    </w:p>
    <w:p>
      <w:pPr>
        <w:spacing w:after="0" w:line="223"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Dated: September 20, 2019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ectPr>
          <w:pgSz w:w="11900" w:h="16838" w:orient="portrait"/>
          <w:cols w:equalWidth="0" w:num="1">
            <w:col w:w="11420"/>
          </w:cols>
          <w:pgMar w:left="240" w:top="882" w:right="239" w:bottom="1440" w:gutter="0" w:footer="0" w:header="0"/>
        </w:sectPr>
      </w:pPr>
    </w:p>
    <w:bookmarkStart w:id="171" w:name="page172"/>
    <w:bookmarkEnd w:id="171"/>
    <w:p>
      <w:pPr>
        <w:ind w:left="2700"/>
        <w:spacing w:after="0"/>
        <w:rPr>
          <w:sz w:val="20"/>
          <w:szCs w:val="20"/>
          <w:color w:val="auto"/>
        </w:rPr>
      </w:pPr>
      <w:r>
        <w:rPr>
          <w:rFonts w:ascii="Arial" w:cs="Arial" w:eastAsia="Arial" w:hAnsi="Arial"/>
          <w:sz w:val="20"/>
          <w:szCs w:val="20"/>
          <w:b w:val="1"/>
          <w:bCs w:val="1"/>
          <w:color w:val="auto"/>
        </w:rPr>
        <w:t>WYNN RESORTS FINANCE,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RESORTS CAPITAL CORP.</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20"/>
          <w:szCs w:val="20"/>
          <w:color w:val="auto"/>
        </w:rPr>
        <w:t>Title: President and Treasurer</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A-2-2</w:t>
      </w:r>
    </w:p>
    <w:p>
      <w:pPr>
        <w:sectPr>
          <w:pgSz w:w="11900" w:h="16838" w:orient="portrait"/>
          <w:cols w:equalWidth="0" w:num="1">
            <w:col w:w="9019"/>
          </w:cols>
          <w:pgMar w:left="1440" w:top="873" w:right="1440"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This is one of the Notes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the within-mentioned Indenture: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Trustee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right"/>
        <w:ind w:right="4239"/>
        <w:spacing w:after="0"/>
        <w:rPr>
          <w:sz w:val="20"/>
          <w:szCs w:val="20"/>
          <w:color w:val="auto"/>
        </w:rPr>
      </w:pPr>
      <w:r>
        <w:rPr>
          <w:rFonts w:ascii="Arial" w:cs="Arial" w:eastAsia="Arial" w:hAnsi="Arial"/>
          <w:sz w:val="22"/>
          <w:szCs w:val="22"/>
          <w:color w:val="auto"/>
        </w:rPr>
        <w:t>A-2-3</w:t>
      </w:r>
    </w:p>
    <w:p>
      <w:pPr>
        <w:sectPr>
          <w:pgSz w:w="11900" w:h="16838" w:orient="portrait"/>
          <w:cols w:equalWidth="0" w:num="1">
            <w:col w:w="10219"/>
          </w:cols>
          <w:pgMar w:left="240" w:top="622" w:right="1440" w:bottom="1440" w:gutter="0" w:footer="0" w:header="0"/>
        </w:sectPr>
      </w:pPr>
    </w:p>
    <w:bookmarkStart w:id="173" w:name="page174"/>
    <w:bookmarkEnd w:id="173"/>
    <w:p>
      <w:pPr>
        <w:jc w:val="center"/>
        <w:ind w:right="40"/>
        <w:spacing w:after="0"/>
        <w:rPr>
          <w:sz w:val="20"/>
          <w:szCs w:val="20"/>
          <w:color w:val="auto"/>
        </w:rPr>
      </w:pPr>
      <w:r>
        <w:rPr>
          <w:rFonts w:ascii="Arial" w:cs="Arial" w:eastAsia="Arial" w:hAnsi="Arial"/>
          <w:sz w:val="22"/>
          <w:szCs w:val="22"/>
          <w:color w:val="auto"/>
        </w:rPr>
        <w:t>[Back of Regulation S Temporary Global Note]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5.125% Senior Notes due 2029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Private Placement Legend, if applicable, pursuant to Section 2.06(f)(1) of the Indenture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Global Notes Legend, if applicable, pursuant to Section 2.06(f)(2) of the Indenture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the Regulation S Temporary Global Note Legend pursuant to Section 2.06(f)(3) of the Indenture</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firstLine="1305"/>
        <w:spacing w:after="0" w:line="288" w:lineRule="auto"/>
        <w:tabs>
          <w:tab w:leader="none" w:pos="1850"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Resorts Finance, LLC, a Nevada limited liability company (“</w:t>
      </w:r>
      <w:r>
        <w:rPr>
          <w:rFonts w:ascii="Arial" w:cs="Arial" w:eastAsia="Arial" w:hAnsi="Arial"/>
          <w:sz w:val="19"/>
          <w:szCs w:val="19"/>
          <w:i w:val="1"/>
          <w:iCs w:val="1"/>
          <w:u w:val="single" w:color="auto"/>
          <w:color w:val="auto"/>
        </w:rPr>
        <w:t>Wynn Resorts Finance</w:t>
      </w:r>
      <w:r>
        <w:rPr>
          <w:rFonts w:ascii="Arial" w:cs="Arial" w:eastAsia="Arial" w:hAnsi="Arial"/>
          <w:sz w:val="19"/>
          <w:szCs w:val="19"/>
          <w:color w:val="auto"/>
        </w:rPr>
        <w:t>” ) and</w:t>
      </w:r>
      <w:r>
        <w:rPr>
          <w:rFonts w:ascii="Arial" w:cs="Arial" w:eastAsia="Arial" w:hAnsi="Arial"/>
          <w:sz w:val="19"/>
          <w:szCs w:val="19"/>
          <w:i w:val="1"/>
          <w:iCs w:val="1"/>
          <w:color w:val="auto"/>
        </w:rPr>
        <w:t xml:space="preserve"> </w:t>
      </w:r>
      <w:r>
        <w:rPr>
          <w:rFonts w:ascii="Arial" w:cs="Arial" w:eastAsia="Arial" w:hAnsi="Arial"/>
          <w:sz w:val="19"/>
          <w:szCs w:val="19"/>
          <w:color w:val="auto"/>
        </w:rPr>
        <w:t>Wynn Resorts Capital Corp., a Nevada corporation (“Wynn Resorts Capital,” and together with Wynn Resorts Finance,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promise to pay interest on the principal amount of this Note at 5.125% per annum from September 20, 2019 until maturity. The Issuers shall pay interest semi-annually in arrears on April 1 and October 1 of each year, or if any such day is not a Business Day, on the next succeeding Business Day (each, an “</w:t>
      </w:r>
      <w:r>
        <w:rPr>
          <w:rFonts w:ascii="Arial" w:cs="Arial" w:eastAsia="Arial" w:hAnsi="Arial"/>
          <w:sz w:val="19"/>
          <w:szCs w:val="19"/>
          <w:i w:val="1"/>
          <w:iCs w:val="1"/>
          <w:u w:val="single" w:color="auto"/>
          <w:color w:val="auto"/>
        </w:rPr>
        <w:t>Interest Payment Date</w:t>
      </w:r>
      <w:r>
        <w:rPr>
          <w:rFonts w:ascii="Arial" w:cs="Arial" w:eastAsia="Arial" w:hAnsi="Arial"/>
          <w:sz w:val="19"/>
          <w:szCs w:val="19"/>
          <w:color w:val="auto"/>
        </w:rPr>
        <w:t xml:space="preserve">”). Interest on the Notes shall accrue from the most recent date to which interest has been paid or, if no interest has 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April 1, 2020. The Issuers shall pay interest (including post-petition interest in any proceeding under any Bankruptcy Law) on overdue principal and premium, if any, from time to time on demand at a rate that is 1% per annum in excess of the rate then in effect;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305"/>
        <w:spacing w:after="0" w:line="290" w:lineRule="auto"/>
        <w:tabs>
          <w:tab w:leader="none" w:pos="1769" w:val="left"/>
        </w:tabs>
        <w:numPr>
          <w:ilvl w:val="0"/>
          <w:numId w:val="167"/>
        </w:numPr>
        <w:rPr>
          <w:rFonts w:ascii="Arial" w:cs="Arial" w:eastAsia="Arial" w:hAnsi="Arial"/>
          <w:sz w:val="19"/>
          <w:szCs w:val="19"/>
          <w:color w:val="auto"/>
        </w:rPr>
      </w:pPr>
      <w:r>
        <w:rPr>
          <w:rFonts w:ascii="Arial" w:cs="Arial" w:eastAsia="Arial" w:hAnsi="Arial"/>
          <w:sz w:val="19"/>
          <w:szCs w:val="19"/>
          <w:i w:val="1"/>
          <w:iCs w:val="1"/>
          <w:color w:val="auto"/>
        </w:rPr>
        <w:t>Method of Payment</w:t>
      </w:r>
      <w:r>
        <w:rPr>
          <w:rFonts w:ascii="Arial" w:cs="Arial" w:eastAsia="Arial" w:hAnsi="Arial"/>
          <w:sz w:val="19"/>
          <w:szCs w:val="19"/>
          <w:color w:val="auto"/>
        </w:rPr>
        <w:t>. The Issuers shall pay interest on the Notes (except defaulted interest) to the Persons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are registered Holders of Notes at the close of business on the March 15 or September 15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Issuers maintained for such purpose within or without the City and State of New York, or, at the option of the Issuers,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Issuers or the Paying Agent. Such payment shall be in such coin or currency of the United States of America as at the time of payment is legal tender for payment of public and private debts.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ectPr>
          <w:pgSz w:w="11900" w:h="16838" w:orient="portrait"/>
          <w:cols w:equalWidth="0" w:num="1">
            <w:col w:w="11420"/>
          </w:cols>
          <w:pgMar w:left="240" w:top="631" w:right="239" w:bottom="1440" w:gutter="0" w:footer="0" w:header="0"/>
        </w:sectPr>
      </w:pPr>
    </w:p>
    <w:bookmarkStart w:id="174" w:name="page175"/>
    <w:bookmarkEnd w:id="174"/>
    <w:p>
      <w:pPr>
        <w:jc w:val="both"/>
        <w:ind w:firstLine="1305"/>
        <w:spacing w:after="0" w:line="260" w:lineRule="auto"/>
        <w:tabs>
          <w:tab w:leader="none" w:pos="1783"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U.S. Bank National Association, the Trustee under the Indenture,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act as Paying Agent and Registrar. The Issuers may change any Paying Agent or Registrar without notice to any Holder. Either Issuer or any Guarantor may act in any such capacity.</w:t>
      </w:r>
    </w:p>
    <w:p>
      <w:pPr>
        <w:spacing w:after="0" w:line="177" w:lineRule="exact"/>
        <w:rPr>
          <w:rFonts w:ascii="Arial" w:cs="Arial" w:eastAsia="Arial" w:hAnsi="Arial"/>
          <w:sz w:val="22"/>
          <w:szCs w:val="22"/>
          <w:color w:val="auto"/>
        </w:rPr>
      </w:pPr>
    </w:p>
    <w:p>
      <w:pPr>
        <w:jc w:val="both"/>
        <w:ind w:firstLine="1305"/>
        <w:spacing w:after="0" w:line="294" w:lineRule="auto"/>
        <w:tabs>
          <w:tab w:leader="none" w:pos="1783" w:val="left"/>
        </w:tabs>
        <w:numPr>
          <w:ilvl w:val="0"/>
          <w:numId w:val="168"/>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Issuers issued the Notes under an Indenture dated as of September 20, 2019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among the Issuers,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Issuers.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u w:val="single" w:color="auto"/>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u w:val="single" w:color="auto"/>
          <w:color w:val="auto"/>
        </w:rPr>
        <w:t>Notes</w:t>
      </w:r>
      <w:r>
        <w:rPr>
          <w:rFonts w:ascii="Arial" w:cs="Arial" w:eastAsia="Arial" w:hAnsi="Arial"/>
          <w:sz w:val="19"/>
          <w:szCs w:val="19"/>
          <w:color w:val="auto"/>
        </w:rPr>
        <w:t>” includes any Additional Notes hereafter issued.</w:t>
      </w:r>
    </w:p>
    <w:p>
      <w:pPr>
        <w:spacing w:after="0" w:line="152" w:lineRule="exact"/>
        <w:rPr>
          <w:rFonts w:ascii="Arial" w:cs="Arial" w:eastAsia="Arial" w:hAnsi="Arial"/>
          <w:sz w:val="19"/>
          <w:szCs w:val="19"/>
          <w:color w:val="auto"/>
        </w:rPr>
      </w:pPr>
    </w:p>
    <w:p>
      <w:pPr>
        <w:ind w:right="20" w:firstLine="1305"/>
        <w:spacing w:after="0" w:line="276" w:lineRule="auto"/>
        <w:tabs>
          <w:tab w:leader="none" w:pos="1728" w:val="left"/>
        </w:tabs>
        <w:numPr>
          <w:ilvl w:val="0"/>
          <w:numId w:val="168"/>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 The Notes are redeemable at the Issuers’ election, in whole or in part at any time prior to</w:t>
      </w:r>
      <w:r>
        <w:rPr>
          <w:rFonts w:ascii="Arial" w:cs="Arial" w:eastAsia="Arial" w:hAnsi="Arial"/>
          <w:sz w:val="22"/>
          <w:szCs w:val="22"/>
          <w:i w:val="1"/>
          <w:iCs w:val="1"/>
          <w:color w:val="auto"/>
        </w:rPr>
        <w:t xml:space="preserve"> </w:t>
      </w:r>
      <w:r>
        <w:rPr>
          <w:rFonts w:ascii="Arial" w:cs="Arial" w:eastAsia="Arial" w:hAnsi="Arial"/>
          <w:sz w:val="22"/>
          <w:szCs w:val="22"/>
          <w:color w:val="auto"/>
        </w:rPr>
        <w:t>their Stated Maturity.</w:t>
      </w:r>
    </w:p>
    <w:p>
      <w:pPr>
        <w:spacing w:after="0" w:line="160" w:lineRule="exact"/>
        <w:rPr>
          <w:rFonts w:ascii="Arial" w:cs="Arial" w:eastAsia="Arial" w:hAnsi="Arial"/>
          <w:sz w:val="22"/>
          <w:szCs w:val="22"/>
          <w:color w:val="auto"/>
        </w:rPr>
      </w:pPr>
    </w:p>
    <w:p>
      <w:pPr>
        <w:ind w:left="2380" w:hanging="427"/>
        <w:spacing w:after="0"/>
        <w:tabs>
          <w:tab w:leader="none" w:pos="238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The redemption price for the Notes that are redeemed before July 1, 2029 will be equal to the greater of:</w:t>
      </w:r>
    </w:p>
    <w:p>
      <w:pPr>
        <w:spacing w:after="0" w:line="267" w:lineRule="exact"/>
        <w:rPr>
          <w:rFonts w:ascii="Arial" w:cs="Arial" w:eastAsia="Arial" w:hAnsi="Arial"/>
          <w:sz w:val="19"/>
          <w:szCs w:val="19"/>
          <w:color w:val="auto"/>
        </w:rPr>
      </w:pPr>
    </w:p>
    <w:p>
      <w:pPr>
        <w:ind w:left="2920" w:hanging="319"/>
        <w:spacing w:after="0"/>
        <w:tabs>
          <w:tab w:leader="none" w:pos="292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2920" w:hanging="319"/>
        <w:spacing w:after="0" w:line="263" w:lineRule="auto"/>
        <w:tabs>
          <w:tab w:leader="none" w:pos="2920" w:val="left"/>
        </w:tabs>
        <w:numPr>
          <w:ilvl w:val="2"/>
          <w:numId w:val="168"/>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the date of redemption) discounted to the redemption date on a semiannual basis (assuming a 360-day year consisting of twelve 30-day months) at the Adjusted Treasury Rate, plus 50 basis points,</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plus, in either of the above cases, accrued and unpaid interest to, but not including, the date of redemption on the Notes to be redeemed.</w:t>
      </w:r>
    </w:p>
    <w:p>
      <w:pPr>
        <w:spacing w:after="0" w:line="175" w:lineRule="exact"/>
        <w:rPr>
          <w:sz w:val="20"/>
          <w:szCs w:val="20"/>
          <w:color w:val="auto"/>
        </w:rPr>
      </w:pPr>
    </w:p>
    <w:p>
      <w:pPr>
        <w:jc w:val="both"/>
        <w:ind w:firstLine="1953"/>
        <w:spacing w:after="0" w:line="260" w:lineRule="auto"/>
        <w:tabs>
          <w:tab w:leader="none" w:pos="2417"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redemption price for Notes that are redeemed on or after July 1, 2029 will be equal to the sum of 100% of their principal amount, plus accrued and unpaid interest to, but not including, the date of redemption on the Notes to be redeemed.</w:t>
      </w:r>
    </w:p>
    <w:p>
      <w:pPr>
        <w:spacing w:after="0" w:line="1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Any such redemption may, at the discretion of the Issuers, be subject to one or more conditions precedent, including a Change of Control. In addition, if such redemption is subject to the satisfaction of one or more conditions precedent, the related notice shall describe each such condition, and if applicable, shall state that, in the discretion of the Issuers, the date of redemption may be delayed until such time as any or all such conditions shall be satisfied or waived (provided that in no event shall such date of redemption be delayed to a date later than 60 days after the date on which such notice was mailed), or such redemption may not occur and such notice may be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A-2-5</w:t>
      </w:r>
    </w:p>
    <w:p>
      <w:pPr>
        <w:sectPr>
          <w:pgSz w:w="11900" w:h="16838" w:orient="portrait"/>
          <w:cols w:equalWidth="0" w:num="1">
            <w:col w:w="11420"/>
          </w:cols>
          <w:pgMar w:left="240" w:top="632" w:right="239" w:bottom="1440" w:gutter="0" w:footer="0" w:header="0"/>
        </w:sectPr>
      </w:pPr>
    </w:p>
    <w:bookmarkStart w:id="175" w:name="page176"/>
    <w:bookmarkEnd w:id="175"/>
    <w:p>
      <w:pPr>
        <w:spacing w:after="0" w:line="263" w:lineRule="auto"/>
        <w:rPr>
          <w:sz w:val="20"/>
          <w:szCs w:val="20"/>
          <w:color w:val="auto"/>
        </w:rPr>
      </w:pPr>
      <w:r>
        <w:rPr>
          <w:rFonts w:ascii="Arial" w:cs="Arial" w:eastAsia="Arial" w:hAnsi="Arial"/>
          <w:sz w:val="22"/>
          <w:szCs w:val="22"/>
          <w:color w:val="auto"/>
        </w:rPr>
        <w:t>rescinded in the event that any or all such conditions shall not have been satisfied or waived by the date of redemption, or by the date of redemption as so delayed.</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Unless the Issuers default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ind w:right="20" w:firstLine="1305"/>
        <w:spacing w:after="0" w:line="276" w:lineRule="auto"/>
        <w:tabs>
          <w:tab w:leader="none" w:pos="1742" w:val="left"/>
        </w:tabs>
        <w:numPr>
          <w:ilvl w:val="0"/>
          <w:numId w:val="170"/>
        </w:numPr>
        <w:rPr>
          <w:rFonts w:ascii="Arial" w:cs="Arial" w:eastAsia="Arial" w:hAnsi="Arial"/>
          <w:sz w:val="22"/>
          <w:szCs w:val="22"/>
          <w:color w:val="auto"/>
        </w:rPr>
      </w:pPr>
      <w:r>
        <w:rPr>
          <w:rFonts w:ascii="Arial" w:cs="Arial" w:eastAsia="Arial" w:hAnsi="Arial"/>
          <w:sz w:val="22"/>
          <w:szCs w:val="22"/>
          <w:i w:val="1"/>
          <w:iCs w:val="1"/>
          <w:color w:val="auto"/>
        </w:rPr>
        <w:t>Mandatory Redemption</w:t>
      </w:r>
      <w:r>
        <w:rPr>
          <w:rFonts w:ascii="Arial" w:cs="Arial" w:eastAsia="Arial" w:hAnsi="Arial"/>
          <w:sz w:val="22"/>
          <w:szCs w:val="22"/>
          <w:color w:val="auto"/>
        </w:rPr>
        <w:t>. Other than as set forth in Paragraph 7 below, the Issuers shall not be required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mandatory redemption or sinking fund payments with respect to the Notes.</w:t>
      </w:r>
    </w:p>
    <w:p>
      <w:pPr>
        <w:spacing w:after="0" w:line="160" w:lineRule="exact"/>
        <w:rPr>
          <w:rFonts w:ascii="Arial" w:cs="Arial" w:eastAsia="Arial" w:hAnsi="Arial"/>
          <w:sz w:val="22"/>
          <w:szCs w:val="22"/>
          <w:color w:val="auto"/>
        </w:rPr>
      </w:pPr>
    </w:p>
    <w:p>
      <w:pPr>
        <w:jc w:val="both"/>
        <w:ind w:firstLine="1305"/>
        <w:spacing w:after="0" w:line="286" w:lineRule="auto"/>
        <w:tabs>
          <w:tab w:leader="none" w:pos="1769" w:val="left"/>
        </w:tabs>
        <w:numPr>
          <w:ilvl w:val="0"/>
          <w:numId w:val="170"/>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each Holder, by accepting this Note, shall be deemed to have agreed that, if any Gaming Authority requires a Holder or Beneficial Owner of Notes to be registered, licensed, qualified or found suitable under any applicable Gaming Law, such Holder or Beneficial Owner, as the case may be, shall apply for a license, qualification or a finding of suitability in accordance with such Gaming Law and shall cooperate with the requests of any Gaming Authority for information, documentation, and/or testimony. If such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then the Issuers shall have the right, at their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 (a) 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not including, the earlier of (A) the date of redemption or such earlier date as is required by the Gaming Authority or (B) the date of the finding of unsuitability by the Gaming Authority, which may be less than 30 days following the notice of redemption. The Issuers shall notify the Trustee in writing of any redemption pursuant to this Section 7 as soon as practicable.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Issuers for services rendered or otherwise, except the redemption price of the Notes.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Neither the Issuers nor the Trustee shall be responsible for any costs or expenses any Holder or Beneficial Owner may incur in connection with its registration, application for a license, qualification or a finding of suitability, or any renewal or continuation of the foregoing or compliance with any other requirement of a Gaming Authority. Those costs and expenses will be the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A-2-6</w:t>
      </w:r>
    </w:p>
    <w:p>
      <w:pPr>
        <w:sectPr>
          <w:pgSz w:w="11900" w:h="16838" w:orient="portrait"/>
          <w:cols w:equalWidth="0" w:num="1">
            <w:col w:w="11420"/>
          </w:cols>
          <w:pgMar w:left="240" w:top="631" w:right="239" w:bottom="1440" w:gutter="0" w:footer="0" w:header="0"/>
        </w:sectPr>
      </w:pPr>
    </w:p>
    <w:bookmarkStart w:id="176" w:name="page177"/>
    <w:bookmarkEnd w:id="176"/>
    <w:p>
      <w:pPr>
        <w:jc w:val="both"/>
        <w:spacing w:after="0" w:line="223" w:lineRule="auto"/>
        <w:rPr>
          <w:sz w:val="20"/>
          <w:szCs w:val="20"/>
          <w:color w:val="auto"/>
        </w:rPr>
      </w:pPr>
      <w:r>
        <w:rPr>
          <w:rFonts w:ascii="Arial" w:cs="Arial" w:eastAsia="Arial" w:hAnsi="Arial"/>
          <w:sz w:val="22"/>
          <w:szCs w:val="22"/>
          <w:color w:val="auto"/>
        </w:rPr>
        <w:t>of the Holder or Beneficial Owner, as applicable. In addition, any Holder or Beneficial Owner, as applicable, required to be licensed, qualified or found suitable under applicable Gaming Laws must pay all investigative fees and costs of any Gaming Authority in connection with such license, qualification, finding of suitability or application therefor.</w:t>
      </w:r>
    </w:p>
    <w:p>
      <w:pPr>
        <w:spacing w:after="0" w:line="186" w:lineRule="exact"/>
        <w:rPr>
          <w:sz w:val="20"/>
          <w:szCs w:val="20"/>
          <w:color w:val="auto"/>
        </w:rPr>
      </w:pPr>
    </w:p>
    <w:p>
      <w:pPr>
        <w:jc w:val="both"/>
        <w:ind w:firstLine="1305"/>
        <w:spacing w:after="0" w:line="250" w:lineRule="auto"/>
        <w:tabs>
          <w:tab w:leader="none" w:pos="1810" w:val="left"/>
        </w:tabs>
        <w:numPr>
          <w:ilvl w:val="0"/>
          <w:numId w:val="171"/>
        </w:numPr>
        <w:rPr>
          <w:rFonts w:ascii="Arial" w:cs="Arial" w:eastAsia="Arial" w:hAnsi="Arial"/>
          <w:sz w:val="22"/>
          <w:szCs w:val="22"/>
          <w:color w:val="auto"/>
        </w:rPr>
      </w:pPr>
      <w:r>
        <w:rPr>
          <w:rFonts w:ascii="Arial" w:cs="Arial" w:eastAsia="Arial" w:hAnsi="Arial"/>
          <w:sz w:val="22"/>
          <w:szCs w:val="22"/>
          <w:i w:val="1"/>
          <w:iCs w:val="1"/>
          <w:color w:val="auto"/>
        </w:rPr>
        <w:t>Repurchase at Option of Holder</w:t>
      </w:r>
      <w:r>
        <w:rPr>
          <w:rFonts w:ascii="Arial" w:cs="Arial" w:eastAsia="Arial" w:hAnsi="Arial"/>
          <w:sz w:val="22"/>
          <w:szCs w:val="22"/>
          <w:color w:val="auto"/>
        </w:rPr>
        <w:t>. If a Change of Control Triggering Event occurs, the Issuers shall make an</w:t>
      </w:r>
      <w:r>
        <w:rPr>
          <w:rFonts w:ascii="Arial" w:cs="Arial" w:eastAsia="Arial" w:hAnsi="Arial"/>
          <w:sz w:val="22"/>
          <w:szCs w:val="22"/>
          <w:i w:val="1"/>
          <w:iCs w:val="1"/>
          <w:color w:val="auto"/>
        </w:rPr>
        <w:t xml:space="preserve"> </w:t>
      </w:r>
      <w:r>
        <w:rPr>
          <w:rFonts w:ascii="Arial" w:cs="Arial" w:eastAsia="Arial" w:hAnsi="Arial"/>
          <w:sz w:val="22"/>
          <w:szCs w:val="22"/>
          <w:color w:val="auto"/>
        </w:rPr>
        <w:t>offer (a “</w:t>
      </w:r>
      <w:r>
        <w:rPr>
          <w:rFonts w:ascii="Arial" w:cs="Arial" w:eastAsia="Arial" w:hAnsi="Arial"/>
          <w:sz w:val="22"/>
          <w:szCs w:val="22"/>
          <w:i w:val="1"/>
          <w:iCs w:val="1"/>
          <w:u w:val="single" w:color="auto"/>
          <w:color w:val="auto"/>
        </w:rPr>
        <w:t>Change of Control Offer</w:t>
      </w:r>
      <w:r>
        <w:rPr>
          <w:rFonts w:ascii="Arial" w:cs="Arial" w:eastAsia="Arial" w:hAnsi="Arial"/>
          <w:sz w:val="22"/>
          <w:szCs w:val="22"/>
          <w:color w:val="auto"/>
        </w:rPr>
        <w:t>”) to repurchase all or any part (equal to $2,000 or an integral multiple of $1,000 in excess of $2,000) of each Holder’s Notes at a purchase price equal to 101% of the aggregate principal amount thereof plus accrued and unpaid interest, if any, to, but not including, the date of purchase (the “</w:t>
      </w:r>
      <w:r>
        <w:rPr>
          <w:rFonts w:ascii="Arial" w:cs="Arial" w:eastAsia="Arial" w:hAnsi="Arial"/>
          <w:sz w:val="22"/>
          <w:szCs w:val="22"/>
          <w:i w:val="1"/>
          <w:iCs w:val="1"/>
          <w:u w:val="single" w:color="auto"/>
          <w:color w:val="auto"/>
        </w:rPr>
        <w:t>Change of Control Payment</w:t>
      </w:r>
      <w:r>
        <w:rPr>
          <w:rFonts w:ascii="Arial" w:cs="Arial" w:eastAsia="Arial" w:hAnsi="Arial"/>
          <w:sz w:val="22"/>
          <w:szCs w:val="22"/>
          <w:color w:val="auto"/>
        </w:rPr>
        <w:t>”). Within 10 days following any Change of Control Triggering Event, the Issuers shall mail a notice to each Holder setting forth the procedures governing the Change of Control Offer as required by the Indenture.</w:t>
      </w:r>
    </w:p>
    <w:p>
      <w:pPr>
        <w:spacing w:after="0" w:line="188" w:lineRule="exact"/>
        <w:rPr>
          <w:rFonts w:ascii="Arial" w:cs="Arial" w:eastAsia="Arial" w:hAnsi="Arial"/>
          <w:sz w:val="22"/>
          <w:szCs w:val="22"/>
          <w:color w:val="auto"/>
        </w:rPr>
      </w:pPr>
    </w:p>
    <w:p>
      <w:pPr>
        <w:jc w:val="both"/>
        <w:ind w:firstLine="1305"/>
        <w:spacing w:after="0" w:line="297" w:lineRule="auto"/>
        <w:tabs>
          <w:tab w:leader="none" w:pos="1823" w:val="left"/>
        </w:tabs>
        <w:numPr>
          <w:ilvl w:val="0"/>
          <w:numId w:val="171"/>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15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 redemption notices may be delivered more than 60 days prior to a redemption date if the notice is issued in connection with a defeasance of the Notes or a satisfaction and discharge of the Indenture. Notes in denominations larger than $2,000 may be redeemed in part but only in whole multiples of $1,000 in excess of $2,000, unless all of the Notes held by a Holder are to be redeemed. On and after the redemption date interest ceases to accrue on Notes or portions thereof called for redemption.</w:t>
      </w:r>
    </w:p>
    <w:p>
      <w:pPr>
        <w:spacing w:after="0" w:line="146" w:lineRule="exact"/>
        <w:rPr>
          <w:rFonts w:ascii="Arial" w:cs="Arial" w:eastAsia="Arial" w:hAnsi="Arial"/>
          <w:sz w:val="19"/>
          <w:szCs w:val="19"/>
          <w:color w:val="auto"/>
        </w:rPr>
      </w:pPr>
    </w:p>
    <w:p>
      <w:pPr>
        <w:jc w:val="both"/>
        <w:ind w:firstLine="1305"/>
        <w:spacing w:after="0" w:line="261" w:lineRule="auto"/>
        <w:tabs>
          <w:tab w:leader="none" w:pos="1891" w:val="left"/>
        </w:tabs>
        <w:numPr>
          <w:ilvl w:val="0"/>
          <w:numId w:val="171"/>
        </w:numPr>
        <w:rPr>
          <w:rFonts w:ascii="Arial" w:cs="Arial" w:eastAsia="Arial" w:hAnsi="Arial"/>
          <w:sz w:val="21"/>
          <w:szCs w:val="21"/>
          <w:color w:val="auto"/>
        </w:rPr>
      </w:pPr>
      <w:r>
        <w:rPr>
          <w:rFonts w:ascii="Arial" w:cs="Arial" w:eastAsia="Arial" w:hAnsi="Arial"/>
          <w:sz w:val="21"/>
          <w:szCs w:val="21"/>
          <w:i w:val="1"/>
          <w:iCs w:val="1"/>
          <w:color w:val="auto"/>
        </w:rPr>
        <w:t>Denominations, Transfer, Exchange</w:t>
      </w:r>
      <w:r>
        <w:rPr>
          <w:rFonts w:ascii="Arial" w:cs="Arial" w:eastAsia="Arial" w:hAnsi="Arial"/>
          <w:sz w:val="21"/>
          <w:szCs w:val="21"/>
          <w:color w:val="auto"/>
        </w:rPr>
        <w:t>. The Notes are in registered form without coupons in denominations of</w:t>
      </w:r>
      <w:r>
        <w:rPr>
          <w:rFonts w:ascii="Arial" w:cs="Arial" w:eastAsia="Arial" w:hAnsi="Arial"/>
          <w:sz w:val="21"/>
          <w:szCs w:val="21"/>
          <w:i w:val="1"/>
          <w:iCs w:val="1"/>
          <w:color w:val="auto"/>
        </w:rPr>
        <w:t xml:space="preserve"> </w:t>
      </w:r>
      <w:r>
        <w:rPr>
          <w:rFonts w:ascii="Arial" w:cs="Arial" w:eastAsia="Arial" w:hAnsi="Arial"/>
          <w:sz w:val="21"/>
          <w:szCs w:val="21"/>
          <w:color w:val="auto"/>
        </w:rPr>
        <w:t>$2,000 and integral multiples of $1,000 in excess of $2,000.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and fees required by law or permitted by the Indenture. The Issuers need not exchange or register the transfer of any Note or portion of a Note selected for redemption, except for the unredeemed portion of any Note being redeemed in part. Also, the Issuers need not exchange or register the transfer of any Notes for a period of 15 days before a selection of Notes to be redeemed or during the period between a record date and the corresponding Interest Payment Date.</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Regulation S Temporary Global Note is exchangeable in whole or in part for one or more Global Notes only (i) on or after the termination of the 40-day distribution compliance period (as defined in Regulation S) and (ii) upon presentation of certificates (accompanied by an Opinion of Counsel, if applicable) required by Article 2 of the Indenture. Upon exchange of this Regulation S Temporary Global Note for one or more Global Notes, the Trustee shall cancel this Regulation S Temporary Global Note.</w:t>
      </w:r>
    </w:p>
    <w:p>
      <w:pPr>
        <w:spacing w:after="0" w:line="192" w:lineRule="exact"/>
        <w:rPr>
          <w:sz w:val="20"/>
          <w:szCs w:val="20"/>
          <w:color w:val="auto"/>
        </w:rPr>
      </w:pPr>
    </w:p>
    <w:p>
      <w:pPr>
        <w:ind w:left="1840" w:hanging="535"/>
        <w:spacing w:after="0"/>
        <w:tabs>
          <w:tab w:leader="none" w:pos="1840" w:val="left"/>
        </w:tabs>
        <w:numPr>
          <w:ilvl w:val="0"/>
          <w:numId w:val="172"/>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67" w:lineRule="exact"/>
        <w:rPr>
          <w:rFonts w:ascii="Arial" w:cs="Arial" w:eastAsia="Arial" w:hAnsi="Arial"/>
          <w:sz w:val="19"/>
          <w:szCs w:val="19"/>
          <w:color w:val="auto"/>
        </w:rPr>
      </w:pPr>
    </w:p>
    <w:p>
      <w:pPr>
        <w:ind w:left="1840" w:hanging="535"/>
        <w:spacing w:after="0"/>
        <w:tabs>
          <w:tab w:leader="none" w:pos="1840" w:val="left"/>
        </w:tabs>
        <w:numPr>
          <w:ilvl w:val="0"/>
          <w:numId w:val="172"/>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A-2-7</w:t>
      </w:r>
    </w:p>
    <w:p>
      <w:pPr>
        <w:sectPr>
          <w:pgSz w:w="11900" w:h="16838" w:orient="portrait"/>
          <w:cols w:equalWidth="0" w:num="1">
            <w:col w:w="11420"/>
          </w:cols>
          <w:pgMar w:left="240" w:top="604" w:right="239" w:bottom="1440" w:gutter="0" w:footer="0" w:header="0"/>
        </w:sectPr>
      </w:pPr>
    </w:p>
    <w:bookmarkStart w:id="177" w:name="page178"/>
    <w:bookmarkEnd w:id="177"/>
    <w:p>
      <w:pPr>
        <w:jc w:val="both"/>
        <w:ind w:firstLine="1953"/>
        <w:spacing w:after="0" w:line="251" w:lineRule="auto"/>
        <w:tabs>
          <w:tab w:leader="none" w:pos="244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Subject to certain exceptions, the Indenture, the Notes and the Note Guarantees may be amended or supplemented with the consent of the Holders of at least a majority in principal amount of the then outstanding Notes, voting as a single class, and any existing Default or Event of Default or compliance with any provision of the Indenture, the Notes or the Note Guarantees may be waived with the consent of the Holders of a majority in principal amount of the then outstanding Notes, voting as a single class.</w:t>
      </w:r>
    </w:p>
    <w:p>
      <w:pPr>
        <w:spacing w:after="0" w:line="189" w:lineRule="exact"/>
        <w:rPr>
          <w:rFonts w:ascii="Arial" w:cs="Arial" w:eastAsia="Arial" w:hAnsi="Arial"/>
          <w:sz w:val="22"/>
          <w:szCs w:val="22"/>
          <w:color w:val="auto"/>
        </w:rPr>
      </w:pPr>
    </w:p>
    <w:p>
      <w:pPr>
        <w:jc w:val="both"/>
        <w:ind w:firstLine="1953"/>
        <w:spacing w:after="0" w:line="288" w:lineRule="auto"/>
        <w:tabs>
          <w:tab w:leader="none" w:pos="243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Without the consent of each Holder of Notes affected, an amendment, supplement or waiver may not (with respect to any Notes held by a non-consenting Holder) (i) reduce the principal amount of Notes whose Holders must consent to an amendment, supplement or waiver, (ii) reduce the principal of or change the fixed maturity of any Note or alter or waive any of the provisions with respect to the redemption of the Notes (other than Section 4.11 of the Indenture), (iii) reduce the rate of or change the time for payment of interest, including default interest, on any Note; (iv) waive a Default or Event of Default in the payment of principal of, or interest, premium, if any, on, the Notes (except a rescission of acceleration of the Notes by the Holders of at least a majority in aggregate principal amount of the then outstanding Notes and a waiver of the payment default that resulted from such acceleration), (v) make any Note payable in money other than that stated herein, (vi) make any change in Section 6.04 of the Indenture or the rights of Holders of Notes to receive payments of principal of, or interest, premium, if any, on, the Notes, (vii) waive a redemption payment with respect to any Note (other than a payment required by Section 4.11 of the Indenture), (viii) amend or modify any Note Guarantee in a manner that would adversely affect the Holders of the Notes or release any Guarantor from any of its obligations under its Note Guarantee or the Indenture (except in accordance with the terms of the indenture) or (ix) make any change in the preceding amendment and waiver provisions.</w:t>
      </w:r>
    </w:p>
    <w:p>
      <w:pPr>
        <w:spacing w:after="0" w:line="156" w:lineRule="exact"/>
        <w:rPr>
          <w:rFonts w:ascii="Arial" w:cs="Arial" w:eastAsia="Arial" w:hAnsi="Arial"/>
          <w:sz w:val="19"/>
          <w:szCs w:val="19"/>
          <w:color w:val="auto"/>
        </w:rPr>
      </w:pPr>
    </w:p>
    <w:p>
      <w:pPr>
        <w:jc w:val="both"/>
        <w:ind w:firstLine="1953"/>
        <w:spacing w:after="0" w:line="287" w:lineRule="auto"/>
        <w:tabs>
          <w:tab w:leader="none" w:pos="237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Issuers, the Guarantors and the Trustee may amend or supplement the Indenture, the Notes or the Note Guarantees to (i) cure any ambiguity, defect or inconsistency, (ii) provide for uncertificated Notes in addition to or in place of certificated Notes, (iii) provide for the assumption of the either Issuers’ or any Guarantor’s obligations to the Holders of the Notes and Note Guarantees by a successor to the Issuers or such Guarantor, as the case may be, in the case of a merger or consolidation or sale of all or substantially all of the Wynn Resorts Finance’s or such Guarantor’s assets pursuant to Article 5 or Article 11 of the Indenture, (iv) make any change that would provide any additional rights or benefits to the Holders of the Notes or that does not adversely affect the legal rights of any such Holder under the Indenture, (v) to conform the text of the Indenture, the Notes or the Note Guarantees to any provision of the “Description of the Notes” in the Issuers’ Offering Memorandum, dated as of September 12, 2019, relating to the offering of the Initial Notes, to the extent that such provision in the “Description of the Notes” was intended to be a verbatim recitation of a provision of the Indenture, the Notes or the Note Guarantees, which intent may be evidenced by an Officers’ Certificate to that effect, (vi) to release the Note Guarantee of a Guarantor in accordance with the terms of the Indenture, (vii) provide for the issuance of Additional Notes in accordance with the limitations set forth in the Indenture as of the date of the Indenture, (viii) allow any Guarantor to execute a supplemental indenture to the Indenture and/or a Note Guarantee with respect to the Notes, (ix) to comply with requirements of the SEC in order to effect or maintain the qualification of the Indenture under the Trust Indenture Act, if then applicable, (x) to comply with requirements 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A-2-8</w:t>
      </w:r>
    </w:p>
    <w:p>
      <w:pPr>
        <w:sectPr>
          <w:pgSz w:w="11900" w:h="16838" w:orient="portrait"/>
          <w:cols w:equalWidth="0" w:num="1">
            <w:col w:w="11420"/>
          </w:cols>
          <w:pgMar w:left="240" w:top="632" w:right="239" w:bottom="1440" w:gutter="0" w:footer="0" w:header="0"/>
        </w:sectPr>
      </w:pPr>
    </w:p>
    <w:bookmarkStart w:id="178" w:name="page179"/>
    <w:bookmarkEnd w:id="178"/>
    <w:p>
      <w:pPr>
        <w:spacing w:after="0" w:line="263" w:lineRule="auto"/>
        <w:rPr>
          <w:sz w:val="20"/>
          <w:szCs w:val="20"/>
          <w:color w:val="auto"/>
        </w:rPr>
      </w:pPr>
      <w:r>
        <w:rPr>
          <w:rFonts w:ascii="Arial" w:cs="Arial" w:eastAsia="Arial" w:hAnsi="Arial"/>
          <w:sz w:val="22"/>
          <w:szCs w:val="22"/>
          <w:color w:val="auto"/>
        </w:rPr>
        <w:t>applicable Gaming Laws or to provide for requirements imposed by applicable Gaming Authorities; (xi) to provide for the acceptance or appointment of a successor trustee or (xii) provide for the Notes to be secured.</w:t>
      </w:r>
    </w:p>
    <w:p>
      <w:pPr>
        <w:spacing w:after="0" w:line="175" w:lineRule="exact"/>
        <w:rPr>
          <w:sz w:val="20"/>
          <w:szCs w:val="20"/>
          <w:color w:val="auto"/>
        </w:rPr>
      </w:pPr>
    </w:p>
    <w:p>
      <w:pPr>
        <w:jc w:val="both"/>
        <w:ind w:firstLine="1305"/>
        <w:spacing w:after="0" w:line="285" w:lineRule="auto"/>
        <w:tabs>
          <w:tab w:leader="none" w:pos="1837" w:val="left"/>
        </w:tabs>
        <w:numPr>
          <w:ilvl w:val="0"/>
          <w:numId w:val="174"/>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if any, with respect to the Notes; (ii) default in payment when due of principal of, or premium, if any, on the Notes when the same becomes due and payable at maturity, upon redemption (including in connection with an offer to purchase) or otherwise, (iii) failure by Wynn Resorts Capital, Wynn Resorts Finance or any of Guarantors to comply with Sections 4.11 or 5.01 of the Indenture; (iv) failure by Wynn Resorts Capital, Wynn Resorts Finance or any Guarantor for 60 days after written notice from the Trustee or Holders of at least 25% in aggregate principal amount of the Notes then outstanding voting as a single class to comply with any of the other agreements in the Indenture or the Notes, not set forth in clause (iii) above; (v) default under any mortgage, indenture or instrument under which there may be issued or by which there may be secured or evidenced any Indebtedness for money borrowed by Wynn Resorts Finance or any Guarantor (or the payment of which is guaranteed by Wynn Resorts Finance or any of the Guarantors) whether such Indebtedness or guarantee now exists, or is created after the date of the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$125.0 million or more, if such acceleration is not annulled within 30 days after written notice as provided in the Indenture; (vi) failure by Wynn Resorts Capital, Wynn Resorts Finance or any of the Guarantors to pay final non-appealable judgments (not paid or covered by insurance as to which the relevant insurance company has not denied responsibility) aggregating in excess of $125.0 million, which judgments are not paid, bonded, discharged or stayed for a period of 60 days; or (vii) certain events of bankruptcy or insolvency described in the Indenture with respect to (a) either Issuer or (b) any Guarantor;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if a Default for a failure to report or failure to deliver a required certificate in connection with another default (the “</w:t>
      </w:r>
      <w:r>
        <w:rPr>
          <w:rFonts w:ascii="Arial" w:cs="Arial" w:eastAsia="Arial" w:hAnsi="Arial"/>
          <w:sz w:val="19"/>
          <w:szCs w:val="19"/>
          <w:i w:val="1"/>
          <w:iCs w:val="1"/>
          <w:color w:val="auto"/>
        </w:rPr>
        <w:t>Initial Default</w:t>
      </w:r>
      <w:r>
        <w:rPr>
          <w:rFonts w:ascii="Arial" w:cs="Arial" w:eastAsia="Arial" w:hAnsi="Arial"/>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Section 4.03 or otherwise to deliver any notice or certificate pursuant to any other provision of the Indenture shall be deemed to be cured upon the delivery of any such report required by such covenant or such notice or certificate, as applicable, even though such delivery is not within the prescribed period specified in the Indenture.</w:t>
      </w: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the case of an Event of Default arising from certain events of bankruptcy or insolvency with respect to (a) either Issuer or</w:t>
      </w:r>
    </w:p>
    <w:p>
      <w:pPr>
        <w:spacing w:after="0" w:line="56" w:lineRule="exact"/>
        <w:rPr>
          <w:sz w:val="20"/>
          <w:szCs w:val="20"/>
          <w:color w:val="auto"/>
        </w:rPr>
      </w:pPr>
    </w:p>
    <w:p>
      <w:pPr>
        <w:jc w:val="both"/>
        <w:ind w:firstLine="8"/>
        <w:spacing w:after="0" w:line="290" w:lineRule="auto"/>
        <w:tabs>
          <w:tab w:leader="none" w:pos="3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any Guarantor,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A-2-9</w:t>
      </w:r>
    </w:p>
    <w:p>
      <w:pPr>
        <w:sectPr>
          <w:pgSz w:w="11900" w:h="16838" w:orient="portrait"/>
          <w:cols w:equalWidth="0" w:num="1">
            <w:col w:w="11420"/>
          </w:cols>
          <w:pgMar w:left="240" w:top="631" w:right="239" w:bottom="1440" w:gutter="0" w:footer="0" w:header="0"/>
        </w:sectPr>
      </w:pPr>
    </w:p>
    <w:bookmarkStart w:id="179" w:name="page180"/>
    <w:bookmarkEnd w:id="179"/>
    <w:p>
      <w:pPr>
        <w:jc w:val="both"/>
        <w:spacing w:after="0" w:line="294" w:lineRule="auto"/>
        <w:rPr>
          <w:sz w:val="20"/>
          <w:szCs w:val="20"/>
          <w:color w:val="auto"/>
        </w:rPr>
      </w:pPr>
      <w:r>
        <w:rPr>
          <w:rFonts w:ascii="Arial" w:cs="Arial" w:eastAsia="Arial" w:hAnsi="Arial"/>
          <w:sz w:val="19"/>
          <w:szCs w:val="19"/>
          <w:color w:val="auto"/>
        </w:rPr>
        <w:t>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Issuers are required to deliver to the Trustee annually a statement regarding compliance with the Indenture. Upon becoming aware of any Default or Event of Default, the Issuers are required to deliver to the Trustee a statement specifying such Default or Event of Default.</w:t>
      </w:r>
    </w:p>
    <w:p>
      <w:pPr>
        <w:spacing w:after="0" w:line="150" w:lineRule="exact"/>
        <w:rPr>
          <w:sz w:val="20"/>
          <w:szCs w:val="20"/>
          <w:color w:val="auto"/>
        </w:rPr>
      </w:pPr>
    </w:p>
    <w:p>
      <w:pPr>
        <w:ind w:left="1900" w:hanging="595"/>
        <w:spacing w:after="0"/>
        <w:tabs>
          <w:tab w:leader="none" w:pos="1900"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307" w:lineRule="auto"/>
        <w:tabs>
          <w:tab w:leader="none" w:pos="1864"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Trustee Dealings with Issuers</w:t>
      </w:r>
      <w:r>
        <w:rPr>
          <w:rFonts w:ascii="Arial" w:cs="Arial" w:eastAsia="Arial" w:hAnsi="Arial"/>
          <w:sz w:val="19"/>
          <w:szCs w:val="19"/>
          <w:color w:val="auto"/>
        </w:rPr>
        <w:t>. The Trustee, in its individual or any other capacity, may become the owner or</w:t>
      </w:r>
      <w:r>
        <w:rPr>
          <w:rFonts w:ascii="Arial" w:cs="Arial" w:eastAsia="Arial" w:hAnsi="Arial"/>
          <w:sz w:val="19"/>
          <w:szCs w:val="19"/>
          <w:i w:val="1"/>
          <w:iCs w:val="1"/>
          <w:color w:val="auto"/>
        </w:rPr>
        <w:t xml:space="preserve"> </w:t>
      </w:r>
      <w:r>
        <w:rPr>
          <w:rFonts w:ascii="Arial" w:cs="Arial" w:eastAsia="Arial" w:hAnsi="Arial"/>
          <w:sz w:val="19"/>
          <w:szCs w:val="19"/>
          <w:color w:val="auto"/>
        </w:rPr>
        <w:t>pledgee of Notes and may otherwise deal with the Issuers or any Affiliate of the Issuers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38" w:lineRule="exact"/>
        <w:rPr>
          <w:rFonts w:ascii="Arial" w:cs="Arial" w:eastAsia="Arial" w:hAnsi="Arial"/>
          <w:sz w:val="19"/>
          <w:szCs w:val="19"/>
          <w:color w:val="auto"/>
        </w:rPr>
      </w:pPr>
    </w:p>
    <w:p>
      <w:pPr>
        <w:jc w:val="both"/>
        <w:ind w:firstLine="1305"/>
        <w:spacing w:after="0" w:line="300" w:lineRule="auto"/>
        <w:tabs>
          <w:tab w:leader="none" w:pos="1904"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No Recourse Against Others</w:t>
      </w:r>
      <w:r>
        <w:rPr>
          <w:rFonts w:ascii="Arial" w:cs="Arial" w:eastAsia="Arial" w:hAnsi="Arial"/>
          <w:sz w:val="19"/>
          <w:szCs w:val="19"/>
          <w:color w:val="auto"/>
        </w:rPr>
        <w:t>. No past, present or future director, officer, employee, incorporator, organizer,</w:t>
      </w:r>
      <w:r>
        <w:rPr>
          <w:rFonts w:ascii="Arial" w:cs="Arial" w:eastAsia="Arial" w:hAnsi="Arial"/>
          <w:sz w:val="19"/>
          <w:szCs w:val="19"/>
          <w:i w:val="1"/>
          <w:iCs w:val="1"/>
          <w:color w:val="auto"/>
        </w:rPr>
        <w:t xml:space="preserve"> </w:t>
      </w:r>
      <w:r>
        <w:rPr>
          <w:rFonts w:ascii="Arial" w:cs="Arial" w:eastAsia="Arial" w:hAnsi="Arial"/>
          <w:sz w:val="19"/>
          <w:szCs w:val="19"/>
          <w:color w:val="auto"/>
        </w:rPr>
        <w:t>equity holder or member of either Issuer or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left="1880" w:hanging="575"/>
        <w:spacing w:after="0"/>
        <w:tabs>
          <w:tab w:leader="none" w:pos="1880" w:val="left"/>
        </w:tabs>
        <w:numPr>
          <w:ilvl w:val="0"/>
          <w:numId w:val="176"/>
        </w:numPr>
        <w:rPr>
          <w:rFonts w:ascii="Arial" w:cs="Arial" w:eastAsia="Arial" w:hAnsi="Arial"/>
          <w:sz w:val="19"/>
          <w:szCs w:val="19"/>
          <w:color w:val="auto"/>
        </w:rPr>
      </w:pPr>
      <w:r>
        <w:rPr>
          <w:rFonts w:ascii="Arial" w:cs="Arial" w:eastAsia="Arial" w:hAnsi="Arial"/>
          <w:sz w:val="19"/>
          <w:szCs w:val="19"/>
          <w:i w:val="1"/>
          <w:iCs w:val="1"/>
          <w:color w:val="auto"/>
        </w:rPr>
        <w:t>Authentication</w:t>
      </w:r>
      <w:r>
        <w:rPr>
          <w:rFonts w:ascii="Arial" w:cs="Arial" w:eastAsia="Arial" w:hAnsi="Arial"/>
          <w:sz w:val="19"/>
          <w:szCs w:val="19"/>
          <w:color w:val="auto"/>
        </w:rPr>
        <w:t>. This Note shall not be valid until authenticated by the manual signature of the Trustee or an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authenticating agent.</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891"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Abbreviations</w:t>
      </w:r>
      <w:r>
        <w:rPr>
          <w:rFonts w:ascii="Arial" w:cs="Arial" w:eastAsia="Arial" w:hAnsi="Arial"/>
          <w:sz w:val="22"/>
          <w:szCs w:val="22"/>
          <w:color w:val="auto"/>
        </w:rPr>
        <w:t>. Customary abbreviations may be used in the name of a Holder or an assignee, such as: TEN</w:t>
      </w:r>
      <w:r>
        <w:rPr>
          <w:rFonts w:ascii="Arial" w:cs="Arial" w:eastAsia="Arial" w:hAnsi="Arial"/>
          <w:sz w:val="22"/>
          <w:szCs w:val="22"/>
          <w:i w:val="1"/>
          <w:iCs w:val="1"/>
          <w:color w:val="auto"/>
        </w:rPr>
        <w:t xml:space="preserve"> </w:t>
      </w:r>
      <w:r>
        <w:rPr>
          <w:rFonts w:ascii="Arial" w:cs="Arial" w:eastAsia="Arial" w:hAnsi="Arial"/>
          <w:sz w:val="22"/>
          <w:szCs w:val="22"/>
          <w:color w:val="auto"/>
        </w:rPr>
        <w:t>COM (= tenants in common), TEN ENT (= tenants by the entireties), JT TEN (= joint tenants with right of survivorship and not as tenants in common), CUST (= Custodian), and U/G/M/A (= Uniform Gifts to Minors Act).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2093"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THIS NOTE AND THE NOTE GUARANTEES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GOVERNED BY AND CONSTRUED IN ACCORDANCE WITH THE LAWS OF THE STATE OF NEW YORK, INCLUDING, WITHOUT LIMITATION, SECTION 4-1401 OF THE NEW YORK OBLIGATIONS LAW.</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2026"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CUSIP Numbers</w:t>
      </w:r>
      <w:r>
        <w:rPr>
          <w:rFonts w:ascii="Arial" w:cs="Arial" w:eastAsia="Arial" w:hAnsi="Arial"/>
          <w:sz w:val="22"/>
          <w:szCs w:val="22"/>
          <w:color w:val="auto"/>
        </w:rPr>
        <w:t>. Pursuant to a recommendation promulgated by the Committee on Uniform Security</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Identification Procedures, the Issuers have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A-2-10</w:t>
      </w:r>
    </w:p>
    <w:p>
      <w:pPr>
        <w:sectPr>
          <w:pgSz w:w="11900" w:h="16838" w:orient="portrait"/>
          <w:cols w:equalWidth="0" w:num="1">
            <w:col w:w="11420"/>
          </w:cols>
          <w:pgMar w:left="240" w:top="631" w:right="239" w:bottom="1440" w:gutter="0" w:footer="0" w:header="0"/>
        </w:sectPr>
      </w:pPr>
    </w:p>
    <w:bookmarkStart w:id="180" w:name="page181"/>
    <w:bookmarkEnd w:id="180"/>
    <w:p>
      <w:pPr>
        <w:ind w:firstLine="648"/>
        <w:spacing w:after="0" w:line="263" w:lineRule="auto"/>
        <w:rPr>
          <w:sz w:val="20"/>
          <w:szCs w:val="20"/>
          <w:color w:val="auto"/>
        </w:rPr>
      </w:pPr>
      <w:r>
        <w:rPr>
          <w:rFonts w:ascii="Arial" w:cs="Arial" w:eastAsia="Arial" w:hAnsi="Arial"/>
          <w:sz w:val="22"/>
          <w:szCs w:val="22"/>
          <w:color w:val="auto"/>
        </w:rPr>
        <w:t>The Issuers shall furnish to any Holder upon written request and without charge a copy of the Indenture. Requests may be made 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 Wynn Resorts Finance, LLC</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Las Vegas, NV 89109</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 (702) 770-1520</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A-2-11</w:t>
      </w:r>
    </w:p>
    <w:p>
      <w:pPr>
        <w:sectPr>
          <w:pgSz w:w="11900" w:h="16838" w:orient="portrait"/>
          <w:cols w:equalWidth="0" w:num="1">
            <w:col w:w="11420"/>
          </w:cols>
          <w:pgMar w:left="240" w:top="631"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color w:val="auto"/>
        </w:rPr>
        <w:t>Assignment Form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9" w:lineRule="exact"/>
        <w:rPr>
          <w:sz w:val="20"/>
          <w:szCs w:val="20"/>
          <w:color w:val="auto"/>
        </w:rPr>
      </w:pPr>
    </w:p>
    <w:p>
      <w:pPr>
        <w:jc w:val="right"/>
        <w:ind w:right="4520"/>
        <w:spacing w:after="0"/>
        <w:rPr>
          <w:sz w:val="20"/>
          <w:szCs w:val="20"/>
          <w:color w:val="auto"/>
        </w:rPr>
      </w:pPr>
      <w:r>
        <w:rPr>
          <w:rFonts w:ascii="Arial" w:cs="Arial" w:eastAsia="Arial" w:hAnsi="Arial"/>
          <w:sz w:val="14"/>
          <w:szCs w:val="14"/>
          <w:color w:val="auto"/>
        </w:rPr>
        <w:t>(Insert assignee’s legal name)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(Insert assignee’s soc. sec. or tax I.D.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(Print or type assignee’s name, address and zip code)</w:t>
      </w:r>
    </w:p>
    <w:p>
      <w:pPr>
        <w:sectPr>
          <w:pgSz w:w="11900" w:h="16838" w:orient="portrait"/>
          <w:cols w:equalWidth="0" w:num="1">
            <w:col w:w="11420"/>
          </w:cols>
          <w:pgMar w:left="240" w:top="631"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2" w:lineRule="exact"/>
        <w:rPr>
          <w:sz w:val="20"/>
          <w:szCs w:val="20"/>
          <w:color w:val="auto"/>
        </w:rPr>
      </w:pPr>
    </w:p>
    <w:p>
      <w:pPr>
        <w:spacing w:after="0" w:line="451" w:lineRule="auto"/>
        <w:rPr>
          <w:sz w:val="20"/>
          <w:szCs w:val="20"/>
          <w:color w:val="auto"/>
        </w:rPr>
      </w:pPr>
      <w:r>
        <w:rPr>
          <w:rFonts w:ascii="Arial" w:cs="Arial" w:eastAsia="Arial" w:hAnsi="Arial"/>
          <w:sz w:val="22"/>
          <w:szCs w:val="22"/>
          <w:color w:val="auto"/>
        </w:rPr>
        <w:t>to transfer this Note on the books of the Issuers. Date: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color w:val="auto"/>
        </w:rPr>
        <w:t>The agent may substitute another to act for him.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sectPr>
          <w:pgSz w:w="11900" w:h="16838" w:orient="portrait"/>
          <w:cols w:equalWidth="0" w:num="2">
            <w:col w:w="4140" w:space="60"/>
            <w:col w:w="7220"/>
          </w:cols>
          <w:pgMar w:left="240" w:top="631" w:right="239" w:bottom="1440" w:gutter="0" w:footer="0" w:header="0"/>
          <w:type w:val="continuous"/>
        </w:sect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A-2-12</w:t>
      </w:r>
    </w:p>
    <w:p>
      <w:pPr>
        <w:sectPr>
          <w:pgSz w:w="11900" w:h="16838" w:orient="portrait"/>
          <w:cols w:equalWidth="0" w:num="1">
            <w:col w:w="11420"/>
          </w:cols>
          <w:pgMar w:left="240" w:top="631" w:right="239" w:bottom="1440" w:gutter="0" w:footer="0" w:header="0"/>
          <w:type w:val="continuous"/>
        </w:sectPr>
      </w:pPr>
    </w:p>
    <w:bookmarkStart w:id="182" w:name="page183"/>
    <w:bookmarkEnd w:id="182"/>
    <w:p>
      <w:pPr>
        <w:jc w:val="center"/>
        <w:spacing w:after="0"/>
        <w:rPr>
          <w:sz w:val="20"/>
          <w:szCs w:val="20"/>
          <w:color w:val="auto"/>
        </w:rPr>
      </w:pPr>
      <w:r>
        <w:rPr>
          <w:rFonts w:ascii="Arial" w:cs="Arial" w:eastAsia="Arial" w:hAnsi="Arial"/>
          <w:sz w:val="22"/>
          <w:szCs w:val="22"/>
          <w:color w:val="auto"/>
        </w:rPr>
        <w:t>Option of Holder to Elect Purchase</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Issuers pursuant to Section 4.11 of the Indenture, check the appropriate box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4.11</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only part of the Note purchased by the Issuers pursuant to Section 4.11 of the Indenture, state the amount you elect to have purchased:</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w:t>
      </w: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Your Signature: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Tax Identification No.: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_________________________</w:t>
      </w:r>
    </w:p>
    <w:p>
      <w:pPr>
        <w:spacing w:after="0" w:line="220" w:lineRule="exact"/>
        <w:rPr>
          <w:sz w:val="20"/>
          <w:szCs w:val="20"/>
          <w:color w:val="auto"/>
        </w:rPr>
      </w:pPr>
    </w:p>
    <w:p>
      <w:pPr>
        <w:ind w:left="340" w:hanging="332"/>
        <w:spacing w:after="0"/>
        <w:tabs>
          <w:tab w:leader="none" w:pos="3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400"/>
        <w:spacing w:after="0"/>
        <w:rPr>
          <w:rFonts w:ascii="Arial" w:cs="Arial" w:eastAsia="Arial" w:hAnsi="Arial"/>
          <w:sz w:val="19"/>
          <w:szCs w:val="19"/>
          <w:color w:val="auto"/>
        </w:rPr>
      </w:pPr>
      <w:r>
        <w:rPr>
          <w:rFonts w:ascii="Arial" w:cs="Arial" w:eastAsia="Arial" w:hAnsi="Arial"/>
          <w:sz w:val="22"/>
          <w:szCs w:val="22"/>
          <w:color w:val="auto"/>
        </w:rPr>
        <w:t>A-2-13</w:t>
      </w:r>
    </w:p>
    <w:p>
      <w:pPr>
        <w:sectPr>
          <w:pgSz w:w="11900" w:h="16838" w:orient="portrait"/>
          <w:cols w:equalWidth="0" w:num="1">
            <w:col w:w="11420"/>
          </w:cols>
          <w:pgMar w:left="240" w:top="632" w:right="23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28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b w:val="1"/>
                <w:bCs w:val="1"/>
                <w:color w:val="auto"/>
              </w:rPr>
              <w:t>Date of Exchange</w:t>
            </w:r>
          </w:p>
        </w:tc>
        <w:tc>
          <w:tcPr>
            <w:tcW w:w="23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Amount of decrease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increase in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78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Signature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178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authorized officer of</w:t>
            </w:r>
          </w:p>
        </w:tc>
      </w:tr>
      <w:tr>
        <w:trPr>
          <w:trHeight w:val="149"/>
        </w:trPr>
        <w:tc>
          <w:tcPr>
            <w:tcW w:w="1620" w:type="dxa"/>
            <w:vAlign w:val="bottom"/>
          </w:tcPr>
          <w:p>
            <w:pPr>
              <w:spacing w:after="0"/>
              <w:rPr>
                <w:sz w:val="12"/>
                <w:szCs w:val="12"/>
                <w:color w:val="auto"/>
              </w:rPr>
            </w:pPr>
          </w:p>
        </w:tc>
        <w:tc>
          <w:tcPr>
            <w:tcW w:w="23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this Global Note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8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2"/>
              </w:rPr>
              <w:t>Trustee or Custodian</w:t>
            </w:r>
          </w:p>
        </w:tc>
      </w:tr>
      <w:tr>
        <w:trPr>
          <w:trHeight w:val="186"/>
        </w:trPr>
        <w:tc>
          <w:tcPr>
            <w:tcW w:w="16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decrease (or increase)</w:t>
            </w:r>
          </w:p>
        </w:tc>
        <w:tc>
          <w:tcPr>
            <w:tcW w:w="17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0" w:right="4700" w:hanging="5392"/>
        <w:spacing w:after="0" w:line="744" w:lineRule="auto"/>
        <w:tabs>
          <w:tab w:leader="none" w:pos="330" w:val="left"/>
        </w:tabs>
        <w:numPr>
          <w:ilvl w:val="0"/>
          <w:numId w:val="179"/>
        </w:numPr>
        <w:rPr>
          <w:rFonts w:ascii="Arial" w:cs="Arial" w:eastAsia="Arial" w:hAnsi="Arial"/>
          <w:sz w:val="21"/>
          <w:szCs w:val="21"/>
          <w:color w:val="auto"/>
        </w:rPr>
      </w:pPr>
      <w:r>
        <w:rPr>
          <w:rFonts w:ascii="Arial" w:cs="Arial" w:eastAsia="Arial" w:hAnsi="Arial"/>
          <w:sz w:val="21"/>
          <w:szCs w:val="21"/>
          <w:i w:val="1"/>
          <w:iCs w:val="1"/>
          <w:color w:val="auto"/>
        </w:rPr>
        <w:t xml:space="preserve">This schedule should be included only if the Note is issued in global form. </w:t>
      </w:r>
      <w:r>
        <w:rPr>
          <w:rFonts w:ascii="Arial" w:cs="Arial" w:eastAsia="Arial" w:hAnsi="Arial"/>
          <w:sz w:val="21"/>
          <w:szCs w:val="21"/>
          <w:color w:val="auto"/>
        </w:rPr>
        <w:t>A-2-14</w:t>
      </w:r>
    </w:p>
    <w:p>
      <w:pPr>
        <w:sectPr>
          <w:pgSz w:w="11900" w:h="16838" w:orient="portrait"/>
          <w:cols w:equalWidth="0" w:num="1">
            <w:col w:w="11420"/>
          </w:cols>
          <w:pgMar w:left="240" w:top="63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2"/>
          <w:szCs w:val="22"/>
          <w:b w:val="1"/>
          <w:bCs w:val="1"/>
          <w:color w:val="auto"/>
        </w:rPr>
        <w:t>EXHIBIT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Wynn Resorts Finance,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Resorts Capital Corp.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(702) 770-1100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(651) 495-8097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5.125% Senior Notes due 2029</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dated as of September 20, 2019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among Wynn Resorts Finance, LLC, a Nevada limited liability 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 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the Guarantors party thereto and U.S. Bank National 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 Capitalized terms used but not defined herein shall have the meanings given to them in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 (the “</w:t>
      </w:r>
      <w:r>
        <w:rPr>
          <w:rFonts w:ascii="Arial" w:cs="Arial" w:eastAsia="Arial" w:hAnsi="Arial"/>
          <w:sz w:val="19"/>
          <w:szCs w:val="19"/>
          <w:i w:val="1"/>
          <w:iCs w:val="1"/>
          <w:u w:val="single" w:color="auto"/>
          <w:color w:val="auto"/>
        </w:rPr>
        <w:t>Transferor</w:t>
      </w:r>
      <w:r>
        <w:rPr>
          <w:rFonts w:ascii="Arial" w:cs="Arial" w:eastAsia="Arial" w:hAnsi="Arial"/>
          <w:sz w:val="19"/>
          <w:szCs w:val="19"/>
          <w:color w:val="auto"/>
        </w:rPr>
        <w:t>”) owns and proposes to transfer the Note[s] or interest in such Note[s] specified in</w:t>
      </w:r>
    </w:p>
    <w:p>
      <w:pPr>
        <w:spacing w:after="0" w:line="56" w:lineRule="exact"/>
        <w:rPr>
          <w:sz w:val="20"/>
          <w:szCs w:val="20"/>
          <w:color w:val="auto"/>
        </w:rPr>
      </w:pPr>
    </w:p>
    <w:p>
      <w:pPr>
        <w:spacing w:after="0"/>
        <w:tabs>
          <w:tab w:leader="none" w:pos="760" w:val="left"/>
          <w:tab w:leader="none" w:pos="1140" w:val="left"/>
          <w:tab w:leader="none" w:pos="1940" w:val="left"/>
          <w:tab w:leader="none" w:pos="2320" w:val="left"/>
          <w:tab w:leader="none" w:pos="2800" w:val="left"/>
          <w:tab w:leader="none" w:pos="3780" w:val="left"/>
          <w:tab w:leader="none" w:pos="4640" w:val="left"/>
          <w:tab w:leader="none" w:pos="5040" w:val="left"/>
          <w:tab w:leader="none" w:pos="6240" w:val="left"/>
          <w:tab w:leader="none" w:pos="6620" w:val="left"/>
          <w:tab w:leader="none" w:pos="7220" w:val="left"/>
          <w:tab w:leader="none" w:pos="8080" w:val="left"/>
          <w:tab w:leader="none" w:pos="8480" w:val="left"/>
          <w:tab w:leader="none" w:pos="9420" w:val="left"/>
          <w:tab w:leader="none" w:pos="9960" w:val="left"/>
          <w:tab w:leader="none" w:pos="11220" w:val="left"/>
        </w:tabs>
        <w:rPr>
          <w:sz w:val="20"/>
          <w:szCs w:val="20"/>
          <w:color w:val="auto"/>
        </w:rPr>
      </w:pPr>
      <w:r>
        <w:rPr>
          <w:rFonts w:ascii="Arial" w:cs="Arial" w:eastAsia="Arial" w:hAnsi="Arial"/>
          <w:sz w:val="22"/>
          <w:szCs w:val="22"/>
          <w:u w:val="single" w:color="auto"/>
          <w:color w:val="auto"/>
        </w:rPr>
        <w:t>Annex</w:t>
      </w:r>
      <w:r>
        <w:rPr>
          <w:sz w:val="20"/>
          <w:szCs w:val="20"/>
          <w:color w:val="auto"/>
        </w:rPr>
        <w:tab/>
      </w:r>
      <w:r>
        <w:rPr>
          <w:rFonts w:ascii="Arial" w:cs="Arial" w:eastAsia="Arial" w:hAnsi="Arial"/>
          <w:sz w:val="22"/>
          <w:szCs w:val="22"/>
          <w:u w:val="single" w:color="auto"/>
          <w:color w:val="auto"/>
        </w:rPr>
        <w:t>A</w:t>
      </w:r>
      <w:r>
        <w:rPr>
          <w:sz w:val="20"/>
          <w:szCs w:val="20"/>
          <w:color w:val="auto"/>
        </w:rPr>
        <w:tab/>
      </w:r>
      <w:r>
        <w:rPr>
          <w:rFonts w:ascii="Arial" w:cs="Arial" w:eastAsia="Arial" w:hAnsi="Arial"/>
          <w:sz w:val="22"/>
          <w:szCs w:val="22"/>
          <w:color w:val="auto"/>
        </w:rPr>
        <w:t>hereto,</w:t>
        <w:tab/>
        <w:t>in</w:t>
        <w:tab/>
        <w:t>the</w:t>
        <w:tab/>
        <w:t>principal</w:t>
        <w:tab/>
        <w:t>amount</w:t>
        <w:tab/>
        <w:t>of</w:t>
        <w:tab/>
        <w:t>$________</w:t>
        <w:tab/>
        <w:t>in</w:t>
        <w:tab/>
        <w:t>such</w:t>
        <w:tab/>
        <w:t>Note[s]</w:t>
        <w:tab/>
        <w:t>or</w:t>
        <w:tab/>
        <w:t>interests</w:t>
        <w:tab/>
        <w:t>(the</w:t>
        <w:tab/>
        <w:t>“</w:t>
      </w:r>
      <w:r>
        <w:rPr>
          <w:rFonts w:ascii="Arial" w:cs="Arial" w:eastAsia="Arial" w:hAnsi="Arial"/>
          <w:sz w:val="22"/>
          <w:szCs w:val="22"/>
          <w:i w:val="1"/>
          <w:iCs w:val="1"/>
          <w:u w:val="single" w:color="auto"/>
          <w:color w:val="auto"/>
        </w:rPr>
        <w:t>Transfer</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to</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u w:val="single" w:color="auto"/>
          <w:color w:val="auto"/>
        </w:rPr>
        <w:t>Transferee</w:t>
      </w:r>
      <w:r>
        <w:rPr>
          <w:rFonts w:ascii="Arial" w:cs="Arial" w:eastAsia="Arial" w:hAnsi="Arial"/>
          <w:sz w:val="19"/>
          <w:szCs w:val="19"/>
          <w:color w:val="auto"/>
        </w:rPr>
        <w:t xml:space="preserve">”), as further specified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In connection with the Transfer,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Transferor hereby certifies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14" w:lineRule="exact"/>
        <w:rPr>
          <w:sz w:val="20"/>
          <w:szCs w:val="20"/>
          <w:color w:val="auto"/>
        </w:rPr>
      </w:pPr>
    </w:p>
    <w:p>
      <w:pPr>
        <w:jc w:val="both"/>
        <w:ind w:firstLine="656"/>
        <w:spacing w:after="0" w:line="260" w:lineRule="auto"/>
        <w:tabs>
          <w:tab w:leader="none" w:pos="1512" w:val="left"/>
        </w:tabs>
        <w:numPr>
          <w:ilvl w:val="0"/>
          <w:numId w:val="180"/>
        </w:numPr>
        <w:rPr>
          <w:rFonts w:ascii="Arial" w:cs="Arial" w:eastAsia="Arial" w:hAnsi="Arial"/>
          <w:sz w:val="17"/>
          <w:szCs w:val="17"/>
          <w:color w:val="auto"/>
        </w:rPr>
      </w:pPr>
      <w:r>
        <w:rPr>
          <w:rFonts w:ascii="Arial" w:cs="Arial" w:eastAsia="Arial" w:hAnsi="Arial"/>
          <w:sz w:val="21"/>
          <w:szCs w:val="21"/>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21"/>
          <w:szCs w:val="21"/>
          <w:b w:val="1"/>
          <w:bCs w:val="1"/>
          <w:color w:val="auto"/>
        </w:rPr>
        <w:t xml:space="preserve">. </w:t>
      </w:r>
      <w:r>
        <w:rPr>
          <w:rFonts w:ascii="Arial" w:cs="Arial" w:eastAsia="Arial" w:hAnsi="Arial"/>
          <w:sz w:val="21"/>
          <w:szCs w:val="21"/>
          <w:color w:val="auto"/>
        </w:rPr>
        <w:t>The Transfer is being effected pursuant to and in accordance with Rule 144A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Act of 1933, as amended (the “</w:t>
      </w:r>
      <w:r>
        <w:rPr>
          <w:rFonts w:ascii="Arial" w:cs="Arial" w:eastAsia="Arial" w:hAnsi="Arial"/>
          <w:sz w:val="21"/>
          <w:szCs w:val="21"/>
          <w:i w:val="1"/>
          <w:iCs w:val="1"/>
          <w:u w:val="single" w:color="auto"/>
          <w:color w:val="auto"/>
        </w:rPr>
        <w:t>Securities Act</w:t>
      </w:r>
      <w:r>
        <w:rPr>
          <w:rFonts w:ascii="Arial" w:cs="Arial" w:eastAsia="Arial" w:hAnsi="Arial"/>
          <w:sz w:val="21"/>
          <w:szCs w:val="21"/>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139" w:right="239" w:bottom="1440" w:gutter="0" w:footer="0" w:header="0"/>
        </w:sectPr>
      </w:pPr>
    </w:p>
    <w:bookmarkStart w:id="185" w:name="page186"/>
    <w:bookmarkEnd w:id="185"/>
    <w:p>
      <w:pPr>
        <w:spacing w:after="0"/>
        <w:rPr>
          <w:sz w:val="20"/>
          <w:szCs w:val="20"/>
          <w:color w:val="auto"/>
        </w:rPr>
      </w:pPr>
      <w:r>
        <w:rPr>
          <w:rFonts w:ascii="Arial" w:cs="Arial" w:eastAsia="Arial" w:hAnsi="Arial"/>
          <w:sz w:val="21"/>
          <w:szCs w:val="21"/>
          <w:color w:val="auto"/>
        </w:rPr>
        <w:t>Legend printed on the 144A Global Note and/or the Restricted Definitive Note and in the Indenture and the Securities Act.</w:t>
      </w:r>
    </w:p>
    <w:p>
      <w:pPr>
        <w:spacing w:after="0" w:line="225" w:lineRule="exact"/>
        <w:rPr>
          <w:sz w:val="20"/>
          <w:szCs w:val="20"/>
          <w:color w:val="auto"/>
        </w:rPr>
      </w:pPr>
    </w:p>
    <w:p>
      <w:pPr>
        <w:jc w:val="both"/>
        <w:ind w:firstLine="656"/>
        <w:spacing w:after="0" w:line="288" w:lineRule="auto"/>
        <w:tabs>
          <w:tab w:leader="none" w:pos="1112" w:val="left"/>
        </w:tabs>
        <w:numPr>
          <w:ilvl w:val="0"/>
          <w:numId w:val="181"/>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Regulation S Temporary Global Note, the Regulation S Permanent Global Note or a Restricted Definitive Note pursuant to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 effected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Upon consummation of the proposed transfer in accordance with the terms of the Indenture, the transferred beneficial interest or Definitive Note will be subject to the restrictions on Transfer enumerated in the Private Placement Legend printed on the Regulation S Permanent Global Note, the Regulation S Temporary Global Note and/or the Restricted Definitive Note and in the Indenture and the Securities Act.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656"/>
        <w:spacing w:after="0" w:line="302" w:lineRule="auto"/>
        <w:tabs>
          <w:tab w:leader="none" w:pos="1044" w:val="left"/>
        </w:tabs>
        <w:numPr>
          <w:ilvl w:val="0"/>
          <w:numId w:val="181"/>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and complete if Transferee will take delivery of a beneficial interest in the IAI Global Note or a Restricted Definitive Note pursuant to any provision of the Securities Act other than Rule 144A or Regulation S</w:t>
      </w:r>
      <w:r>
        <w:rPr>
          <w:rFonts w:ascii="Arial" w:cs="Arial" w:eastAsia="Arial" w:hAnsi="Arial"/>
          <w:sz w:val="19"/>
          <w:szCs w:val="19"/>
          <w:b w:val="1"/>
          <w:bCs w:val="1"/>
          <w:color w:val="auto"/>
        </w:rPr>
        <w:t xml:space="preserve">. </w:t>
      </w:r>
      <w:r>
        <w:rPr>
          <w:rFonts w:ascii="Arial" w:cs="Arial" w:eastAsia="Arial" w:hAnsi="Arial"/>
          <w:sz w:val="19"/>
          <w:szCs w:val="19"/>
          <w:color w:val="auto"/>
        </w:rPr>
        <w:t>The Transfer is being</w:t>
      </w:r>
      <w:r>
        <w:rPr>
          <w:rFonts w:ascii="Arial" w:cs="Arial" w:eastAsia="Arial" w:hAnsi="Arial"/>
          <w:sz w:val="19"/>
          <w:szCs w:val="19"/>
          <w:b w:val="1"/>
          <w:bCs w:val="1"/>
          <w:color w:val="auto"/>
        </w:rPr>
        <w:t xml:space="preserve"> </w:t>
      </w:r>
      <w:r>
        <w:rPr>
          <w:rFonts w:ascii="Arial" w:cs="Arial" w:eastAsia="Arial" w:hAnsi="Arial"/>
          <w:sz w:val="19"/>
          <w:szCs w:val="19"/>
          <w:color w:val="auto"/>
        </w:rPr>
        <w:t>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43" w:lineRule="exact"/>
        <w:rPr>
          <w:rFonts w:ascii="Arial" w:cs="Arial" w:eastAsia="Arial" w:hAnsi="Arial"/>
          <w:sz w:val="19"/>
          <w:szCs w:val="19"/>
          <w:color w:val="auto"/>
        </w:rPr>
      </w:pPr>
    </w:p>
    <w:p>
      <w:pPr>
        <w:ind w:left="2200" w:hanging="895"/>
        <w:spacing w:after="0"/>
        <w:tabs>
          <w:tab w:leader="none" w:pos="2200" w:val="left"/>
        </w:tabs>
        <w:numPr>
          <w:ilvl w:val="1"/>
          <w:numId w:val="181"/>
        </w:numPr>
        <w:rPr>
          <w:rFonts w:ascii="Arial" w:cs="Arial" w:eastAsia="Arial" w:hAnsi="Arial"/>
          <w:sz w:val="16"/>
          <w:szCs w:val="16"/>
          <w:color w:val="auto"/>
        </w:rPr>
      </w:pPr>
      <w:r>
        <w:rPr>
          <w:rFonts w:ascii="Arial" w:cs="Arial" w:eastAsia="Arial" w:hAnsi="Arial"/>
          <w:sz w:val="19"/>
          <w:szCs w:val="19"/>
          <w:color w:val="auto"/>
        </w:rPr>
        <w:t>such Transfer is being effected pursuant to and in accordance with Rule 144 under the Securities Act;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ind w:left="5620" w:right="2380" w:hanging="4315"/>
        <w:spacing w:after="0" w:line="454" w:lineRule="auto"/>
        <w:tabs>
          <w:tab w:leader="none" w:pos="1787" w:val="left"/>
        </w:tabs>
        <w:numPr>
          <w:ilvl w:val="0"/>
          <w:numId w:val="182"/>
        </w:numPr>
        <w:rPr>
          <w:rFonts w:ascii="Arial" w:cs="Arial" w:eastAsia="Arial" w:hAnsi="Arial"/>
          <w:sz w:val="22"/>
          <w:szCs w:val="22"/>
          <w:color w:val="auto"/>
        </w:rPr>
      </w:pPr>
      <w:r>
        <w:rPr>
          <w:rFonts w:ascii="Arial" w:cs="Arial" w:eastAsia="Arial" w:hAnsi="Arial"/>
          <w:sz w:val="22"/>
          <w:szCs w:val="22"/>
          <w:color w:val="auto"/>
        </w:rPr>
        <w:t>such Transfer is being effected to the Wynn Resorts Finance or a subsidiary thereof; or</w:t>
      </w:r>
    </w:p>
    <w:p>
      <w:pPr>
        <w:spacing w:after="0" w:line="1" w:lineRule="exact"/>
        <w:rPr>
          <w:rFonts w:ascii="Arial" w:cs="Arial" w:eastAsia="Arial" w:hAnsi="Arial"/>
          <w:sz w:val="22"/>
          <w:szCs w:val="22"/>
          <w:color w:val="auto"/>
        </w:rPr>
      </w:pPr>
    </w:p>
    <w:p>
      <w:pPr>
        <w:jc w:val="both"/>
        <w:ind w:left="660" w:firstLine="645"/>
        <w:spacing w:after="0" w:line="307" w:lineRule="auto"/>
        <w:tabs>
          <w:tab w:leader="none" w:pos="183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631" w:right="239" w:bottom="1440" w:gutter="0" w:footer="0" w:header="0"/>
        </w:sectPr>
      </w:pPr>
    </w:p>
    <w:bookmarkStart w:id="186" w:name="page187"/>
    <w:bookmarkEnd w:id="186"/>
    <w:p>
      <w:pPr>
        <w:jc w:val="both"/>
        <w:ind w:left="660"/>
        <w:spacing w:after="0" w:line="292" w:lineRule="auto"/>
        <w:rPr>
          <w:sz w:val="20"/>
          <w:szCs w:val="20"/>
          <w:color w:val="auto"/>
        </w:rPr>
      </w:pPr>
      <w:r>
        <w:rPr>
          <w:rFonts w:ascii="Arial" w:cs="Arial" w:eastAsia="Arial" w:hAnsi="Arial"/>
          <w:sz w:val="19"/>
          <w:szCs w:val="19"/>
          <w:color w:val="auto"/>
        </w:rPr>
        <w:t>interests in a Restricted Global Note or Restricted Definitive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45" w:lineRule="exact"/>
        <w:rPr>
          <w:sz w:val="20"/>
          <w:szCs w:val="20"/>
          <w:color w:val="auto"/>
        </w:rPr>
      </w:pPr>
    </w:p>
    <w:p>
      <w:pPr>
        <w:ind w:right="20" w:firstLine="656"/>
        <w:spacing w:after="0" w:line="282" w:lineRule="auto"/>
        <w:tabs>
          <w:tab w:leader="none" w:pos="1287" w:val="left"/>
        </w:tabs>
        <w:numPr>
          <w:ilvl w:val="0"/>
          <w:numId w:val="183"/>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b w:val="1"/>
          <w:bCs w:val="1"/>
          <w:color w:val="auto"/>
        </w:rPr>
        <w:t>.</w:t>
      </w:r>
    </w:p>
    <w:p>
      <w:pPr>
        <w:spacing w:after="0" w:line="148" w:lineRule="exact"/>
        <w:rPr>
          <w:rFonts w:ascii="Arial" w:cs="Arial" w:eastAsia="Arial" w:hAnsi="Arial"/>
          <w:sz w:val="22"/>
          <w:szCs w:val="22"/>
          <w:color w:val="auto"/>
        </w:rPr>
      </w:pPr>
    </w:p>
    <w:p>
      <w:pPr>
        <w:jc w:val="both"/>
        <w:ind w:left="660" w:firstLine="645"/>
        <w:spacing w:after="0" w:line="295" w:lineRule="auto"/>
        <w:tabs>
          <w:tab w:leader="none" w:pos="1809" w:val="left"/>
        </w:tabs>
        <w:numPr>
          <w:ilvl w:val="1"/>
          <w:numId w:val="183"/>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Rule 144. </w:t>
      </w:r>
      <w:r>
        <w:rPr>
          <w:rFonts w:ascii="Arial" w:cs="Arial" w:eastAsia="Arial" w:hAnsi="Arial"/>
          <w:sz w:val="19"/>
          <w:szCs w:val="19"/>
          <w:color w:val="auto"/>
        </w:rPr>
        <w:t>(i) The Transfer is being effected pursuant to and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5" w:lineRule="exact"/>
        <w:rPr>
          <w:rFonts w:ascii="Arial" w:cs="Arial" w:eastAsia="Arial" w:hAnsi="Arial"/>
          <w:sz w:val="19"/>
          <w:szCs w:val="19"/>
          <w:color w:val="auto"/>
        </w:rPr>
      </w:pPr>
    </w:p>
    <w:p>
      <w:pPr>
        <w:jc w:val="both"/>
        <w:ind w:left="660" w:firstLine="645"/>
        <w:spacing w:after="0" w:line="295" w:lineRule="auto"/>
        <w:tabs>
          <w:tab w:leader="none" w:pos="1970" w:val="left"/>
        </w:tabs>
        <w:numPr>
          <w:ilvl w:val="1"/>
          <w:numId w:val="183"/>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Regulation S.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5" w:lineRule="exact"/>
        <w:rPr>
          <w:rFonts w:ascii="Arial" w:cs="Arial" w:eastAsia="Arial" w:hAnsi="Arial"/>
          <w:sz w:val="19"/>
          <w:szCs w:val="19"/>
          <w:color w:val="auto"/>
        </w:rPr>
      </w:pPr>
    </w:p>
    <w:p>
      <w:pPr>
        <w:jc w:val="both"/>
        <w:ind w:left="660" w:firstLine="645"/>
        <w:spacing w:after="0" w:line="295" w:lineRule="auto"/>
        <w:tabs>
          <w:tab w:leader="none" w:pos="1863" w:val="left"/>
        </w:tabs>
        <w:numPr>
          <w:ilvl w:val="1"/>
          <w:numId w:val="183"/>
        </w:numPr>
        <w:rPr>
          <w:rFonts w:ascii="Arial" w:cs="Arial" w:eastAsia="Arial" w:hAnsi="Arial"/>
          <w:sz w:val="19"/>
          <w:szCs w:val="19"/>
          <w:color w:val="auto"/>
        </w:rPr>
      </w:pPr>
      <w:r>
        <w:rPr>
          <w:rFonts w:ascii="Arial" w:cs="Arial" w:eastAsia="Arial" w:hAnsi="Arial"/>
          <w:sz w:val="19"/>
          <w:szCs w:val="19"/>
          <w:b w:val="1"/>
          <w:bCs w:val="1"/>
          <w:color w:val="auto"/>
        </w:rPr>
        <w:t xml:space="preserve">Check if Transfer is Pursuant to Other Exemption. </w:t>
      </w:r>
      <w:r>
        <w:rPr>
          <w:rFonts w:ascii="Arial" w:cs="Arial" w:eastAsia="Arial" w:hAnsi="Arial"/>
          <w:sz w:val="19"/>
          <w:szCs w:val="19"/>
          <w:color w:val="auto"/>
        </w:rPr>
        <w:t>(i)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631" w:right="239" w:bottom="1440" w:gutter="0" w:footer="0" w:header="0"/>
        </w:sectPr>
      </w:pPr>
    </w:p>
    <w:bookmarkStart w:id="187" w:name="page188"/>
    <w:bookmarkEnd w:id="187"/>
    <w:p>
      <w:pPr>
        <w:ind w:left="660"/>
        <w:spacing w:after="0"/>
        <w:rPr>
          <w:sz w:val="20"/>
          <w:szCs w:val="20"/>
          <w:color w:val="auto"/>
        </w:rPr>
      </w:pPr>
      <w:r>
        <w:rPr>
          <w:rFonts w:ascii="Arial" w:cs="Arial" w:eastAsia="Arial" w:hAnsi="Arial"/>
          <w:sz w:val="22"/>
          <w:szCs w:val="22"/>
          <w:color w:val="auto"/>
        </w:rPr>
        <w:t>Legend printed on the Restricted Global Notes or Restricted Definitive Notes and in the Indenture.</w:t>
      </w:r>
    </w:p>
    <w:p>
      <w:pPr>
        <w:spacing w:after="0" w:line="220" w:lineRule="exact"/>
        <w:rPr>
          <w:sz w:val="20"/>
          <w:szCs w:val="20"/>
          <w:color w:val="auto"/>
        </w:rPr>
      </w:pPr>
    </w:p>
    <w:p>
      <w:pPr>
        <w:ind w:left="4220" w:hanging="3564"/>
        <w:spacing w:after="0" w:line="468" w:lineRule="auto"/>
        <w:rPr>
          <w:sz w:val="20"/>
          <w:szCs w:val="20"/>
          <w:color w:val="auto"/>
        </w:rPr>
      </w:pPr>
      <w:r>
        <w:rPr>
          <w:rFonts w:ascii="Arial" w:cs="Arial" w:eastAsia="Arial" w:hAnsi="Arial"/>
          <w:sz w:val="22"/>
          <w:szCs w:val="22"/>
          <w:color w:val="auto"/>
        </w:rPr>
        <w:t>This certificate and the statements contained herein are made for your benefit and the benefit of Wynn Resorts Finance. [Insert Name of Transferor]</w:t>
      </w:r>
    </w:p>
    <w:p>
      <w:pPr>
        <w:spacing w:after="0" w:line="2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0980"/>
          </w:cols>
          <w:pgMar w:left="240" w:top="631" w:right="679" w:bottom="1440" w:gutter="0" w:footer="0" w:header="0"/>
        </w:sectPr>
      </w:pPr>
    </w:p>
    <w:bookmarkStart w:id="188" w:name="page189"/>
    <w:bookmarkEnd w:id="188"/>
    <w:p>
      <w:pPr>
        <w:ind w:right="2419" w:firstLine="3611"/>
        <w:spacing w:after="0" w:line="448" w:lineRule="auto"/>
        <w:rPr>
          <w:sz w:val="20"/>
          <w:szCs w:val="20"/>
          <w:color w:val="auto"/>
        </w:rPr>
      </w:pPr>
      <w:r>
        <w:rPr>
          <w:rFonts w:ascii="Arial" w:cs="Arial" w:eastAsia="Arial" w:hAnsi="Arial"/>
          <w:sz w:val="22"/>
          <w:szCs w:val="22"/>
          <w:u w:val="single" w:color="auto"/>
          <w:color w:val="auto"/>
        </w:rPr>
        <w:t xml:space="preserve">ANNEX A TO CERTIFICATE OF TRANSFER </w:t>
      </w:r>
      <w:r>
        <w:rPr>
          <w:rFonts w:ascii="Arial" w:cs="Arial" w:eastAsia="Arial" w:hAnsi="Arial"/>
          <w:sz w:val="22"/>
          <w:szCs w:val="22"/>
          <w:color w:val="auto"/>
        </w:rPr>
        <w:t>1. The Transferor owns and proposes to transfer the following:</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[CHECK ONE OF (a) OR (b)]</w:t>
      </w:r>
    </w:p>
    <w:p>
      <w:pPr>
        <w:spacing w:after="0" w:line="180" w:lineRule="exact"/>
        <w:rPr>
          <w:sz w:val="20"/>
          <w:szCs w:val="20"/>
          <w:color w:val="auto"/>
        </w:rPr>
      </w:pPr>
    </w:p>
    <w:p>
      <w:pPr>
        <w:ind w:left="1760" w:hanging="455"/>
        <w:spacing w:after="0" w:line="253" w:lineRule="exact"/>
        <w:tabs>
          <w:tab w:leader="none" w:pos="1760" w:val="left"/>
        </w:tabs>
        <w:numPr>
          <w:ilvl w:val="1"/>
          <w:numId w:val="18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19" w:lineRule="exact"/>
        <w:rPr>
          <w:rFonts w:ascii="Arial" w:cs="Arial" w:eastAsia="Arial" w:hAnsi="Arial"/>
          <w:sz w:val="22"/>
          <w:szCs w:val="22"/>
          <w:color w:val="auto"/>
        </w:rPr>
      </w:pPr>
    </w:p>
    <w:p>
      <w:pPr>
        <w:ind w:left="2380" w:hanging="427"/>
        <w:spacing w:after="0" w:line="253" w:lineRule="exact"/>
        <w:tabs>
          <w:tab w:leader="none" w:pos="2380" w:val="left"/>
        </w:tabs>
        <w:numPr>
          <w:ilvl w:val="2"/>
          <w:numId w:val="18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19" w:lineRule="exact"/>
        <w:rPr>
          <w:rFonts w:ascii="Arial" w:cs="Arial" w:eastAsia="Arial" w:hAnsi="Arial"/>
          <w:sz w:val="22"/>
          <w:szCs w:val="22"/>
          <w:color w:val="auto"/>
        </w:rPr>
      </w:pPr>
    </w:p>
    <w:p>
      <w:pPr>
        <w:ind w:left="2440" w:hanging="487"/>
        <w:spacing w:after="0" w:line="253" w:lineRule="exact"/>
        <w:tabs>
          <w:tab w:leader="none" w:pos="2440" w:val="left"/>
        </w:tabs>
        <w:numPr>
          <w:ilvl w:val="2"/>
          <w:numId w:val="18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 _________), or</w:t>
      </w:r>
    </w:p>
    <w:p>
      <w:pPr>
        <w:spacing w:after="0" w:line="219" w:lineRule="exact"/>
        <w:rPr>
          <w:rFonts w:ascii="Arial" w:cs="Arial" w:eastAsia="Arial" w:hAnsi="Arial"/>
          <w:sz w:val="22"/>
          <w:szCs w:val="22"/>
          <w:color w:val="auto"/>
        </w:rPr>
      </w:pPr>
    </w:p>
    <w:p>
      <w:pPr>
        <w:ind w:left="2500" w:hanging="547"/>
        <w:spacing w:after="0" w:line="253" w:lineRule="exact"/>
        <w:tabs>
          <w:tab w:leader="none" w:pos="2500" w:val="left"/>
        </w:tabs>
        <w:numPr>
          <w:ilvl w:val="2"/>
          <w:numId w:val="18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IAI Global Note (CUSIP _________); or</w:t>
      </w:r>
    </w:p>
    <w:p>
      <w:pPr>
        <w:spacing w:after="0" w:line="219" w:lineRule="exact"/>
        <w:rPr>
          <w:rFonts w:ascii="Arial" w:cs="Arial" w:eastAsia="Arial" w:hAnsi="Arial"/>
          <w:sz w:val="22"/>
          <w:szCs w:val="22"/>
          <w:color w:val="auto"/>
        </w:rPr>
      </w:pPr>
    </w:p>
    <w:p>
      <w:pPr>
        <w:ind w:left="1780" w:hanging="475"/>
        <w:spacing w:after="0" w:line="253" w:lineRule="exact"/>
        <w:tabs>
          <w:tab w:leader="none" w:pos="1780" w:val="left"/>
        </w:tabs>
        <w:numPr>
          <w:ilvl w:val="1"/>
          <w:numId w:val="18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Definitive Note.</w:t>
      </w:r>
    </w:p>
    <w:p>
      <w:pPr>
        <w:spacing w:after="0" w:line="259" w:lineRule="exact"/>
        <w:rPr>
          <w:rFonts w:ascii="Arial" w:cs="Arial" w:eastAsia="Arial" w:hAnsi="Arial"/>
          <w:sz w:val="22"/>
          <w:szCs w:val="22"/>
          <w:color w:val="auto"/>
        </w:rPr>
      </w:pPr>
    </w:p>
    <w:p>
      <w:pPr>
        <w:ind w:left="380" w:hanging="372"/>
        <w:spacing w:after="0"/>
        <w:tabs>
          <w:tab w:leader="none" w:pos="3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20"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[CHECK ONE]</w:t>
      </w:r>
    </w:p>
    <w:p>
      <w:pPr>
        <w:spacing w:after="0" w:line="180" w:lineRule="exact"/>
        <w:rPr>
          <w:sz w:val="20"/>
          <w:szCs w:val="20"/>
          <w:color w:val="auto"/>
        </w:rPr>
      </w:pPr>
    </w:p>
    <w:p>
      <w:pPr>
        <w:ind w:left="1760" w:hanging="455"/>
        <w:spacing w:after="0" w:line="253" w:lineRule="exact"/>
        <w:tabs>
          <w:tab w:leader="none" w:pos="1760" w:val="left"/>
        </w:tabs>
        <w:numPr>
          <w:ilvl w:val="0"/>
          <w:numId w:val="18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19" w:lineRule="exact"/>
        <w:rPr>
          <w:rFonts w:ascii="Arial" w:cs="Arial" w:eastAsia="Arial" w:hAnsi="Arial"/>
          <w:sz w:val="22"/>
          <w:szCs w:val="22"/>
          <w:color w:val="auto"/>
        </w:rPr>
      </w:pPr>
    </w:p>
    <w:p>
      <w:pPr>
        <w:ind w:left="2380" w:hanging="427"/>
        <w:spacing w:after="0" w:line="253" w:lineRule="exact"/>
        <w:tabs>
          <w:tab w:leader="none" w:pos="2380" w:val="left"/>
        </w:tabs>
        <w:numPr>
          <w:ilvl w:val="1"/>
          <w:numId w:val="18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19" w:lineRule="exact"/>
        <w:rPr>
          <w:rFonts w:ascii="Arial" w:cs="Arial" w:eastAsia="Arial" w:hAnsi="Arial"/>
          <w:sz w:val="22"/>
          <w:szCs w:val="22"/>
          <w:color w:val="auto"/>
        </w:rPr>
      </w:pPr>
    </w:p>
    <w:p>
      <w:pPr>
        <w:ind w:left="2440" w:hanging="487"/>
        <w:spacing w:after="0" w:line="253" w:lineRule="exact"/>
        <w:tabs>
          <w:tab w:leader="none" w:pos="2440" w:val="left"/>
        </w:tabs>
        <w:numPr>
          <w:ilvl w:val="1"/>
          <w:numId w:val="18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 _________), or</w:t>
      </w:r>
    </w:p>
    <w:p>
      <w:pPr>
        <w:spacing w:after="0" w:line="219" w:lineRule="exact"/>
        <w:rPr>
          <w:rFonts w:ascii="Arial" w:cs="Arial" w:eastAsia="Arial" w:hAnsi="Arial"/>
          <w:sz w:val="22"/>
          <w:szCs w:val="22"/>
          <w:color w:val="auto"/>
        </w:rPr>
      </w:pPr>
    </w:p>
    <w:p>
      <w:pPr>
        <w:ind w:left="2500" w:hanging="547"/>
        <w:spacing w:after="0" w:line="253" w:lineRule="exact"/>
        <w:tabs>
          <w:tab w:leader="none" w:pos="2500" w:val="left"/>
        </w:tabs>
        <w:numPr>
          <w:ilvl w:val="1"/>
          <w:numId w:val="18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IAI Global Note (CUSIP _________); or</w:t>
      </w:r>
    </w:p>
    <w:p>
      <w:pPr>
        <w:spacing w:after="0" w:line="219" w:lineRule="exact"/>
        <w:rPr>
          <w:rFonts w:ascii="Arial" w:cs="Arial" w:eastAsia="Arial" w:hAnsi="Arial"/>
          <w:sz w:val="22"/>
          <w:szCs w:val="22"/>
          <w:color w:val="auto"/>
        </w:rPr>
      </w:pPr>
    </w:p>
    <w:p>
      <w:pPr>
        <w:ind w:left="2480" w:hanging="527"/>
        <w:spacing w:after="0" w:line="253" w:lineRule="exact"/>
        <w:tabs>
          <w:tab w:leader="none" w:pos="2480" w:val="left"/>
        </w:tabs>
        <w:numPr>
          <w:ilvl w:val="1"/>
          <w:numId w:val="18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Unrestricted Global Note (CUSIP _________); or</w:t>
      </w:r>
    </w:p>
    <w:p>
      <w:pPr>
        <w:spacing w:after="0" w:line="219" w:lineRule="exact"/>
        <w:rPr>
          <w:rFonts w:ascii="Arial" w:cs="Arial" w:eastAsia="Arial" w:hAnsi="Arial"/>
          <w:sz w:val="22"/>
          <w:szCs w:val="22"/>
          <w:color w:val="auto"/>
        </w:rPr>
      </w:pPr>
    </w:p>
    <w:p>
      <w:pPr>
        <w:ind w:left="1780" w:hanging="475"/>
        <w:spacing w:after="0" w:line="253" w:lineRule="exact"/>
        <w:tabs>
          <w:tab w:leader="none" w:pos="1780" w:val="left"/>
        </w:tabs>
        <w:numPr>
          <w:ilvl w:val="0"/>
          <w:numId w:val="18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Definitive Note; or</w:t>
      </w:r>
    </w:p>
    <w:p>
      <w:pPr>
        <w:spacing w:after="0" w:line="219" w:lineRule="exact"/>
        <w:rPr>
          <w:rFonts w:ascii="Arial" w:cs="Arial" w:eastAsia="Arial" w:hAnsi="Arial"/>
          <w:sz w:val="22"/>
          <w:szCs w:val="22"/>
          <w:color w:val="auto"/>
        </w:rPr>
      </w:pPr>
    </w:p>
    <w:p>
      <w:pPr>
        <w:ind w:left="1760" w:hanging="455"/>
        <w:spacing w:after="0" w:line="253" w:lineRule="exact"/>
        <w:tabs>
          <w:tab w:leader="none" w:pos="1760" w:val="left"/>
        </w:tabs>
        <w:numPr>
          <w:ilvl w:val="0"/>
          <w:numId w:val="18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Unrestricted Definitive Note,</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B-5</w:t>
      </w:r>
    </w:p>
    <w:p>
      <w:pPr>
        <w:sectPr>
          <w:pgSz w:w="11900" w:h="16838" w:orient="portrait"/>
          <w:cols w:equalWidth="0" w:num="1">
            <w:col w:w="10219"/>
          </w:cols>
          <w:pgMar w:left="240" w:top="632"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Wynn Resorts Finance,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Resorts Capital Corp.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(702) 770-1100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(651) 495-8097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5.125% Senior Notes due 2029</w:t>
      </w:r>
    </w:p>
    <w:p>
      <w:pPr>
        <w:spacing w:after="0" w:line="220"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(CUSIP __________)</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dated as of September 20, 2019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among Wynn Resorts Finance, LLC, a Nevada limited liability 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 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the Guarantors party thereto and U.S. Bank National 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 Capitalized terms used but not defined herein shall have the meanings given to them in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 (the “</w:t>
      </w:r>
      <w:r>
        <w:rPr>
          <w:rFonts w:ascii="Arial" w:cs="Arial" w:eastAsia="Arial" w:hAnsi="Arial"/>
          <w:sz w:val="19"/>
          <w:szCs w:val="19"/>
          <w:i w:val="1"/>
          <w:iCs w:val="1"/>
          <w:u w:val="single" w:color="auto"/>
          <w:color w:val="auto"/>
        </w:rPr>
        <w:t>Owner</w:t>
      </w:r>
      <w:r>
        <w:rPr>
          <w:rFonts w:ascii="Arial" w:cs="Arial" w:eastAsia="Arial" w:hAnsi="Arial"/>
          <w:sz w:val="19"/>
          <w:szCs w:val="19"/>
          <w:color w:val="auto"/>
        </w:rPr>
        <w:t>”) owns and proposes to exchange the Note[s] or interest in such Note[s]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$____________ in such Note[s] or interests (the “</w:t>
      </w:r>
      <w:r>
        <w:rPr>
          <w:rFonts w:ascii="Arial" w:cs="Arial" w:eastAsia="Arial" w:hAnsi="Arial"/>
          <w:sz w:val="19"/>
          <w:szCs w:val="19"/>
          <w:i w:val="1"/>
          <w:iCs w:val="1"/>
          <w:u w:val="single" w:color="auto"/>
          <w:color w:val="auto"/>
        </w:rPr>
        <w:t>Exchange</w:t>
      </w:r>
      <w:r>
        <w:rPr>
          <w:rFonts w:ascii="Arial" w:cs="Arial" w:eastAsia="Arial" w:hAnsi="Arial"/>
          <w:sz w:val="19"/>
          <w:szCs w:val="19"/>
          <w:color w:val="auto"/>
        </w:rPr>
        <w:t>”).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196" w:lineRule="exact"/>
        <w:rPr>
          <w:sz w:val="20"/>
          <w:szCs w:val="20"/>
          <w:color w:val="auto"/>
        </w:rPr>
      </w:pPr>
    </w:p>
    <w:p>
      <w:pPr>
        <w:ind w:right="20" w:firstLine="656"/>
        <w:spacing w:after="0" w:line="269" w:lineRule="auto"/>
        <w:tabs>
          <w:tab w:leader="none" w:pos="1459" w:val="left"/>
        </w:tabs>
        <w:numPr>
          <w:ilvl w:val="0"/>
          <w:numId w:val="1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28" w:lineRule="exact"/>
        <w:rPr>
          <w:sz w:val="20"/>
          <w:szCs w:val="20"/>
          <w:color w:val="auto"/>
        </w:rPr>
      </w:pPr>
    </w:p>
    <w:p>
      <w:pPr>
        <w:jc w:val="both"/>
        <w:ind w:firstLine="656"/>
        <w:spacing w:after="0" w:line="267" w:lineRule="exact"/>
        <w:tabs>
          <w:tab w:leader="none" w:pos="1203" w:val="left"/>
        </w:tabs>
        <w:numPr>
          <w:ilvl w:val="0"/>
          <w:numId w:val="18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beneficial interest in an Unrestricted Global Note. </w:t>
      </w:r>
      <w:r>
        <w:rPr>
          <w:rFonts w:ascii="Arial" w:cs="Arial" w:eastAsia="Arial" w:hAnsi="Arial"/>
          <w:sz w:val="19"/>
          <w:szCs w:val="19"/>
          <w:color w:val="auto"/>
        </w:rPr>
        <w:t>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“Securities Act”), (iii) the restrictions on transfer contained in the Indenture and the Private Placement Legend are not required in order to maintain compliance with the Securities Act and (iv) the beneficial interest in an Unrestricted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420"/>
          </w:cols>
          <w:pgMar w:left="240" w:top="625" w:right="239" w:bottom="1440" w:gutter="0" w:footer="0" w:header="0"/>
        </w:sectPr>
      </w:pPr>
    </w:p>
    <w:bookmarkStart w:id="190" w:name="page191"/>
    <w:bookmarkEnd w:id="190"/>
    <w:p>
      <w:pPr>
        <w:spacing w:after="0"/>
        <w:rPr>
          <w:sz w:val="20"/>
          <w:szCs w:val="20"/>
          <w:color w:val="auto"/>
        </w:rPr>
      </w:pPr>
      <w:r>
        <w:rPr>
          <w:rFonts w:ascii="Arial" w:cs="Arial" w:eastAsia="Arial" w:hAnsi="Arial"/>
          <w:sz w:val="21"/>
          <w:szCs w:val="21"/>
          <w:color w:val="auto"/>
        </w:rPr>
        <w:t>Global Note is being acquired in compliance with any applicable blue sky securities laws of any state of the United States.</w:t>
      </w:r>
    </w:p>
    <w:p>
      <w:pPr>
        <w:spacing w:after="0" w:line="191" w:lineRule="exact"/>
        <w:rPr>
          <w:sz w:val="20"/>
          <w:szCs w:val="20"/>
          <w:color w:val="auto"/>
        </w:rPr>
      </w:pPr>
    </w:p>
    <w:p>
      <w:pPr>
        <w:jc w:val="both"/>
        <w:ind w:firstLine="656"/>
        <w:spacing w:after="0" w:line="267" w:lineRule="exact"/>
        <w:tabs>
          <w:tab w:leader="none" w:pos="1080" w:val="left"/>
        </w:tabs>
        <w:numPr>
          <w:ilvl w:val="0"/>
          <w:numId w:val="189"/>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Unrestricted Definitive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58" w:lineRule="exact"/>
        <w:rPr>
          <w:rFonts w:ascii="Arial" w:cs="Arial" w:eastAsia="Arial" w:hAnsi="Arial"/>
          <w:sz w:val="19"/>
          <w:szCs w:val="19"/>
          <w:color w:val="auto"/>
        </w:rPr>
      </w:pPr>
    </w:p>
    <w:p>
      <w:pPr>
        <w:jc w:val="both"/>
        <w:ind w:firstLine="656"/>
        <w:spacing w:after="0" w:line="267" w:lineRule="exact"/>
        <w:tabs>
          <w:tab w:leader="none" w:pos="1095" w:val="left"/>
        </w:tabs>
        <w:numPr>
          <w:ilvl w:val="0"/>
          <w:numId w:val="189"/>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Definitive Note to beneficial interest in an Unrestricted Global Note. </w:t>
      </w:r>
      <w:r>
        <w:rPr>
          <w:rFonts w:ascii="Arial" w:cs="Arial" w:eastAsia="Arial" w:hAnsi="Arial"/>
          <w:sz w:val="19"/>
          <w:szCs w:val="19"/>
          <w:color w:val="auto"/>
        </w:rPr>
        <w:t>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58" w:lineRule="exact"/>
        <w:rPr>
          <w:rFonts w:ascii="Arial" w:cs="Arial" w:eastAsia="Arial" w:hAnsi="Arial"/>
          <w:sz w:val="19"/>
          <w:szCs w:val="19"/>
          <w:color w:val="auto"/>
        </w:rPr>
      </w:pPr>
    </w:p>
    <w:p>
      <w:pPr>
        <w:jc w:val="both"/>
        <w:ind w:firstLine="656"/>
        <w:spacing w:after="0" w:line="267" w:lineRule="exact"/>
        <w:tabs>
          <w:tab w:leader="none" w:pos="1094" w:val="left"/>
        </w:tabs>
        <w:numPr>
          <w:ilvl w:val="0"/>
          <w:numId w:val="189"/>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Restricted Definitive Note to Unrestricted Definitive Note. </w:t>
      </w:r>
      <w:r>
        <w:rPr>
          <w:rFonts w:ascii="Arial" w:cs="Arial" w:eastAsia="Arial" w:hAnsi="Arial"/>
          <w:sz w:val="21"/>
          <w:szCs w:val="21"/>
          <w:color w:val="auto"/>
        </w:rPr>
        <w:t>In connection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3" w:lineRule="exact"/>
        <w:rPr>
          <w:sz w:val="20"/>
          <w:szCs w:val="20"/>
          <w:color w:val="auto"/>
        </w:rPr>
      </w:pPr>
    </w:p>
    <w:p>
      <w:pPr>
        <w:ind w:firstLine="656"/>
        <w:spacing w:after="0" w:line="282" w:lineRule="auto"/>
        <w:tabs>
          <w:tab w:leader="none" w:pos="1193"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14" w:lineRule="exact"/>
        <w:rPr>
          <w:sz w:val="20"/>
          <w:szCs w:val="20"/>
          <w:color w:val="auto"/>
        </w:rPr>
      </w:pPr>
    </w:p>
    <w:p>
      <w:pPr>
        <w:jc w:val="both"/>
        <w:ind w:firstLine="656"/>
        <w:spacing w:after="0" w:line="268" w:lineRule="exact"/>
        <w:tabs>
          <w:tab w:leader="none" w:pos="1109" w:val="left"/>
        </w:tabs>
        <w:numPr>
          <w:ilvl w:val="0"/>
          <w:numId w:val="19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Restricted Definitive Note. </w:t>
      </w:r>
      <w:r>
        <w:rPr>
          <w:rFonts w:ascii="Arial" w:cs="Arial" w:eastAsia="Arial" w:hAnsi="Arial"/>
          <w:sz w:val="19"/>
          <w:szCs w:val="19"/>
          <w:color w:val="auto"/>
        </w:rPr>
        <w:t>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ectPr>
          <w:pgSz w:w="11900" w:h="16838" w:orient="portrait"/>
          <w:cols w:equalWidth="0" w:num="1">
            <w:col w:w="11420"/>
          </w:cols>
          <w:pgMar w:left="240" w:top="631" w:right="239" w:bottom="1440" w:gutter="0" w:footer="0" w:header="0"/>
        </w:sectPr>
      </w:pPr>
    </w:p>
    <w:bookmarkStart w:id="191" w:name="page192"/>
    <w:bookmarkEnd w:id="191"/>
    <w:p>
      <w:pPr>
        <w:jc w:val="both"/>
        <w:ind w:firstLine="656"/>
        <w:spacing w:after="0" w:line="264" w:lineRule="exact"/>
        <w:tabs>
          <w:tab w:leader="none" w:pos="1121" w:val="left"/>
        </w:tabs>
        <w:numPr>
          <w:ilvl w:val="0"/>
          <w:numId w:val="192"/>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Restricted Definitive Note to beneficial interest in a Restricted Global Note. </w:t>
      </w:r>
      <w:r>
        <w:rPr>
          <w:rFonts w:ascii="Arial" w:cs="Arial" w:eastAsia="Arial" w:hAnsi="Arial"/>
          <w:sz w:val="21"/>
          <w:szCs w:val="21"/>
          <w:color w:val="auto"/>
        </w:rPr>
        <w:t>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connection with the Exchange of the Owner’s Restricted Definitive Note for a beneficial interest in the [CHECK ONE] </w:t>
      </w:r>
      <w:r>
        <w:rPr>
          <w:rFonts w:ascii="MS PGothic" w:cs="MS PGothic" w:eastAsia="MS PGothic" w:hAnsi="MS PGothic"/>
          <w:sz w:val="21"/>
          <w:szCs w:val="21"/>
          <w:color w:val="auto"/>
        </w:rPr>
        <w:t>☐</w:t>
      </w:r>
      <w:r>
        <w:rPr>
          <w:rFonts w:ascii="Arial" w:cs="Arial" w:eastAsia="Arial" w:hAnsi="Arial"/>
          <w:sz w:val="21"/>
          <w:szCs w:val="21"/>
          <w:color w:val="auto"/>
        </w:rPr>
        <w:t xml:space="preserve"> 144A Global Note, </w:t>
      </w:r>
      <w:r>
        <w:rPr>
          <w:rFonts w:ascii="MS PGothic" w:cs="MS PGothic" w:eastAsia="MS PGothic" w:hAnsi="MS PGothic"/>
          <w:sz w:val="21"/>
          <w:szCs w:val="21"/>
          <w:color w:val="auto"/>
        </w:rPr>
        <w:t>☐</w:t>
      </w:r>
      <w:r>
        <w:rPr>
          <w:rFonts w:ascii="Arial" w:cs="Arial" w:eastAsia="Arial" w:hAnsi="Arial"/>
          <w:sz w:val="21"/>
          <w:szCs w:val="21"/>
          <w:color w:val="auto"/>
        </w:rPr>
        <w:t xml:space="preserve"> Regulation S Global Note, </w:t>
      </w:r>
      <w:r>
        <w:rPr>
          <w:rFonts w:ascii="MS PGothic" w:cs="MS PGothic" w:eastAsia="MS PGothic" w:hAnsi="MS PGothic"/>
          <w:sz w:val="21"/>
          <w:szCs w:val="21"/>
          <w:color w:val="auto"/>
        </w:rPr>
        <w:t>☐</w:t>
      </w:r>
      <w:r>
        <w:rPr>
          <w:rFonts w:ascii="Arial" w:cs="Arial" w:eastAsia="Arial" w:hAnsi="Arial"/>
          <w:sz w:val="21"/>
          <w:szCs w:val="21"/>
          <w:color w:val="auto"/>
        </w:rPr>
        <w:t xml:space="preserve"> IAI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Wynn Resorts Finance.</w:t>
      </w:r>
    </w:p>
    <w:p>
      <w:pPr>
        <w:spacing w:after="0" w:line="25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ectPr>
          <w:pgSz w:w="11900" w:h="16838" w:orient="portrait"/>
          <w:cols w:equalWidth="0" w:num="1">
            <w:col w:w="11420"/>
          </w:cols>
          <w:pgMar w:left="240" w:top="59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D</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CERTIFICATE FROM</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ACQUIRING INSTITUTIONAL ACCREDITED INVESTOR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Wynn Resorts Finance,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Wynn Resorts Capital Corp.</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(702) 770-1100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President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EP-MN-WS3C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60 Livingston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St. Paul, Minnesota 55107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No.: (651) 495-8097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 Department – Wynn Administrator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5.125% Senior Notes due 2029</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Reference is hereby made to the Indenture, dated as of September 20, 2019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among Wynn Resorts Finance, LLC, a Nevada limited liability 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 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the Guarantors party thereto and U.S. Bank National Association, as trustee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 Capitalized terms used but not defined herein shall have the meanings given to them in the Indenture.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connection with our proposed purchase of $____________ aggregate principal amount of:</w:t>
      </w:r>
    </w:p>
    <w:p>
      <w:pPr>
        <w:spacing w:after="0" w:line="180" w:lineRule="exact"/>
        <w:rPr>
          <w:sz w:val="20"/>
          <w:szCs w:val="20"/>
          <w:color w:val="auto"/>
        </w:rPr>
      </w:pPr>
    </w:p>
    <w:p>
      <w:pPr>
        <w:ind w:left="1500" w:hanging="844"/>
        <w:spacing w:after="0" w:line="253" w:lineRule="exact"/>
        <w:tabs>
          <w:tab w:leader="none" w:pos="1500" w:val="left"/>
        </w:tabs>
        <w:numPr>
          <w:ilvl w:val="0"/>
          <w:numId w:val="193"/>
        </w:numPr>
        <w:rPr>
          <w:rFonts w:ascii="Arial" w:cs="Arial" w:eastAsia="Arial" w:hAnsi="Arial"/>
          <w:sz w:val="18"/>
          <w:szCs w:val="18"/>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a Global Note, or</w:t>
      </w:r>
    </w:p>
    <w:p>
      <w:pPr>
        <w:spacing w:after="0" w:line="233" w:lineRule="exact"/>
        <w:rPr>
          <w:rFonts w:ascii="Arial" w:cs="Arial" w:eastAsia="Arial" w:hAnsi="Arial"/>
          <w:sz w:val="18"/>
          <w:szCs w:val="18"/>
          <w:color w:val="auto"/>
        </w:rPr>
      </w:pPr>
    </w:p>
    <w:p>
      <w:pPr>
        <w:ind w:left="1080" w:hanging="424"/>
        <w:spacing w:after="0" w:line="253" w:lineRule="exact"/>
        <w:tabs>
          <w:tab w:leader="none" w:pos="1080" w:val="left"/>
        </w:tabs>
        <w:numPr>
          <w:ilvl w:val="0"/>
          <w:numId w:val="19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Definitive Note,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confirm that:</w:t>
      </w:r>
    </w:p>
    <w:p>
      <w:pPr>
        <w:spacing w:after="0" w:line="220" w:lineRule="exact"/>
        <w:rPr>
          <w:sz w:val="20"/>
          <w:szCs w:val="20"/>
          <w:color w:val="auto"/>
        </w:rPr>
      </w:pPr>
    </w:p>
    <w:p>
      <w:pPr>
        <w:jc w:val="both"/>
        <w:ind w:firstLine="656"/>
        <w:spacing w:after="0" w:line="254" w:lineRule="auto"/>
        <w:tabs>
          <w:tab w:leader="none" w:pos="1071" w:val="left"/>
        </w:tabs>
        <w:numPr>
          <w:ilvl w:val="0"/>
          <w:numId w:val="194"/>
        </w:numPr>
        <w:rPr>
          <w:rFonts w:ascii="Arial" w:cs="Arial" w:eastAsia="Arial" w:hAnsi="Arial"/>
          <w:sz w:val="22"/>
          <w:szCs w:val="22"/>
          <w:color w:val="auto"/>
        </w:rPr>
      </w:pPr>
      <w:r>
        <w:rPr>
          <w:rFonts w:ascii="Arial" w:cs="Arial" w:eastAsia="Arial" w:hAnsi="Arial"/>
          <w:sz w:val="22"/>
          <w:szCs w:val="22"/>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Arial" w:cs="Arial" w:eastAsia="Arial" w:hAnsi="Arial"/>
          <w:sz w:val="22"/>
          <w:szCs w:val="22"/>
          <w:i w:val="1"/>
          <w:iCs w:val="1"/>
          <w:u w:val="single" w:color="auto"/>
          <w:color w:val="auto"/>
        </w:rPr>
        <w:t>Securities Act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656"/>
        <w:spacing w:after="0" w:line="320" w:lineRule="auto"/>
        <w:tabs>
          <w:tab w:leader="none" w:pos="1004" w:val="left"/>
        </w:tabs>
        <w:numPr>
          <w:ilvl w:val="0"/>
          <w:numId w:val="194"/>
        </w:numPr>
        <w:rPr>
          <w:rFonts w:ascii="Arial" w:cs="Arial" w:eastAsia="Arial" w:hAnsi="Arial"/>
          <w:sz w:val="19"/>
          <w:szCs w:val="19"/>
          <w:color w:val="auto"/>
        </w:rPr>
      </w:pPr>
      <w:r>
        <w:rPr>
          <w:rFonts w:ascii="Arial" w:cs="Arial" w:eastAsia="Arial" w:hAnsi="Arial"/>
          <w:sz w:val="19"/>
          <w:szCs w:val="19"/>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ectPr>
          <w:pgSz w:w="11900" w:h="16838" w:orient="portrait"/>
          <w:cols w:equalWidth="0" w:num="1">
            <w:col w:w="11420"/>
          </w:cols>
          <w:pgMar w:left="240" w:top="625" w:right="239" w:bottom="1440" w:gutter="0" w:footer="0" w:header="0"/>
        </w:sectPr>
      </w:pPr>
    </w:p>
    <w:bookmarkStart w:id="193" w:name="page194"/>
    <w:bookmarkEnd w:id="193"/>
    <w:p>
      <w:pPr>
        <w:jc w:val="both"/>
        <w:spacing w:after="0" w:line="259" w:lineRule="auto"/>
        <w:rPr>
          <w:sz w:val="20"/>
          <w:szCs w:val="20"/>
          <w:color w:val="auto"/>
        </w:rPr>
      </w:pPr>
      <w:r>
        <w:rPr>
          <w:rFonts w:ascii="Arial" w:cs="Arial" w:eastAsia="Arial" w:hAnsi="Arial"/>
          <w:sz w:val="21"/>
          <w:szCs w:val="21"/>
          <w:color w:val="auto"/>
        </w:rPr>
        <w:t>we will do so only (A) to Wynn Resorts Finance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Wynn Resorts Finance a signed letter substantially in the form of this letter and an Opinion of Counsel in form reasonably acceptable to Wynn Resorts Finance to the effect that such transfer is in compliance with the Securities Act, (D) outside the United States in accordance with Rule 904 of Regulation S under the Securities Act, or (E) pursuant to the provisions of Rule 144(k)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180" w:lineRule="exact"/>
        <w:rPr>
          <w:sz w:val="20"/>
          <w:szCs w:val="20"/>
          <w:color w:val="auto"/>
        </w:rPr>
      </w:pPr>
    </w:p>
    <w:p>
      <w:pPr>
        <w:jc w:val="both"/>
        <w:ind w:firstLine="656"/>
        <w:spacing w:after="0" w:line="254" w:lineRule="auto"/>
        <w:tabs>
          <w:tab w:leader="none" w:pos="101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We understand that, on any proposed resale of the Notes or beneficial interest therein, we will be required to furnish to you and Wynn Resorts Finance such certifications, legal opinions and other information as you and Wynn Resorts Finance may reasonably require to confirm that the proposed sale complies with the foregoing restrictions. We further understand that the Notes purchased by us will bear a legend to the foregoing effect.</w:t>
      </w:r>
    </w:p>
    <w:p>
      <w:pPr>
        <w:spacing w:after="0" w:line="185" w:lineRule="exact"/>
        <w:rPr>
          <w:rFonts w:ascii="Arial" w:cs="Arial" w:eastAsia="Arial" w:hAnsi="Arial"/>
          <w:sz w:val="22"/>
          <w:szCs w:val="22"/>
          <w:color w:val="auto"/>
        </w:rPr>
      </w:pPr>
    </w:p>
    <w:p>
      <w:pPr>
        <w:jc w:val="both"/>
        <w:ind w:firstLine="656"/>
        <w:spacing w:after="0" w:line="254" w:lineRule="auto"/>
        <w:tabs>
          <w:tab w:leader="none" w:pos="105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85" w:lineRule="exact"/>
        <w:rPr>
          <w:rFonts w:ascii="Arial" w:cs="Arial" w:eastAsia="Arial" w:hAnsi="Arial"/>
          <w:sz w:val="22"/>
          <w:szCs w:val="22"/>
          <w:color w:val="auto"/>
        </w:rPr>
      </w:pPr>
    </w:p>
    <w:p>
      <w:pPr>
        <w:ind w:firstLine="656"/>
        <w:spacing w:after="0" w:line="358" w:lineRule="auto"/>
        <w:tabs>
          <w:tab w:leader="none" w:pos="109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9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You and Wynn Resorts Finance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[Insert Name of Accredited Investor]</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1420"/>
          </w:cols>
          <w:pgMar w:left="240" w:top="632"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auto"/>
        </w:rPr>
        <w:t>EXHIBIT 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NOTATION OF GUARANTEE]</w:t>
      </w:r>
    </w:p>
    <w:p>
      <w:pPr>
        <w:spacing w:after="0" w:line="20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For value received, each of the Guarantors (which terms include any successor Person under the Indenture) executing this Notation of Guarantee has, jointly and severally, unconditionally guaranteed, to the extent set forth in the Indenture and subject to the provisions in the Indenture dated as of September 20, 2019 (the “</w:t>
      </w:r>
      <w:r>
        <w:rPr>
          <w:rFonts w:ascii="Arial" w:cs="Arial" w:eastAsia="Arial" w:hAnsi="Arial"/>
          <w:sz w:val="19"/>
          <w:szCs w:val="19"/>
          <w:i w:val="1"/>
          <w:iCs w:val="1"/>
          <w:u w:val="single" w:color="auto"/>
          <w:color w:val="auto"/>
        </w:rPr>
        <w:t>Indenture</w:t>
      </w:r>
      <w:r>
        <w:rPr>
          <w:rFonts w:ascii="Arial" w:cs="Arial" w:eastAsia="Arial" w:hAnsi="Arial"/>
          <w:sz w:val="19"/>
          <w:szCs w:val="19"/>
          <w:color w:val="auto"/>
        </w:rPr>
        <w:t>”) among Wynn Resorts Finance, LLC, a Nevada limited liability company (“</w:t>
      </w:r>
      <w:r>
        <w:rPr>
          <w:rFonts w:ascii="Arial" w:cs="Arial" w:eastAsia="Arial" w:hAnsi="Arial"/>
          <w:sz w:val="19"/>
          <w:szCs w:val="19"/>
          <w:i w:val="1"/>
          <w:iCs w:val="1"/>
          <w:u w:val="single" w:color="auto"/>
          <w:color w:val="auto"/>
        </w:rPr>
        <w:t>Wynn Resorts Finance</w:t>
      </w:r>
      <w:r>
        <w:rPr>
          <w:rFonts w:ascii="Arial" w:cs="Arial" w:eastAsia="Arial" w:hAnsi="Arial"/>
          <w:sz w:val="19"/>
          <w:szCs w:val="19"/>
          <w:color w:val="auto"/>
        </w:rPr>
        <w:t>”) and Wynn Resorts Capital Corp., a Nevada corporation (“</w:t>
      </w:r>
      <w:r>
        <w:rPr>
          <w:rFonts w:ascii="Arial" w:cs="Arial" w:eastAsia="Arial" w:hAnsi="Arial"/>
          <w:sz w:val="19"/>
          <w:szCs w:val="19"/>
          <w:i w:val="1"/>
          <w:iCs w:val="1"/>
          <w:u w:val="single" w:color="auto"/>
          <w:color w:val="auto"/>
        </w:rPr>
        <w:t>Wynn Resorts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Capital</w:t>
      </w:r>
      <w:r>
        <w:rPr>
          <w:rFonts w:ascii="Arial" w:cs="Arial" w:eastAsia="Arial" w:hAnsi="Arial"/>
          <w:sz w:val="19"/>
          <w:szCs w:val="19"/>
          <w:color w:val="auto"/>
        </w:rPr>
        <w:t>,” and together with Wynn Resorts Finance, the “</w:t>
      </w:r>
      <w:r>
        <w:rPr>
          <w:rFonts w:ascii="Arial" w:cs="Arial" w:eastAsia="Arial" w:hAnsi="Arial"/>
          <w:sz w:val="19"/>
          <w:szCs w:val="19"/>
          <w:i w:val="1"/>
          <w:iCs w:val="1"/>
          <w:u w:val="single" w:color="auto"/>
          <w:color w:val="auto"/>
        </w:rPr>
        <w:t>Issuers</w:t>
      </w:r>
      <w:r>
        <w:rPr>
          <w:rFonts w:ascii="Arial" w:cs="Arial" w:eastAsia="Arial" w:hAnsi="Arial"/>
          <w:sz w:val="19"/>
          <w:szCs w:val="19"/>
          <w:color w:val="auto"/>
        </w:rPr>
        <w:t>”), as joint and several obligors, and EBH Holdings, LLC, a Nevada</w:t>
      </w:r>
      <w:r>
        <w:rPr>
          <w:rFonts w:ascii="Arial" w:cs="Arial" w:eastAsia="Arial" w:hAnsi="Arial"/>
          <w:sz w:val="19"/>
          <w:szCs w:val="19"/>
          <w:i w:val="1"/>
          <w:iCs w:val="1"/>
          <w:color w:val="auto"/>
        </w:rPr>
        <w:t xml:space="preserve"> </w:t>
      </w:r>
      <w:r>
        <w:rPr>
          <w:rFonts w:ascii="Arial" w:cs="Arial" w:eastAsia="Arial" w:hAnsi="Arial"/>
          <w:sz w:val="19"/>
          <w:szCs w:val="19"/>
          <w:color w:val="auto"/>
        </w:rPr>
        <w:t>limited liability company, EBH MA Property, LLC, a Massachusetts limited liability company, Wynn Group Asia, Inc., a Nevada corporation, Everett Property, LLC, a Massachusetts limited liability company, Wynn America Group, LLC, a Nevada limited liability company, Wynn Las Vegas Holdings, LLC, a Nevada limited liability company, Wynn Las Vegas, LLC, a Nevada limited liability company, Wynn MA, LLC, a Nevada limited liability company, Wynn Sunrise, LLC, a Nevada limited liability company and Wynn Las Vegas Capital Corp., a Nevada corporation, as guarantors (the “</w:t>
      </w:r>
      <w:r>
        <w:rPr>
          <w:rFonts w:ascii="Arial" w:cs="Arial" w:eastAsia="Arial" w:hAnsi="Arial"/>
          <w:sz w:val="19"/>
          <w:szCs w:val="19"/>
          <w:i w:val="1"/>
          <w:iCs w:val="1"/>
          <w:u w:val="single" w:color="auto"/>
          <w:color w:val="auto"/>
        </w:rPr>
        <w:t>Guarantors</w:t>
      </w:r>
      <w:r>
        <w:rPr>
          <w:rFonts w:ascii="Arial" w:cs="Arial" w:eastAsia="Arial" w:hAnsi="Arial"/>
          <w:sz w:val="19"/>
          <w:szCs w:val="19"/>
          <w:color w:val="auto"/>
        </w:rPr>
        <w:t>”) and U.S. Bank National Association, as trustee (the “</w:t>
      </w:r>
      <w:r>
        <w:rPr>
          <w:rFonts w:ascii="Arial" w:cs="Arial" w:eastAsia="Arial" w:hAnsi="Arial"/>
          <w:sz w:val="19"/>
          <w:szCs w:val="19"/>
          <w:i w:val="1"/>
          <w:iCs w:val="1"/>
          <w:u w:val="single" w:color="auto"/>
          <w:color w:val="auto"/>
        </w:rPr>
        <w:t>Trustee</w:t>
      </w:r>
      <w:r>
        <w:rPr>
          <w:rFonts w:ascii="Arial" w:cs="Arial" w:eastAsia="Arial" w:hAnsi="Arial"/>
          <w:sz w:val="19"/>
          <w:szCs w:val="19"/>
          <w:color w:val="auto"/>
        </w:rPr>
        <w:t>”), (a) the due and punctual payment of the principal of, premium, if any, and interest on the Notes (as defined in the Indenture), whether at maturity, by acceleration, redemption or otherwise, the due and punctual payment of interest on overdue principal of and interest on the Notes, if any, if lawful, and the due and punctual performance of all other obligations of the Issuers to the Holders or the Trustee all in accordance with the terms of the Indenture and (b) in case of any extension of time of payment or renewal of any Notes or any of such other obligations, that the same shall be promptly paid in full when due or performed in accordance with the terms of the extension or renewal, whether at stated maturity, by acceleration or otherwise. The obligations of the Guarantor(s) to the Holders of Notes and to the Trustee pursuant to the Note Guarantee and the Indenture are expressly set forth in Article 11 of the Indenture and reference is hereby made to the Indenture for the precise terms of the Note Guarantee. Each Holder of a Note, by accepting the same, (a) agrees to and shall be bound by such provisions and (b) appoints the Trustee attorney-in-fact of such Holder for such purpose.</w:t>
      </w:r>
    </w:p>
    <w:p>
      <w:pPr>
        <w:spacing w:after="0" w:line="200" w:lineRule="exact"/>
        <w:rPr>
          <w:sz w:val="20"/>
          <w:szCs w:val="20"/>
          <w:color w:val="auto"/>
        </w:rPr>
      </w:pPr>
    </w:p>
    <w:p>
      <w:pPr>
        <w:spacing w:after="0" w:line="21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 of Guarantor(s)]</w:t>
      </w:r>
    </w:p>
    <w:p>
      <w:pPr>
        <w:spacing w:after="0" w:line="200" w:lineRule="exact"/>
        <w:rPr>
          <w:sz w:val="20"/>
          <w:szCs w:val="20"/>
          <w:color w:val="auto"/>
        </w:rPr>
      </w:pPr>
    </w:p>
    <w:p>
      <w:pPr>
        <w:spacing w:after="0" w:line="31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ectPr>
          <w:pgSz w:w="11900" w:h="16838" w:orient="portrait"/>
          <w:cols w:equalWidth="0" w:num="1">
            <w:col w:w="11420"/>
          </w:cols>
          <w:pgMar w:left="240" w:top="62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F</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[FORM OF SUPPLEMENTAL INDENTURE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BE DELIVERED BY SUBSEQUENT GUARANTORS]</w:t>
      </w:r>
    </w:p>
    <w:p>
      <w:pPr>
        <w:spacing w:after="0" w:line="202" w:lineRule="exact"/>
        <w:rPr>
          <w:sz w:val="20"/>
          <w:szCs w:val="20"/>
          <w:color w:val="auto"/>
        </w:rPr>
      </w:pPr>
    </w:p>
    <w:p>
      <w:pPr>
        <w:ind w:left="660"/>
        <w:spacing w:after="0"/>
        <w:tabs>
          <w:tab w:leader="none" w:pos="2060" w:val="left"/>
          <w:tab w:leader="none" w:pos="3120" w:val="left"/>
          <w:tab w:leader="none" w:pos="3740" w:val="left"/>
          <w:tab w:leader="none" w:pos="5240" w:val="left"/>
          <w:tab w:leader="none" w:pos="6540" w:val="left"/>
          <w:tab w:leader="none" w:pos="7240" w:val="left"/>
          <w:tab w:leader="none" w:pos="7660" w:val="left"/>
          <w:tab w:leader="none" w:pos="8060" w:val="left"/>
          <w:tab w:leader="none" w:pos="10080" w:val="left"/>
          <w:tab w:leader="none" w:pos="10800" w:val="left"/>
        </w:tabs>
        <w:rPr>
          <w:sz w:val="20"/>
          <w:szCs w:val="20"/>
          <w:color w:val="auto"/>
        </w:rPr>
      </w:pPr>
      <w:r>
        <w:rPr>
          <w:rFonts w:ascii="Arial" w:cs="Arial" w:eastAsia="Arial" w:hAnsi="Arial"/>
          <w:sz w:val="22"/>
          <w:szCs w:val="22"/>
          <w:color w:val="auto"/>
        </w:rPr>
        <w:t>Supplemental</w:t>
        <w:tab/>
        <w:t>Indenture</w:t>
        <w:tab/>
        <w:t>(this</w:t>
        <w:tab/>
        <w:t>“</w:t>
      </w:r>
      <w:r>
        <w:rPr>
          <w:rFonts w:ascii="Arial" w:cs="Arial" w:eastAsia="Arial" w:hAnsi="Arial"/>
          <w:sz w:val="22"/>
          <w:szCs w:val="22"/>
          <w:i w:val="1"/>
          <w:iCs w:val="1"/>
          <w:u w:val="single" w:color="auto"/>
          <w:color w:val="auto"/>
        </w:rPr>
        <w:t>Supplemental</w:t>
      </w:r>
      <w:r>
        <w:rPr>
          <w:sz w:val="20"/>
          <w:szCs w:val="20"/>
          <w:color w:val="auto"/>
        </w:rPr>
        <w:tab/>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dated</w:t>
        <w:tab/>
        <w:t>as</w:t>
        <w:tab/>
        <w:t>of</w:t>
        <w:tab/>
        <w:t>________________,</w:t>
        <w:tab/>
        <w:t>20__,</w:t>
      </w:r>
      <w:r>
        <w:rPr>
          <w:sz w:val="20"/>
          <w:szCs w:val="20"/>
          <w:color w:val="auto"/>
        </w:rPr>
        <w:tab/>
      </w:r>
      <w:r>
        <w:rPr>
          <w:rFonts w:ascii="Arial" w:cs="Arial" w:eastAsia="Arial" w:hAnsi="Arial"/>
          <w:sz w:val="19"/>
          <w:szCs w:val="19"/>
          <w:color w:val="auto"/>
        </w:rPr>
        <w:t>among</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 (the “</w:t>
      </w:r>
      <w:r>
        <w:rPr>
          <w:rFonts w:ascii="Arial" w:cs="Arial" w:eastAsia="Arial" w:hAnsi="Arial"/>
          <w:sz w:val="19"/>
          <w:szCs w:val="19"/>
          <w:i w:val="1"/>
          <w:iCs w:val="1"/>
          <w:u w:val="single" w:color="auto"/>
          <w:color w:val="auto"/>
        </w:rPr>
        <w:t>Guaranteeing Subsidiary</w:t>
      </w:r>
      <w:r>
        <w:rPr>
          <w:rFonts w:ascii="Arial" w:cs="Arial" w:eastAsia="Arial" w:hAnsi="Arial"/>
          <w:sz w:val="19"/>
          <w:szCs w:val="19"/>
          <w:color w:val="auto"/>
        </w:rPr>
        <w:t>”), a subsidiary of Wynn Resorts Finance, LLC, a Nevada limited liability</w:t>
      </w:r>
    </w:p>
    <w:p>
      <w:pPr>
        <w:spacing w:after="0" w:line="3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company (“</w:t>
      </w:r>
      <w:r>
        <w:rPr>
          <w:rFonts w:ascii="Arial" w:cs="Arial" w:eastAsia="Arial" w:hAnsi="Arial"/>
          <w:sz w:val="22"/>
          <w:szCs w:val="22"/>
          <w:i w:val="1"/>
          <w:iCs w:val="1"/>
          <w:u w:val="single" w:color="auto"/>
          <w:color w:val="auto"/>
        </w:rPr>
        <w:t>Wynn Resorts Finance</w:t>
      </w:r>
      <w:r>
        <w:rPr>
          <w:rFonts w:ascii="Arial" w:cs="Arial" w:eastAsia="Arial" w:hAnsi="Arial"/>
          <w:sz w:val="22"/>
          <w:szCs w:val="22"/>
          <w:color w:val="auto"/>
        </w:rPr>
        <w:t>”), Wynn Resorts Capital Corp., a Nevada corporation (“</w:t>
      </w:r>
      <w:r>
        <w:rPr>
          <w:rFonts w:ascii="Arial" w:cs="Arial" w:eastAsia="Arial" w:hAnsi="Arial"/>
          <w:sz w:val="22"/>
          <w:szCs w:val="22"/>
          <w:i w:val="1"/>
          <w:iCs w:val="1"/>
          <w:u w:val="single" w:color="auto"/>
          <w:color w:val="auto"/>
        </w:rPr>
        <w:t>Wynn Resorts Capital</w:t>
      </w:r>
      <w:r>
        <w:rPr>
          <w:rFonts w:ascii="Arial" w:cs="Arial" w:eastAsia="Arial" w:hAnsi="Arial"/>
          <w:sz w:val="22"/>
          <w:szCs w:val="22"/>
          <w:color w:val="auto"/>
        </w:rPr>
        <w:t>,” and together with Wynn Resorts Finance, the “</w:t>
      </w:r>
      <w:r>
        <w:rPr>
          <w:rFonts w:ascii="Arial" w:cs="Arial" w:eastAsia="Arial" w:hAnsi="Arial"/>
          <w:sz w:val="22"/>
          <w:szCs w:val="22"/>
          <w:i w:val="1"/>
          <w:iCs w:val="1"/>
          <w:u w:val="single" w:color="auto"/>
          <w:color w:val="auto"/>
        </w:rPr>
        <w:t>Issuers</w:t>
      </w:r>
      <w:r>
        <w:rPr>
          <w:rFonts w:ascii="Arial" w:cs="Arial" w:eastAsia="Arial" w:hAnsi="Arial"/>
          <w:sz w:val="22"/>
          <w:szCs w:val="22"/>
          <w:color w:val="auto"/>
        </w:rPr>
        <w:t>”) and the Guarantors (as defined in the Indenture referred to herein) and U.S. Bank National Association, as trustee under the Indenture referred to below (the “</w:t>
      </w:r>
      <w:r>
        <w:rPr>
          <w:rFonts w:ascii="Arial" w:cs="Arial" w:eastAsia="Arial" w:hAnsi="Arial"/>
          <w:sz w:val="22"/>
          <w:szCs w:val="22"/>
          <w:i w:val="1"/>
          <w:iCs w:val="1"/>
          <w:u w:val="single" w:color="auto"/>
          <w:color w:val="auto"/>
        </w:rPr>
        <w:t>Trustee</w:t>
      </w:r>
      <w:r>
        <w:rPr>
          <w:rFonts w:ascii="Arial" w:cs="Arial" w:eastAsia="Arial" w:hAnsi="Arial"/>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September 20, 2019 providing for the issuance of an aggregate principal amount of $750,000,000 of 5.125% Senior Notes due 2029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86" w:lineRule="exact"/>
        <w:rPr>
          <w:sz w:val="20"/>
          <w:szCs w:val="20"/>
          <w:color w:val="auto"/>
        </w:rPr>
      </w:pPr>
    </w:p>
    <w:p>
      <w:pPr>
        <w:ind w:left="1460" w:hanging="804"/>
        <w:spacing w:after="0"/>
        <w:tabs>
          <w:tab w:leader="none" w:pos="146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Capitalized Terms. Capitalized terms used herein without definition shall have the meanings assigned to them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Indenture.</w:t>
      </w:r>
    </w:p>
    <w:p>
      <w:pPr>
        <w:spacing w:after="0" w:line="201" w:lineRule="exact"/>
        <w:rPr>
          <w:rFonts w:ascii="Arial" w:cs="Arial" w:eastAsia="Arial" w:hAnsi="Arial"/>
          <w:sz w:val="19"/>
          <w:szCs w:val="19"/>
          <w:color w:val="auto"/>
        </w:rPr>
      </w:pPr>
    </w:p>
    <w:p>
      <w:pPr>
        <w:ind w:left="1000" w:hanging="344"/>
        <w:spacing w:after="0"/>
        <w:tabs>
          <w:tab w:leader="none" w:pos="10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Agreement to Guarantee. The Guaranteeing Subsidiary hereby agrees as follows: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69" w:val="left"/>
        </w:tabs>
        <w:numPr>
          <w:ilvl w:val="1"/>
          <w:numId w:val="196"/>
        </w:numPr>
        <w:rPr>
          <w:rFonts w:ascii="Arial" w:cs="Arial" w:eastAsia="Arial" w:hAnsi="Arial"/>
          <w:sz w:val="22"/>
          <w:szCs w:val="22"/>
          <w:color w:val="auto"/>
        </w:rPr>
      </w:pPr>
      <w:r>
        <w:rPr>
          <w:rFonts w:ascii="Arial" w:cs="Arial" w:eastAsia="Arial" w:hAnsi="Arial"/>
          <w:sz w:val="22"/>
          <w:szCs w:val="22"/>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177" w:lineRule="exact"/>
        <w:rPr>
          <w:rFonts w:ascii="Arial" w:cs="Arial" w:eastAsia="Arial" w:hAnsi="Arial"/>
          <w:sz w:val="22"/>
          <w:szCs w:val="22"/>
          <w:color w:val="auto"/>
        </w:rPr>
      </w:pPr>
    </w:p>
    <w:p>
      <w:pPr>
        <w:jc w:val="both"/>
        <w:ind w:left="1300" w:firstLine="653"/>
        <w:spacing w:after="0" w:line="307" w:lineRule="auto"/>
        <w:tabs>
          <w:tab w:leader="none" w:pos="2413" w:val="left"/>
        </w:tabs>
        <w:numPr>
          <w:ilvl w:val="2"/>
          <w:numId w:val="196"/>
        </w:numPr>
        <w:rPr>
          <w:rFonts w:ascii="Arial" w:cs="Arial" w:eastAsia="Arial" w:hAnsi="Arial"/>
          <w:sz w:val="19"/>
          <w:szCs w:val="19"/>
          <w:color w:val="auto"/>
        </w:rPr>
      </w:pPr>
      <w:r>
        <w:rPr>
          <w:rFonts w:ascii="Arial" w:cs="Arial" w:eastAsia="Arial" w:hAnsi="Arial"/>
          <w:sz w:val="19"/>
          <w:szCs w:val="19"/>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ectPr>
          <w:pgSz w:w="11900" w:h="16838" w:orient="portrait"/>
          <w:cols w:equalWidth="0" w:num="1">
            <w:col w:w="11420"/>
          </w:cols>
          <w:pgMar w:left="240" w:top="625" w:right="239" w:bottom="1440" w:gutter="0" w:footer="0" w:header="0"/>
        </w:sectPr>
      </w:pPr>
    </w:p>
    <w:bookmarkStart w:id="196" w:name="page197"/>
    <w:bookmarkEnd w:id="196"/>
    <w:p>
      <w:pPr>
        <w:jc w:val="both"/>
        <w:ind w:left="1300" w:firstLine="653"/>
        <w:spacing w:after="0" w:line="260" w:lineRule="auto"/>
        <w:tabs>
          <w:tab w:leader="none" w:pos="243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175" w:lineRule="exact"/>
        <w:rPr>
          <w:sz w:val="20"/>
          <w:szCs w:val="20"/>
          <w:color w:val="auto"/>
        </w:rPr>
      </w:pPr>
    </w:p>
    <w:p>
      <w:pPr>
        <w:jc w:val="both"/>
        <w:ind w:left="660" w:firstLine="645"/>
        <w:spacing w:after="0" w:line="307" w:lineRule="auto"/>
        <w:tabs>
          <w:tab w:leader="none" w:pos="175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138" w:lineRule="exact"/>
        <w:rPr>
          <w:rFonts w:ascii="Arial" w:cs="Arial" w:eastAsia="Arial" w:hAnsi="Arial"/>
          <w:sz w:val="19"/>
          <w:szCs w:val="19"/>
          <w:color w:val="auto"/>
        </w:rPr>
      </w:pPr>
    </w:p>
    <w:p>
      <w:pPr>
        <w:jc w:val="both"/>
        <w:ind w:left="660" w:firstLine="645"/>
        <w:spacing w:after="0" w:line="250" w:lineRule="auto"/>
        <w:tabs>
          <w:tab w:leader="none" w:pos="1782"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188" w:lineRule="exact"/>
        <w:rPr>
          <w:rFonts w:ascii="Arial" w:cs="Arial" w:eastAsia="Arial" w:hAnsi="Arial"/>
          <w:sz w:val="22"/>
          <w:szCs w:val="22"/>
          <w:color w:val="auto"/>
        </w:rPr>
      </w:pPr>
    </w:p>
    <w:p>
      <w:pPr>
        <w:ind w:left="660" w:firstLine="645"/>
        <w:spacing w:after="0" w:line="358" w:lineRule="auto"/>
        <w:tabs>
          <w:tab w:leader="none" w:pos="1794"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spacing w:after="0" w:line="90" w:lineRule="exact"/>
        <w:rPr>
          <w:rFonts w:ascii="Arial" w:cs="Arial" w:eastAsia="Arial" w:hAnsi="Arial"/>
          <w:sz w:val="19"/>
          <w:szCs w:val="19"/>
          <w:color w:val="auto"/>
        </w:rPr>
      </w:pPr>
    </w:p>
    <w:p>
      <w:pPr>
        <w:jc w:val="both"/>
        <w:ind w:left="660" w:right="20" w:firstLine="645"/>
        <w:spacing w:after="0" w:line="254" w:lineRule="auto"/>
        <w:tabs>
          <w:tab w:leader="none" w:pos="172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185" w:lineRule="exact"/>
        <w:rPr>
          <w:rFonts w:ascii="Arial" w:cs="Arial" w:eastAsia="Arial" w:hAnsi="Arial"/>
          <w:sz w:val="22"/>
          <w:szCs w:val="22"/>
          <w:color w:val="auto"/>
        </w:rPr>
      </w:pPr>
    </w:p>
    <w:p>
      <w:pPr>
        <w:ind w:left="660" w:firstLine="645"/>
        <w:spacing w:after="0" w:line="301" w:lineRule="auto"/>
        <w:tabs>
          <w:tab w:leader="none" w:pos="1826"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Guaranteeing Subsidiary shall not be entitled to any right of subrogation in relation to the Holders in respect of any obligations guaranteed hereby until payment in full of all obligations guaranteed hereby.</w:t>
      </w:r>
    </w:p>
    <w:p>
      <w:pPr>
        <w:spacing w:after="0" w:line="137" w:lineRule="exact"/>
        <w:rPr>
          <w:rFonts w:ascii="Arial" w:cs="Arial" w:eastAsia="Arial" w:hAnsi="Arial"/>
          <w:sz w:val="21"/>
          <w:szCs w:val="21"/>
          <w:color w:val="auto"/>
        </w:rPr>
      </w:pPr>
    </w:p>
    <w:p>
      <w:pPr>
        <w:jc w:val="both"/>
        <w:ind w:left="660" w:firstLine="645"/>
        <w:spacing w:after="0" w:line="251" w:lineRule="auto"/>
        <w:tabs>
          <w:tab w:leader="none" w:pos="1862"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420"/>
          </w:cols>
          <w:pgMar w:left="240" w:top="631" w:right="239" w:bottom="1440" w:gutter="0" w:footer="0" w:header="0"/>
        </w:sectPr>
      </w:pPr>
    </w:p>
    <w:bookmarkStart w:id="197" w:name="page198"/>
    <w:bookmarkEnd w:id="197"/>
    <w:p>
      <w:pPr>
        <w:spacing w:after="0" w:line="263" w:lineRule="auto"/>
        <w:rPr>
          <w:sz w:val="20"/>
          <w:szCs w:val="20"/>
          <w:color w:val="auto"/>
        </w:rPr>
      </w:pPr>
      <w:r>
        <w:rPr>
          <w:rFonts w:ascii="Arial" w:cs="Arial" w:eastAsia="Arial" w:hAnsi="Arial"/>
          <w:sz w:val="22"/>
          <w:szCs w:val="22"/>
          <w:color w:val="auto"/>
        </w:rPr>
        <w:t>(whether or not due and payable) shall forthwith become due and payable by the Guarantors for the purpose of this Note Guarantee.</w:t>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0760"/>
          </w:cols>
          <w:pgMar w:left="900" w:top="631" w:right="239" w:bottom="1440" w:gutter="0" w:footer="0" w:header="0"/>
        </w:sectPr>
      </w:pPr>
    </w:p>
    <w:bookmarkStart w:id="198" w:name="page199"/>
    <w:bookmarkEnd w:id="198"/>
    <w:p>
      <w:pPr>
        <w:ind w:left="660" w:right="20" w:firstLine="645"/>
        <w:spacing w:after="0" w:line="276" w:lineRule="auto"/>
        <w:tabs>
          <w:tab w:leader="none" w:pos="174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160" w:lineRule="exact"/>
        <w:rPr>
          <w:rFonts w:ascii="Arial" w:cs="Arial" w:eastAsia="Arial" w:hAnsi="Arial"/>
          <w:sz w:val="22"/>
          <w:szCs w:val="22"/>
          <w:color w:val="auto"/>
        </w:rPr>
      </w:pPr>
    </w:p>
    <w:p>
      <w:pPr>
        <w:jc w:val="both"/>
        <w:ind w:left="660" w:firstLine="645"/>
        <w:spacing w:after="0" w:line="264" w:lineRule="auto"/>
        <w:tabs>
          <w:tab w:leader="none" w:pos="1706" w:val="left"/>
        </w:tabs>
        <w:numPr>
          <w:ilvl w:val="1"/>
          <w:numId w:val="199"/>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Law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75" w:lineRule="exact"/>
        <w:rPr>
          <w:rFonts w:ascii="Arial" w:cs="Arial" w:eastAsia="Arial" w:hAnsi="Arial"/>
          <w:sz w:val="21"/>
          <w:szCs w:val="21"/>
          <w:color w:val="auto"/>
        </w:rPr>
      </w:pPr>
    </w:p>
    <w:p>
      <w:pPr>
        <w:ind w:firstLine="656"/>
        <w:spacing w:after="0" w:line="276" w:lineRule="auto"/>
        <w:tabs>
          <w:tab w:leader="none" w:pos="1044" w:val="left"/>
        </w:tabs>
        <w:numPr>
          <w:ilvl w:val="0"/>
          <w:numId w:val="200"/>
        </w:numPr>
        <w:rPr>
          <w:rFonts w:ascii="Arial" w:cs="Arial" w:eastAsia="Arial" w:hAnsi="Arial"/>
          <w:sz w:val="22"/>
          <w:szCs w:val="22"/>
          <w:color w:val="auto"/>
        </w:rPr>
      </w:pPr>
      <w:r>
        <w:rPr>
          <w:rFonts w:ascii="Arial" w:cs="Arial" w:eastAsia="Arial" w:hAnsi="Arial"/>
          <w:sz w:val="22"/>
          <w:szCs w:val="22"/>
          <w:color w:val="auto"/>
        </w:rPr>
        <w:t>Execution and Delivery. Each Guaranteeing Subsidiary agrees that the Note Guarantees shall remain in full force and effect notwithstanding any failure to endorse on each Note a notation of such Note Guarantee.</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Guaranteeing Subsidiary may Consolidate, etc. on Certain Terms.</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55" w:val="left"/>
        </w:tabs>
        <w:numPr>
          <w:ilvl w:val="1"/>
          <w:numId w:val="200"/>
        </w:numPr>
        <w:rPr>
          <w:rFonts w:ascii="Arial" w:cs="Arial" w:eastAsia="Arial" w:hAnsi="Arial"/>
          <w:sz w:val="22"/>
          <w:szCs w:val="22"/>
          <w:color w:val="auto"/>
        </w:rPr>
      </w:pPr>
      <w:r>
        <w:rPr>
          <w:rFonts w:ascii="Arial" w:cs="Arial" w:eastAsia="Arial" w:hAnsi="Arial"/>
          <w:sz w:val="22"/>
          <w:szCs w:val="22"/>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177" w:lineRule="exact"/>
        <w:rPr>
          <w:rFonts w:ascii="Arial" w:cs="Arial" w:eastAsia="Arial" w:hAnsi="Arial"/>
          <w:sz w:val="22"/>
          <w:szCs w:val="22"/>
          <w:color w:val="auto"/>
        </w:rPr>
      </w:pPr>
    </w:p>
    <w:p>
      <w:pPr>
        <w:ind w:left="660" w:firstLine="645"/>
        <w:spacing w:after="0" w:line="301" w:lineRule="auto"/>
        <w:tabs>
          <w:tab w:leader="none" w:pos="1767" w:val="left"/>
        </w:tabs>
        <w:numPr>
          <w:ilvl w:val="1"/>
          <w:numId w:val="200"/>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137" w:lineRule="exact"/>
        <w:rPr>
          <w:rFonts w:ascii="Arial" w:cs="Arial" w:eastAsia="Arial" w:hAnsi="Arial"/>
          <w:sz w:val="21"/>
          <w:szCs w:val="21"/>
          <w:color w:val="auto"/>
        </w:rPr>
      </w:pPr>
    </w:p>
    <w:p>
      <w:pPr>
        <w:ind w:left="1000" w:hanging="344"/>
        <w:spacing w:after="0"/>
        <w:tabs>
          <w:tab w:leader="none" w:pos="100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Releases.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will be released on the terms set forth in the Indenture.</w:t>
      </w:r>
    </w:p>
    <w:p>
      <w:pPr>
        <w:spacing w:after="0" w:line="175" w:lineRule="exact"/>
        <w:rPr>
          <w:sz w:val="20"/>
          <w:szCs w:val="20"/>
          <w:color w:val="auto"/>
        </w:rPr>
      </w:pPr>
    </w:p>
    <w:p>
      <w:pPr>
        <w:jc w:val="both"/>
        <w:ind w:firstLine="656"/>
        <w:spacing w:after="0" w:line="300" w:lineRule="auto"/>
        <w:tabs>
          <w:tab w:leader="none" w:pos="1112" w:val="left"/>
        </w:tabs>
        <w:numPr>
          <w:ilvl w:val="0"/>
          <w:numId w:val="201"/>
        </w:numPr>
        <w:rPr>
          <w:rFonts w:ascii="Arial" w:cs="Arial" w:eastAsia="Arial" w:hAnsi="Arial"/>
          <w:sz w:val="19"/>
          <w:szCs w:val="19"/>
          <w:color w:val="auto"/>
        </w:rPr>
      </w:pPr>
      <w:r>
        <w:rPr>
          <w:rFonts w:ascii="Arial" w:cs="Arial" w:eastAsia="Arial" w:hAnsi="Arial"/>
          <w:sz w:val="19"/>
          <w:szCs w:val="19"/>
          <w:color w:val="auto"/>
        </w:rPr>
        <w:t>No Recourse Against Others. No past, present or future director, officer, employee, incorporator, organizer, equity holder or member of any Guarantor, as such, shall have any liability for any obligations of either Issuer or any Guarantor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jc w:val="both"/>
        <w:ind w:right="20" w:firstLine="656"/>
        <w:spacing w:after="0" w:line="260" w:lineRule="auto"/>
        <w:tabs>
          <w:tab w:leader="none" w:pos="113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NEW YORK LAW TO GOVERN. THIS SUPPLEMENTAL INDENTURE SHALL BE GOVERNED BY AND CONSTRUED IN ACCORDANCE WITH THE LAWS OF THE STATE OF NEW YORK, INCLUDING, WITHOUT LIMITATION, SECTION 4-1401 OF THE NEW YORK OBLIGATIONS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1420"/>
          </w:cols>
          <w:pgMar w:left="240" w:top="631" w:right="239" w:bottom="1440" w:gutter="0" w:footer="0" w:header="0"/>
        </w:sectPr>
      </w:pPr>
    </w:p>
    <w:bookmarkStart w:id="199" w:name="page200"/>
    <w:bookmarkEnd w:id="199"/>
    <w:p>
      <w:pPr>
        <w:jc w:val="both"/>
        <w:ind w:right="20" w:firstLine="656"/>
        <w:spacing w:after="0" w:line="260" w:lineRule="auto"/>
        <w:tabs>
          <w:tab w:leader="none" w:pos="112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Conflicts with Indenture.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77" w:lineRule="exact"/>
        <w:rPr>
          <w:rFonts w:ascii="Arial" w:cs="Arial" w:eastAsia="Arial" w:hAnsi="Arial"/>
          <w:sz w:val="22"/>
          <w:szCs w:val="22"/>
          <w:color w:val="auto"/>
        </w:rPr>
      </w:pPr>
    </w:p>
    <w:p>
      <w:pPr>
        <w:ind w:firstLine="656"/>
        <w:spacing w:after="0" w:line="276" w:lineRule="auto"/>
        <w:tabs>
          <w:tab w:leader="none" w:pos="100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firstLine="656"/>
        <w:spacing w:after="0" w:line="260" w:lineRule="auto"/>
        <w:tabs>
          <w:tab w:leader="none" w:pos="122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1420"/>
          </w:cols>
          <w:pgMar w:left="240" w:top="631" w:right="239" w:bottom="1440" w:gutter="0" w:footer="0" w:header="0"/>
        </w:sectPr>
      </w:pPr>
    </w:p>
    <w:bookmarkStart w:id="200" w:name="page201"/>
    <w:bookmarkEnd w:id="200"/>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_______________, 20___</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[Guaranteeing Subsidiary]</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Issuers: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WYNN RESORTS FINANCE, LLC</w:t>
      </w:r>
      <w:r>
        <w:rPr>
          <w:rFonts w:ascii="Arial" w:cs="Arial" w:eastAsia="Arial" w:hAnsi="Arial"/>
          <w:sz w:val="22"/>
          <w:szCs w:val="22"/>
          <w:color w:val="auto"/>
        </w:rPr>
        <w: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-17780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WYNN RESORTS CAPITAL CORP.</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Guarantors: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EBH HOLDINGS, LLC</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MA, LLC, its sole member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Finance, LLC, its sole member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Resorts Holdings, LLC, its sole member</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1420"/>
          </w:cols>
          <w:pgMar w:left="240" w:top="631" w:right="239" w:bottom="1440" w:gutter="0" w:footer="0" w:header="0"/>
        </w:sectPr>
      </w:pPr>
    </w:p>
    <w:bookmarkStart w:id="201" w:name="page202"/>
    <w:bookmarkEnd w:id="201"/>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7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EBH MA PROPERTY,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MA, LLC, its managing member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60"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GROUP ASIA, INC.</w:t>
      </w:r>
    </w:p>
    <w:p>
      <w:pPr>
        <w:spacing w:after="0" w:line="200" w:lineRule="exact"/>
        <w:rPr>
          <w:sz w:val="20"/>
          <w:szCs w:val="20"/>
          <w:color w:val="auto"/>
        </w:rPr>
      </w:pPr>
    </w:p>
    <w:p>
      <w:pPr>
        <w:spacing w:after="0" w:line="26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20"/>
          <w:szCs w:val="20"/>
          <w:color w:val="auto"/>
        </w:rPr>
        <w:t>Title: Treasurer</w:t>
      </w:r>
    </w:p>
    <w:p>
      <w:pPr>
        <w:spacing w:after="0" w:line="207"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EVERETT PROPERTY,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AMERICA GROUP,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LAS VEGAS HOLDINGS,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ectPr>
          <w:pgSz w:w="11900" w:h="16838" w:orient="portrait"/>
          <w:cols w:equalWidth="0" w:num="1">
            <w:col w:w="9019"/>
          </w:cols>
          <w:pgMar w:left="1440" w:top="852" w:right="1440" w:bottom="0" w:gutter="0" w:footer="0" w:header="0"/>
        </w:sectPr>
      </w:pP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-7620</wp:posOffset>
            </wp:positionV>
            <wp:extent cx="628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ectPr>
          <w:pgSz w:w="11900" w:h="16838" w:orient="portrait"/>
          <w:cols w:equalWidth="0" w:num="1">
            <w:col w:w="9019"/>
          </w:cols>
          <w:pgMar w:left="1440" w:top="852" w:right="1440" w:bottom="0" w:gutter="0" w:footer="0" w:header="0"/>
          <w:type w:val="continuous"/>
        </w:sectPr>
      </w:pPr>
    </w:p>
    <w:bookmarkStart w:id="202" w:name="page203"/>
    <w:bookmarkEnd w:id="202"/>
    <w:p>
      <w:pPr>
        <w:ind w:left="2700"/>
        <w:spacing w:after="0"/>
        <w:rPr>
          <w:sz w:val="20"/>
          <w:szCs w:val="20"/>
          <w:color w:val="auto"/>
        </w:rPr>
      </w:pPr>
      <w:r>
        <w:rPr>
          <w:rFonts w:ascii="Arial" w:cs="Arial" w:eastAsia="Arial" w:hAnsi="Arial"/>
          <w:sz w:val="20"/>
          <w:szCs w:val="20"/>
          <w:color w:val="auto"/>
        </w:rPr>
        <w:t>Name: Craig S. Billings</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LAS VEGAS, LLC</w:t>
      </w:r>
    </w:p>
    <w:p>
      <w:pPr>
        <w:spacing w:after="0" w:line="21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00"/>
        <w:spacing w:after="0"/>
        <w:rPr>
          <w:sz w:val="20"/>
          <w:szCs w:val="20"/>
          <w:color w:val="auto"/>
        </w:rPr>
      </w:pPr>
      <w:r>
        <w:rPr>
          <w:rFonts w:ascii="Arial" w:cs="Arial" w:eastAsia="Arial" w:hAnsi="Arial"/>
          <w:sz w:val="22"/>
          <w:szCs w:val="22"/>
          <w:b w:val="1"/>
          <w:bCs w:val="1"/>
          <w:color w:val="auto"/>
        </w:rPr>
        <w:t>WYNN MA, LLC</w:t>
      </w:r>
    </w:p>
    <w:p>
      <w:pPr>
        <w:spacing w:after="0" w:line="257"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WYNN SUNRISE, LLC</w:t>
      </w:r>
    </w:p>
    <w:p>
      <w:pPr>
        <w:spacing w:after="0" w:line="23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Las Vegas, LLC its sole member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By: Wynn Resorts Holdings, LLC, its sole member</w:t>
      </w:r>
    </w:p>
    <w:p>
      <w:pPr>
        <w:spacing w:after="0" w:line="2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70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9019"/>
          </w:cols>
          <w:pgMar w:left="1440" w:top="122" w:right="1440" w:bottom="1440" w:gutter="0" w:footer="0" w:header="0"/>
        </w:sectPr>
      </w:pPr>
    </w:p>
    <w:bookmarkStart w:id="203" w:name="page204"/>
    <w:bookmarkEnd w:id="203"/>
    <w:p>
      <w:pPr>
        <w:jc w:val="center"/>
        <w:ind w:right="259"/>
        <w:spacing w:after="0"/>
        <w:rPr>
          <w:sz w:val="20"/>
          <w:szCs w:val="20"/>
          <w:color w:val="auto"/>
        </w:rPr>
      </w:pPr>
      <w:r>
        <w:rPr>
          <w:rFonts w:ascii="Arial" w:cs="Arial" w:eastAsia="Arial" w:hAnsi="Arial"/>
          <w:sz w:val="19"/>
          <w:szCs w:val="19"/>
          <w:b w:val="1"/>
          <w:bCs w:val="1"/>
          <w:color w:val="auto"/>
        </w:rPr>
        <w:t>WYNN LAS VEGAS CAPITAL CORP.</w:t>
      </w:r>
    </w:p>
    <w:p>
      <w:pPr>
        <w:spacing w:after="0" w:line="200" w:lineRule="exact"/>
        <w:rPr>
          <w:sz w:val="20"/>
          <w:szCs w:val="20"/>
          <w:color w:val="auto"/>
        </w:rPr>
      </w:pPr>
    </w:p>
    <w:p>
      <w:pPr>
        <w:spacing w:after="0" w:line="27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628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20"/>
          <w:szCs w:val="20"/>
          <w:color w:val="auto"/>
        </w:rPr>
        <w:t>Name: Craig S. Billings</w:t>
      </w:r>
    </w:p>
    <w:p>
      <w:pPr>
        <w:ind w:left="2860"/>
        <w:spacing w:after="0"/>
        <w:rPr>
          <w:sz w:val="20"/>
          <w:szCs w:val="20"/>
          <w:color w:val="auto"/>
        </w:rPr>
      </w:pPr>
      <w:r>
        <w:rPr>
          <w:rFonts w:ascii="Arial" w:cs="Arial" w:eastAsia="Arial" w:hAnsi="Arial"/>
          <w:sz w:val="18"/>
          <w:szCs w:val="18"/>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F-9</w:t>
      </w:r>
    </w:p>
    <w:p>
      <w:pPr>
        <w:sectPr>
          <w:pgSz w:w="11900" w:h="16838" w:orient="portrait"/>
          <w:cols w:equalWidth="0" w:num="1">
            <w:col w:w="9019"/>
          </w:cols>
          <w:pgMar w:left="1440" w:top="617" w:right="1440" w:bottom="1440" w:gutter="0" w:footer="0" w:header="0"/>
        </w:sectPr>
      </w:pPr>
    </w:p>
    <w:bookmarkStart w:id="204" w:name="page205"/>
    <w:bookmarkEnd w:id="204"/>
    <w:p>
      <w:pPr>
        <w:ind w:left="420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Trustee</w:t>
      </w:r>
    </w:p>
    <w:p>
      <w:pPr>
        <w:spacing w:after="0" w:line="24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_______________________________</w:t>
      </w:r>
    </w:p>
    <w:p>
      <w:pPr>
        <w:spacing w:after="0" w:line="22" w:lineRule="exact"/>
        <w:rPr>
          <w:sz w:val="20"/>
          <w:szCs w:val="20"/>
          <w:color w:val="auto"/>
        </w:rPr>
      </w:pPr>
    </w:p>
    <w:p>
      <w:pPr>
        <w:jc w:val="right"/>
        <w:ind w:right="179"/>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F-10</w:t>
      </w:r>
    </w:p>
    <w:p>
      <w:pPr>
        <w:sectPr>
          <w:pgSz w:w="11900" w:h="16838" w:orient="portrait"/>
          <w:cols w:equalWidth="0" w:num="1">
            <w:col w:w="9019"/>
          </w:cols>
          <w:pgMar w:left="1440" w:top="625"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227965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CREDIT AGREEMENT</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Dated as of September 20, 2019</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among</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WYNN RESORTS FINANCE, LLC,</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Borrower,</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SUBSIDIARIES OF BORROWER PARTY HERETO,</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Guarantors,</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LENDERS PARTY HERETO,</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L/C LENDERS PARTY HERETO,</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Administrative Agent,</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and</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213995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35"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DEUTSCHE BANK SECURITIES INC.</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GOLDMAN SACHS BANK USA</w:t>
      </w:r>
    </w:p>
    <w:p>
      <w:pPr>
        <w:spacing w:after="0" w:line="32"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BANK OF NOVA SCOTIA</w:t>
      </w:r>
    </w:p>
    <w:p>
      <w:pPr>
        <w:spacing w:after="0" w:line="32"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BOFA SECURITIES, INC.</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BNP PARIBAS SECURITIES CORP.</w:t>
      </w:r>
    </w:p>
    <w:p>
      <w:pPr>
        <w:spacing w:after="0" w:line="32"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CITIZENS BANK, NATIONAL ASSOCIATION</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32"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FIFTH THIRD BANK</w:t>
      </w:r>
    </w:p>
    <w:p>
      <w:pPr>
        <w:spacing w:after="0" w:line="32"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JPMORGAN CHASE BANK, N.A.</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MIZUHO BANK, LTD.</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SUMITOMO MITSUI BANKING CORPORATION</w:t>
      </w:r>
    </w:p>
    <w:p>
      <w:pPr>
        <w:spacing w:after="0" w:line="32"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and</w:t>
      </w:r>
    </w:p>
    <w:p>
      <w:pPr>
        <w:spacing w:after="0" w:line="26"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SUNTRUST ROBINSON HUMPHREY, INC.,</w:t>
      </w:r>
    </w:p>
    <w:p>
      <w:pPr>
        <w:spacing w:after="0" w:line="15"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auto"/>
        </w:rPr>
        <w:t>as Joint Lead Arrangers and Joint Bookrunners</w:t>
      </w:r>
    </w:p>
    <w:p>
      <w:pPr>
        <w:sectPr>
          <w:pgSz w:w="11900" w:h="16838" w:orient="portrait"/>
          <w:cols w:equalWidth="0" w:num="1">
            <w:col w:w="10220"/>
          </w:cols>
          <w:pgMar w:left="1440" w:top="121"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840" w:type="dxa"/>
            <w:vAlign w:val="bottom"/>
            <w:gridSpan w:val="2"/>
          </w:tcPr>
          <w:p>
            <w:pPr>
              <w:jc w:val="center"/>
              <w:ind w:right="3020"/>
              <w:spacing w:after="0"/>
              <w:rPr>
                <w:sz w:val="20"/>
                <w:szCs w:val="20"/>
                <w:color w:val="auto"/>
              </w:rPr>
            </w:pPr>
            <w:r>
              <w:rPr>
                <w:rFonts w:ascii="Arial" w:cs="Arial" w:eastAsia="Arial" w:hAnsi="Arial"/>
                <w:sz w:val="18"/>
                <w:szCs w:val="18"/>
                <w:color w:val="auto"/>
                <w:w w:val="95"/>
              </w:rPr>
              <w:t>TABLE OF CONTENTS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58"/>
        </w:trPr>
        <w:tc>
          <w:tcPr>
            <w:tcW w:w="14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64"/>
        </w:trPr>
        <w:tc>
          <w:tcPr>
            <w:tcW w:w="140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840" w:type="dxa"/>
            <w:vAlign w:val="bottom"/>
            <w:gridSpan w:val="2"/>
          </w:tcPr>
          <w:p>
            <w:pPr>
              <w:jc w:val="center"/>
              <w:ind w:right="3060"/>
              <w:spacing w:after="0"/>
              <w:rPr>
                <w:sz w:val="20"/>
                <w:szCs w:val="20"/>
                <w:color w:val="auto"/>
              </w:rPr>
            </w:pPr>
            <w:r>
              <w:rPr>
                <w:rFonts w:ascii="Arial" w:cs="Arial" w:eastAsia="Arial" w:hAnsi="Arial"/>
                <w:sz w:val="18"/>
                <w:szCs w:val="18"/>
                <w:color w:val="auto"/>
                <w:w w:val="98"/>
              </w:rPr>
              <w:t>ARTICLE I.</w:t>
            </w:r>
          </w:p>
        </w:tc>
        <w:tc>
          <w:tcPr>
            <w:tcW w:w="9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432"/>
        </w:trPr>
        <w:tc>
          <w:tcPr>
            <w:tcW w:w="1400" w:type="dxa"/>
            <w:vAlign w:val="bottom"/>
          </w:tcPr>
          <w:p>
            <w:pPr>
              <w:spacing w:after="0"/>
              <w:rPr>
                <w:sz w:val="24"/>
                <w:szCs w:val="24"/>
                <w:color w:val="auto"/>
              </w:rPr>
            </w:pPr>
          </w:p>
        </w:tc>
        <w:tc>
          <w:tcPr>
            <w:tcW w:w="7700" w:type="dxa"/>
            <w:vAlign w:val="bottom"/>
            <w:gridSpan w:val="3"/>
          </w:tcPr>
          <w:p>
            <w:pPr>
              <w:jc w:val="center"/>
              <w:ind w:right="160"/>
              <w:spacing w:after="0"/>
              <w:rPr>
                <w:sz w:val="20"/>
                <w:szCs w:val="20"/>
                <w:color w:val="auto"/>
              </w:rPr>
            </w:pPr>
            <w:r>
              <w:rPr>
                <w:rFonts w:ascii="Arial" w:cs="Arial" w:eastAsia="Arial" w:hAnsi="Arial"/>
                <w:sz w:val="18"/>
                <w:szCs w:val="18"/>
                <w:color w:val="auto"/>
                <w:w w:val="96"/>
              </w:rPr>
              <w:t>DEFINITIONS, ACCOUNTING MATTERS AND RULES OF CONSTRUCTION</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Certain Defined Terms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Accounting Terms and Determinations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1.03</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Classes and Types of Loans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1.04</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Rules of Construction</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1.05</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Exchange Rates; Currency Equivalents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1.06</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Pro Forma Calculations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1.07</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Letter of Credit Amounts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1.08</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Limited Condition Transactions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1.09</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Ratio Calculations; Negative Covenant Reclassification</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1.10</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Divisions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445"/>
        </w:trPr>
        <w:tc>
          <w:tcPr>
            <w:tcW w:w="14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40" w:type="dxa"/>
            <w:vAlign w:val="bottom"/>
            <w:gridSpan w:val="2"/>
          </w:tcPr>
          <w:p>
            <w:pPr>
              <w:jc w:val="center"/>
              <w:ind w:right="3040"/>
              <w:spacing w:after="0"/>
              <w:rPr>
                <w:sz w:val="20"/>
                <w:szCs w:val="20"/>
                <w:color w:val="auto"/>
              </w:rPr>
            </w:pPr>
            <w:r>
              <w:rPr>
                <w:rFonts w:ascii="Arial" w:cs="Arial" w:eastAsia="Arial" w:hAnsi="Arial"/>
                <w:sz w:val="18"/>
                <w:szCs w:val="18"/>
                <w:color w:val="auto"/>
                <w:w w:val="99"/>
              </w:rPr>
              <w:t>ARTICLE II.</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840" w:type="dxa"/>
            <w:vAlign w:val="bottom"/>
            <w:gridSpan w:val="2"/>
          </w:tcPr>
          <w:p>
            <w:pPr>
              <w:jc w:val="center"/>
              <w:ind w:right="3020"/>
              <w:spacing w:after="0"/>
              <w:rPr>
                <w:sz w:val="20"/>
                <w:szCs w:val="20"/>
                <w:color w:val="auto"/>
              </w:rPr>
            </w:pPr>
            <w:r>
              <w:rPr>
                <w:rFonts w:ascii="Arial" w:cs="Arial" w:eastAsia="Arial" w:hAnsi="Arial"/>
                <w:sz w:val="18"/>
                <w:szCs w:val="18"/>
                <w:color w:val="auto"/>
                <w:w w:val="93"/>
              </w:rPr>
              <w:t>CREDITS</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2.01</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Loans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2.02</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Borrowings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2.03</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Letters of Credit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2.04</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Termination and Reductions of Commitment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2.05</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Fees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2.06</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Lending Offices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2.07</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Several Obligations of Lenders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2.08</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Notes; Register</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2.09</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Optional Prepayments and Conversions or Continuations of Loans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2.10</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Mandatory Prepayments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2.11</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Replacement of Lenders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2.12</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Incremental Loan Commitments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2.13</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Extensions of Loans and Commitments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2.14</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Defaulting Lender Provisions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2.15</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Refinancing Amendments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2.16</w:t>
            </w:r>
          </w:p>
        </w:tc>
        <w:tc>
          <w:tcPr>
            <w:tcW w:w="7700" w:type="dxa"/>
            <w:vAlign w:val="bottom"/>
            <w:gridSpan w:val="3"/>
          </w:tcPr>
          <w:p>
            <w:pPr>
              <w:ind w:left="480"/>
              <w:spacing w:after="0"/>
              <w:rPr>
                <w:sz w:val="20"/>
                <w:szCs w:val="20"/>
                <w:color w:val="auto"/>
              </w:rPr>
            </w:pPr>
            <w:r>
              <w:rPr>
                <w:rFonts w:ascii="Arial" w:cs="Arial" w:eastAsia="Arial" w:hAnsi="Arial"/>
                <w:sz w:val="18"/>
                <w:szCs w:val="18"/>
                <w:color w:val="auto"/>
              </w:rPr>
              <w:t>Cash Collateral</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340"/>
          </w:cols>
          <w:pgMar w:left="780" w:top="567" w:right="77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64"/>
        </w:trPr>
        <w:tc>
          <w:tcPr>
            <w:tcW w:w="1400" w:type="dxa"/>
            <w:vAlign w:val="bottom"/>
          </w:tcPr>
          <w:p>
            <w:pPr>
              <w:spacing w:after="0"/>
              <w:rPr>
                <w:sz w:val="22"/>
                <w:szCs w:val="22"/>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rPr>
              <w:t>ARTICLE III.</w:t>
            </w:r>
          </w:p>
        </w:tc>
        <w:tc>
          <w:tcPr>
            <w:tcW w:w="11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432"/>
        </w:trPr>
        <w:tc>
          <w:tcPr>
            <w:tcW w:w="1400" w:type="dxa"/>
            <w:vAlign w:val="bottom"/>
          </w:tcPr>
          <w:p>
            <w:pPr>
              <w:spacing w:after="0"/>
              <w:rPr>
                <w:sz w:val="24"/>
                <w:szCs w:val="24"/>
                <w:color w:val="auto"/>
              </w:rPr>
            </w:pPr>
          </w:p>
        </w:tc>
        <w:tc>
          <w:tcPr>
            <w:tcW w:w="7420" w:type="dxa"/>
            <w:vAlign w:val="bottom"/>
          </w:tcPr>
          <w:p>
            <w:pPr>
              <w:jc w:val="center"/>
              <w:ind w:left="30"/>
              <w:spacing w:after="0"/>
              <w:rPr>
                <w:sz w:val="20"/>
                <w:szCs w:val="20"/>
                <w:color w:val="auto"/>
              </w:rPr>
            </w:pPr>
            <w:r>
              <w:rPr>
                <w:rFonts w:ascii="Arial" w:cs="Arial" w:eastAsia="Arial" w:hAnsi="Arial"/>
                <w:sz w:val="18"/>
                <w:szCs w:val="18"/>
                <w:color w:val="auto"/>
                <w:w w:val="95"/>
              </w:rPr>
              <w:t>PAYMENTS OF PRINCIPAL AND INTEREST</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3.01</w:t>
            </w:r>
          </w:p>
        </w:tc>
        <w:tc>
          <w:tcPr>
            <w:tcW w:w="7420" w:type="dxa"/>
            <w:vAlign w:val="bottom"/>
          </w:tcPr>
          <w:p>
            <w:pPr>
              <w:ind w:left="480"/>
              <w:spacing w:after="0"/>
              <w:rPr>
                <w:sz w:val="20"/>
                <w:szCs w:val="20"/>
                <w:color w:val="auto"/>
              </w:rPr>
            </w:pPr>
            <w:r>
              <w:rPr>
                <w:rFonts w:ascii="Arial" w:cs="Arial" w:eastAsia="Arial" w:hAnsi="Arial"/>
                <w:sz w:val="18"/>
                <w:szCs w:val="18"/>
                <w:color w:val="auto"/>
              </w:rPr>
              <w:t>Repayment of Loans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3.02</w:t>
            </w:r>
          </w:p>
        </w:tc>
        <w:tc>
          <w:tcPr>
            <w:tcW w:w="7420" w:type="dxa"/>
            <w:vAlign w:val="bottom"/>
          </w:tcPr>
          <w:p>
            <w:pPr>
              <w:ind w:left="480"/>
              <w:spacing w:after="0"/>
              <w:rPr>
                <w:sz w:val="20"/>
                <w:szCs w:val="20"/>
                <w:color w:val="auto"/>
              </w:rPr>
            </w:pPr>
            <w:r>
              <w:rPr>
                <w:rFonts w:ascii="Arial" w:cs="Arial" w:eastAsia="Arial" w:hAnsi="Arial"/>
                <w:sz w:val="18"/>
                <w:szCs w:val="18"/>
                <w:color w:val="auto"/>
              </w:rPr>
              <w:t>Interest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459"/>
        </w:trPr>
        <w:tc>
          <w:tcPr>
            <w:tcW w:w="140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8"/>
              </w:rPr>
              <w:t>ARTICLE IV.</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7420" w:type="dxa"/>
            <w:vAlign w:val="bottom"/>
          </w:tcPr>
          <w:p>
            <w:pPr>
              <w:jc w:val="center"/>
              <w:ind w:left="30"/>
              <w:spacing w:after="0"/>
              <w:rPr>
                <w:sz w:val="20"/>
                <w:szCs w:val="20"/>
                <w:color w:val="auto"/>
              </w:rPr>
            </w:pPr>
            <w:r>
              <w:rPr>
                <w:rFonts w:ascii="Arial" w:cs="Arial" w:eastAsia="Arial" w:hAnsi="Arial"/>
                <w:sz w:val="18"/>
                <w:szCs w:val="18"/>
                <w:color w:val="auto"/>
                <w:w w:val="94"/>
              </w:rPr>
              <w:t>PAYMENTS; PRO RATA TREATMENT; COMPUTATIONS; ETC.</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4.01</w:t>
            </w:r>
          </w:p>
        </w:tc>
        <w:tc>
          <w:tcPr>
            <w:tcW w:w="7420" w:type="dxa"/>
            <w:vAlign w:val="bottom"/>
          </w:tcPr>
          <w:p>
            <w:pPr>
              <w:ind w:left="480"/>
              <w:spacing w:after="0"/>
              <w:rPr>
                <w:sz w:val="20"/>
                <w:szCs w:val="20"/>
                <w:color w:val="auto"/>
              </w:rPr>
            </w:pPr>
            <w:r>
              <w:rPr>
                <w:rFonts w:ascii="Arial" w:cs="Arial" w:eastAsia="Arial" w:hAnsi="Arial"/>
                <w:sz w:val="18"/>
                <w:szCs w:val="18"/>
                <w:color w:val="auto"/>
              </w:rPr>
              <w:t>Payments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4.02</w:t>
            </w:r>
          </w:p>
        </w:tc>
        <w:tc>
          <w:tcPr>
            <w:tcW w:w="7420" w:type="dxa"/>
            <w:vAlign w:val="bottom"/>
          </w:tcPr>
          <w:p>
            <w:pPr>
              <w:ind w:left="480"/>
              <w:spacing w:after="0"/>
              <w:rPr>
                <w:sz w:val="20"/>
                <w:szCs w:val="20"/>
                <w:color w:val="auto"/>
              </w:rPr>
            </w:pPr>
            <w:r>
              <w:rPr>
                <w:rFonts w:ascii="Arial" w:cs="Arial" w:eastAsia="Arial" w:hAnsi="Arial"/>
                <w:sz w:val="18"/>
                <w:szCs w:val="18"/>
                <w:color w:val="auto"/>
              </w:rPr>
              <w:t>Pro Rata Treatment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4.03</w:t>
            </w:r>
          </w:p>
        </w:tc>
        <w:tc>
          <w:tcPr>
            <w:tcW w:w="7420" w:type="dxa"/>
            <w:vAlign w:val="bottom"/>
          </w:tcPr>
          <w:p>
            <w:pPr>
              <w:ind w:left="480"/>
              <w:spacing w:after="0"/>
              <w:rPr>
                <w:sz w:val="20"/>
                <w:szCs w:val="20"/>
                <w:color w:val="auto"/>
              </w:rPr>
            </w:pPr>
            <w:r>
              <w:rPr>
                <w:rFonts w:ascii="Arial" w:cs="Arial" w:eastAsia="Arial" w:hAnsi="Arial"/>
                <w:sz w:val="18"/>
                <w:szCs w:val="18"/>
                <w:color w:val="auto"/>
              </w:rPr>
              <w:t>Computations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4.04</w:t>
            </w:r>
          </w:p>
        </w:tc>
        <w:tc>
          <w:tcPr>
            <w:tcW w:w="7420" w:type="dxa"/>
            <w:vAlign w:val="bottom"/>
          </w:tcPr>
          <w:p>
            <w:pPr>
              <w:ind w:left="480"/>
              <w:spacing w:after="0"/>
              <w:rPr>
                <w:sz w:val="20"/>
                <w:szCs w:val="20"/>
                <w:color w:val="auto"/>
              </w:rPr>
            </w:pPr>
            <w:r>
              <w:rPr>
                <w:rFonts w:ascii="Arial" w:cs="Arial" w:eastAsia="Arial" w:hAnsi="Arial"/>
                <w:sz w:val="18"/>
                <w:szCs w:val="18"/>
                <w:color w:val="auto"/>
              </w:rPr>
              <w:t>Minimum Amounts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4.05</w:t>
            </w:r>
          </w:p>
        </w:tc>
        <w:tc>
          <w:tcPr>
            <w:tcW w:w="7420" w:type="dxa"/>
            <w:vAlign w:val="bottom"/>
          </w:tcPr>
          <w:p>
            <w:pPr>
              <w:ind w:left="480"/>
              <w:spacing w:after="0"/>
              <w:rPr>
                <w:sz w:val="20"/>
                <w:szCs w:val="20"/>
                <w:color w:val="auto"/>
              </w:rPr>
            </w:pPr>
            <w:r>
              <w:rPr>
                <w:rFonts w:ascii="Arial" w:cs="Arial" w:eastAsia="Arial" w:hAnsi="Arial"/>
                <w:sz w:val="18"/>
                <w:szCs w:val="18"/>
                <w:color w:val="auto"/>
              </w:rPr>
              <w:t>Certain Notices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4.06</w:t>
            </w:r>
          </w:p>
        </w:tc>
        <w:tc>
          <w:tcPr>
            <w:tcW w:w="7420" w:type="dxa"/>
            <w:vAlign w:val="bottom"/>
          </w:tcPr>
          <w:p>
            <w:pPr>
              <w:ind w:left="480"/>
              <w:spacing w:after="0"/>
              <w:rPr>
                <w:sz w:val="20"/>
                <w:szCs w:val="20"/>
                <w:color w:val="auto"/>
              </w:rPr>
            </w:pPr>
            <w:r>
              <w:rPr>
                <w:rFonts w:ascii="Arial" w:cs="Arial" w:eastAsia="Arial" w:hAnsi="Arial"/>
                <w:sz w:val="18"/>
                <w:szCs w:val="18"/>
                <w:color w:val="auto"/>
              </w:rPr>
              <w:t>Non-Receipt of Funds by Administrative Agent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4.07</w:t>
            </w:r>
          </w:p>
        </w:tc>
        <w:tc>
          <w:tcPr>
            <w:tcW w:w="7420" w:type="dxa"/>
            <w:vAlign w:val="bottom"/>
          </w:tcPr>
          <w:p>
            <w:pPr>
              <w:ind w:left="480"/>
              <w:spacing w:after="0"/>
              <w:rPr>
                <w:sz w:val="20"/>
                <w:szCs w:val="20"/>
                <w:color w:val="auto"/>
              </w:rPr>
            </w:pPr>
            <w:r>
              <w:rPr>
                <w:rFonts w:ascii="Arial" w:cs="Arial" w:eastAsia="Arial" w:hAnsi="Arial"/>
                <w:sz w:val="18"/>
                <w:szCs w:val="18"/>
                <w:color w:val="auto"/>
              </w:rPr>
              <w:t>Right of Setoff, Sharing of Payments; Etc</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675"/>
        </w:trPr>
        <w:tc>
          <w:tcPr>
            <w:tcW w:w="140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5"/>
              </w:rPr>
              <w:t>ARTICLE V.</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7420" w:type="dxa"/>
            <w:vAlign w:val="bottom"/>
          </w:tcPr>
          <w:p>
            <w:pPr>
              <w:jc w:val="center"/>
              <w:ind w:left="30"/>
              <w:spacing w:after="0"/>
              <w:rPr>
                <w:sz w:val="20"/>
                <w:szCs w:val="20"/>
                <w:color w:val="auto"/>
              </w:rPr>
            </w:pPr>
            <w:r>
              <w:rPr>
                <w:rFonts w:ascii="Arial" w:cs="Arial" w:eastAsia="Arial" w:hAnsi="Arial"/>
                <w:sz w:val="18"/>
                <w:szCs w:val="18"/>
                <w:color w:val="auto"/>
                <w:w w:val="96"/>
              </w:rPr>
              <w:t>YIELD PROTECTION, ETC.</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5.01</w:t>
            </w:r>
          </w:p>
        </w:tc>
        <w:tc>
          <w:tcPr>
            <w:tcW w:w="7420" w:type="dxa"/>
            <w:vAlign w:val="bottom"/>
          </w:tcPr>
          <w:p>
            <w:pPr>
              <w:ind w:left="480"/>
              <w:spacing w:after="0"/>
              <w:rPr>
                <w:sz w:val="20"/>
                <w:szCs w:val="20"/>
                <w:color w:val="auto"/>
              </w:rPr>
            </w:pPr>
            <w:r>
              <w:rPr>
                <w:rFonts w:ascii="Arial" w:cs="Arial" w:eastAsia="Arial" w:hAnsi="Arial"/>
                <w:sz w:val="18"/>
                <w:szCs w:val="18"/>
                <w:color w:val="auto"/>
              </w:rPr>
              <w:t>Increased Costs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5.02</w:t>
            </w:r>
          </w:p>
        </w:tc>
        <w:tc>
          <w:tcPr>
            <w:tcW w:w="7420" w:type="dxa"/>
            <w:vAlign w:val="bottom"/>
          </w:tcPr>
          <w:p>
            <w:pPr>
              <w:ind w:left="480"/>
              <w:spacing w:after="0"/>
              <w:rPr>
                <w:sz w:val="20"/>
                <w:szCs w:val="20"/>
                <w:color w:val="auto"/>
              </w:rPr>
            </w:pPr>
            <w:r>
              <w:rPr>
                <w:rFonts w:ascii="Arial" w:cs="Arial" w:eastAsia="Arial" w:hAnsi="Arial"/>
                <w:sz w:val="18"/>
                <w:szCs w:val="18"/>
                <w:color w:val="auto"/>
              </w:rPr>
              <w:t>Inability To Determine Interest Rate</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5.03</w:t>
            </w:r>
          </w:p>
        </w:tc>
        <w:tc>
          <w:tcPr>
            <w:tcW w:w="7420" w:type="dxa"/>
            <w:vAlign w:val="bottom"/>
          </w:tcPr>
          <w:p>
            <w:pPr>
              <w:ind w:left="480"/>
              <w:spacing w:after="0"/>
              <w:rPr>
                <w:sz w:val="20"/>
                <w:szCs w:val="20"/>
                <w:color w:val="auto"/>
              </w:rPr>
            </w:pPr>
            <w:r>
              <w:rPr>
                <w:rFonts w:ascii="Arial" w:cs="Arial" w:eastAsia="Arial" w:hAnsi="Arial"/>
                <w:sz w:val="18"/>
                <w:szCs w:val="18"/>
                <w:color w:val="auto"/>
              </w:rPr>
              <w:t>Illegality</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5.04</w:t>
            </w:r>
          </w:p>
        </w:tc>
        <w:tc>
          <w:tcPr>
            <w:tcW w:w="7420" w:type="dxa"/>
            <w:vAlign w:val="bottom"/>
          </w:tcPr>
          <w:p>
            <w:pPr>
              <w:ind w:left="480"/>
              <w:spacing w:after="0"/>
              <w:rPr>
                <w:sz w:val="20"/>
                <w:szCs w:val="20"/>
                <w:color w:val="auto"/>
              </w:rPr>
            </w:pPr>
            <w:r>
              <w:rPr>
                <w:rFonts w:ascii="Arial" w:cs="Arial" w:eastAsia="Arial" w:hAnsi="Arial"/>
                <w:sz w:val="18"/>
                <w:szCs w:val="18"/>
                <w:color w:val="auto"/>
              </w:rPr>
              <w:t>Treatment of Affected Loans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5.05</w:t>
            </w:r>
          </w:p>
        </w:tc>
        <w:tc>
          <w:tcPr>
            <w:tcW w:w="7420" w:type="dxa"/>
            <w:vAlign w:val="bottom"/>
          </w:tcPr>
          <w:p>
            <w:pPr>
              <w:ind w:left="480"/>
              <w:spacing w:after="0"/>
              <w:rPr>
                <w:sz w:val="20"/>
                <w:szCs w:val="20"/>
                <w:color w:val="auto"/>
              </w:rPr>
            </w:pPr>
            <w:r>
              <w:rPr>
                <w:rFonts w:ascii="Arial" w:cs="Arial" w:eastAsia="Arial" w:hAnsi="Arial"/>
                <w:sz w:val="18"/>
                <w:szCs w:val="18"/>
                <w:color w:val="auto"/>
              </w:rPr>
              <w:t>Compensation</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5.06</w:t>
            </w:r>
          </w:p>
        </w:tc>
        <w:tc>
          <w:tcPr>
            <w:tcW w:w="7420" w:type="dxa"/>
            <w:vAlign w:val="bottom"/>
          </w:tcPr>
          <w:p>
            <w:pPr>
              <w:ind w:left="480"/>
              <w:spacing w:after="0"/>
              <w:rPr>
                <w:sz w:val="20"/>
                <w:szCs w:val="20"/>
                <w:color w:val="auto"/>
              </w:rPr>
            </w:pPr>
            <w:r>
              <w:rPr>
                <w:rFonts w:ascii="Arial" w:cs="Arial" w:eastAsia="Arial" w:hAnsi="Arial"/>
                <w:sz w:val="18"/>
                <w:szCs w:val="18"/>
                <w:color w:val="auto"/>
              </w:rPr>
              <w:t>Net Payments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r>
      <w:tr>
        <w:trPr>
          <w:trHeight w:val="675"/>
        </w:trPr>
        <w:tc>
          <w:tcPr>
            <w:tcW w:w="1400" w:type="dxa"/>
            <w:vAlign w:val="bottom"/>
          </w:tcPr>
          <w:p>
            <w:pPr>
              <w:spacing w:after="0"/>
              <w:rPr>
                <w:sz w:val="24"/>
                <w:szCs w:val="24"/>
                <w:color w:val="auto"/>
              </w:rPr>
            </w:pPr>
          </w:p>
        </w:tc>
        <w:tc>
          <w:tcPr>
            <w:tcW w:w="7420" w:type="dxa"/>
            <w:vAlign w:val="bottom"/>
          </w:tcPr>
          <w:p>
            <w:pPr>
              <w:jc w:val="center"/>
              <w:spacing w:after="0"/>
              <w:rPr>
                <w:sz w:val="20"/>
                <w:szCs w:val="20"/>
                <w:color w:val="auto"/>
              </w:rPr>
            </w:pPr>
            <w:r>
              <w:rPr>
                <w:rFonts w:ascii="Arial" w:cs="Arial" w:eastAsia="Arial" w:hAnsi="Arial"/>
                <w:sz w:val="18"/>
                <w:szCs w:val="18"/>
                <w:color w:val="auto"/>
                <w:w w:val="98"/>
              </w:rPr>
              <w:t>ARTICLE VI.</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7420" w:type="dxa"/>
            <w:vAlign w:val="bottom"/>
          </w:tcPr>
          <w:p>
            <w:pPr>
              <w:jc w:val="center"/>
              <w:ind w:left="50"/>
              <w:spacing w:after="0"/>
              <w:rPr>
                <w:sz w:val="20"/>
                <w:szCs w:val="20"/>
                <w:color w:val="auto"/>
              </w:rPr>
            </w:pPr>
            <w:r>
              <w:rPr>
                <w:rFonts w:ascii="Arial" w:cs="Arial" w:eastAsia="Arial" w:hAnsi="Arial"/>
                <w:sz w:val="18"/>
                <w:szCs w:val="18"/>
                <w:color w:val="auto"/>
                <w:w w:val="96"/>
              </w:rPr>
              <w:t>GUARANTEES</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6.01</w:t>
            </w:r>
          </w:p>
        </w:tc>
        <w:tc>
          <w:tcPr>
            <w:tcW w:w="7420" w:type="dxa"/>
            <w:vAlign w:val="bottom"/>
          </w:tcPr>
          <w:p>
            <w:pPr>
              <w:ind w:left="480"/>
              <w:spacing w:after="0"/>
              <w:rPr>
                <w:sz w:val="20"/>
                <w:szCs w:val="20"/>
                <w:color w:val="auto"/>
              </w:rPr>
            </w:pPr>
            <w:r>
              <w:rPr>
                <w:rFonts w:ascii="Arial" w:cs="Arial" w:eastAsia="Arial" w:hAnsi="Arial"/>
                <w:sz w:val="18"/>
                <w:szCs w:val="18"/>
                <w:color w:val="auto"/>
              </w:rPr>
              <w:t>The Guarantees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6.02</w:t>
            </w:r>
          </w:p>
        </w:tc>
        <w:tc>
          <w:tcPr>
            <w:tcW w:w="7420" w:type="dxa"/>
            <w:vAlign w:val="bottom"/>
          </w:tcPr>
          <w:p>
            <w:pPr>
              <w:ind w:left="480"/>
              <w:spacing w:after="0"/>
              <w:rPr>
                <w:sz w:val="20"/>
                <w:szCs w:val="20"/>
                <w:color w:val="auto"/>
              </w:rPr>
            </w:pPr>
            <w:r>
              <w:rPr>
                <w:rFonts w:ascii="Arial" w:cs="Arial" w:eastAsia="Arial" w:hAnsi="Arial"/>
                <w:sz w:val="18"/>
                <w:szCs w:val="18"/>
                <w:color w:val="auto"/>
              </w:rPr>
              <w:t>Obligations Unconditional</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6.03</w:t>
            </w:r>
          </w:p>
        </w:tc>
        <w:tc>
          <w:tcPr>
            <w:tcW w:w="7420" w:type="dxa"/>
            <w:vAlign w:val="bottom"/>
          </w:tcPr>
          <w:p>
            <w:pPr>
              <w:ind w:left="480"/>
              <w:spacing w:after="0"/>
              <w:rPr>
                <w:sz w:val="20"/>
                <w:szCs w:val="20"/>
                <w:color w:val="auto"/>
              </w:rPr>
            </w:pPr>
            <w:r>
              <w:rPr>
                <w:rFonts w:ascii="Arial" w:cs="Arial" w:eastAsia="Arial" w:hAnsi="Arial"/>
                <w:sz w:val="18"/>
                <w:szCs w:val="18"/>
                <w:color w:val="auto"/>
              </w:rPr>
              <w:t>Reinstatement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6.04</w:t>
            </w:r>
          </w:p>
        </w:tc>
        <w:tc>
          <w:tcPr>
            <w:tcW w:w="7420" w:type="dxa"/>
            <w:vAlign w:val="bottom"/>
          </w:tcPr>
          <w:p>
            <w:pPr>
              <w:ind w:left="480"/>
              <w:spacing w:after="0"/>
              <w:rPr>
                <w:sz w:val="20"/>
                <w:szCs w:val="20"/>
                <w:color w:val="auto"/>
              </w:rPr>
            </w:pPr>
            <w:r>
              <w:rPr>
                <w:rFonts w:ascii="Arial" w:cs="Arial" w:eastAsia="Arial" w:hAnsi="Arial"/>
                <w:sz w:val="18"/>
                <w:szCs w:val="18"/>
                <w:color w:val="auto"/>
              </w:rPr>
              <w:t>Subrogation; Subordination</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6.05</w:t>
            </w:r>
          </w:p>
        </w:tc>
        <w:tc>
          <w:tcPr>
            <w:tcW w:w="7420" w:type="dxa"/>
            <w:vAlign w:val="bottom"/>
          </w:tcPr>
          <w:p>
            <w:pPr>
              <w:ind w:left="480"/>
              <w:spacing w:after="0"/>
              <w:rPr>
                <w:sz w:val="20"/>
                <w:szCs w:val="20"/>
                <w:color w:val="auto"/>
              </w:rPr>
            </w:pPr>
            <w:r>
              <w:rPr>
                <w:rFonts w:ascii="Arial" w:cs="Arial" w:eastAsia="Arial" w:hAnsi="Arial"/>
                <w:sz w:val="18"/>
                <w:szCs w:val="18"/>
                <w:color w:val="auto"/>
              </w:rPr>
              <w:t>Remedies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6.06</w:t>
            </w:r>
          </w:p>
        </w:tc>
        <w:tc>
          <w:tcPr>
            <w:tcW w:w="7420" w:type="dxa"/>
            <w:vAlign w:val="bottom"/>
          </w:tcPr>
          <w:p>
            <w:pPr>
              <w:ind w:left="480"/>
              <w:spacing w:after="0"/>
              <w:rPr>
                <w:sz w:val="20"/>
                <w:szCs w:val="20"/>
                <w:color w:val="auto"/>
              </w:rPr>
            </w:pPr>
            <w:r>
              <w:rPr>
                <w:rFonts w:ascii="Arial" w:cs="Arial" w:eastAsia="Arial" w:hAnsi="Arial"/>
                <w:sz w:val="18"/>
                <w:szCs w:val="18"/>
                <w:color w:val="auto"/>
              </w:rPr>
              <w:t>Continuing Guarantee</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6.07</w:t>
            </w:r>
          </w:p>
        </w:tc>
        <w:tc>
          <w:tcPr>
            <w:tcW w:w="7420" w:type="dxa"/>
            <w:vAlign w:val="bottom"/>
          </w:tcPr>
          <w:p>
            <w:pPr>
              <w:ind w:left="480"/>
              <w:spacing w:after="0"/>
              <w:rPr>
                <w:sz w:val="20"/>
                <w:szCs w:val="20"/>
                <w:color w:val="auto"/>
              </w:rPr>
            </w:pPr>
            <w:r>
              <w:rPr>
                <w:rFonts w:ascii="Arial" w:cs="Arial" w:eastAsia="Arial" w:hAnsi="Arial"/>
                <w:sz w:val="18"/>
                <w:szCs w:val="18"/>
                <w:color w:val="auto"/>
              </w:rPr>
              <w:t>General Limitation on Guarantee Obligations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6.08</w:t>
            </w:r>
          </w:p>
        </w:tc>
        <w:tc>
          <w:tcPr>
            <w:tcW w:w="7420" w:type="dxa"/>
            <w:vAlign w:val="bottom"/>
          </w:tcPr>
          <w:p>
            <w:pPr>
              <w:ind w:left="480"/>
              <w:spacing w:after="0"/>
              <w:rPr>
                <w:sz w:val="20"/>
                <w:szCs w:val="20"/>
                <w:color w:val="auto"/>
              </w:rPr>
            </w:pPr>
            <w:r>
              <w:rPr>
                <w:rFonts w:ascii="Arial" w:cs="Arial" w:eastAsia="Arial" w:hAnsi="Arial"/>
                <w:sz w:val="18"/>
                <w:szCs w:val="18"/>
                <w:color w:val="auto"/>
              </w:rPr>
              <w:t>Release of Guarantors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6.09</w:t>
            </w:r>
          </w:p>
        </w:tc>
        <w:tc>
          <w:tcPr>
            <w:tcW w:w="7420" w:type="dxa"/>
            <w:vAlign w:val="bottom"/>
          </w:tcPr>
          <w:p>
            <w:pPr>
              <w:ind w:left="480"/>
              <w:spacing w:after="0"/>
              <w:rPr>
                <w:sz w:val="20"/>
                <w:szCs w:val="20"/>
                <w:color w:val="auto"/>
              </w:rPr>
            </w:pPr>
            <w:r>
              <w:rPr>
                <w:rFonts w:ascii="Arial" w:cs="Arial" w:eastAsia="Arial" w:hAnsi="Arial"/>
                <w:sz w:val="18"/>
                <w:szCs w:val="18"/>
                <w:color w:val="auto"/>
              </w:rPr>
              <w:t>Keepwell</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6.10</w:t>
            </w:r>
          </w:p>
        </w:tc>
        <w:tc>
          <w:tcPr>
            <w:tcW w:w="7420" w:type="dxa"/>
            <w:vAlign w:val="bottom"/>
          </w:tcPr>
          <w:p>
            <w:pPr>
              <w:ind w:left="480"/>
              <w:spacing w:after="0"/>
              <w:rPr>
                <w:sz w:val="20"/>
                <w:szCs w:val="20"/>
                <w:color w:val="auto"/>
              </w:rPr>
            </w:pPr>
            <w:r>
              <w:rPr>
                <w:rFonts w:ascii="Arial" w:cs="Arial" w:eastAsia="Arial" w:hAnsi="Arial"/>
                <w:sz w:val="18"/>
                <w:szCs w:val="18"/>
                <w:color w:val="auto"/>
              </w:rPr>
              <w:t>Right of Contribution</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340"/>
          </w:cols>
          <w:pgMar w:left="780" w:top="946" w:right="77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64"/>
        </w:trPr>
        <w:tc>
          <w:tcPr>
            <w:tcW w:w="1400" w:type="dxa"/>
            <w:vAlign w:val="bottom"/>
          </w:tcPr>
          <w:p>
            <w:pPr>
              <w:spacing w:after="0"/>
              <w:rPr>
                <w:sz w:val="22"/>
                <w:szCs w:val="22"/>
                <w:color w:val="auto"/>
              </w:rPr>
            </w:pPr>
          </w:p>
        </w:tc>
        <w:tc>
          <w:tcPr>
            <w:tcW w:w="7000" w:type="dxa"/>
            <w:vAlign w:val="bottom"/>
          </w:tcPr>
          <w:p>
            <w:pPr>
              <w:jc w:val="center"/>
              <w:ind w:left="410"/>
              <w:spacing w:after="0"/>
              <w:rPr>
                <w:sz w:val="20"/>
                <w:szCs w:val="20"/>
                <w:color w:val="auto"/>
              </w:rPr>
            </w:pPr>
            <w:r>
              <w:rPr>
                <w:rFonts w:ascii="Arial" w:cs="Arial" w:eastAsia="Arial" w:hAnsi="Arial"/>
                <w:sz w:val="18"/>
                <w:szCs w:val="18"/>
                <w:color w:val="auto"/>
              </w:rPr>
              <w:t>ARTICLE VII.</w:t>
            </w:r>
          </w:p>
        </w:tc>
        <w:tc>
          <w:tcPr>
            <w:tcW w:w="16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432"/>
        </w:trPr>
        <w:tc>
          <w:tcPr>
            <w:tcW w:w="1400" w:type="dxa"/>
            <w:vAlign w:val="bottom"/>
          </w:tcPr>
          <w:p>
            <w:pPr>
              <w:spacing w:after="0"/>
              <w:rPr>
                <w:sz w:val="24"/>
                <w:szCs w:val="24"/>
                <w:color w:val="auto"/>
              </w:rPr>
            </w:pPr>
          </w:p>
        </w:tc>
        <w:tc>
          <w:tcPr>
            <w:tcW w:w="7000" w:type="dxa"/>
            <w:vAlign w:val="bottom"/>
          </w:tcPr>
          <w:p>
            <w:pPr>
              <w:jc w:val="center"/>
              <w:ind w:left="450"/>
              <w:spacing w:after="0"/>
              <w:rPr>
                <w:sz w:val="20"/>
                <w:szCs w:val="20"/>
                <w:color w:val="auto"/>
              </w:rPr>
            </w:pPr>
            <w:r>
              <w:rPr>
                <w:rFonts w:ascii="Arial" w:cs="Arial" w:eastAsia="Arial" w:hAnsi="Arial"/>
                <w:sz w:val="18"/>
                <w:szCs w:val="18"/>
                <w:color w:val="auto"/>
                <w:w w:val="95"/>
              </w:rPr>
              <w:t>CONDITIONS PRECEDENT</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7.01</w:t>
            </w:r>
          </w:p>
        </w:tc>
        <w:tc>
          <w:tcPr>
            <w:tcW w:w="7000" w:type="dxa"/>
            <w:vAlign w:val="bottom"/>
          </w:tcPr>
          <w:p>
            <w:pPr>
              <w:ind w:left="480"/>
              <w:spacing w:after="0"/>
              <w:rPr>
                <w:sz w:val="20"/>
                <w:szCs w:val="20"/>
                <w:color w:val="auto"/>
              </w:rPr>
            </w:pPr>
            <w:r>
              <w:rPr>
                <w:rFonts w:ascii="Arial" w:cs="Arial" w:eastAsia="Arial" w:hAnsi="Arial"/>
                <w:sz w:val="18"/>
                <w:szCs w:val="18"/>
                <w:color w:val="auto"/>
              </w:rPr>
              <w:t>Conditions to Initial Extensions of Credit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7.02</w:t>
            </w:r>
          </w:p>
        </w:tc>
        <w:tc>
          <w:tcPr>
            <w:tcW w:w="7000" w:type="dxa"/>
            <w:vAlign w:val="bottom"/>
          </w:tcPr>
          <w:p>
            <w:pPr>
              <w:ind w:left="480"/>
              <w:spacing w:after="0"/>
              <w:rPr>
                <w:sz w:val="20"/>
                <w:szCs w:val="20"/>
                <w:color w:val="auto"/>
              </w:rPr>
            </w:pPr>
            <w:r>
              <w:rPr>
                <w:rFonts w:ascii="Arial" w:cs="Arial" w:eastAsia="Arial" w:hAnsi="Arial"/>
                <w:sz w:val="18"/>
                <w:szCs w:val="18"/>
                <w:color w:val="auto"/>
              </w:rPr>
              <w:t>Conditions to All Extensions of Credit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459"/>
        </w:trPr>
        <w:tc>
          <w:tcPr>
            <w:tcW w:w="1400" w:type="dxa"/>
            <w:vAlign w:val="bottom"/>
          </w:tcPr>
          <w:p>
            <w:pPr>
              <w:spacing w:after="0"/>
              <w:rPr>
                <w:sz w:val="24"/>
                <w:szCs w:val="24"/>
                <w:color w:val="auto"/>
              </w:rPr>
            </w:pPr>
          </w:p>
        </w:tc>
        <w:tc>
          <w:tcPr>
            <w:tcW w:w="7000" w:type="dxa"/>
            <w:vAlign w:val="bottom"/>
          </w:tcPr>
          <w:p>
            <w:pPr>
              <w:jc w:val="center"/>
              <w:ind w:left="410"/>
              <w:spacing w:after="0"/>
              <w:rPr>
                <w:sz w:val="20"/>
                <w:szCs w:val="20"/>
                <w:color w:val="auto"/>
              </w:rPr>
            </w:pPr>
            <w:r>
              <w:rPr>
                <w:rFonts w:ascii="Arial" w:cs="Arial" w:eastAsia="Arial" w:hAnsi="Arial"/>
                <w:sz w:val="18"/>
                <w:szCs w:val="18"/>
                <w:color w:val="auto"/>
              </w:rPr>
              <w:t>ARTICLE VIII.</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400" w:type="dxa"/>
            <w:vAlign w:val="bottom"/>
          </w:tcPr>
          <w:p>
            <w:pPr>
              <w:spacing w:after="0"/>
              <w:rPr>
                <w:sz w:val="24"/>
                <w:szCs w:val="24"/>
                <w:color w:val="auto"/>
              </w:rPr>
            </w:pPr>
          </w:p>
        </w:tc>
        <w:tc>
          <w:tcPr>
            <w:tcW w:w="7000" w:type="dxa"/>
            <w:vAlign w:val="bottom"/>
          </w:tcPr>
          <w:p>
            <w:pPr>
              <w:jc w:val="center"/>
              <w:ind w:left="470"/>
              <w:spacing w:after="0"/>
              <w:rPr>
                <w:sz w:val="20"/>
                <w:szCs w:val="20"/>
                <w:color w:val="auto"/>
              </w:rPr>
            </w:pPr>
            <w:r>
              <w:rPr>
                <w:rFonts w:ascii="Arial" w:cs="Arial" w:eastAsia="Arial" w:hAnsi="Arial"/>
                <w:sz w:val="18"/>
                <w:szCs w:val="18"/>
                <w:color w:val="auto"/>
                <w:w w:val="95"/>
              </w:rPr>
              <w:t>REPRESENTATIONS AND WARRANTIES</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00" w:type="dxa"/>
            <w:vAlign w:val="bottom"/>
          </w:tcPr>
          <w:p>
            <w:pPr>
              <w:spacing w:after="0"/>
              <w:rPr>
                <w:sz w:val="20"/>
                <w:szCs w:val="20"/>
                <w:color w:val="auto"/>
              </w:rPr>
            </w:pPr>
            <w:r>
              <w:rPr>
                <w:rFonts w:ascii="Arial" w:cs="Arial" w:eastAsia="Arial" w:hAnsi="Arial"/>
                <w:sz w:val="18"/>
                <w:szCs w:val="18"/>
                <w:color w:val="auto"/>
              </w:rPr>
              <w:t>Section 8.01</w:t>
            </w:r>
          </w:p>
        </w:tc>
        <w:tc>
          <w:tcPr>
            <w:tcW w:w="7000" w:type="dxa"/>
            <w:vAlign w:val="bottom"/>
          </w:tcPr>
          <w:p>
            <w:pPr>
              <w:ind w:left="480"/>
              <w:spacing w:after="0"/>
              <w:rPr>
                <w:sz w:val="20"/>
                <w:szCs w:val="20"/>
                <w:color w:val="auto"/>
              </w:rPr>
            </w:pPr>
            <w:r>
              <w:rPr>
                <w:rFonts w:ascii="Arial" w:cs="Arial" w:eastAsia="Arial" w:hAnsi="Arial"/>
                <w:sz w:val="18"/>
                <w:szCs w:val="18"/>
                <w:color w:val="auto"/>
              </w:rPr>
              <w:t>Corporate Existence; Compliance with Law</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8.02</w:t>
            </w:r>
          </w:p>
        </w:tc>
        <w:tc>
          <w:tcPr>
            <w:tcW w:w="7000" w:type="dxa"/>
            <w:vAlign w:val="bottom"/>
          </w:tcPr>
          <w:p>
            <w:pPr>
              <w:ind w:left="480"/>
              <w:spacing w:after="0"/>
              <w:rPr>
                <w:sz w:val="20"/>
                <w:szCs w:val="20"/>
                <w:color w:val="auto"/>
              </w:rPr>
            </w:pPr>
            <w:r>
              <w:rPr>
                <w:rFonts w:ascii="Arial" w:cs="Arial" w:eastAsia="Arial" w:hAnsi="Arial"/>
                <w:sz w:val="18"/>
                <w:szCs w:val="18"/>
                <w:color w:val="auto"/>
              </w:rPr>
              <w:t>Material Adverse Effect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8.03</w:t>
            </w:r>
          </w:p>
        </w:tc>
        <w:tc>
          <w:tcPr>
            <w:tcW w:w="7000" w:type="dxa"/>
            <w:vAlign w:val="bottom"/>
          </w:tcPr>
          <w:p>
            <w:pPr>
              <w:ind w:left="480"/>
              <w:spacing w:after="0"/>
              <w:rPr>
                <w:sz w:val="20"/>
                <w:szCs w:val="20"/>
                <w:color w:val="auto"/>
              </w:rPr>
            </w:pPr>
            <w:r>
              <w:rPr>
                <w:rFonts w:ascii="Arial" w:cs="Arial" w:eastAsia="Arial" w:hAnsi="Arial"/>
                <w:sz w:val="18"/>
                <w:szCs w:val="18"/>
                <w:color w:val="auto"/>
              </w:rPr>
              <w:t>Litigation</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8.04</w:t>
            </w:r>
          </w:p>
        </w:tc>
        <w:tc>
          <w:tcPr>
            <w:tcW w:w="7000" w:type="dxa"/>
            <w:vAlign w:val="bottom"/>
          </w:tcPr>
          <w:p>
            <w:pPr>
              <w:ind w:left="480"/>
              <w:spacing w:after="0"/>
              <w:rPr>
                <w:sz w:val="20"/>
                <w:szCs w:val="20"/>
                <w:color w:val="auto"/>
              </w:rPr>
            </w:pPr>
            <w:r>
              <w:rPr>
                <w:rFonts w:ascii="Arial" w:cs="Arial" w:eastAsia="Arial" w:hAnsi="Arial"/>
                <w:sz w:val="18"/>
                <w:szCs w:val="18"/>
                <w:color w:val="auto"/>
              </w:rPr>
              <w:t>No Breach; No Default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8.05</w:t>
            </w:r>
          </w:p>
        </w:tc>
        <w:tc>
          <w:tcPr>
            <w:tcW w:w="7000" w:type="dxa"/>
            <w:vAlign w:val="bottom"/>
          </w:tcPr>
          <w:p>
            <w:pPr>
              <w:ind w:left="480"/>
              <w:spacing w:after="0"/>
              <w:rPr>
                <w:sz w:val="20"/>
                <w:szCs w:val="20"/>
                <w:color w:val="auto"/>
              </w:rPr>
            </w:pPr>
            <w:r>
              <w:rPr>
                <w:rFonts w:ascii="Arial" w:cs="Arial" w:eastAsia="Arial" w:hAnsi="Arial"/>
                <w:sz w:val="18"/>
                <w:szCs w:val="18"/>
                <w:color w:val="auto"/>
              </w:rPr>
              <w:t>Action</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8.06</w:t>
            </w:r>
          </w:p>
        </w:tc>
        <w:tc>
          <w:tcPr>
            <w:tcW w:w="7000" w:type="dxa"/>
            <w:vAlign w:val="bottom"/>
          </w:tcPr>
          <w:p>
            <w:pPr>
              <w:ind w:left="480"/>
              <w:spacing w:after="0"/>
              <w:rPr>
                <w:sz w:val="20"/>
                <w:szCs w:val="20"/>
                <w:color w:val="auto"/>
              </w:rPr>
            </w:pPr>
            <w:r>
              <w:rPr>
                <w:rFonts w:ascii="Arial" w:cs="Arial" w:eastAsia="Arial" w:hAnsi="Arial"/>
                <w:sz w:val="18"/>
                <w:szCs w:val="18"/>
                <w:color w:val="auto"/>
              </w:rPr>
              <w:t>Approvals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8.07</w:t>
            </w:r>
          </w:p>
        </w:tc>
        <w:tc>
          <w:tcPr>
            <w:tcW w:w="7000" w:type="dxa"/>
            <w:vAlign w:val="bottom"/>
          </w:tcPr>
          <w:p>
            <w:pPr>
              <w:ind w:left="480"/>
              <w:spacing w:after="0"/>
              <w:rPr>
                <w:sz w:val="20"/>
                <w:szCs w:val="20"/>
                <w:color w:val="auto"/>
              </w:rPr>
            </w:pPr>
            <w:r>
              <w:rPr>
                <w:rFonts w:ascii="Arial" w:cs="Arial" w:eastAsia="Arial" w:hAnsi="Arial"/>
                <w:sz w:val="18"/>
                <w:szCs w:val="18"/>
                <w:color w:val="auto"/>
              </w:rPr>
              <w:t>ERISA and Employee Benefit Plan Matters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8.08</w:t>
            </w:r>
          </w:p>
        </w:tc>
        <w:tc>
          <w:tcPr>
            <w:tcW w:w="7000" w:type="dxa"/>
            <w:vAlign w:val="bottom"/>
          </w:tcPr>
          <w:p>
            <w:pPr>
              <w:ind w:left="480"/>
              <w:spacing w:after="0"/>
              <w:rPr>
                <w:sz w:val="20"/>
                <w:szCs w:val="20"/>
                <w:color w:val="auto"/>
              </w:rPr>
            </w:pPr>
            <w:r>
              <w:rPr>
                <w:rFonts w:ascii="Arial" w:cs="Arial" w:eastAsia="Arial" w:hAnsi="Arial"/>
                <w:sz w:val="18"/>
                <w:szCs w:val="18"/>
                <w:color w:val="auto"/>
              </w:rPr>
              <w:t>Taxes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8.09</w:t>
            </w:r>
          </w:p>
        </w:tc>
        <w:tc>
          <w:tcPr>
            <w:tcW w:w="7000" w:type="dxa"/>
            <w:vAlign w:val="bottom"/>
          </w:tcPr>
          <w:p>
            <w:pPr>
              <w:ind w:left="480"/>
              <w:spacing w:after="0"/>
              <w:rPr>
                <w:sz w:val="20"/>
                <w:szCs w:val="20"/>
                <w:color w:val="auto"/>
              </w:rPr>
            </w:pPr>
            <w:r>
              <w:rPr>
                <w:rFonts w:ascii="Arial" w:cs="Arial" w:eastAsia="Arial" w:hAnsi="Arial"/>
                <w:sz w:val="18"/>
                <w:szCs w:val="18"/>
                <w:color w:val="auto"/>
              </w:rPr>
              <w:t>Investment Company Act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8.10</w:t>
            </w:r>
          </w:p>
        </w:tc>
        <w:tc>
          <w:tcPr>
            <w:tcW w:w="7000" w:type="dxa"/>
            <w:vAlign w:val="bottom"/>
          </w:tcPr>
          <w:p>
            <w:pPr>
              <w:ind w:left="480"/>
              <w:spacing w:after="0"/>
              <w:rPr>
                <w:sz w:val="20"/>
                <w:szCs w:val="20"/>
                <w:color w:val="auto"/>
              </w:rPr>
            </w:pPr>
            <w:r>
              <w:rPr>
                <w:rFonts w:ascii="Arial" w:cs="Arial" w:eastAsia="Arial" w:hAnsi="Arial"/>
                <w:sz w:val="18"/>
                <w:szCs w:val="18"/>
                <w:color w:val="auto"/>
              </w:rPr>
              <w:t>Environmental Matters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8.11</w:t>
            </w:r>
          </w:p>
        </w:tc>
        <w:tc>
          <w:tcPr>
            <w:tcW w:w="7000" w:type="dxa"/>
            <w:vAlign w:val="bottom"/>
          </w:tcPr>
          <w:p>
            <w:pPr>
              <w:ind w:left="480"/>
              <w:spacing w:after="0"/>
              <w:rPr>
                <w:sz w:val="20"/>
                <w:szCs w:val="20"/>
                <w:color w:val="auto"/>
              </w:rPr>
            </w:pPr>
            <w:r>
              <w:rPr>
                <w:rFonts w:ascii="Arial" w:cs="Arial" w:eastAsia="Arial" w:hAnsi="Arial"/>
                <w:sz w:val="18"/>
                <w:szCs w:val="18"/>
                <w:color w:val="auto"/>
              </w:rPr>
              <w:t>Use of Proceeds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8.12</w:t>
            </w:r>
          </w:p>
        </w:tc>
        <w:tc>
          <w:tcPr>
            <w:tcW w:w="7000" w:type="dxa"/>
            <w:vAlign w:val="bottom"/>
          </w:tcPr>
          <w:p>
            <w:pPr>
              <w:ind w:left="480"/>
              <w:spacing w:after="0"/>
              <w:rPr>
                <w:sz w:val="20"/>
                <w:szCs w:val="20"/>
                <w:color w:val="auto"/>
              </w:rPr>
            </w:pPr>
            <w:r>
              <w:rPr>
                <w:rFonts w:ascii="Arial" w:cs="Arial" w:eastAsia="Arial" w:hAnsi="Arial"/>
                <w:sz w:val="18"/>
                <w:szCs w:val="18"/>
                <w:color w:val="auto"/>
              </w:rPr>
              <w:t>Subsidiaries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8.13</w:t>
            </w:r>
          </w:p>
        </w:tc>
        <w:tc>
          <w:tcPr>
            <w:tcW w:w="7000" w:type="dxa"/>
            <w:vAlign w:val="bottom"/>
          </w:tcPr>
          <w:p>
            <w:pPr>
              <w:ind w:left="480"/>
              <w:spacing w:after="0"/>
              <w:rPr>
                <w:sz w:val="20"/>
                <w:szCs w:val="20"/>
                <w:color w:val="auto"/>
              </w:rPr>
            </w:pPr>
            <w:r>
              <w:rPr>
                <w:rFonts w:ascii="Arial" w:cs="Arial" w:eastAsia="Arial" w:hAnsi="Arial"/>
                <w:sz w:val="18"/>
                <w:szCs w:val="18"/>
                <w:color w:val="auto"/>
              </w:rPr>
              <w:t>Ownership of Property; Liens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8.14</w:t>
            </w:r>
          </w:p>
        </w:tc>
        <w:tc>
          <w:tcPr>
            <w:tcW w:w="7000" w:type="dxa"/>
            <w:vAlign w:val="bottom"/>
          </w:tcPr>
          <w:p>
            <w:pPr>
              <w:ind w:left="480"/>
              <w:spacing w:after="0"/>
              <w:rPr>
                <w:sz w:val="20"/>
                <w:szCs w:val="20"/>
                <w:color w:val="auto"/>
              </w:rPr>
            </w:pPr>
            <w:r>
              <w:rPr>
                <w:rFonts w:ascii="Arial" w:cs="Arial" w:eastAsia="Arial" w:hAnsi="Arial"/>
                <w:sz w:val="18"/>
                <w:szCs w:val="18"/>
                <w:color w:val="auto"/>
              </w:rPr>
              <w:t>Security Interest; Absence of Financing Statements; Etc</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8.15</w:t>
            </w:r>
          </w:p>
        </w:tc>
        <w:tc>
          <w:tcPr>
            <w:tcW w:w="7000" w:type="dxa"/>
            <w:vAlign w:val="bottom"/>
          </w:tcPr>
          <w:p>
            <w:pPr>
              <w:ind w:left="480"/>
              <w:spacing w:after="0"/>
              <w:rPr>
                <w:sz w:val="20"/>
                <w:szCs w:val="20"/>
                <w:color w:val="auto"/>
              </w:rPr>
            </w:pPr>
            <w:r>
              <w:rPr>
                <w:rFonts w:ascii="Arial" w:cs="Arial" w:eastAsia="Arial" w:hAnsi="Arial"/>
                <w:sz w:val="18"/>
                <w:szCs w:val="18"/>
                <w:color w:val="auto"/>
              </w:rPr>
              <w:t>Licenses and Permits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8.16</w:t>
            </w:r>
          </w:p>
        </w:tc>
        <w:tc>
          <w:tcPr>
            <w:tcW w:w="7000" w:type="dxa"/>
            <w:vAlign w:val="bottom"/>
          </w:tcPr>
          <w:p>
            <w:pPr>
              <w:ind w:left="480"/>
              <w:spacing w:after="0"/>
              <w:rPr>
                <w:sz w:val="20"/>
                <w:szCs w:val="20"/>
                <w:color w:val="auto"/>
              </w:rPr>
            </w:pPr>
            <w:r>
              <w:rPr>
                <w:rFonts w:ascii="Arial" w:cs="Arial" w:eastAsia="Arial" w:hAnsi="Arial"/>
                <w:sz w:val="18"/>
                <w:szCs w:val="18"/>
                <w:color w:val="auto"/>
              </w:rPr>
              <w:t>Disclosure</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8.17</w:t>
            </w:r>
          </w:p>
        </w:tc>
        <w:tc>
          <w:tcPr>
            <w:tcW w:w="7000" w:type="dxa"/>
            <w:vAlign w:val="bottom"/>
          </w:tcPr>
          <w:p>
            <w:pPr>
              <w:ind w:left="480"/>
              <w:spacing w:after="0"/>
              <w:rPr>
                <w:sz w:val="20"/>
                <w:szCs w:val="20"/>
                <w:color w:val="auto"/>
              </w:rPr>
            </w:pPr>
            <w:r>
              <w:rPr>
                <w:rFonts w:ascii="Arial" w:cs="Arial" w:eastAsia="Arial" w:hAnsi="Arial"/>
                <w:sz w:val="18"/>
                <w:szCs w:val="18"/>
                <w:color w:val="auto"/>
              </w:rPr>
              <w:t>Solvency</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8.18</w:t>
            </w:r>
          </w:p>
        </w:tc>
        <w:tc>
          <w:tcPr>
            <w:tcW w:w="7000" w:type="dxa"/>
            <w:vAlign w:val="bottom"/>
          </w:tcPr>
          <w:p>
            <w:pPr>
              <w:ind w:left="480"/>
              <w:spacing w:after="0"/>
              <w:rPr>
                <w:sz w:val="20"/>
                <w:szCs w:val="20"/>
                <w:color w:val="auto"/>
              </w:rPr>
            </w:pPr>
            <w:r>
              <w:rPr>
                <w:rFonts w:ascii="Arial" w:cs="Arial" w:eastAsia="Arial" w:hAnsi="Arial"/>
                <w:sz w:val="18"/>
                <w:szCs w:val="18"/>
                <w:color w:val="auto"/>
              </w:rPr>
              <w:t>Intellectual Property</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8.19</w:t>
            </w:r>
          </w:p>
        </w:tc>
        <w:tc>
          <w:tcPr>
            <w:tcW w:w="7000" w:type="dxa"/>
            <w:vAlign w:val="bottom"/>
          </w:tcPr>
          <w:p>
            <w:pPr>
              <w:ind w:left="480"/>
              <w:spacing w:after="0"/>
              <w:rPr>
                <w:sz w:val="20"/>
                <w:szCs w:val="20"/>
                <w:color w:val="auto"/>
              </w:rPr>
            </w:pPr>
            <w:r>
              <w:rPr>
                <w:rFonts w:ascii="Arial" w:cs="Arial" w:eastAsia="Arial" w:hAnsi="Arial"/>
                <w:sz w:val="18"/>
                <w:szCs w:val="18"/>
                <w:color w:val="auto"/>
              </w:rPr>
              <w:t>Regulation H</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8.20</w:t>
            </w:r>
          </w:p>
        </w:tc>
        <w:tc>
          <w:tcPr>
            <w:tcW w:w="7000" w:type="dxa"/>
            <w:vAlign w:val="bottom"/>
          </w:tcPr>
          <w:p>
            <w:pPr>
              <w:ind w:left="480"/>
              <w:spacing w:after="0"/>
              <w:rPr>
                <w:sz w:val="20"/>
                <w:szCs w:val="20"/>
                <w:color w:val="auto"/>
              </w:rPr>
            </w:pPr>
            <w:r>
              <w:rPr>
                <w:rFonts w:ascii="Arial" w:cs="Arial" w:eastAsia="Arial" w:hAnsi="Arial"/>
                <w:sz w:val="18"/>
                <w:szCs w:val="18"/>
                <w:color w:val="auto"/>
              </w:rPr>
              <w:t>Insurance</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8.21</w:t>
            </w:r>
          </w:p>
        </w:tc>
        <w:tc>
          <w:tcPr>
            <w:tcW w:w="7000" w:type="dxa"/>
            <w:vAlign w:val="bottom"/>
          </w:tcPr>
          <w:p>
            <w:pPr>
              <w:ind w:left="480"/>
              <w:spacing w:after="0"/>
              <w:rPr>
                <w:sz w:val="20"/>
                <w:szCs w:val="20"/>
                <w:color w:val="auto"/>
              </w:rPr>
            </w:pPr>
            <w:r>
              <w:rPr>
                <w:rFonts w:ascii="Arial" w:cs="Arial" w:eastAsia="Arial" w:hAnsi="Arial"/>
                <w:sz w:val="18"/>
                <w:szCs w:val="18"/>
                <w:color w:val="auto"/>
              </w:rPr>
              <w:t>Real Estate</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8.22</w:t>
            </w:r>
          </w:p>
        </w:tc>
        <w:tc>
          <w:tcPr>
            <w:tcW w:w="7000" w:type="dxa"/>
            <w:vAlign w:val="bottom"/>
          </w:tcPr>
          <w:p>
            <w:pPr>
              <w:ind w:left="480"/>
              <w:spacing w:after="0"/>
              <w:rPr>
                <w:sz w:val="20"/>
                <w:szCs w:val="20"/>
                <w:color w:val="auto"/>
              </w:rPr>
            </w:pPr>
            <w:r>
              <w:rPr>
                <w:rFonts w:ascii="Arial" w:cs="Arial" w:eastAsia="Arial" w:hAnsi="Arial"/>
                <w:sz w:val="18"/>
                <w:szCs w:val="18"/>
                <w:color w:val="auto"/>
              </w:rPr>
              <w:t>Anti-Terrorism Law</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8.23</w:t>
            </w:r>
          </w:p>
        </w:tc>
        <w:tc>
          <w:tcPr>
            <w:tcW w:w="7000" w:type="dxa"/>
            <w:vAlign w:val="bottom"/>
          </w:tcPr>
          <w:p>
            <w:pPr>
              <w:ind w:left="480"/>
              <w:spacing w:after="0"/>
              <w:rPr>
                <w:sz w:val="20"/>
                <w:szCs w:val="20"/>
                <w:color w:val="auto"/>
              </w:rPr>
            </w:pPr>
            <w:r>
              <w:rPr>
                <w:rFonts w:ascii="Arial" w:cs="Arial" w:eastAsia="Arial" w:hAnsi="Arial"/>
                <w:sz w:val="18"/>
                <w:szCs w:val="18"/>
                <w:color w:val="auto"/>
              </w:rPr>
              <w:t>Anti-Corruption Laws/Bribery</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Section 8.24</w:t>
            </w:r>
          </w:p>
        </w:tc>
        <w:tc>
          <w:tcPr>
            <w:tcW w:w="7000" w:type="dxa"/>
            <w:vAlign w:val="bottom"/>
          </w:tcPr>
          <w:p>
            <w:pPr>
              <w:ind w:left="480"/>
              <w:spacing w:after="0"/>
              <w:rPr>
                <w:sz w:val="20"/>
                <w:szCs w:val="20"/>
                <w:color w:val="auto"/>
              </w:rPr>
            </w:pPr>
            <w:r>
              <w:rPr>
                <w:rFonts w:ascii="Arial" w:cs="Arial" w:eastAsia="Arial" w:hAnsi="Arial"/>
                <w:sz w:val="18"/>
                <w:szCs w:val="18"/>
                <w:color w:val="auto"/>
              </w:rPr>
              <w:t>Labor Matters</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340"/>
          </w:cols>
          <w:pgMar w:left="780" w:top="946" w:right="77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w w:val="76"/>
              </w:rPr>
              <w:t>Page</w:t>
            </w:r>
          </w:p>
        </w:tc>
      </w:tr>
      <w:tr>
        <w:trPr>
          <w:trHeight w:val="264"/>
        </w:trPr>
        <w:tc>
          <w:tcPr>
            <w:tcW w:w="1440" w:type="dxa"/>
            <w:vAlign w:val="bottom"/>
          </w:tcPr>
          <w:p>
            <w:pPr>
              <w:spacing w:after="0"/>
              <w:rPr>
                <w:sz w:val="22"/>
                <w:szCs w:val="22"/>
                <w:color w:val="auto"/>
              </w:rPr>
            </w:pPr>
          </w:p>
        </w:tc>
        <w:tc>
          <w:tcPr>
            <w:tcW w:w="6720" w:type="dxa"/>
            <w:vAlign w:val="bottom"/>
          </w:tcPr>
          <w:p>
            <w:pPr>
              <w:ind w:left="3200"/>
              <w:spacing w:after="0"/>
              <w:rPr>
                <w:sz w:val="20"/>
                <w:szCs w:val="20"/>
                <w:color w:val="auto"/>
              </w:rPr>
            </w:pPr>
            <w:r>
              <w:rPr>
                <w:rFonts w:ascii="Arial" w:cs="Arial" w:eastAsia="Arial" w:hAnsi="Arial"/>
                <w:sz w:val="18"/>
                <w:szCs w:val="18"/>
                <w:color w:val="auto"/>
              </w:rPr>
              <w:t>ARTICLE IX.</w:t>
            </w:r>
          </w:p>
        </w:tc>
        <w:tc>
          <w:tcPr>
            <w:tcW w:w="18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432"/>
        </w:trPr>
        <w:tc>
          <w:tcPr>
            <w:tcW w:w="1440" w:type="dxa"/>
            <w:vAlign w:val="bottom"/>
          </w:tcPr>
          <w:p>
            <w:pPr>
              <w:spacing w:after="0"/>
              <w:rPr>
                <w:sz w:val="24"/>
                <w:szCs w:val="24"/>
                <w:color w:val="auto"/>
              </w:rPr>
            </w:pPr>
          </w:p>
        </w:tc>
        <w:tc>
          <w:tcPr>
            <w:tcW w:w="6720" w:type="dxa"/>
            <w:vAlign w:val="bottom"/>
          </w:tcPr>
          <w:p>
            <w:pPr>
              <w:ind w:left="2580"/>
              <w:spacing w:after="0"/>
              <w:rPr>
                <w:sz w:val="20"/>
                <w:szCs w:val="20"/>
                <w:color w:val="auto"/>
              </w:rPr>
            </w:pPr>
            <w:r>
              <w:rPr>
                <w:rFonts w:ascii="Arial" w:cs="Arial" w:eastAsia="Arial" w:hAnsi="Arial"/>
                <w:sz w:val="18"/>
                <w:szCs w:val="18"/>
                <w:color w:val="auto"/>
              </w:rPr>
              <w:t>AFFIRMATIVE COVENANTS</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Arial" w:cs="Arial" w:eastAsia="Arial" w:hAnsi="Arial"/>
                <w:sz w:val="18"/>
                <w:szCs w:val="18"/>
                <w:color w:val="auto"/>
              </w:rPr>
              <w:t>Section 9.01</w:t>
            </w:r>
          </w:p>
        </w:tc>
        <w:tc>
          <w:tcPr>
            <w:tcW w:w="6720" w:type="dxa"/>
            <w:vAlign w:val="bottom"/>
          </w:tcPr>
          <w:p>
            <w:pPr>
              <w:ind w:left="440"/>
              <w:spacing w:after="0"/>
              <w:rPr>
                <w:sz w:val="20"/>
                <w:szCs w:val="20"/>
                <w:color w:val="auto"/>
              </w:rPr>
            </w:pPr>
            <w:r>
              <w:rPr>
                <w:rFonts w:ascii="Arial" w:cs="Arial" w:eastAsia="Arial" w:hAnsi="Arial"/>
                <w:sz w:val="18"/>
                <w:szCs w:val="18"/>
                <w:color w:val="auto"/>
              </w:rPr>
              <w:t>Existence; Business Properties</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9.02</w:t>
            </w:r>
          </w:p>
        </w:tc>
        <w:tc>
          <w:tcPr>
            <w:tcW w:w="6720" w:type="dxa"/>
            <w:vAlign w:val="bottom"/>
          </w:tcPr>
          <w:p>
            <w:pPr>
              <w:ind w:left="440"/>
              <w:spacing w:after="0"/>
              <w:rPr>
                <w:sz w:val="20"/>
                <w:szCs w:val="20"/>
                <w:color w:val="auto"/>
              </w:rPr>
            </w:pPr>
            <w:r>
              <w:rPr>
                <w:rFonts w:ascii="Arial" w:cs="Arial" w:eastAsia="Arial" w:hAnsi="Arial"/>
                <w:sz w:val="18"/>
                <w:szCs w:val="18"/>
                <w:color w:val="auto"/>
              </w:rPr>
              <w:t>Insurance</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113</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9.03</w:t>
            </w:r>
          </w:p>
        </w:tc>
        <w:tc>
          <w:tcPr>
            <w:tcW w:w="6720" w:type="dxa"/>
            <w:vAlign w:val="bottom"/>
          </w:tcPr>
          <w:p>
            <w:pPr>
              <w:ind w:left="440"/>
              <w:spacing w:after="0"/>
              <w:rPr>
                <w:sz w:val="20"/>
                <w:szCs w:val="20"/>
                <w:color w:val="auto"/>
              </w:rPr>
            </w:pPr>
            <w:r>
              <w:rPr>
                <w:rFonts w:ascii="Arial" w:cs="Arial" w:eastAsia="Arial" w:hAnsi="Arial"/>
                <w:sz w:val="18"/>
                <w:szCs w:val="18"/>
                <w:color w:val="auto"/>
              </w:rPr>
              <w:t>Taxes</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113</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9.04</w:t>
            </w:r>
          </w:p>
        </w:tc>
        <w:tc>
          <w:tcPr>
            <w:tcW w:w="6720" w:type="dxa"/>
            <w:vAlign w:val="bottom"/>
          </w:tcPr>
          <w:p>
            <w:pPr>
              <w:ind w:left="440"/>
              <w:spacing w:after="0"/>
              <w:rPr>
                <w:sz w:val="20"/>
                <w:szCs w:val="20"/>
                <w:color w:val="auto"/>
              </w:rPr>
            </w:pPr>
            <w:r>
              <w:rPr>
                <w:rFonts w:ascii="Arial" w:cs="Arial" w:eastAsia="Arial" w:hAnsi="Arial"/>
                <w:sz w:val="18"/>
                <w:szCs w:val="18"/>
                <w:color w:val="auto"/>
              </w:rPr>
              <w:t>Financial Statements, Etc</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113</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9.05</w:t>
            </w:r>
          </w:p>
        </w:tc>
        <w:tc>
          <w:tcPr>
            <w:tcW w:w="6720" w:type="dxa"/>
            <w:vAlign w:val="bottom"/>
          </w:tcPr>
          <w:p>
            <w:pPr>
              <w:ind w:left="440"/>
              <w:spacing w:after="0"/>
              <w:rPr>
                <w:sz w:val="20"/>
                <w:szCs w:val="20"/>
                <w:color w:val="auto"/>
              </w:rPr>
            </w:pPr>
            <w:r>
              <w:rPr>
                <w:rFonts w:ascii="Arial" w:cs="Arial" w:eastAsia="Arial" w:hAnsi="Arial"/>
                <w:sz w:val="18"/>
                <w:szCs w:val="18"/>
                <w:color w:val="auto"/>
              </w:rPr>
              <w:t>Maintaining Records; Access to Properties and Inspections</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9.06</w:t>
            </w:r>
          </w:p>
        </w:tc>
        <w:tc>
          <w:tcPr>
            <w:tcW w:w="6720" w:type="dxa"/>
            <w:vAlign w:val="bottom"/>
          </w:tcPr>
          <w:p>
            <w:pPr>
              <w:ind w:left="440"/>
              <w:spacing w:after="0"/>
              <w:rPr>
                <w:sz w:val="20"/>
                <w:szCs w:val="20"/>
                <w:color w:val="auto"/>
              </w:rPr>
            </w:pPr>
            <w:r>
              <w:rPr>
                <w:rFonts w:ascii="Arial" w:cs="Arial" w:eastAsia="Arial" w:hAnsi="Arial"/>
                <w:sz w:val="18"/>
                <w:szCs w:val="18"/>
                <w:color w:val="auto"/>
              </w:rPr>
              <w:t>Use of Proceeds; FCPA</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9.07</w:t>
            </w:r>
          </w:p>
        </w:tc>
        <w:tc>
          <w:tcPr>
            <w:tcW w:w="6720" w:type="dxa"/>
            <w:vAlign w:val="bottom"/>
          </w:tcPr>
          <w:p>
            <w:pPr>
              <w:ind w:left="440"/>
              <w:spacing w:after="0"/>
              <w:rPr>
                <w:sz w:val="20"/>
                <w:szCs w:val="20"/>
                <w:color w:val="auto"/>
              </w:rPr>
            </w:pPr>
            <w:r>
              <w:rPr>
                <w:rFonts w:ascii="Arial" w:cs="Arial" w:eastAsia="Arial" w:hAnsi="Arial"/>
                <w:sz w:val="18"/>
                <w:szCs w:val="18"/>
                <w:color w:val="auto"/>
              </w:rPr>
              <w:t>Compliance with Environmental Law</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9.08</w:t>
            </w:r>
          </w:p>
        </w:tc>
        <w:tc>
          <w:tcPr>
            <w:tcW w:w="6720" w:type="dxa"/>
            <w:vAlign w:val="bottom"/>
          </w:tcPr>
          <w:p>
            <w:pPr>
              <w:ind w:left="440"/>
              <w:spacing w:after="0"/>
              <w:rPr>
                <w:sz w:val="20"/>
                <w:szCs w:val="20"/>
                <w:color w:val="auto"/>
              </w:rPr>
            </w:pPr>
            <w:r>
              <w:rPr>
                <w:rFonts w:ascii="Arial" w:cs="Arial" w:eastAsia="Arial" w:hAnsi="Arial"/>
                <w:sz w:val="18"/>
                <w:szCs w:val="18"/>
                <w:color w:val="auto"/>
              </w:rPr>
              <w:t>Pledge of Property or Mortgage of Real Property</w:t>
            </w:r>
          </w:p>
        </w:tc>
        <w:tc>
          <w:tcPr>
            <w:tcW w:w="2180" w:type="dxa"/>
            <w:vAlign w:val="bottom"/>
            <w:gridSpan w:val="2"/>
          </w:tcPr>
          <w:p>
            <w:pPr>
              <w:ind w:left="1860"/>
              <w:spacing w:after="0"/>
              <w:rPr>
                <w:sz w:val="20"/>
                <w:szCs w:val="20"/>
                <w:color w:val="auto"/>
              </w:rPr>
            </w:pPr>
            <w:r>
              <w:rPr>
                <w:rFonts w:ascii="Arial" w:cs="Arial" w:eastAsia="Arial" w:hAnsi="Arial"/>
                <w:sz w:val="18"/>
                <w:szCs w:val="18"/>
                <w:color w:val="auto"/>
                <w:w w:val="99"/>
              </w:rPr>
              <w:t>119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9.09</w:t>
            </w:r>
          </w:p>
        </w:tc>
        <w:tc>
          <w:tcPr>
            <w:tcW w:w="6720" w:type="dxa"/>
            <w:vAlign w:val="bottom"/>
          </w:tcPr>
          <w:p>
            <w:pPr>
              <w:ind w:left="440"/>
              <w:spacing w:after="0"/>
              <w:rPr>
                <w:sz w:val="20"/>
                <w:szCs w:val="20"/>
                <w:color w:val="auto"/>
              </w:rPr>
            </w:pPr>
            <w:r>
              <w:rPr>
                <w:rFonts w:ascii="Arial" w:cs="Arial" w:eastAsia="Arial" w:hAnsi="Arial"/>
                <w:sz w:val="18"/>
                <w:szCs w:val="18"/>
                <w:color w:val="auto"/>
              </w:rPr>
              <w:t>Security Interests; Further Assurances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9.10</w:t>
            </w:r>
          </w:p>
        </w:tc>
        <w:tc>
          <w:tcPr>
            <w:tcW w:w="6720" w:type="dxa"/>
            <w:vAlign w:val="bottom"/>
          </w:tcPr>
          <w:p>
            <w:pPr>
              <w:ind w:left="440"/>
              <w:spacing w:after="0"/>
              <w:rPr>
                <w:sz w:val="20"/>
                <w:szCs w:val="20"/>
                <w:color w:val="auto"/>
              </w:rPr>
            </w:pPr>
            <w:r>
              <w:rPr>
                <w:rFonts w:ascii="Arial" w:cs="Arial" w:eastAsia="Arial" w:hAnsi="Arial"/>
                <w:sz w:val="18"/>
                <w:szCs w:val="18"/>
                <w:color w:val="auto"/>
              </w:rPr>
              <w:t>[Reserved]</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9.11</w:t>
            </w:r>
          </w:p>
        </w:tc>
        <w:tc>
          <w:tcPr>
            <w:tcW w:w="6720" w:type="dxa"/>
            <w:vAlign w:val="bottom"/>
          </w:tcPr>
          <w:p>
            <w:pPr>
              <w:ind w:left="440"/>
              <w:spacing w:after="0"/>
              <w:rPr>
                <w:sz w:val="20"/>
                <w:szCs w:val="20"/>
                <w:color w:val="auto"/>
              </w:rPr>
            </w:pPr>
            <w:r>
              <w:rPr>
                <w:rFonts w:ascii="Arial" w:cs="Arial" w:eastAsia="Arial" w:hAnsi="Arial"/>
                <w:sz w:val="18"/>
                <w:szCs w:val="18"/>
                <w:color w:val="auto"/>
              </w:rPr>
              <w:t>Additional Credit Parties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9.12</w:t>
            </w:r>
          </w:p>
        </w:tc>
        <w:tc>
          <w:tcPr>
            <w:tcW w:w="6720" w:type="dxa"/>
            <w:vAlign w:val="bottom"/>
          </w:tcPr>
          <w:p>
            <w:pPr>
              <w:ind w:left="440"/>
              <w:spacing w:after="0"/>
              <w:rPr>
                <w:sz w:val="20"/>
                <w:szCs w:val="20"/>
                <w:color w:val="auto"/>
              </w:rPr>
            </w:pPr>
            <w:r>
              <w:rPr>
                <w:rFonts w:ascii="Arial" w:cs="Arial" w:eastAsia="Arial" w:hAnsi="Arial"/>
                <w:sz w:val="18"/>
                <w:szCs w:val="18"/>
                <w:color w:val="auto"/>
              </w:rPr>
              <w:t>Limitation on Designations of Unrestricted Subsidiaries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9.13</w:t>
            </w:r>
          </w:p>
        </w:tc>
        <w:tc>
          <w:tcPr>
            <w:tcW w:w="6720" w:type="dxa"/>
            <w:vAlign w:val="bottom"/>
          </w:tcPr>
          <w:p>
            <w:pPr>
              <w:ind w:left="440"/>
              <w:spacing w:after="0"/>
              <w:rPr>
                <w:sz w:val="20"/>
                <w:szCs w:val="20"/>
                <w:color w:val="auto"/>
              </w:rPr>
            </w:pPr>
            <w:r>
              <w:rPr>
                <w:rFonts w:ascii="Arial" w:cs="Arial" w:eastAsia="Arial" w:hAnsi="Arial"/>
                <w:sz w:val="18"/>
                <w:szCs w:val="18"/>
                <w:color w:val="auto"/>
              </w:rPr>
              <w:t>Limitation on Designation of Immaterial Subsidiaries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9.14</w:t>
            </w:r>
          </w:p>
        </w:tc>
        <w:tc>
          <w:tcPr>
            <w:tcW w:w="6720" w:type="dxa"/>
            <w:vAlign w:val="bottom"/>
          </w:tcPr>
          <w:p>
            <w:pPr>
              <w:ind w:left="440"/>
              <w:spacing w:after="0"/>
              <w:rPr>
                <w:sz w:val="20"/>
                <w:szCs w:val="20"/>
                <w:color w:val="auto"/>
              </w:rPr>
            </w:pPr>
            <w:r>
              <w:rPr>
                <w:rFonts w:ascii="Arial" w:cs="Arial" w:eastAsia="Arial" w:hAnsi="Arial"/>
                <w:sz w:val="18"/>
                <w:szCs w:val="18"/>
                <w:color w:val="auto"/>
              </w:rPr>
              <w:t>[Reserved]</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9.15</w:t>
            </w:r>
          </w:p>
        </w:tc>
        <w:tc>
          <w:tcPr>
            <w:tcW w:w="6720" w:type="dxa"/>
            <w:vAlign w:val="bottom"/>
          </w:tcPr>
          <w:p>
            <w:pPr>
              <w:ind w:left="440"/>
              <w:spacing w:after="0"/>
              <w:rPr>
                <w:sz w:val="20"/>
                <w:szCs w:val="20"/>
                <w:color w:val="auto"/>
              </w:rPr>
            </w:pPr>
            <w:r>
              <w:rPr>
                <w:rFonts w:ascii="Arial" w:cs="Arial" w:eastAsia="Arial" w:hAnsi="Arial"/>
                <w:sz w:val="18"/>
                <w:szCs w:val="18"/>
                <w:color w:val="auto"/>
              </w:rPr>
              <w:t>Ratings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9.16</w:t>
            </w:r>
          </w:p>
        </w:tc>
        <w:tc>
          <w:tcPr>
            <w:tcW w:w="6720" w:type="dxa"/>
            <w:vAlign w:val="bottom"/>
          </w:tcPr>
          <w:p>
            <w:pPr>
              <w:ind w:left="440"/>
              <w:spacing w:after="0"/>
              <w:rPr>
                <w:sz w:val="20"/>
                <w:szCs w:val="20"/>
                <w:color w:val="auto"/>
              </w:rPr>
            </w:pPr>
            <w:r>
              <w:rPr>
                <w:rFonts w:ascii="Arial" w:cs="Arial" w:eastAsia="Arial" w:hAnsi="Arial"/>
                <w:sz w:val="18"/>
                <w:szCs w:val="18"/>
                <w:color w:val="auto"/>
              </w:rPr>
              <w:t>Post-Closing Matters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122</w:t>
            </w:r>
          </w:p>
        </w:tc>
      </w:tr>
      <w:tr>
        <w:trPr>
          <w:trHeight w:val="459"/>
        </w:trPr>
        <w:tc>
          <w:tcPr>
            <w:tcW w:w="1440" w:type="dxa"/>
            <w:vAlign w:val="bottom"/>
          </w:tcPr>
          <w:p>
            <w:pPr>
              <w:spacing w:after="0"/>
              <w:rPr>
                <w:sz w:val="24"/>
                <w:szCs w:val="24"/>
                <w:color w:val="auto"/>
              </w:rPr>
            </w:pPr>
          </w:p>
        </w:tc>
        <w:tc>
          <w:tcPr>
            <w:tcW w:w="6720" w:type="dxa"/>
            <w:vAlign w:val="bottom"/>
          </w:tcPr>
          <w:p>
            <w:pPr>
              <w:ind w:left="3220"/>
              <w:spacing w:after="0"/>
              <w:rPr>
                <w:sz w:val="20"/>
                <w:szCs w:val="20"/>
                <w:color w:val="auto"/>
              </w:rPr>
            </w:pPr>
            <w:r>
              <w:rPr>
                <w:rFonts w:ascii="Arial" w:cs="Arial" w:eastAsia="Arial" w:hAnsi="Arial"/>
                <w:sz w:val="18"/>
                <w:szCs w:val="18"/>
                <w:color w:val="auto"/>
              </w:rPr>
              <w:t>ARTICLE X.</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6720" w:type="dxa"/>
            <w:vAlign w:val="bottom"/>
          </w:tcPr>
          <w:p>
            <w:pPr>
              <w:ind w:left="2720"/>
              <w:spacing w:after="0"/>
              <w:rPr>
                <w:sz w:val="20"/>
                <w:szCs w:val="20"/>
                <w:color w:val="auto"/>
              </w:rPr>
            </w:pPr>
            <w:r>
              <w:rPr>
                <w:rFonts w:ascii="Arial" w:cs="Arial" w:eastAsia="Arial" w:hAnsi="Arial"/>
                <w:sz w:val="18"/>
                <w:szCs w:val="18"/>
                <w:color w:val="auto"/>
              </w:rPr>
              <w:t>NEGATIVE COVENANTS</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Arial" w:cs="Arial" w:eastAsia="Arial" w:hAnsi="Arial"/>
                <w:sz w:val="18"/>
                <w:szCs w:val="18"/>
                <w:color w:val="auto"/>
              </w:rPr>
              <w:t>Section 10.01</w:t>
            </w:r>
          </w:p>
        </w:tc>
        <w:tc>
          <w:tcPr>
            <w:tcW w:w="6720" w:type="dxa"/>
            <w:vAlign w:val="bottom"/>
          </w:tcPr>
          <w:p>
            <w:pPr>
              <w:ind w:left="440"/>
              <w:spacing w:after="0"/>
              <w:rPr>
                <w:sz w:val="20"/>
                <w:szCs w:val="20"/>
                <w:color w:val="auto"/>
              </w:rPr>
            </w:pPr>
            <w:r>
              <w:rPr>
                <w:rFonts w:ascii="Arial" w:cs="Arial" w:eastAsia="Arial" w:hAnsi="Arial"/>
                <w:sz w:val="18"/>
                <w:szCs w:val="18"/>
                <w:color w:val="auto"/>
              </w:rPr>
              <w:t>Indebtedness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123</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10.02</w:t>
            </w:r>
          </w:p>
        </w:tc>
        <w:tc>
          <w:tcPr>
            <w:tcW w:w="6720" w:type="dxa"/>
            <w:vAlign w:val="bottom"/>
          </w:tcPr>
          <w:p>
            <w:pPr>
              <w:ind w:left="440"/>
              <w:spacing w:after="0"/>
              <w:rPr>
                <w:sz w:val="20"/>
                <w:szCs w:val="20"/>
                <w:color w:val="auto"/>
              </w:rPr>
            </w:pPr>
            <w:r>
              <w:rPr>
                <w:rFonts w:ascii="Arial" w:cs="Arial" w:eastAsia="Arial" w:hAnsi="Arial"/>
                <w:sz w:val="18"/>
                <w:szCs w:val="18"/>
                <w:color w:val="auto"/>
              </w:rPr>
              <w:t>Liens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126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10.03</w:t>
            </w:r>
          </w:p>
        </w:tc>
        <w:tc>
          <w:tcPr>
            <w:tcW w:w="6720" w:type="dxa"/>
            <w:vAlign w:val="bottom"/>
          </w:tcPr>
          <w:p>
            <w:pPr>
              <w:ind w:left="440"/>
              <w:spacing w:after="0"/>
              <w:rPr>
                <w:sz w:val="20"/>
                <w:szCs w:val="20"/>
                <w:color w:val="auto"/>
              </w:rPr>
            </w:pPr>
            <w:r>
              <w:rPr>
                <w:rFonts w:ascii="Arial" w:cs="Arial" w:eastAsia="Arial" w:hAnsi="Arial"/>
                <w:sz w:val="18"/>
                <w:szCs w:val="18"/>
                <w:color w:val="auto"/>
              </w:rPr>
              <w:t>[Reserved]</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131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10.04</w:t>
            </w:r>
          </w:p>
        </w:tc>
        <w:tc>
          <w:tcPr>
            <w:tcW w:w="6720" w:type="dxa"/>
            <w:vAlign w:val="bottom"/>
          </w:tcPr>
          <w:p>
            <w:pPr>
              <w:ind w:left="440"/>
              <w:spacing w:after="0"/>
              <w:rPr>
                <w:sz w:val="20"/>
                <w:szCs w:val="20"/>
                <w:color w:val="auto"/>
              </w:rPr>
            </w:pPr>
            <w:r>
              <w:rPr>
                <w:rFonts w:ascii="Arial" w:cs="Arial" w:eastAsia="Arial" w:hAnsi="Arial"/>
                <w:sz w:val="18"/>
                <w:szCs w:val="18"/>
                <w:color w:val="auto"/>
              </w:rPr>
              <w:t>Investments, Loans and Advances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131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10.05</w:t>
            </w:r>
          </w:p>
        </w:tc>
        <w:tc>
          <w:tcPr>
            <w:tcW w:w="6720" w:type="dxa"/>
            <w:vAlign w:val="bottom"/>
          </w:tcPr>
          <w:p>
            <w:pPr>
              <w:ind w:left="440"/>
              <w:spacing w:after="0"/>
              <w:rPr>
                <w:sz w:val="20"/>
                <w:szCs w:val="20"/>
                <w:color w:val="auto"/>
              </w:rPr>
            </w:pPr>
            <w:r>
              <w:rPr>
                <w:rFonts w:ascii="Arial" w:cs="Arial" w:eastAsia="Arial" w:hAnsi="Arial"/>
                <w:sz w:val="18"/>
                <w:szCs w:val="18"/>
                <w:color w:val="auto"/>
              </w:rPr>
              <w:t>Mergers, Consolidations and Sales of Assets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133</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10.06</w:t>
            </w:r>
          </w:p>
        </w:tc>
        <w:tc>
          <w:tcPr>
            <w:tcW w:w="6720" w:type="dxa"/>
            <w:vAlign w:val="bottom"/>
          </w:tcPr>
          <w:p>
            <w:pPr>
              <w:ind w:left="440"/>
              <w:spacing w:after="0"/>
              <w:rPr>
                <w:sz w:val="20"/>
                <w:szCs w:val="20"/>
                <w:color w:val="auto"/>
              </w:rPr>
            </w:pPr>
            <w:r>
              <w:rPr>
                <w:rFonts w:ascii="Arial" w:cs="Arial" w:eastAsia="Arial" w:hAnsi="Arial"/>
                <w:sz w:val="18"/>
                <w:szCs w:val="18"/>
                <w:color w:val="auto"/>
              </w:rPr>
              <w:t>Restricted Payments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136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10.07</w:t>
            </w:r>
          </w:p>
        </w:tc>
        <w:tc>
          <w:tcPr>
            <w:tcW w:w="6720" w:type="dxa"/>
            <w:vAlign w:val="bottom"/>
          </w:tcPr>
          <w:p>
            <w:pPr>
              <w:ind w:left="440"/>
              <w:spacing w:after="0"/>
              <w:rPr>
                <w:sz w:val="20"/>
                <w:szCs w:val="20"/>
                <w:color w:val="auto"/>
              </w:rPr>
            </w:pPr>
            <w:r>
              <w:rPr>
                <w:rFonts w:ascii="Arial" w:cs="Arial" w:eastAsia="Arial" w:hAnsi="Arial"/>
                <w:sz w:val="18"/>
                <w:szCs w:val="18"/>
                <w:color w:val="auto"/>
              </w:rPr>
              <w:t>Transactions with Affiliates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137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10.08</w:t>
            </w:r>
          </w:p>
        </w:tc>
        <w:tc>
          <w:tcPr>
            <w:tcW w:w="6720" w:type="dxa"/>
            <w:vAlign w:val="bottom"/>
          </w:tcPr>
          <w:p>
            <w:pPr>
              <w:ind w:left="440"/>
              <w:spacing w:after="0"/>
              <w:rPr>
                <w:sz w:val="20"/>
                <w:szCs w:val="20"/>
                <w:color w:val="auto"/>
              </w:rPr>
            </w:pPr>
            <w:r>
              <w:rPr>
                <w:rFonts w:ascii="Arial" w:cs="Arial" w:eastAsia="Arial" w:hAnsi="Arial"/>
                <w:sz w:val="18"/>
                <w:szCs w:val="18"/>
                <w:color w:val="auto"/>
              </w:rPr>
              <w:t>Financial Maintenance Covenant.</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138</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10.09</w:t>
            </w:r>
          </w:p>
        </w:tc>
        <w:tc>
          <w:tcPr>
            <w:tcW w:w="6720" w:type="dxa"/>
            <w:vAlign w:val="bottom"/>
          </w:tcPr>
          <w:p>
            <w:pPr>
              <w:ind w:left="440"/>
              <w:spacing w:after="0"/>
              <w:rPr>
                <w:sz w:val="20"/>
                <w:szCs w:val="20"/>
                <w:color w:val="auto"/>
              </w:rPr>
            </w:pPr>
            <w:r>
              <w:rPr>
                <w:rFonts w:ascii="Arial" w:cs="Arial" w:eastAsia="Arial" w:hAnsi="Arial"/>
                <w:sz w:val="18"/>
                <w:szCs w:val="18"/>
                <w:color w:val="auto"/>
              </w:rPr>
              <w:t>Certain Payments of Indebtedness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138</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10.10</w:t>
            </w:r>
          </w:p>
        </w:tc>
        <w:tc>
          <w:tcPr>
            <w:tcW w:w="6720" w:type="dxa"/>
            <w:vAlign w:val="bottom"/>
          </w:tcPr>
          <w:p>
            <w:pPr>
              <w:ind w:left="440"/>
              <w:spacing w:after="0"/>
              <w:rPr>
                <w:sz w:val="20"/>
                <w:szCs w:val="20"/>
                <w:color w:val="auto"/>
              </w:rPr>
            </w:pPr>
            <w:r>
              <w:rPr>
                <w:rFonts w:ascii="Arial" w:cs="Arial" w:eastAsia="Arial" w:hAnsi="Arial"/>
                <w:sz w:val="18"/>
                <w:szCs w:val="18"/>
                <w:color w:val="auto"/>
              </w:rPr>
              <w:t>Limitation on Certain Restrictions Affecting Subsidiaries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140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10.11</w:t>
            </w:r>
          </w:p>
        </w:tc>
        <w:tc>
          <w:tcPr>
            <w:tcW w:w="6720" w:type="dxa"/>
            <w:vAlign w:val="bottom"/>
          </w:tcPr>
          <w:p>
            <w:pPr>
              <w:ind w:left="440"/>
              <w:spacing w:after="0"/>
              <w:rPr>
                <w:sz w:val="20"/>
                <w:szCs w:val="20"/>
                <w:color w:val="auto"/>
              </w:rPr>
            </w:pPr>
            <w:r>
              <w:rPr>
                <w:rFonts w:ascii="Arial" w:cs="Arial" w:eastAsia="Arial" w:hAnsi="Arial"/>
                <w:sz w:val="18"/>
                <w:szCs w:val="18"/>
                <w:color w:val="auto"/>
              </w:rPr>
              <w:t>Limitation on Lines of Business</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141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10.12</w:t>
            </w:r>
          </w:p>
        </w:tc>
        <w:tc>
          <w:tcPr>
            <w:tcW w:w="6720" w:type="dxa"/>
            <w:vAlign w:val="bottom"/>
          </w:tcPr>
          <w:p>
            <w:pPr>
              <w:ind w:left="440"/>
              <w:spacing w:after="0"/>
              <w:rPr>
                <w:sz w:val="20"/>
                <w:szCs w:val="20"/>
                <w:color w:val="auto"/>
              </w:rPr>
            </w:pPr>
            <w:r>
              <w:rPr>
                <w:rFonts w:ascii="Arial" w:cs="Arial" w:eastAsia="Arial" w:hAnsi="Arial"/>
                <w:sz w:val="18"/>
                <w:szCs w:val="18"/>
                <w:color w:val="auto"/>
              </w:rPr>
              <w:t>Limitation on Changes to Fiscal Year</w:t>
            </w:r>
          </w:p>
        </w:tc>
        <w:tc>
          <w:tcPr>
            <w:tcW w:w="2180" w:type="dxa"/>
            <w:vAlign w:val="bottom"/>
            <w:gridSpan w:val="2"/>
          </w:tcPr>
          <w:p>
            <w:pPr>
              <w:ind w:left="1840"/>
              <w:spacing w:after="0"/>
              <w:rPr>
                <w:sz w:val="20"/>
                <w:szCs w:val="20"/>
                <w:color w:val="auto"/>
              </w:rPr>
            </w:pPr>
            <w:r>
              <w:rPr>
                <w:rFonts w:ascii="Arial" w:cs="Arial" w:eastAsia="Arial" w:hAnsi="Arial"/>
                <w:sz w:val="18"/>
                <w:szCs w:val="18"/>
                <w:color w:val="auto"/>
              </w:rPr>
              <w:t>141</w:t>
            </w:r>
          </w:p>
        </w:tc>
      </w:tr>
    </w:tbl>
    <w:p>
      <w:pPr>
        <w:spacing w:after="0" w:line="200" w:lineRule="exact"/>
        <w:rPr>
          <w:sz w:val="20"/>
          <w:szCs w:val="20"/>
          <w:color w:val="auto"/>
        </w:rPr>
      </w:pPr>
    </w:p>
    <w:p>
      <w:pPr>
        <w:sectPr>
          <w:pgSz w:w="11900" w:h="16838" w:orient="portrait"/>
          <w:cols w:equalWidth="0" w:num="1">
            <w:col w:w="10340"/>
          </w:cols>
          <w:pgMar w:left="780" w:top="946"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340"/>
          </w:cols>
          <w:pgMar w:left="780" w:top="946" w:right="779" w:bottom="1440" w:gutter="0" w:footer="0" w:header="0"/>
          <w:type w:val="continuous"/>
        </w:sectPr>
      </w:pPr>
    </w:p>
    <w:bookmarkStart w:id="210" w:name="page211"/>
    <w:bookmarkEnd w:id="210"/>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w w:val="76"/>
              </w:rPr>
              <w:t>Page</w:t>
            </w:r>
          </w:p>
        </w:tc>
      </w:tr>
      <w:tr>
        <w:trPr>
          <w:trHeight w:val="264"/>
        </w:trPr>
        <w:tc>
          <w:tcPr>
            <w:tcW w:w="1440" w:type="dxa"/>
            <w:vAlign w:val="bottom"/>
          </w:tcPr>
          <w:p>
            <w:pPr>
              <w:spacing w:after="0"/>
              <w:rPr>
                <w:sz w:val="22"/>
                <w:szCs w:val="22"/>
                <w:color w:val="auto"/>
              </w:rPr>
            </w:pPr>
          </w:p>
        </w:tc>
        <w:tc>
          <w:tcPr>
            <w:tcW w:w="6920" w:type="dxa"/>
            <w:vAlign w:val="bottom"/>
          </w:tcPr>
          <w:p>
            <w:pPr>
              <w:ind w:left="3200"/>
              <w:spacing w:after="0"/>
              <w:rPr>
                <w:sz w:val="20"/>
                <w:szCs w:val="20"/>
                <w:color w:val="auto"/>
              </w:rPr>
            </w:pPr>
            <w:r>
              <w:rPr>
                <w:rFonts w:ascii="Arial" w:cs="Arial" w:eastAsia="Arial" w:hAnsi="Arial"/>
                <w:sz w:val="18"/>
                <w:szCs w:val="18"/>
                <w:color w:val="auto"/>
              </w:rPr>
              <w:t>ARTICLE XI.</w:t>
            </w:r>
          </w:p>
        </w:tc>
        <w:tc>
          <w:tcPr>
            <w:tcW w:w="16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432"/>
        </w:trPr>
        <w:tc>
          <w:tcPr>
            <w:tcW w:w="1440" w:type="dxa"/>
            <w:vAlign w:val="bottom"/>
          </w:tcPr>
          <w:p>
            <w:pPr>
              <w:spacing w:after="0"/>
              <w:rPr>
                <w:sz w:val="24"/>
                <w:szCs w:val="24"/>
                <w:color w:val="auto"/>
              </w:rPr>
            </w:pPr>
          </w:p>
        </w:tc>
        <w:tc>
          <w:tcPr>
            <w:tcW w:w="6920" w:type="dxa"/>
            <w:vAlign w:val="bottom"/>
          </w:tcPr>
          <w:p>
            <w:pPr>
              <w:jc w:val="center"/>
              <w:ind w:left="470"/>
              <w:spacing w:after="0"/>
              <w:rPr>
                <w:sz w:val="20"/>
                <w:szCs w:val="20"/>
                <w:color w:val="auto"/>
              </w:rPr>
            </w:pPr>
            <w:r>
              <w:rPr>
                <w:rFonts w:ascii="Arial" w:cs="Arial" w:eastAsia="Arial" w:hAnsi="Arial"/>
                <w:sz w:val="18"/>
                <w:szCs w:val="18"/>
                <w:color w:val="auto"/>
                <w:w w:val="95"/>
              </w:rPr>
              <w:t>EVENTS OF DEFAULT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Arial" w:cs="Arial" w:eastAsia="Arial" w:hAnsi="Arial"/>
                <w:sz w:val="18"/>
                <w:szCs w:val="18"/>
                <w:color w:val="auto"/>
              </w:rPr>
              <w:t>Section 11.01</w:t>
            </w:r>
          </w:p>
        </w:tc>
        <w:tc>
          <w:tcPr>
            <w:tcW w:w="6920" w:type="dxa"/>
            <w:vAlign w:val="bottom"/>
          </w:tcPr>
          <w:p>
            <w:pPr>
              <w:ind w:left="440"/>
              <w:spacing w:after="0"/>
              <w:rPr>
                <w:sz w:val="20"/>
                <w:szCs w:val="20"/>
                <w:color w:val="auto"/>
              </w:rPr>
            </w:pPr>
            <w:r>
              <w:rPr>
                <w:rFonts w:ascii="Arial" w:cs="Arial" w:eastAsia="Arial" w:hAnsi="Arial"/>
                <w:sz w:val="18"/>
                <w:szCs w:val="18"/>
                <w:color w:val="auto"/>
              </w:rPr>
              <w:t>Events of Default</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11.02</w:t>
            </w:r>
          </w:p>
        </w:tc>
        <w:tc>
          <w:tcPr>
            <w:tcW w:w="6920" w:type="dxa"/>
            <w:vAlign w:val="bottom"/>
          </w:tcPr>
          <w:p>
            <w:pPr>
              <w:ind w:left="440"/>
              <w:spacing w:after="0"/>
              <w:rPr>
                <w:sz w:val="20"/>
                <w:szCs w:val="20"/>
                <w:color w:val="auto"/>
              </w:rPr>
            </w:pPr>
            <w:r>
              <w:rPr>
                <w:rFonts w:ascii="Arial" w:cs="Arial" w:eastAsia="Arial" w:hAnsi="Arial"/>
                <w:sz w:val="18"/>
                <w:szCs w:val="18"/>
                <w:color w:val="auto"/>
              </w:rPr>
              <w:t>Application of Proceeds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11.03</w:t>
            </w:r>
          </w:p>
        </w:tc>
        <w:tc>
          <w:tcPr>
            <w:tcW w:w="6920" w:type="dxa"/>
            <w:vAlign w:val="bottom"/>
          </w:tcPr>
          <w:p>
            <w:pPr>
              <w:ind w:left="440"/>
              <w:spacing w:after="0"/>
              <w:rPr>
                <w:sz w:val="20"/>
                <w:szCs w:val="20"/>
                <w:color w:val="auto"/>
              </w:rPr>
            </w:pPr>
            <w:r>
              <w:rPr>
                <w:rFonts w:ascii="Arial" w:cs="Arial" w:eastAsia="Arial" w:hAnsi="Arial"/>
                <w:sz w:val="18"/>
                <w:szCs w:val="18"/>
                <w:color w:val="auto"/>
              </w:rPr>
              <w:t>Borrower’s Right to Cure</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145</w:t>
            </w:r>
          </w:p>
        </w:tc>
      </w:tr>
      <w:tr>
        <w:trPr>
          <w:trHeight w:val="459"/>
        </w:trPr>
        <w:tc>
          <w:tcPr>
            <w:tcW w:w="1440" w:type="dxa"/>
            <w:vAlign w:val="bottom"/>
          </w:tcPr>
          <w:p>
            <w:pPr>
              <w:spacing w:after="0"/>
              <w:rPr>
                <w:sz w:val="24"/>
                <w:szCs w:val="24"/>
                <w:color w:val="auto"/>
              </w:rPr>
            </w:pPr>
          </w:p>
        </w:tc>
        <w:tc>
          <w:tcPr>
            <w:tcW w:w="6920" w:type="dxa"/>
            <w:vAlign w:val="bottom"/>
          </w:tcPr>
          <w:p>
            <w:pPr>
              <w:jc w:val="center"/>
              <w:ind w:left="450"/>
              <w:spacing w:after="0"/>
              <w:rPr>
                <w:sz w:val="20"/>
                <w:szCs w:val="20"/>
                <w:color w:val="auto"/>
              </w:rPr>
            </w:pPr>
            <w:r>
              <w:rPr>
                <w:rFonts w:ascii="Arial" w:cs="Arial" w:eastAsia="Arial" w:hAnsi="Arial"/>
                <w:sz w:val="18"/>
                <w:szCs w:val="18"/>
                <w:color w:val="auto"/>
              </w:rPr>
              <w:t>ARTICLE XII.</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1440" w:type="dxa"/>
            <w:vAlign w:val="bottom"/>
          </w:tcPr>
          <w:p>
            <w:pPr>
              <w:spacing w:after="0"/>
              <w:rPr>
                <w:sz w:val="24"/>
                <w:szCs w:val="24"/>
                <w:color w:val="auto"/>
              </w:rPr>
            </w:pPr>
          </w:p>
        </w:tc>
        <w:tc>
          <w:tcPr>
            <w:tcW w:w="6920" w:type="dxa"/>
            <w:vAlign w:val="bottom"/>
          </w:tcPr>
          <w:p>
            <w:pPr>
              <w:jc w:val="center"/>
              <w:ind w:left="450"/>
              <w:spacing w:after="0"/>
              <w:rPr>
                <w:sz w:val="20"/>
                <w:szCs w:val="20"/>
                <w:color w:val="auto"/>
              </w:rPr>
            </w:pPr>
            <w:r>
              <w:rPr>
                <w:rFonts w:ascii="Arial" w:cs="Arial" w:eastAsia="Arial" w:hAnsi="Arial"/>
                <w:sz w:val="18"/>
                <w:szCs w:val="18"/>
                <w:color w:val="auto"/>
                <w:w w:val="94"/>
              </w:rPr>
              <w:t>AGENTS</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Arial" w:cs="Arial" w:eastAsia="Arial" w:hAnsi="Arial"/>
                <w:sz w:val="18"/>
                <w:szCs w:val="18"/>
                <w:color w:val="auto"/>
              </w:rPr>
              <w:t>Section 12.01</w:t>
            </w:r>
          </w:p>
        </w:tc>
        <w:tc>
          <w:tcPr>
            <w:tcW w:w="6920" w:type="dxa"/>
            <w:vAlign w:val="bottom"/>
          </w:tcPr>
          <w:p>
            <w:pPr>
              <w:ind w:left="440"/>
              <w:spacing w:after="0"/>
              <w:rPr>
                <w:sz w:val="20"/>
                <w:szCs w:val="20"/>
                <w:color w:val="auto"/>
              </w:rPr>
            </w:pPr>
            <w:r>
              <w:rPr>
                <w:rFonts w:ascii="Arial" w:cs="Arial" w:eastAsia="Arial" w:hAnsi="Arial"/>
                <w:sz w:val="18"/>
                <w:szCs w:val="18"/>
                <w:color w:val="auto"/>
              </w:rPr>
              <w:t>Appointment</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145</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12.02</w:t>
            </w:r>
          </w:p>
        </w:tc>
        <w:tc>
          <w:tcPr>
            <w:tcW w:w="6920" w:type="dxa"/>
            <w:vAlign w:val="bottom"/>
          </w:tcPr>
          <w:p>
            <w:pPr>
              <w:ind w:left="440"/>
              <w:spacing w:after="0"/>
              <w:rPr>
                <w:sz w:val="20"/>
                <w:szCs w:val="20"/>
                <w:color w:val="auto"/>
              </w:rPr>
            </w:pPr>
            <w:r>
              <w:rPr>
                <w:rFonts w:ascii="Arial" w:cs="Arial" w:eastAsia="Arial" w:hAnsi="Arial"/>
                <w:sz w:val="18"/>
                <w:szCs w:val="18"/>
                <w:color w:val="auto"/>
              </w:rPr>
              <w:t>Rights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12.03</w:t>
            </w:r>
          </w:p>
        </w:tc>
        <w:tc>
          <w:tcPr>
            <w:tcW w:w="6920" w:type="dxa"/>
            <w:vAlign w:val="bottom"/>
          </w:tcPr>
          <w:p>
            <w:pPr>
              <w:ind w:left="440"/>
              <w:spacing w:after="0"/>
              <w:rPr>
                <w:sz w:val="20"/>
                <w:szCs w:val="20"/>
                <w:color w:val="auto"/>
              </w:rPr>
            </w:pPr>
            <w:r>
              <w:rPr>
                <w:rFonts w:ascii="Arial" w:cs="Arial" w:eastAsia="Arial" w:hAnsi="Arial"/>
                <w:sz w:val="18"/>
                <w:szCs w:val="18"/>
                <w:color w:val="auto"/>
              </w:rPr>
              <w:t>Exculpatory Provisions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12.04</w:t>
            </w:r>
          </w:p>
        </w:tc>
        <w:tc>
          <w:tcPr>
            <w:tcW w:w="6920" w:type="dxa"/>
            <w:vAlign w:val="bottom"/>
          </w:tcPr>
          <w:p>
            <w:pPr>
              <w:ind w:left="440"/>
              <w:spacing w:after="0"/>
              <w:rPr>
                <w:sz w:val="20"/>
                <w:szCs w:val="20"/>
                <w:color w:val="auto"/>
              </w:rPr>
            </w:pPr>
            <w:r>
              <w:rPr>
                <w:rFonts w:ascii="Arial" w:cs="Arial" w:eastAsia="Arial" w:hAnsi="Arial"/>
                <w:sz w:val="18"/>
                <w:szCs w:val="18"/>
                <w:color w:val="auto"/>
              </w:rPr>
              <w:t>Reliance by Agents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12.05</w:t>
            </w:r>
          </w:p>
        </w:tc>
        <w:tc>
          <w:tcPr>
            <w:tcW w:w="6920" w:type="dxa"/>
            <w:vAlign w:val="bottom"/>
          </w:tcPr>
          <w:p>
            <w:pPr>
              <w:ind w:left="440"/>
              <w:spacing w:after="0"/>
              <w:rPr>
                <w:sz w:val="20"/>
                <w:szCs w:val="20"/>
                <w:color w:val="auto"/>
              </w:rPr>
            </w:pPr>
            <w:r>
              <w:rPr>
                <w:rFonts w:ascii="Arial" w:cs="Arial" w:eastAsia="Arial" w:hAnsi="Arial"/>
                <w:sz w:val="18"/>
                <w:szCs w:val="18"/>
                <w:color w:val="auto"/>
              </w:rPr>
              <w:t>Delegation of Duties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12.06</w:t>
            </w:r>
          </w:p>
        </w:tc>
        <w:tc>
          <w:tcPr>
            <w:tcW w:w="6920" w:type="dxa"/>
            <w:vAlign w:val="bottom"/>
          </w:tcPr>
          <w:p>
            <w:pPr>
              <w:ind w:left="440"/>
              <w:spacing w:after="0"/>
              <w:rPr>
                <w:sz w:val="20"/>
                <w:szCs w:val="20"/>
                <w:color w:val="auto"/>
              </w:rPr>
            </w:pPr>
            <w:r>
              <w:rPr>
                <w:rFonts w:ascii="Arial" w:cs="Arial" w:eastAsia="Arial" w:hAnsi="Arial"/>
                <w:sz w:val="18"/>
                <w:szCs w:val="18"/>
                <w:color w:val="auto"/>
              </w:rPr>
              <w:t>Resignation of Administrative Agent</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12.07</w:t>
            </w:r>
          </w:p>
        </w:tc>
        <w:tc>
          <w:tcPr>
            <w:tcW w:w="6920" w:type="dxa"/>
            <w:vAlign w:val="bottom"/>
          </w:tcPr>
          <w:p>
            <w:pPr>
              <w:ind w:left="440"/>
              <w:spacing w:after="0"/>
              <w:rPr>
                <w:sz w:val="20"/>
                <w:szCs w:val="20"/>
                <w:color w:val="auto"/>
              </w:rPr>
            </w:pPr>
            <w:r>
              <w:rPr>
                <w:rFonts w:ascii="Arial" w:cs="Arial" w:eastAsia="Arial" w:hAnsi="Arial"/>
                <w:sz w:val="18"/>
                <w:szCs w:val="18"/>
                <w:color w:val="auto"/>
              </w:rPr>
              <w:t>Nonreliance on Agents and Other Lenders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12.08</w:t>
            </w:r>
          </w:p>
        </w:tc>
        <w:tc>
          <w:tcPr>
            <w:tcW w:w="6920" w:type="dxa"/>
            <w:vAlign w:val="bottom"/>
          </w:tcPr>
          <w:p>
            <w:pPr>
              <w:ind w:left="440"/>
              <w:spacing w:after="0"/>
              <w:rPr>
                <w:sz w:val="20"/>
                <w:szCs w:val="20"/>
                <w:color w:val="auto"/>
              </w:rPr>
            </w:pPr>
            <w:r>
              <w:rPr>
                <w:rFonts w:ascii="Arial" w:cs="Arial" w:eastAsia="Arial" w:hAnsi="Arial"/>
                <w:sz w:val="18"/>
                <w:szCs w:val="18"/>
                <w:color w:val="auto"/>
              </w:rPr>
              <w:t>Indemnification</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12.09</w:t>
            </w:r>
          </w:p>
        </w:tc>
        <w:tc>
          <w:tcPr>
            <w:tcW w:w="6920" w:type="dxa"/>
            <w:vAlign w:val="bottom"/>
          </w:tcPr>
          <w:p>
            <w:pPr>
              <w:ind w:left="440"/>
              <w:spacing w:after="0"/>
              <w:rPr>
                <w:sz w:val="20"/>
                <w:szCs w:val="20"/>
                <w:color w:val="auto"/>
              </w:rPr>
            </w:pPr>
            <w:r>
              <w:rPr>
                <w:rFonts w:ascii="Arial" w:cs="Arial" w:eastAsia="Arial" w:hAnsi="Arial"/>
                <w:sz w:val="18"/>
                <w:szCs w:val="18"/>
                <w:color w:val="auto"/>
              </w:rPr>
              <w:t>No Other Duties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149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12.10</w:t>
            </w:r>
          </w:p>
        </w:tc>
        <w:tc>
          <w:tcPr>
            <w:tcW w:w="6920" w:type="dxa"/>
            <w:vAlign w:val="bottom"/>
          </w:tcPr>
          <w:p>
            <w:pPr>
              <w:ind w:left="440"/>
              <w:spacing w:after="0"/>
              <w:rPr>
                <w:sz w:val="20"/>
                <w:szCs w:val="20"/>
                <w:color w:val="auto"/>
              </w:rPr>
            </w:pPr>
            <w:r>
              <w:rPr>
                <w:rFonts w:ascii="Arial" w:cs="Arial" w:eastAsia="Arial" w:hAnsi="Arial"/>
                <w:sz w:val="18"/>
                <w:szCs w:val="18"/>
                <w:color w:val="auto"/>
              </w:rPr>
              <w:t>Holders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150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12.11</w:t>
            </w:r>
          </w:p>
        </w:tc>
        <w:tc>
          <w:tcPr>
            <w:tcW w:w="6920" w:type="dxa"/>
            <w:vAlign w:val="bottom"/>
          </w:tcPr>
          <w:p>
            <w:pPr>
              <w:ind w:left="440"/>
              <w:spacing w:after="0"/>
              <w:rPr>
                <w:sz w:val="20"/>
                <w:szCs w:val="20"/>
                <w:color w:val="auto"/>
              </w:rPr>
            </w:pPr>
            <w:r>
              <w:rPr>
                <w:rFonts w:ascii="Arial" w:cs="Arial" w:eastAsia="Arial" w:hAnsi="Arial"/>
                <w:sz w:val="18"/>
                <w:szCs w:val="18"/>
                <w:color w:val="auto"/>
              </w:rPr>
              <w:t>Administrative Agent May File Proofs of Claim</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150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12.12</w:t>
            </w:r>
          </w:p>
        </w:tc>
        <w:tc>
          <w:tcPr>
            <w:tcW w:w="6920" w:type="dxa"/>
            <w:vAlign w:val="bottom"/>
          </w:tcPr>
          <w:p>
            <w:pPr>
              <w:ind w:left="440"/>
              <w:spacing w:after="0"/>
              <w:rPr>
                <w:sz w:val="20"/>
                <w:szCs w:val="20"/>
                <w:color w:val="auto"/>
              </w:rPr>
            </w:pPr>
            <w:r>
              <w:rPr>
                <w:rFonts w:ascii="Arial" w:cs="Arial" w:eastAsia="Arial" w:hAnsi="Arial"/>
                <w:sz w:val="18"/>
                <w:szCs w:val="18"/>
                <w:color w:val="auto"/>
              </w:rPr>
              <w:t>Collateral Matters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150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12.13</w:t>
            </w:r>
          </w:p>
        </w:tc>
        <w:tc>
          <w:tcPr>
            <w:tcW w:w="6920" w:type="dxa"/>
            <w:vAlign w:val="bottom"/>
          </w:tcPr>
          <w:p>
            <w:pPr>
              <w:ind w:left="440"/>
              <w:spacing w:after="0"/>
              <w:rPr>
                <w:sz w:val="20"/>
                <w:szCs w:val="20"/>
                <w:color w:val="auto"/>
              </w:rPr>
            </w:pPr>
            <w:r>
              <w:rPr>
                <w:rFonts w:ascii="Arial" w:cs="Arial" w:eastAsia="Arial" w:hAnsi="Arial"/>
                <w:sz w:val="18"/>
                <w:szCs w:val="18"/>
                <w:color w:val="auto"/>
              </w:rPr>
              <w:t>Withholding Tax</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151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12.14</w:t>
            </w:r>
          </w:p>
        </w:tc>
        <w:tc>
          <w:tcPr>
            <w:tcW w:w="6920" w:type="dxa"/>
            <w:vAlign w:val="bottom"/>
          </w:tcPr>
          <w:p>
            <w:pPr>
              <w:ind w:left="440"/>
              <w:spacing w:after="0"/>
              <w:rPr>
                <w:sz w:val="20"/>
                <w:szCs w:val="20"/>
                <w:color w:val="auto"/>
              </w:rPr>
            </w:pPr>
            <w:r>
              <w:rPr>
                <w:rFonts w:ascii="Arial" w:cs="Arial" w:eastAsia="Arial" w:hAnsi="Arial"/>
                <w:sz w:val="18"/>
                <w:szCs w:val="18"/>
                <w:color w:val="auto"/>
              </w:rPr>
              <w:t>Secured Cash Management Agreements and Credit Swap Contracts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151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12.15</w:t>
            </w:r>
          </w:p>
        </w:tc>
        <w:tc>
          <w:tcPr>
            <w:tcW w:w="6920" w:type="dxa"/>
            <w:vAlign w:val="bottom"/>
          </w:tcPr>
          <w:p>
            <w:pPr>
              <w:ind w:left="440"/>
              <w:spacing w:after="0"/>
              <w:rPr>
                <w:sz w:val="20"/>
                <w:szCs w:val="20"/>
                <w:color w:val="auto"/>
              </w:rPr>
            </w:pPr>
            <w:r>
              <w:rPr>
                <w:rFonts w:ascii="Arial" w:cs="Arial" w:eastAsia="Arial" w:hAnsi="Arial"/>
                <w:sz w:val="18"/>
                <w:szCs w:val="18"/>
                <w:color w:val="auto"/>
              </w:rPr>
              <w:t>Certain ERISA Matters</w:t>
            </w:r>
          </w:p>
        </w:tc>
        <w:tc>
          <w:tcPr>
            <w:tcW w:w="1980" w:type="dxa"/>
            <w:vAlign w:val="bottom"/>
            <w:gridSpan w:val="2"/>
          </w:tcPr>
          <w:p>
            <w:pPr>
              <w:ind w:left="1640"/>
              <w:spacing w:after="0"/>
              <w:rPr>
                <w:sz w:val="20"/>
                <w:szCs w:val="20"/>
                <w:color w:val="auto"/>
              </w:rPr>
            </w:pPr>
            <w:r>
              <w:rPr>
                <w:rFonts w:ascii="Arial" w:cs="Arial" w:eastAsia="Arial" w:hAnsi="Arial"/>
                <w:sz w:val="18"/>
                <w:szCs w:val="18"/>
                <w:color w:val="auto"/>
              </w:rPr>
              <w:t>151</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340"/>
          </w:cols>
          <w:pgMar w:left="780" w:top="945" w:right="77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w w:val="76"/>
              </w:rPr>
              <w:t>Page</w:t>
            </w:r>
          </w:p>
        </w:tc>
      </w:tr>
      <w:tr>
        <w:trPr>
          <w:trHeight w:val="264"/>
        </w:trPr>
        <w:tc>
          <w:tcPr>
            <w:tcW w:w="1440" w:type="dxa"/>
            <w:vAlign w:val="bottom"/>
          </w:tcPr>
          <w:p>
            <w:pPr>
              <w:spacing w:after="0"/>
              <w:rPr>
                <w:sz w:val="22"/>
                <w:szCs w:val="22"/>
                <w:color w:val="auto"/>
              </w:rPr>
            </w:pPr>
          </w:p>
        </w:tc>
        <w:tc>
          <w:tcPr>
            <w:tcW w:w="7100" w:type="dxa"/>
            <w:vAlign w:val="bottom"/>
          </w:tcPr>
          <w:p>
            <w:pPr>
              <w:ind w:left="3140"/>
              <w:spacing w:after="0"/>
              <w:rPr>
                <w:sz w:val="20"/>
                <w:szCs w:val="20"/>
                <w:color w:val="auto"/>
              </w:rPr>
            </w:pPr>
            <w:r>
              <w:rPr>
                <w:rFonts w:ascii="Arial" w:cs="Arial" w:eastAsia="Arial" w:hAnsi="Arial"/>
                <w:sz w:val="18"/>
                <w:szCs w:val="18"/>
                <w:color w:val="auto"/>
              </w:rPr>
              <w:t>ARTICLE XIII.</w:t>
            </w:r>
          </w:p>
        </w:tc>
        <w:tc>
          <w:tcPr>
            <w:tcW w:w="14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r>
      <w:tr>
        <w:trPr>
          <w:trHeight w:val="432"/>
        </w:trPr>
        <w:tc>
          <w:tcPr>
            <w:tcW w:w="1440" w:type="dxa"/>
            <w:vAlign w:val="bottom"/>
          </w:tcPr>
          <w:p>
            <w:pPr>
              <w:spacing w:after="0"/>
              <w:rPr>
                <w:sz w:val="24"/>
                <w:szCs w:val="24"/>
                <w:color w:val="auto"/>
              </w:rPr>
            </w:pPr>
          </w:p>
        </w:tc>
        <w:tc>
          <w:tcPr>
            <w:tcW w:w="7100" w:type="dxa"/>
            <w:vAlign w:val="bottom"/>
          </w:tcPr>
          <w:p>
            <w:pPr>
              <w:ind w:left="2980"/>
              <w:spacing w:after="0"/>
              <w:rPr>
                <w:sz w:val="20"/>
                <w:szCs w:val="20"/>
                <w:color w:val="auto"/>
              </w:rPr>
            </w:pPr>
            <w:r>
              <w:rPr>
                <w:rFonts w:ascii="Arial" w:cs="Arial" w:eastAsia="Arial" w:hAnsi="Arial"/>
                <w:sz w:val="18"/>
                <w:szCs w:val="18"/>
                <w:color w:val="auto"/>
              </w:rPr>
              <w:t>MISCELLANEOUS</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Arial" w:cs="Arial" w:eastAsia="Arial" w:hAnsi="Arial"/>
                <w:sz w:val="18"/>
                <w:szCs w:val="18"/>
                <w:color w:val="auto"/>
              </w:rPr>
              <w:t>Section 13.01</w:t>
            </w:r>
          </w:p>
        </w:tc>
        <w:tc>
          <w:tcPr>
            <w:tcW w:w="7100" w:type="dxa"/>
            <w:vAlign w:val="bottom"/>
          </w:tcPr>
          <w:p>
            <w:pPr>
              <w:ind w:left="440"/>
              <w:spacing w:after="0"/>
              <w:rPr>
                <w:sz w:val="20"/>
                <w:szCs w:val="20"/>
                <w:color w:val="auto"/>
              </w:rPr>
            </w:pPr>
            <w:r>
              <w:rPr>
                <w:rFonts w:ascii="Arial" w:cs="Arial" w:eastAsia="Arial" w:hAnsi="Arial"/>
                <w:sz w:val="18"/>
                <w:szCs w:val="18"/>
                <w:color w:val="auto"/>
              </w:rPr>
              <w:t>Waiver</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152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13.02</w:t>
            </w:r>
          </w:p>
        </w:tc>
        <w:tc>
          <w:tcPr>
            <w:tcW w:w="7100" w:type="dxa"/>
            <w:vAlign w:val="bottom"/>
          </w:tcPr>
          <w:p>
            <w:pPr>
              <w:ind w:left="440"/>
              <w:spacing w:after="0"/>
              <w:rPr>
                <w:sz w:val="20"/>
                <w:szCs w:val="20"/>
                <w:color w:val="auto"/>
              </w:rPr>
            </w:pPr>
            <w:r>
              <w:rPr>
                <w:rFonts w:ascii="Arial" w:cs="Arial" w:eastAsia="Arial" w:hAnsi="Arial"/>
                <w:sz w:val="18"/>
                <w:szCs w:val="18"/>
                <w:color w:val="auto"/>
              </w:rPr>
              <w:t>Notices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152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13.03</w:t>
            </w:r>
          </w:p>
        </w:tc>
        <w:tc>
          <w:tcPr>
            <w:tcW w:w="7100" w:type="dxa"/>
            <w:vAlign w:val="bottom"/>
          </w:tcPr>
          <w:p>
            <w:pPr>
              <w:ind w:left="440"/>
              <w:spacing w:after="0"/>
              <w:rPr>
                <w:sz w:val="20"/>
                <w:szCs w:val="20"/>
                <w:color w:val="auto"/>
              </w:rPr>
            </w:pPr>
            <w:r>
              <w:rPr>
                <w:rFonts w:ascii="Arial" w:cs="Arial" w:eastAsia="Arial" w:hAnsi="Arial"/>
                <w:sz w:val="18"/>
                <w:szCs w:val="18"/>
                <w:color w:val="auto"/>
              </w:rPr>
              <w:t>Expenses, Indemnification, Etc</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154</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13.04</w:t>
            </w:r>
          </w:p>
        </w:tc>
        <w:tc>
          <w:tcPr>
            <w:tcW w:w="7100" w:type="dxa"/>
            <w:vAlign w:val="bottom"/>
          </w:tcPr>
          <w:p>
            <w:pPr>
              <w:ind w:left="440"/>
              <w:spacing w:after="0"/>
              <w:rPr>
                <w:sz w:val="20"/>
                <w:szCs w:val="20"/>
                <w:color w:val="auto"/>
              </w:rPr>
            </w:pPr>
            <w:r>
              <w:rPr>
                <w:rFonts w:ascii="Arial" w:cs="Arial" w:eastAsia="Arial" w:hAnsi="Arial"/>
                <w:sz w:val="18"/>
                <w:szCs w:val="18"/>
                <w:color w:val="auto"/>
              </w:rPr>
              <w:t>Amendments and Waiver</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156</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13.05</w:t>
            </w:r>
          </w:p>
        </w:tc>
        <w:tc>
          <w:tcPr>
            <w:tcW w:w="7100" w:type="dxa"/>
            <w:vAlign w:val="bottom"/>
          </w:tcPr>
          <w:p>
            <w:pPr>
              <w:ind w:left="440"/>
              <w:spacing w:after="0"/>
              <w:rPr>
                <w:sz w:val="20"/>
                <w:szCs w:val="20"/>
                <w:color w:val="auto"/>
              </w:rPr>
            </w:pPr>
            <w:r>
              <w:rPr>
                <w:rFonts w:ascii="Arial" w:cs="Arial" w:eastAsia="Arial" w:hAnsi="Arial"/>
                <w:sz w:val="18"/>
                <w:szCs w:val="18"/>
                <w:color w:val="auto"/>
              </w:rPr>
              <w:t>Benefit of Agreement; Assignments; Participations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13.06</w:t>
            </w:r>
          </w:p>
        </w:tc>
        <w:tc>
          <w:tcPr>
            <w:tcW w:w="7100" w:type="dxa"/>
            <w:vAlign w:val="bottom"/>
          </w:tcPr>
          <w:p>
            <w:pPr>
              <w:ind w:left="440"/>
              <w:spacing w:after="0"/>
              <w:rPr>
                <w:sz w:val="20"/>
                <w:szCs w:val="20"/>
                <w:color w:val="auto"/>
              </w:rPr>
            </w:pPr>
            <w:r>
              <w:rPr>
                <w:rFonts w:ascii="Arial" w:cs="Arial" w:eastAsia="Arial" w:hAnsi="Arial"/>
                <w:sz w:val="18"/>
                <w:szCs w:val="18"/>
                <w:color w:val="auto"/>
              </w:rPr>
              <w:t>Survival</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13.07</w:t>
            </w:r>
          </w:p>
        </w:tc>
        <w:tc>
          <w:tcPr>
            <w:tcW w:w="7100" w:type="dxa"/>
            <w:vAlign w:val="bottom"/>
          </w:tcPr>
          <w:p>
            <w:pPr>
              <w:ind w:left="440"/>
              <w:spacing w:after="0"/>
              <w:rPr>
                <w:sz w:val="20"/>
                <w:szCs w:val="20"/>
                <w:color w:val="auto"/>
              </w:rPr>
            </w:pPr>
            <w:r>
              <w:rPr>
                <w:rFonts w:ascii="Arial" w:cs="Arial" w:eastAsia="Arial" w:hAnsi="Arial"/>
                <w:sz w:val="18"/>
                <w:szCs w:val="18"/>
                <w:color w:val="auto"/>
              </w:rPr>
              <w:t>Captions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13.08</w:t>
            </w:r>
          </w:p>
        </w:tc>
        <w:tc>
          <w:tcPr>
            <w:tcW w:w="7100" w:type="dxa"/>
            <w:vAlign w:val="bottom"/>
          </w:tcPr>
          <w:p>
            <w:pPr>
              <w:ind w:left="440"/>
              <w:spacing w:after="0"/>
              <w:rPr>
                <w:sz w:val="20"/>
                <w:szCs w:val="20"/>
                <w:color w:val="auto"/>
              </w:rPr>
            </w:pPr>
            <w:r>
              <w:rPr>
                <w:rFonts w:ascii="Arial" w:cs="Arial" w:eastAsia="Arial" w:hAnsi="Arial"/>
                <w:sz w:val="18"/>
                <w:szCs w:val="18"/>
                <w:color w:val="auto"/>
              </w:rPr>
              <w:t>Counterparts; Interpretation; Effectiveness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13.09</w:t>
            </w:r>
          </w:p>
        </w:tc>
        <w:tc>
          <w:tcPr>
            <w:tcW w:w="7100" w:type="dxa"/>
            <w:vAlign w:val="bottom"/>
          </w:tcPr>
          <w:p>
            <w:pPr>
              <w:ind w:left="440"/>
              <w:spacing w:after="0"/>
              <w:rPr>
                <w:sz w:val="20"/>
                <w:szCs w:val="20"/>
                <w:color w:val="auto"/>
              </w:rPr>
            </w:pPr>
            <w:r>
              <w:rPr>
                <w:rFonts w:ascii="Arial" w:cs="Arial" w:eastAsia="Arial" w:hAnsi="Arial"/>
                <w:sz w:val="18"/>
                <w:szCs w:val="18"/>
                <w:color w:val="auto"/>
              </w:rPr>
              <w:t>Governing Law; Submission to Jurisdiction; Waivers; Etc.</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167</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13.10</w:t>
            </w:r>
          </w:p>
        </w:tc>
        <w:tc>
          <w:tcPr>
            <w:tcW w:w="7100" w:type="dxa"/>
            <w:vAlign w:val="bottom"/>
          </w:tcPr>
          <w:p>
            <w:pPr>
              <w:ind w:left="440"/>
              <w:spacing w:after="0"/>
              <w:rPr>
                <w:sz w:val="20"/>
                <w:szCs w:val="20"/>
                <w:color w:val="auto"/>
              </w:rPr>
            </w:pPr>
            <w:r>
              <w:rPr>
                <w:rFonts w:ascii="Arial" w:cs="Arial" w:eastAsia="Arial" w:hAnsi="Arial"/>
                <w:sz w:val="18"/>
                <w:szCs w:val="18"/>
                <w:color w:val="auto"/>
              </w:rPr>
              <w:t>Confidentiality</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168</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13.11</w:t>
            </w:r>
          </w:p>
        </w:tc>
        <w:tc>
          <w:tcPr>
            <w:tcW w:w="7100" w:type="dxa"/>
            <w:vAlign w:val="bottom"/>
          </w:tcPr>
          <w:p>
            <w:pPr>
              <w:ind w:left="440"/>
              <w:spacing w:after="0"/>
              <w:rPr>
                <w:sz w:val="20"/>
                <w:szCs w:val="20"/>
                <w:color w:val="auto"/>
              </w:rPr>
            </w:pPr>
            <w:r>
              <w:rPr>
                <w:rFonts w:ascii="Arial" w:cs="Arial" w:eastAsia="Arial" w:hAnsi="Arial"/>
                <w:sz w:val="18"/>
                <w:szCs w:val="18"/>
                <w:color w:val="auto"/>
              </w:rPr>
              <w:t>Independence of Representations, Warranties and Covenants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13.12</w:t>
            </w:r>
          </w:p>
        </w:tc>
        <w:tc>
          <w:tcPr>
            <w:tcW w:w="7100" w:type="dxa"/>
            <w:vAlign w:val="bottom"/>
          </w:tcPr>
          <w:p>
            <w:pPr>
              <w:ind w:left="440"/>
              <w:spacing w:after="0"/>
              <w:rPr>
                <w:sz w:val="20"/>
                <w:szCs w:val="20"/>
                <w:color w:val="auto"/>
              </w:rPr>
            </w:pPr>
            <w:r>
              <w:rPr>
                <w:rFonts w:ascii="Arial" w:cs="Arial" w:eastAsia="Arial" w:hAnsi="Arial"/>
                <w:sz w:val="18"/>
                <w:szCs w:val="18"/>
                <w:color w:val="auto"/>
              </w:rPr>
              <w:t>Severability</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13.13</w:t>
            </w:r>
          </w:p>
        </w:tc>
        <w:tc>
          <w:tcPr>
            <w:tcW w:w="7100" w:type="dxa"/>
            <w:vAlign w:val="bottom"/>
          </w:tcPr>
          <w:p>
            <w:pPr>
              <w:ind w:left="440"/>
              <w:spacing w:after="0"/>
              <w:rPr>
                <w:sz w:val="20"/>
                <w:szCs w:val="20"/>
                <w:color w:val="auto"/>
              </w:rPr>
            </w:pPr>
            <w:r>
              <w:rPr>
                <w:rFonts w:ascii="Arial" w:cs="Arial" w:eastAsia="Arial" w:hAnsi="Arial"/>
                <w:sz w:val="18"/>
                <w:szCs w:val="18"/>
                <w:color w:val="auto"/>
              </w:rPr>
              <w:t>Gaming Laws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13.14</w:t>
            </w:r>
          </w:p>
        </w:tc>
        <w:tc>
          <w:tcPr>
            <w:tcW w:w="7100" w:type="dxa"/>
            <w:vAlign w:val="bottom"/>
          </w:tcPr>
          <w:p>
            <w:pPr>
              <w:ind w:left="440"/>
              <w:spacing w:after="0"/>
              <w:rPr>
                <w:sz w:val="20"/>
                <w:szCs w:val="20"/>
                <w:color w:val="auto"/>
              </w:rPr>
            </w:pPr>
            <w:r>
              <w:rPr>
                <w:rFonts w:ascii="Arial" w:cs="Arial" w:eastAsia="Arial" w:hAnsi="Arial"/>
                <w:sz w:val="18"/>
                <w:szCs w:val="18"/>
                <w:color w:val="auto"/>
              </w:rPr>
              <w:t>USA Patriot Act</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169</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13.15</w:t>
            </w:r>
          </w:p>
        </w:tc>
        <w:tc>
          <w:tcPr>
            <w:tcW w:w="7100" w:type="dxa"/>
            <w:vAlign w:val="bottom"/>
          </w:tcPr>
          <w:p>
            <w:pPr>
              <w:ind w:left="440"/>
              <w:spacing w:after="0"/>
              <w:rPr>
                <w:sz w:val="20"/>
                <w:szCs w:val="20"/>
                <w:color w:val="auto"/>
              </w:rPr>
            </w:pPr>
            <w:r>
              <w:rPr>
                <w:rFonts w:ascii="Arial" w:cs="Arial" w:eastAsia="Arial" w:hAnsi="Arial"/>
                <w:sz w:val="18"/>
                <w:szCs w:val="18"/>
                <w:color w:val="auto"/>
              </w:rPr>
              <w:t>Judgment Currency</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13.16</w:t>
            </w:r>
          </w:p>
        </w:tc>
        <w:tc>
          <w:tcPr>
            <w:tcW w:w="7100" w:type="dxa"/>
            <w:vAlign w:val="bottom"/>
          </w:tcPr>
          <w:p>
            <w:pPr>
              <w:ind w:left="440"/>
              <w:spacing w:after="0"/>
              <w:rPr>
                <w:sz w:val="20"/>
                <w:szCs w:val="20"/>
                <w:color w:val="auto"/>
              </w:rPr>
            </w:pPr>
            <w:r>
              <w:rPr>
                <w:rFonts w:ascii="Arial" w:cs="Arial" w:eastAsia="Arial" w:hAnsi="Arial"/>
                <w:sz w:val="18"/>
                <w:szCs w:val="18"/>
                <w:color w:val="auto"/>
              </w:rPr>
              <w:t>Waiver of Claims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13.17</w:t>
            </w:r>
          </w:p>
        </w:tc>
        <w:tc>
          <w:tcPr>
            <w:tcW w:w="7100" w:type="dxa"/>
            <w:vAlign w:val="bottom"/>
          </w:tcPr>
          <w:p>
            <w:pPr>
              <w:ind w:left="440"/>
              <w:spacing w:after="0"/>
              <w:rPr>
                <w:sz w:val="20"/>
                <w:szCs w:val="20"/>
                <w:color w:val="auto"/>
              </w:rPr>
            </w:pPr>
            <w:r>
              <w:rPr>
                <w:rFonts w:ascii="Arial" w:cs="Arial" w:eastAsia="Arial" w:hAnsi="Arial"/>
                <w:sz w:val="18"/>
                <w:szCs w:val="18"/>
                <w:color w:val="auto"/>
              </w:rPr>
              <w:t>No Advisory or Fiduciary Responsibility</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170</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13.18</w:t>
            </w:r>
          </w:p>
        </w:tc>
        <w:tc>
          <w:tcPr>
            <w:tcW w:w="7100" w:type="dxa"/>
            <w:vAlign w:val="bottom"/>
          </w:tcPr>
          <w:p>
            <w:pPr>
              <w:ind w:left="440"/>
              <w:spacing w:after="0"/>
              <w:rPr>
                <w:sz w:val="20"/>
                <w:szCs w:val="20"/>
                <w:color w:val="auto"/>
              </w:rPr>
            </w:pPr>
            <w:r>
              <w:rPr>
                <w:rFonts w:ascii="Arial" w:cs="Arial" w:eastAsia="Arial" w:hAnsi="Arial"/>
                <w:sz w:val="18"/>
                <w:szCs w:val="18"/>
                <w:color w:val="auto"/>
              </w:rPr>
              <w:t>Lender Action</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13.19</w:t>
            </w:r>
          </w:p>
        </w:tc>
        <w:tc>
          <w:tcPr>
            <w:tcW w:w="7100" w:type="dxa"/>
            <w:vAlign w:val="bottom"/>
          </w:tcPr>
          <w:p>
            <w:pPr>
              <w:ind w:left="440"/>
              <w:spacing w:after="0"/>
              <w:rPr>
                <w:sz w:val="20"/>
                <w:szCs w:val="20"/>
                <w:color w:val="auto"/>
              </w:rPr>
            </w:pPr>
            <w:r>
              <w:rPr>
                <w:rFonts w:ascii="Arial" w:cs="Arial" w:eastAsia="Arial" w:hAnsi="Arial"/>
                <w:sz w:val="18"/>
                <w:szCs w:val="18"/>
                <w:color w:val="auto"/>
              </w:rPr>
              <w:t>Interest Rate Limitation</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13.20</w:t>
            </w:r>
          </w:p>
        </w:tc>
        <w:tc>
          <w:tcPr>
            <w:tcW w:w="7100" w:type="dxa"/>
            <w:vAlign w:val="bottom"/>
          </w:tcPr>
          <w:p>
            <w:pPr>
              <w:ind w:left="440"/>
              <w:spacing w:after="0"/>
              <w:rPr>
                <w:sz w:val="20"/>
                <w:szCs w:val="20"/>
                <w:color w:val="auto"/>
              </w:rPr>
            </w:pPr>
            <w:r>
              <w:rPr>
                <w:rFonts w:ascii="Arial" w:cs="Arial" w:eastAsia="Arial" w:hAnsi="Arial"/>
                <w:sz w:val="18"/>
                <w:szCs w:val="18"/>
                <w:color w:val="auto"/>
              </w:rPr>
              <w:t>Payments Set Aside</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171</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13.21</w:t>
            </w:r>
          </w:p>
        </w:tc>
        <w:tc>
          <w:tcPr>
            <w:tcW w:w="7100" w:type="dxa"/>
            <w:vAlign w:val="bottom"/>
          </w:tcPr>
          <w:p>
            <w:pPr>
              <w:ind w:left="4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172</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Section 13.22</w:t>
            </w:r>
          </w:p>
        </w:tc>
        <w:tc>
          <w:tcPr>
            <w:tcW w:w="7100" w:type="dxa"/>
            <w:vAlign w:val="bottom"/>
          </w:tcPr>
          <w:p>
            <w:pPr>
              <w:ind w:left="440"/>
              <w:spacing w:after="0"/>
              <w:rPr>
                <w:sz w:val="20"/>
                <w:szCs w:val="20"/>
                <w:color w:val="auto"/>
              </w:rPr>
            </w:pPr>
            <w:r>
              <w:rPr>
                <w:rFonts w:ascii="Arial" w:cs="Arial" w:eastAsia="Arial" w:hAnsi="Arial"/>
                <w:sz w:val="18"/>
                <w:szCs w:val="18"/>
                <w:color w:val="auto"/>
              </w:rPr>
              <w:t>Acknowledgement Regarding any Supported QFCs</w:t>
            </w:r>
          </w:p>
        </w:tc>
        <w:tc>
          <w:tcPr>
            <w:tcW w:w="1800" w:type="dxa"/>
            <w:vAlign w:val="bottom"/>
            <w:gridSpan w:val="2"/>
          </w:tcPr>
          <w:p>
            <w:pPr>
              <w:ind w:left="1460"/>
              <w:spacing w:after="0"/>
              <w:rPr>
                <w:sz w:val="20"/>
                <w:szCs w:val="20"/>
                <w:color w:val="auto"/>
              </w:rPr>
            </w:pPr>
            <w:r>
              <w:rPr>
                <w:rFonts w:ascii="Arial" w:cs="Arial" w:eastAsia="Arial" w:hAnsi="Arial"/>
                <w:sz w:val="18"/>
                <w:szCs w:val="18"/>
                <w:color w:val="auto"/>
              </w:rPr>
              <w:t>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340"/>
          </w:cols>
          <w:pgMar w:left="780" w:top="945" w:right="77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7"/>
        </w:trPr>
        <w:tc>
          <w:tcPr>
            <w:tcW w:w="1740" w:type="dxa"/>
            <w:vAlign w:val="bottom"/>
            <w:gridSpan w:val="4"/>
          </w:tcPr>
          <w:p>
            <w:pPr>
              <w:spacing w:after="0"/>
              <w:rPr>
                <w:sz w:val="20"/>
                <w:szCs w:val="20"/>
                <w:color w:val="auto"/>
              </w:rPr>
            </w:pPr>
            <w:r>
              <w:rPr>
                <w:rFonts w:ascii="Arial" w:cs="Arial" w:eastAsia="Arial" w:hAnsi="Arial"/>
                <w:sz w:val="18"/>
                <w:szCs w:val="18"/>
                <w:b w:val="1"/>
                <w:bCs w:val="1"/>
                <w:color w:val="auto"/>
              </w:rPr>
              <w:t>ANNEXES:</w:t>
            </w:r>
          </w:p>
        </w:tc>
        <w:tc>
          <w:tcPr>
            <w:tcW w:w="36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38"/>
        </w:trPr>
        <w:tc>
          <w:tcPr>
            <w:tcW w:w="1740" w:type="dxa"/>
            <w:vAlign w:val="bottom"/>
            <w:gridSpan w:val="4"/>
          </w:tcPr>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Revolving Commitments</w:t>
            </w:r>
          </w:p>
        </w:tc>
      </w:tr>
      <w:tr>
        <w:trPr>
          <w:trHeight w:val="230"/>
        </w:trPr>
        <w:tc>
          <w:tcPr>
            <w:tcW w:w="1740" w:type="dxa"/>
            <w:vAlign w:val="bottom"/>
            <w:gridSpan w:val="4"/>
          </w:tcPr>
          <w:p>
            <w:pPr>
              <w:spacing w:after="0" w:line="207" w:lineRule="exact"/>
              <w:rPr>
                <w:sz w:val="20"/>
                <w:szCs w:val="20"/>
                <w:color w:val="auto"/>
              </w:rPr>
            </w:pPr>
            <w:r>
              <w:rPr>
                <w:rFonts w:ascii="Arial" w:cs="Arial" w:eastAsia="Arial" w:hAnsi="Arial"/>
                <w:sz w:val="18"/>
                <w:szCs w:val="18"/>
                <w:color w:val="auto"/>
              </w:rPr>
              <w:t>ANNEX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Term A Facility Commitments</w:t>
            </w:r>
          </w:p>
        </w:tc>
      </w:tr>
      <w:tr>
        <w:trPr>
          <w:trHeight w:val="608"/>
        </w:trPr>
        <w:tc>
          <w:tcPr>
            <w:tcW w:w="1740" w:type="dxa"/>
            <w:vAlign w:val="bottom"/>
            <w:gridSpan w:val="4"/>
          </w:tcPr>
          <w:p>
            <w:pPr>
              <w:spacing w:after="0"/>
              <w:rPr>
                <w:sz w:val="20"/>
                <w:szCs w:val="20"/>
                <w:color w:val="auto"/>
              </w:rPr>
            </w:pPr>
            <w:r>
              <w:rPr>
                <w:rFonts w:ascii="Arial" w:cs="Arial" w:eastAsia="Arial" w:hAnsi="Arial"/>
                <w:sz w:val="18"/>
                <w:szCs w:val="18"/>
                <w:b w:val="1"/>
                <w:bCs w:val="1"/>
                <w:color w:val="auto"/>
              </w:rPr>
              <w:t>SCHEDULES:</w:t>
            </w:r>
          </w:p>
        </w:tc>
        <w:tc>
          <w:tcPr>
            <w:tcW w:w="3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38"/>
        </w:trPr>
        <w:tc>
          <w:tcPr>
            <w:tcW w:w="1740" w:type="dxa"/>
            <w:vAlign w:val="bottom"/>
            <w:gridSpan w:val="4"/>
          </w:tcPr>
          <w:p>
            <w:pPr>
              <w:spacing w:after="0"/>
              <w:rPr>
                <w:sz w:val="20"/>
                <w:szCs w:val="20"/>
                <w:color w:val="auto"/>
              </w:rPr>
            </w:pPr>
            <w:r>
              <w:rPr>
                <w:rFonts w:ascii="Arial" w:cs="Arial" w:eastAsia="Arial" w:hAnsi="Arial"/>
                <w:sz w:val="18"/>
                <w:szCs w:val="18"/>
                <w:color w:val="auto"/>
              </w:rPr>
              <w:t>SCHEDULE 1.01(a)</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Guarantors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1.01(b)</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Excluded Subsidiaries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1.01(c)</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Closing Date Mortgaged Real Property</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2.03(s)</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Existing Letters of Credit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7.01</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Jurisdictions of Local Counsel Opinions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7.01(j)</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80"/>
              <w:spacing w:after="0"/>
              <w:rPr>
                <w:sz w:val="20"/>
                <w:szCs w:val="20"/>
                <w:color w:val="auto"/>
              </w:rPr>
            </w:pPr>
            <w:r>
              <w:rPr>
                <w:rFonts w:ascii="Arial" w:cs="Arial" w:eastAsia="Arial" w:hAnsi="Arial"/>
                <w:sz w:val="18"/>
                <w:szCs w:val="18"/>
                <w:color w:val="auto"/>
              </w:rPr>
              <w:t>Approvals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8.03</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Litigation</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8.07</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ERISA</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8.10</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Environmental Matters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8.12(a)</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Subsidiaries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8.12(b)</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Immaterial Subsidiaries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8.12(c)</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Unrestricted Subsidiaries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8.13</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Ownership</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8.15</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Licenses and Permits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8.18</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Intellectual Property</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8.19</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Regulation H</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8.21(a)</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Real Property</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8.21(b)</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Real Property Takings, etc.</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9.16</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Post-Closing Matters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10.01</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Existing Indebtedness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10.02</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Certain Existing Liens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10.04</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100"/>
              <w:spacing w:after="0"/>
              <w:rPr>
                <w:sz w:val="20"/>
                <w:szCs w:val="20"/>
                <w:color w:val="auto"/>
              </w:rPr>
            </w:pPr>
            <w:r>
              <w:rPr>
                <w:rFonts w:ascii="Arial" w:cs="Arial" w:eastAsia="Arial" w:hAnsi="Arial"/>
                <w:sz w:val="18"/>
                <w:szCs w:val="18"/>
                <w:color w:val="auto"/>
              </w:rPr>
              <w:t>Investments</w:t>
            </w:r>
          </w:p>
        </w:tc>
      </w:tr>
      <w:tr>
        <w:trPr>
          <w:trHeight w:val="230"/>
        </w:trPr>
        <w:tc>
          <w:tcPr>
            <w:tcW w:w="1740" w:type="dxa"/>
            <w:vAlign w:val="bottom"/>
            <w:gridSpan w:val="4"/>
          </w:tcPr>
          <w:p>
            <w:pPr>
              <w:spacing w:after="0"/>
              <w:rPr>
                <w:sz w:val="20"/>
                <w:szCs w:val="20"/>
                <w:color w:val="auto"/>
              </w:rPr>
            </w:pPr>
            <w:r>
              <w:rPr>
                <w:rFonts w:ascii="Arial" w:cs="Arial" w:eastAsia="Arial" w:hAnsi="Arial"/>
                <w:sz w:val="18"/>
                <w:szCs w:val="18"/>
                <w:color w:val="auto"/>
              </w:rPr>
              <w:t>SCHEDULE 10.07</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464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r>
      <w:tr>
        <w:trPr>
          <w:trHeight w:val="392"/>
        </w:trPr>
        <w:tc>
          <w:tcPr>
            <w:tcW w:w="174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c>
          <w:tcPr>
            <w:tcW w:w="3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r>
      <w:tr>
        <w:trPr>
          <w:trHeight w:val="438"/>
        </w:trPr>
        <w:tc>
          <w:tcPr>
            <w:tcW w:w="1740" w:type="dxa"/>
            <w:vAlign w:val="bottom"/>
            <w:gridSpan w:val="4"/>
          </w:tcPr>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Revolving Note</w:t>
            </w:r>
          </w:p>
        </w:tc>
      </w:tr>
      <w:tr>
        <w:trPr>
          <w:trHeight w:val="216"/>
        </w:trPr>
        <w:tc>
          <w:tcPr>
            <w:tcW w:w="1740" w:type="dxa"/>
            <w:vAlign w:val="bottom"/>
            <w:gridSpan w:val="4"/>
          </w:tcPr>
          <w:p>
            <w:pPr>
              <w:spacing w:after="0" w:line="207" w:lineRule="exact"/>
              <w:rPr>
                <w:sz w:val="20"/>
                <w:szCs w:val="20"/>
                <w:color w:val="auto"/>
              </w:rPr>
            </w:pPr>
            <w:r>
              <w:rPr>
                <w:rFonts w:ascii="Arial" w:cs="Arial" w:eastAsia="Arial" w:hAnsi="Arial"/>
                <w:sz w:val="18"/>
                <w:szCs w:val="18"/>
                <w:color w:val="auto"/>
              </w:rPr>
              <w:t>EXHIBIT A</w:t>
            </w:r>
            <w:r>
              <w:rPr>
                <w:rFonts w:ascii="MS PGothic" w:cs="MS PGothic" w:eastAsia="MS PGothic" w:hAnsi="MS PGothic"/>
                <w:sz w:val="18"/>
                <w:szCs w:val="18"/>
                <w:color w:val="auto"/>
              </w:rPr>
              <w:t>‑</w:t>
            </w:r>
            <w:r>
              <w:rPr>
                <w:rFonts w:ascii="Arial" w:cs="Arial" w:eastAsia="Arial" w:hAnsi="Arial"/>
                <w:sz w:val="18"/>
                <w:szCs w:val="18"/>
                <w:color w:val="auto"/>
              </w:rPr>
              <w:t>2</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Term A Facility Note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Notice of Borrowing</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Notice of Continuation/Conversion</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Forms of U.S. Tax Compliance Certificate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F</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Subordination Agreement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G</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Solvency Certificate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H</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Security Agreement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I-1</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Massachusetts Mortgage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I-2</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Nevada Mortgage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J</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Assignment and Assumption Agreement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K</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Letter of Credit Request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L</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Joinder Agreement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M</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Perfection Certificate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N</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Auction Procedures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O</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w w:val="92"/>
              </w:rPr>
              <w:t>-  Form of Open Market Assignment and Assumption Agreement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P</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Term Loan Extension Amendment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Q</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Form of Revolving Extension Amendment</w:t>
            </w:r>
          </w:p>
        </w:tc>
      </w:tr>
      <w:tr>
        <w:trPr>
          <w:trHeight w:val="230"/>
        </w:trPr>
        <w:tc>
          <w:tcPr>
            <w:tcW w:w="1740" w:type="dxa"/>
            <w:vAlign w:val="bottom"/>
            <w:gridSpan w:val="4"/>
          </w:tcPr>
          <w:p>
            <w:pPr>
              <w:spacing w:after="0"/>
              <w:rPr>
                <w:sz w:val="20"/>
                <w:szCs w:val="20"/>
                <w:color w:val="auto"/>
              </w:rPr>
            </w:pPr>
            <w:r>
              <w:rPr>
                <w:rFonts w:ascii="Arial" w:cs="Arial" w:eastAsia="Arial" w:hAnsi="Arial"/>
                <w:sz w:val="18"/>
                <w:szCs w:val="18"/>
                <w:color w:val="auto"/>
              </w:rPr>
              <w:t>EXHIBIT R</w:t>
            </w:r>
          </w:p>
        </w:tc>
        <w:tc>
          <w:tcPr>
            <w:tcW w:w="5000" w:type="dxa"/>
            <w:vAlign w:val="bottom"/>
            <w:gridSpan w:val="2"/>
          </w:tcPr>
          <w:p>
            <w:pPr>
              <w:ind w:left="220"/>
              <w:spacing w:after="0"/>
              <w:rPr>
                <w:sz w:val="20"/>
                <w:szCs w:val="20"/>
                <w:color w:val="auto"/>
              </w:rPr>
            </w:pPr>
            <w:r>
              <w:rPr>
                <w:rFonts w:ascii="Arial" w:cs="Arial" w:eastAsia="Arial" w:hAnsi="Arial"/>
                <w:sz w:val="18"/>
                <w:szCs w:val="18"/>
                <w:color w:val="auto"/>
              </w:rPr>
              <w:t xml:space="preserve">-  Form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w:t>
            </w:r>
          </w:p>
        </w:tc>
      </w:tr>
    </w:tbl>
    <w:p>
      <w:pPr>
        <w:spacing w:after="0" w:line="22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219"/>
          </w:cols>
          <w:pgMar w:left="240" w:top="568" w:right="1440" w:bottom="1440" w:gutter="0" w:footer="0" w:header="0"/>
        </w:sectPr>
      </w:pPr>
    </w:p>
    <w:bookmarkStart w:id="213" w:name="page214"/>
    <w:bookmarkEnd w:id="213"/>
    <w:p>
      <w:pPr>
        <w:spacing w:after="0"/>
        <w:tabs>
          <w:tab w:leader="none" w:pos="1940" w:val="left"/>
          <w:tab w:leader="none" w:pos="2180" w:val="left"/>
        </w:tabs>
        <w:rPr>
          <w:sz w:val="20"/>
          <w:szCs w:val="20"/>
          <w:color w:val="auto"/>
        </w:rPr>
      </w:pPr>
      <w:r>
        <w:rPr>
          <w:rFonts w:ascii="Arial" w:cs="Arial" w:eastAsia="Arial" w:hAnsi="Arial"/>
          <w:sz w:val="18"/>
          <w:szCs w:val="18"/>
          <w:color w:val="auto"/>
        </w:rPr>
        <w:t>EXHIBIT 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Form of Second Lien Intercreditor Agreement</w:t>
      </w:r>
    </w:p>
    <w:p>
      <w:pPr>
        <w:spacing w:after="0" w:line="200" w:lineRule="exact"/>
        <w:rPr>
          <w:sz w:val="20"/>
          <w:szCs w:val="20"/>
          <w:color w:val="auto"/>
        </w:rPr>
      </w:pPr>
    </w:p>
    <w:p>
      <w:pPr>
        <w:spacing w:after="0" w:line="26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0219"/>
          </w:cols>
          <w:pgMar w:left="240" w:top="584" w:right="1440" w:bottom="1440" w:gutter="0" w:footer="0" w:header="0"/>
        </w:sectPr>
      </w:pPr>
    </w:p>
    <w:bookmarkStart w:id="214" w:name="page215"/>
    <w:bookmarkEnd w:id="214"/>
    <w:p>
      <w:pPr>
        <w:jc w:val="both"/>
        <w:ind w:firstLine="648"/>
        <w:spacing w:after="0" w:line="258"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September 20, 2019 (this “</w:t>
      </w:r>
      <w:r>
        <w:rPr>
          <w:rFonts w:ascii="Arial" w:cs="Arial" w:eastAsia="Arial" w:hAnsi="Arial"/>
          <w:sz w:val="18"/>
          <w:szCs w:val="18"/>
          <w:b w:val="1"/>
          <w:bCs w:val="1"/>
          <w:color w:val="auto"/>
        </w:rPr>
        <w:t>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WYNN RESORTS FINANCE, LLC</w:t>
      </w:r>
      <w:r>
        <w:rPr>
          <w:rFonts w:ascii="Arial" w:cs="Arial" w:eastAsia="Arial" w:hAnsi="Arial"/>
          <w:sz w:val="18"/>
          <w:szCs w:val="18"/>
          <w:color w:val="auto"/>
        </w:rPr>
        <w:t>, a Nevada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the </w:t>
      </w:r>
      <w:r>
        <w:rPr>
          <w:rFonts w:ascii="Arial" w:cs="Arial" w:eastAsia="Arial" w:hAnsi="Arial"/>
          <w:sz w:val="18"/>
          <w:szCs w:val="18"/>
          <w:b w:val="1"/>
          <w:bCs w:val="1"/>
          <w:color w:val="auto"/>
        </w:rPr>
        <w:t>SUBSIDIARY GUARANTORS</w:t>
      </w:r>
      <w:r>
        <w:rPr>
          <w:rFonts w:ascii="Arial" w:cs="Arial" w:eastAsia="Arial" w:hAnsi="Arial"/>
          <w:sz w:val="18"/>
          <w:szCs w:val="18"/>
          <w:color w:val="auto"/>
        </w:rPr>
        <w:t xml:space="preserve"> party hereto from time to time;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from time to time party hereto; the </w:t>
      </w:r>
      <w:r>
        <w:rPr>
          <w:rFonts w:ascii="Arial" w:cs="Arial" w:eastAsia="Arial" w:hAnsi="Arial"/>
          <w:sz w:val="18"/>
          <w:szCs w:val="18"/>
          <w:b w:val="1"/>
          <w:bCs w:val="1"/>
          <w:color w:val="auto"/>
        </w:rPr>
        <w:t xml:space="preserve">L/C LENDERS </w:t>
      </w:r>
      <w:r>
        <w:rPr>
          <w:rFonts w:ascii="Arial" w:cs="Arial" w:eastAsia="Arial" w:hAnsi="Arial"/>
          <w:sz w:val="18"/>
          <w:szCs w:val="18"/>
          <w:color w:val="auto"/>
        </w:rPr>
        <w:t>party hereto;</w:t>
      </w:r>
      <w:r>
        <w:rPr>
          <w:rFonts w:ascii="Arial" w:cs="Arial" w:eastAsia="Arial" w:hAnsi="Arial"/>
          <w:sz w:val="18"/>
          <w:szCs w:val="18"/>
          <w:b w:val="1"/>
          <w:bCs w:val="1"/>
          <w:color w:val="auto"/>
        </w:rPr>
        <w:t xml:space="preserve"> DEUTSCHE BANK AG NEW YORK BRANCH</w:t>
      </w:r>
      <w:r>
        <w:rPr>
          <w:rFonts w:ascii="Arial" w:cs="Arial" w:eastAsia="Arial" w:hAnsi="Arial"/>
          <w:sz w:val="18"/>
          <w:szCs w:val="18"/>
          <w:color w:val="auto"/>
        </w:rPr>
        <w:t>, as administrative agent (in such capacity, together with its successors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and </w:t>
      </w: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 (in such capacity, together with its successors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WHEREAS, Borrower has requested that the Lenders provide first lien revolving credit and term loan facilities, and the Lenders have indicated their willingness to lend, and the L/C Lender has indicated its willingness to issue letters of credit, in each case, on the terms and subject to the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ARTICLE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ACCOUNTING MATTERS AND RULES OF CONSTRUCTION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Certain Defined Terms</w:t>
      </w:r>
      <w:r>
        <w:rPr>
          <w:rFonts w:ascii="Arial" w:cs="Arial" w:eastAsia="Arial" w:hAnsi="Arial"/>
          <w:sz w:val="16"/>
          <w:szCs w:val="16"/>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 of Terrorism</w:t>
      </w:r>
      <w:r>
        <w:rPr>
          <w:rFonts w:ascii="Arial" w:cs="Arial" w:eastAsia="Arial" w:hAnsi="Arial"/>
          <w:sz w:val="17"/>
          <w:szCs w:val="17"/>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8"/>
        <w:spacing w:after="0" w:line="261" w:lineRule="auto"/>
        <w:tabs>
          <w:tab w:leader="none" w:pos="2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Maximum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13.04(b)(A)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or is under common control with, or is controlled by,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shall mean possession, directly or indirectly, of power to direct or cause the direction of management or policies (whether through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partnership or other ownership interests, by contract or otherwise).</w:t>
      </w:r>
    </w:p>
    <w:p>
      <w:pPr>
        <w:sectPr>
          <w:pgSz w:w="11900" w:h="16838" w:orient="portrait"/>
          <w:cols w:equalWidth="0" w:num="1">
            <w:col w:w="11420"/>
          </w:cols>
          <w:pgMar w:left="240" w:top="581" w:right="239" w:bottom="1440" w:gutter="0" w:footer="0" w:header="0"/>
        </w:sectPr>
      </w:pPr>
    </w:p>
    <w:bookmarkStart w:id="215" w:name="page216"/>
    <w:bookmarkEnd w:id="2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Lender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13.05(e)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mean any of Administrative Agent, Auction Manager, Collateral Agent, and/or Lead Arrangers,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Related Parties</w:t>
      </w:r>
      <w:r>
        <w:rPr>
          <w:rFonts w:ascii="Arial" w:cs="Arial" w:eastAsia="Arial" w:hAnsi="Arial"/>
          <w:sz w:val="16"/>
          <w:szCs w:val="16"/>
          <w:color w:val="auto"/>
        </w:rPr>
        <w:t>” shall mean each Agent and any sub-agent thereof and their respective Affiliates, directors, officers, employees, agents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Allocable Overhead</w:t>
      </w:r>
      <w:r>
        <w:rPr>
          <w:rFonts w:ascii="Arial" w:cs="Arial" w:eastAsia="Arial" w:hAnsi="Arial"/>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2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shall mean, for any day, a rate per annum equal to the greatest of (a) the Prime Rate in effect on such day, (b) the NYFRB Rate in effect on such day plus ½ of 1% and (c) the LIBO Rate for a one month Interest Period beginning on such day (or if such day is not a Business Day, the immediately preceding Business Day) plus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LIBO Rate for any day shall be based on the LIBO Rate at approximately 11:00 a.m. London time on such day; </w:t>
      </w:r>
      <w:r>
        <w:rPr>
          <w:rFonts w:ascii="Arial" w:cs="Arial" w:eastAsia="Arial" w:hAnsi="Arial"/>
          <w:sz w:val="18"/>
          <w:szCs w:val="18"/>
          <w:i w:val="1"/>
          <w:iCs w:val="1"/>
          <w:color w:val="auto"/>
        </w:rPr>
        <w:t>provided</w:t>
      </w:r>
      <w:r>
        <w:rPr>
          <w:rFonts w:ascii="Arial" w:cs="Arial" w:eastAsia="Arial" w:hAnsi="Arial"/>
          <w:sz w:val="18"/>
          <w:szCs w:val="18"/>
          <w:color w:val="auto"/>
        </w:rPr>
        <w:t>, further, that the Alternate Base Rate shall not be less than 1.0%. Any change in the Alternate Base Rate due to a change in the Prime Rate, the NYFRB Rate or the LIBO Rate shall be effective from and including the effective date of such change in the Prime Rate, the NYFRB Rate or the LIBO Rate, respectively.</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w:t>
      </w:r>
      <w:r>
        <w:rPr>
          <w:rFonts w:ascii="Arial" w:cs="Arial" w:eastAsia="Arial" w:hAnsi="Arial"/>
          <w:sz w:val="18"/>
          <w:szCs w:val="18"/>
          <w:color w:val="auto"/>
        </w:rPr>
        <w:t>” shall mean Canadian Dollars, Euro, Pound Sterling and any other lawful currency reasonably acceptable to the applicable L/C Lender.</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Currency Equivalent</w:t>
      </w:r>
      <w:r>
        <w:rPr>
          <w:rFonts w:ascii="Arial" w:cs="Arial" w:eastAsia="Arial" w:hAnsi="Arial"/>
          <w:sz w:val="17"/>
          <w:szCs w:val="17"/>
          <w:color w:val="auto"/>
        </w:rPr>
        <w:t>” shall mean, at any time, with respect to any amount denominated in Dollars, the equivalent amount thereof in the applicable Alternate Currency as determined by Administrative Agent or the applicable L/C Lender, as the case may be, at such time on the basis of the Spot Rate (determined in respect of the most recent Revaluation Date) for the purchase of such Alternate Currency with Dollars.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Fee Percentage</w:t>
      </w:r>
      <w:r>
        <w:rPr>
          <w:rFonts w:ascii="Arial" w:cs="Arial" w:eastAsia="Arial" w:hAnsi="Arial"/>
          <w:sz w:val="18"/>
          <w:szCs w:val="18"/>
          <w:color w:val="auto"/>
        </w:rPr>
        <w:t>” shall mean (a) with respect to any Unutilized R/C Commitments under the Closing Date Revolving Facility, 0.25% and (b) with respect to any other Revolving Facility, the “Applicable Fee Percentage” set forth in the applicable Refinancing Amendment, Extension Amendment, or Incremental Joinder Agreement.</w:t>
      </w:r>
    </w:p>
    <w:p>
      <w:pPr>
        <w:spacing w:after="0" w:line="176"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Lending Office</w:t>
      </w:r>
      <w:r>
        <w:rPr>
          <w:rFonts w:ascii="Arial" w:cs="Arial" w:eastAsia="Arial" w:hAnsi="Arial"/>
          <w:sz w:val="16"/>
          <w:szCs w:val="16"/>
          <w:color w:val="auto"/>
        </w:rPr>
        <w:t xml:space="preserve">” shall mean, for each Lender and for each Type of Loan, the “Lending Office” of such Lender (or of an Affiliate of such Lender) (a) that is a lender on the Closing Date, designated for such Type of Loan on </w:t>
      </w:r>
      <w:r>
        <w:rPr>
          <w:rFonts w:ascii="Arial" w:cs="Arial" w:eastAsia="Arial" w:hAnsi="Arial"/>
          <w:sz w:val="16"/>
          <w:szCs w:val="16"/>
          <w:u w:val="single" w:color="auto"/>
          <w:color w:val="auto"/>
        </w:rPr>
        <w:t>Annexes A</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2</w:t>
      </w:r>
      <w:r>
        <w:rPr>
          <w:rFonts w:ascii="Arial" w:cs="Arial" w:eastAsia="Arial" w:hAnsi="Arial"/>
          <w:sz w:val="16"/>
          <w:szCs w:val="16"/>
          <w:color w:val="auto"/>
        </w:rPr>
        <w:t xml:space="preserve"> hereof, (b) set forth on such Lender’s signature page to an Incremental Joinder Agreement for any Lender making any Incremental Commitment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(c) set forth on such Lender’s signature page to any Refinancing Amendment for any Lender providing Credit Agreement Refinancing Indebtedness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3" w:lineRule="exact"/>
        <w:rPr>
          <w:sz w:val="20"/>
          <w:szCs w:val="20"/>
          <w:color w:val="auto"/>
        </w:rPr>
      </w:pPr>
    </w:p>
    <w:p>
      <w:pPr>
        <w:jc w:val="both"/>
        <w:ind w:firstLine="8"/>
        <w:spacing w:after="0" w:line="255" w:lineRule="auto"/>
        <w:tabs>
          <w:tab w:leader="none" w:pos="2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set forth in the Assignment Agreement for any Person that becomes a “Lender” hereunder pursuant to an Assignment Agreement, or (e) such other office of such Lender (or of an Affiliate of such Lender) as such Lender may from time to time specify to Administrative Agent and Borrower as the office by which its Loans of such Type are to be made and maintained.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16" w:name="page217"/>
    <w:bookmarkEnd w:id="2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w:t>
      </w:r>
    </w:p>
    <w:p>
      <w:pPr>
        <w:spacing w:after="0" w:line="229" w:lineRule="exact"/>
        <w:rPr>
          <w:sz w:val="20"/>
          <w:szCs w:val="20"/>
          <w:color w:val="auto"/>
        </w:rPr>
      </w:pPr>
    </w:p>
    <w:p>
      <w:pPr>
        <w:jc w:val="both"/>
        <w:ind w:firstLine="656"/>
        <w:spacing w:after="0" w:line="271" w:lineRule="auto"/>
        <w:tabs>
          <w:tab w:leader="none" w:pos="1066" w:val="left"/>
        </w:tabs>
        <w:numPr>
          <w:ilvl w:val="1"/>
          <w:numId w:val="205"/>
        </w:numPr>
        <w:rPr>
          <w:rFonts w:ascii="Arial" w:cs="Arial" w:eastAsia="Arial" w:hAnsi="Arial"/>
          <w:sz w:val="17"/>
          <w:szCs w:val="17"/>
          <w:color w:val="auto"/>
        </w:rPr>
      </w:pPr>
      <w:r>
        <w:rPr>
          <w:rFonts w:ascii="Arial" w:cs="Arial" w:eastAsia="Arial" w:hAnsi="Arial"/>
          <w:sz w:val="17"/>
          <w:szCs w:val="17"/>
          <w:color w:val="auto"/>
        </w:rPr>
        <w:t xml:space="preserve">with respect to the Term A Facility Loans and the Revolving Loans under the Closing Date Revolving Facility, (a) 1.75%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with respect to LIBOR Loans and (b) 0.75%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with respect to ABR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Applicable Margin with respect to the Term A Facility Loans and the Revolving Loans under the Closing Date Revolving Facility shall be reduced to (a) 1.50% </w:t>
      </w:r>
      <w:r>
        <w:rPr>
          <w:rFonts w:ascii="Arial" w:cs="Arial" w:eastAsia="Arial" w:hAnsi="Arial"/>
          <w:sz w:val="17"/>
          <w:szCs w:val="17"/>
          <w:i w:val="1"/>
          <w:iCs w:val="1"/>
          <w:color w:val="auto"/>
        </w:rPr>
        <w:t>per annum</w:t>
      </w:r>
      <w:r>
        <w:rPr>
          <w:rFonts w:ascii="Arial" w:cs="Arial" w:eastAsia="Arial" w:hAnsi="Arial"/>
          <w:sz w:val="17"/>
          <w:szCs w:val="17"/>
          <w:color w:val="auto"/>
        </w:rPr>
        <w:t>, with respect to LIBOR Loans and</w:t>
      </w:r>
    </w:p>
    <w:p>
      <w:pPr>
        <w:ind w:left="260" w:hanging="252"/>
        <w:spacing w:after="0"/>
        <w:tabs>
          <w:tab w:leader="none" w:pos="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0.50% </w:t>
      </w:r>
      <w:r>
        <w:rPr>
          <w:rFonts w:ascii="Arial" w:cs="Arial" w:eastAsia="Arial" w:hAnsi="Arial"/>
          <w:sz w:val="18"/>
          <w:szCs w:val="18"/>
          <w:i w:val="1"/>
          <w:iCs w:val="1"/>
          <w:color w:val="auto"/>
        </w:rPr>
        <w:t>per annum</w:t>
      </w:r>
      <w:r>
        <w:rPr>
          <w:rFonts w:ascii="Arial" w:cs="Arial" w:eastAsia="Arial" w:hAnsi="Arial"/>
          <w:sz w:val="18"/>
          <w:szCs w:val="18"/>
          <w:color w:val="auto"/>
        </w:rPr>
        <w:t>, with respect to ABR Loans, from and after the date the Applicable Margin Stepdown Condition are first satisfied; and</w:t>
      </w:r>
    </w:p>
    <w:p>
      <w:pPr>
        <w:spacing w:after="0" w:line="210" w:lineRule="exact"/>
        <w:rPr>
          <w:rFonts w:ascii="Arial" w:cs="Arial" w:eastAsia="Arial" w:hAnsi="Arial"/>
          <w:sz w:val="18"/>
          <w:szCs w:val="18"/>
          <w:color w:val="auto"/>
        </w:rPr>
      </w:pPr>
    </w:p>
    <w:p>
      <w:pPr>
        <w:ind w:firstLine="656"/>
        <w:spacing w:after="0" w:line="277" w:lineRule="auto"/>
        <w:tabs>
          <w:tab w:leader="none" w:pos="112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with respect to any other Facility, the “Applicable Margin” set forth in the applicable Refinancing Amendment, Extension Amendment, or Incremental Joinder Agreement.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 Stepdown Condition</w:t>
      </w:r>
      <w:r>
        <w:rPr>
          <w:rFonts w:ascii="Arial" w:cs="Arial" w:eastAsia="Arial" w:hAnsi="Arial"/>
          <w:sz w:val="18"/>
          <w:szCs w:val="18"/>
          <w:color w:val="auto"/>
        </w:rPr>
        <w:t>” shall mean a condition satisfied on the first date on which (x) (A) the WLV Lien Limitation is no longer in effect and (B) after the occurrence described in the foregoing clause (x)(A), Wynn Las Vegas remains a Credit Party and (y) the Senior Facilities then in effect have received a facility rating of (1) Ba3 or higher from Moody’s and (2) BB- or higher from S&amp;P.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Commercial Bank</w:t>
      </w:r>
      <w:r>
        <w:rPr>
          <w:rFonts w:ascii="Arial" w:cs="Arial" w:eastAsia="Arial" w:hAnsi="Arial"/>
          <w:sz w:val="17"/>
          <w:szCs w:val="17"/>
          <w:color w:val="auto"/>
        </w:rPr>
        <w:t>” means a commercial bank with a consolidated combined capital and surplus of at least $1,000,000,000.</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advised, or managed by (a) a Lender, (b) an Affiliate of a Lender, or (c) an entity or an Affiliate of an entity that administers, advises, or manages a Lender.</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$100.0 million and (b) any issuance or sale by any Restricted Subsidiary of its Equity Interests to any Person (other than to any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shall not constitute an “Asset Sale”: (i) any conveyance, sale, lease, transfer, or other disposition of inventory, (ii) conveyances, sales, leases, transfers, or other dispositions in the ordinary course of business, (iii) any conveyance, sale, lease, transfer, or other disposition of obsolete or worn out assets or assets no longer useful in the business of the Credit Parties, (iv) conveyance, sale, lease, transfer, or other disposition of accounts or notes received in connection with compromise, settlement, or collection thereof, (v) licenses of Intellectual Property entered into in the ordinary course of business, and (vi) any conveyance, sale, transfer, or other disposition of cash and/or Cash Equivalents.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shall mean an Assignment and Assumption Agreement substantially in the form attached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Manager</w:t>
      </w:r>
      <w:r>
        <w:rPr>
          <w:rFonts w:ascii="Arial" w:cs="Arial" w:eastAsia="Arial" w:hAnsi="Arial"/>
          <w:sz w:val="18"/>
          <w:szCs w:val="18"/>
          <w:color w:val="auto"/>
        </w:rPr>
        <w:t>” shall mean DB, or another financial institution as shall be selected by Borrower in a written notice to Administrative Agent, in each case in its capacity as Auction Manager.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Procedures</w:t>
      </w:r>
      <w:r>
        <w:rPr>
          <w:rFonts w:ascii="Arial" w:cs="Arial" w:eastAsia="Arial" w:hAnsi="Arial"/>
          <w:sz w:val="18"/>
          <w:szCs w:val="18"/>
          <w:color w:val="auto"/>
        </w:rPr>
        <w:t xml:space="preserve">” shall mean, collectively, the auction procedures, auction notice, return bid and Borrower Assignment Agreement in substantially the form set forth as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 or such other form as is reasonably acceptable to Auction Manager and Borrower so long as the same are reasonably consistent with the provisions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1" w:right="239" w:bottom="1440" w:gutter="0" w:footer="0" w:header="0"/>
        </w:sectPr>
      </w:pPr>
    </w:p>
    <w:bookmarkStart w:id="217" w:name="page218"/>
    <w:bookmarkEnd w:id="217"/>
    <w:p>
      <w:pPr>
        <w:spacing w:after="0" w:line="277" w:lineRule="auto"/>
        <w:rPr>
          <w:sz w:val="20"/>
          <w:szCs w:val="20"/>
          <w:color w:val="auto"/>
        </w:rPr>
      </w:pPr>
      <w:r>
        <w:rPr>
          <w:rFonts w:ascii="Arial" w:cs="Arial" w:eastAsia="Arial" w:hAnsi="Arial"/>
          <w:sz w:val="18"/>
          <w:szCs w:val="18"/>
          <w:color w:val="auto"/>
        </w:rPr>
        <w:t xml:space="preserve">to such auction);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such amendments or modifications may be implemented after 24 hours prior to the date and time return bids are due in such auction.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xml:space="preserve">” shall have the meaning provided by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shall mean, on any date, an amount not less than zero, equal to:</w:t>
      </w:r>
    </w:p>
    <w:p>
      <w:pPr>
        <w:spacing w:after="0" w:line="256" w:lineRule="exact"/>
        <w:rPr>
          <w:sz w:val="20"/>
          <w:szCs w:val="20"/>
          <w:color w:val="auto"/>
        </w:rPr>
      </w:pPr>
    </w:p>
    <w:p>
      <w:pPr>
        <w:ind w:left="340" w:right="20" w:firstLine="640"/>
        <w:spacing w:after="0" w:line="324" w:lineRule="auto"/>
        <w:tabs>
          <w:tab w:leader="none" w:pos="18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aggregate amount of Excess Cash Flow for all fiscal years ending after the Closing Date (not less than zero) (commencing with the fiscal year ending December 31, 2019) and prior to such date;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left="340" w:firstLine="640"/>
        <w:spacing w:after="0" w:line="319" w:lineRule="auto"/>
        <w:tabs>
          <w:tab w:leader="none" w:pos="1846"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Arial" w:cs="Arial" w:eastAsia="Arial" w:hAnsi="Arial"/>
          <w:sz w:val="17"/>
          <w:szCs w:val="17"/>
          <w:i w:val="1"/>
          <w:iCs w:val="1"/>
          <w:color w:val="auto"/>
        </w:rPr>
        <w:t>plus</w:t>
      </w:r>
      <w:r>
        <w:rPr>
          <w:rFonts w:ascii="Arial" w:cs="Arial" w:eastAsia="Arial" w:hAnsi="Arial"/>
          <w:sz w:val="17"/>
          <w:szCs w:val="17"/>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in each case to the extent Investments were made in reliance on the Available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clauses (x) and (y) shall not be duplicative of any reductions in the amount of such Investments pursuant to the proviso to the definition of “Investments”; </w:t>
      </w:r>
      <w:r>
        <w:rPr>
          <w:rFonts w:ascii="Arial" w:cs="Arial" w:eastAsia="Arial" w:hAnsi="Arial"/>
          <w:sz w:val="17"/>
          <w:szCs w:val="17"/>
          <w:i w:val="1"/>
          <w:iCs w:val="1"/>
          <w:color w:val="auto"/>
        </w:rPr>
        <w:t>plus</w:t>
      </w:r>
    </w:p>
    <w:p>
      <w:pPr>
        <w:spacing w:after="0" w:line="180" w:lineRule="exact"/>
        <w:rPr>
          <w:rFonts w:ascii="Arial" w:cs="Arial" w:eastAsia="Arial" w:hAnsi="Arial"/>
          <w:sz w:val="17"/>
          <w:szCs w:val="17"/>
          <w:color w:val="auto"/>
        </w:rPr>
      </w:pPr>
    </w:p>
    <w:p>
      <w:pPr>
        <w:jc w:val="both"/>
        <w:ind w:left="340" w:firstLine="640"/>
        <w:spacing w:after="0" w:line="306" w:lineRule="auto"/>
        <w:tabs>
          <w:tab w:leader="none" w:pos="18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1840" w:hanging="860"/>
        <w:spacing w:after="0"/>
        <w:tabs>
          <w:tab w:leader="none" w:pos="18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amount of any Declined Amounts; </w:t>
      </w:r>
      <w:r>
        <w:rPr>
          <w:rFonts w:ascii="Arial" w:cs="Arial" w:eastAsia="Arial" w:hAnsi="Arial"/>
          <w:sz w:val="18"/>
          <w:szCs w:val="18"/>
          <w:i w:val="1"/>
          <w:iCs w:val="1"/>
          <w:color w:val="auto"/>
        </w:rPr>
        <w:t>minus</w:t>
      </w:r>
    </w:p>
    <w:p>
      <w:pPr>
        <w:spacing w:after="0" w:line="265" w:lineRule="exact"/>
        <w:rPr>
          <w:rFonts w:ascii="Arial" w:cs="Arial" w:eastAsia="Arial" w:hAnsi="Arial"/>
          <w:sz w:val="18"/>
          <w:szCs w:val="18"/>
          <w:color w:val="auto"/>
        </w:rPr>
      </w:pPr>
    </w:p>
    <w:p>
      <w:pPr>
        <w:jc w:val="both"/>
        <w:ind w:left="340" w:firstLine="640"/>
        <w:spacing w:after="0" w:line="311" w:lineRule="auto"/>
        <w:tabs>
          <w:tab w:leader="none" w:pos="18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aggregate amount of any (i) Investments made pursuant to </w:t>
      </w:r>
      <w:r>
        <w:rPr>
          <w:rFonts w:ascii="Arial" w:cs="Arial" w:eastAsia="Arial" w:hAnsi="Arial"/>
          <w:sz w:val="18"/>
          <w:szCs w:val="18"/>
          <w:u w:val="single" w:color="auto"/>
          <w:color w:val="auto"/>
        </w:rPr>
        <w:t>Section 10.04(l)</w:t>
      </w:r>
      <w:r>
        <w:rPr>
          <w:rFonts w:ascii="Arial" w:cs="Arial" w:eastAsia="Arial" w:hAnsi="Arial"/>
          <w:sz w:val="18"/>
          <w:szCs w:val="18"/>
          <w:color w:val="auto"/>
        </w:rPr>
        <w:t xml:space="preserve">, (ii) Restricted Payments made pursuant to </w:t>
      </w:r>
      <w:r>
        <w:rPr>
          <w:rFonts w:ascii="Arial" w:cs="Arial" w:eastAsia="Arial" w:hAnsi="Arial"/>
          <w:sz w:val="18"/>
          <w:szCs w:val="18"/>
          <w:u w:val="single" w:color="auto"/>
          <w:color w:val="auto"/>
        </w:rPr>
        <w:t>Section 10.06(i)(ii)</w:t>
      </w:r>
      <w:r>
        <w:rPr>
          <w:rFonts w:ascii="Arial" w:cs="Arial" w:eastAsia="Arial" w:hAnsi="Arial"/>
          <w:sz w:val="18"/>
          <w:szCs w:val="18"/>
          <w:color w:val="auto"/>
        </w:rPr>
        <w:t xml:space="preserve">, and (iii) Junior Prepayments pursuant to </w:t>
      </w:r>
      <w:r>
        <w:rPr>
          <w:rFonts w:ascii="Arial" w:cs="Arial" w:eastAsia="Arial" w:hAnsi="Arial"/>
          <w:sz w:val="18"/>
          <w:szCs w:val="18"/>
          <w:u w:val="single" w:color="auto"/>
          <w:color w:val="auto"/>
        </w:rPr>
        <w:t>Section 10.09(a)(ii)</w:t>
      </w:r>
      <w:r>
        <w:rPr>
          <w:rFonts w:ascii="Arial" w:cs="Arial" w:eastAsia="Arial" w:hAnsi="Arial"/>
          <w:sz w:val="18"/>
          <w:szCs w:val="18"/>
          <w:color w:val="auto"/>
        </w:rPr>
        <w:t xml:space="preserve"> (in each case, in reliance on the then-outstanding Available Amount) made since the Closing Date and on or prior to such date.</w:t>
      </w:r>
    </w:p>
    <w:p>
      <w:pPr>
        <w:spacing w:after="0" w:line="1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Equity Amount</w:t>
      </w:r>
      <w:r>
        <w:rPr>
          <w:rFonts w:ascii="Arial" w:cs="Arial" w:eastAsia="Arial" w:hAnsi="Arial"/>
          <w:sz w:val="18"/>
          <w:szCs w:val="18"/>
          <w:color w:val="auto"/>
        </w:rPr>
        <w:t>” shall mean, on any date, an amount not less than zero, equal to:</w:t>
      </w:r>
    </w:p>
    <w:p>
      <w:pPr>
        <w:spacing w:after="0" w:line="256" w:lineRule="exact"/>
        <w:rPr>
          <w:sz w:val="20"/>
          <w:szCs w:val="20"/>
          <w:color w:val="auto"/>
        </w:rPr>
      </w:pPr>
    </w:p>
    <w:p>
      <w:pPr>
        <w:jc w:val="both"/>
        <w:ind w:left="340" w:firstLine="640"/>
        <w:spacing w:after="0" w:line="311" w:lineRule="auto"/>
        <w:tabs>
          <w:tab w:leader="none" w:pos="18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aggregate amount of Equity Issuance Proceeds (including upon conversion or exchange of a debt instrument or Disqualified Capital Stock into or for any Equity Interests (other than Disqualified Capital Stock) received by Borrower after the Closing Date and on or prior to such date other than the proceeds of any Specified Equity Contribution;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ind w:left="340" w:right="20" w:firstLine="640"/>
        <w:spacing w:after="0" w:line="324" w:lineRule="auto"/>
        <w:tabs>
          <w:tab w:leader="none" w:pos="184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aggregate fair market value of assets or Property acquired in exchange for Equity Interests (other than Disqualified Capital Stock) of Borrower after the Closing Date and on or prior to such date;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left="340" w:firstLine="640"/>
        <w:spacing w:after="0" w:line="311" w:lineRule="auto"/>
        <w:tabs>
          <w:tab w:leader="none" w:pos="18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aggregate principal amount of debt instruments or Disqualified Capital Stock issued after the Closing Date that are converted into or exchanged for any Equity Interests (other than Disqualified Capital Stock) by Borrower after the Closing Date and on or prior to such date, together with the fair market value of any assets or Property received in such conversion or exchange; </w:t>
      </w:r>
      <w:r>
        <w:rPr>
          <w:rFonts w:ascii="Arial" w:cs="Arial" w:eastAsia="Arial" w:hAnsi="Arial"/>
          <w:sz w:val="18"/>
          <w:szCs w:val="18"/>
          <w:i w:val="1"/>
          <w:iCs w:val="1"/>
          <w:color w:val="auto"/>
        </w:rPr>
        <w:t>plus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5" w:right="239" w:bottom="1440" w:gutter="0" w:footer="0" w:header="0"/>
        </w:sectPr>
      </w:pPr>
    </w:p>
    <w:bookmarkStart w:id="218" w:name="page219"/>
    <w:bookmarkEnd w:id="218"/>
    <w:p>
      <w:pPr>
        <w:jc w:val="both"/>
        <w:ind w:left="340" w:firstLine="640"/>
        <w:spacing w:after="0" w:line="306" w:lineRule="auto"/>
        <w:tabs>
          <w:tab w:leader="none" w:pos="184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w:t>
      </w:r>
      <w:r>
        <w:rPr>
          <w:rFonts w:ascii="Arial" w:cs="Arial" w:eastAsia="Arial" w:hAnsi="Arial"/>
          <w:sz w:val="18"/>
          <w:szCs w:val="18"/>
          <w:u w:val="single" w:color="auto"/>
          <w:color w:val="auto"/>
        </w:rPr>
        <w:t>Section 10.04(y)</w:t>
      </w:r>
      <w:r>
        <w:rPr>
          <w:rFonts w:ascii="Arial" w:cs="Arial" w:eastAsia="Arial" w:hAnsi="Arial"/>
          <w:sz w:val="18"/>
          <w:szCs w:val="18"/>
          <w:color w:val="auto"/>
        </w:rPr>
        <w:t xml:space="preserve"> to the extent not included in Consolidated Net Income; </w:t>
      </w:r>
      <w:r>
        <w:rPr>
          <w:rFonts w:ascii="Arial" w:cs="Arial" w:eastAsia="Arial" w:hAnsi="Arial"/>
          <w:sz w:val="18"/>
          <w:szCs w:val="18"/>
          <w:i w:val="1"/>
          <w:iCs w:val="1"/>
          <w:color w:val="auto"/>
        </w:rPr>
        <w:t>minus</w:t>
      </w:r>
    </w:p>
    <w:p>
      <w:pPr>
        <w:spacing w:after="0" w:line="186" w:lineRule="exact"/>
        <w:rPr>
          <w:rFonts w:ascii="Arial" w:cs="Arial" w:eastAsia="Arial" w:hAnsi="Arial"/>
          <w:sz w:val="18"/>
          <w:szCs w:val="18"/>
          <w:color w:val="auto"/>
        </w:rPr>
      </w:pPr>
    </w:p>
    <w:p>
      <w:pPr>
        <w:jc w:val="both"/>
        <w:ind w:left="340" w:firstLine="640"/>
        <w:spacing w:after="0" w:line="311" w:lineRule="auto"/>
        <w:tabs>
          <w:tab w:leader="none" w:pos="183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the aggregate amount of any (i) Investments made pursuant to </w:t>
      </w:r>
      <w:r>
        <w:rPr>
          <w:rFonts w:ascii="Arial" w:cs="Arial" w:eastAsia="Arial" w:hAnsi="Arial"/>
          <w:sz w:val="18"/>
          <w:szCs w:val="18"/>
          <w:u w:val="single" w:color="auto"/>
          <w:color w:val="auto"/>
        </w:rPr>
        <w:t>Section 10.04(y)</w:t>
      </w:r>
      <w:r>
        <w:rPr>
          <w:rFonts w:ascii="Arial" w:cs="Arial" w:eastAsia="Arial" w:hAnsi="Arial"/>
          <w:sz w:val="18"/>
          <w:szCs w:val="18"/>
          <w:color w:val="auto"/>
        </w:rPr>
        <w:t xml:space="preserve">, (ii) Restricted Payments made pursuant to </w:t>
      </w:r>
      <w:r>
        <w:rPr>
          <w:rFonts w:ascii="Arial" w:cs="Arial" w:eastAsia="Arial" w:hAnsi="Arial"/>
          <w:sz w:val="18"/>
          <w:szCs w:val="18"/>
          <w:u w:val="single" w:color="auto"/>
          <w:color w:val="auto"/>
        </w:rPr>
        <w:t>Section 10.06(p)</w:t>
      </w:r>
      <w:r>
        <w:rPr>
          <w:rFonts w:ascii="Arial" w:cs="Arial" w:eastAsia="Arial" w:hAnsi="Arial"/>
          <w:sz w:val="18"/>
          <w:szCs w:val="18"/>
          <w:color w:val="auto"/>
        </w:rPr>
        <w:t xml:space="preserve">, and (iii) Junior Prepayments pursuant to </w:t>
      </w:r>
      <w:r>
        <w:rPr>
          <w:rFonts w:ascii="Arial" w:cs="Arial" w:eastAsia="Arial" w:hAnsi="Arial"/>
          <w:sz w:val="18"/>
          <w:szCs w:val="18"/>
          <w:u w:val="single" w:color="auto"/>
          <w:color w:val="auto"/>
        </w:rPr>
        <w:t>Section 10.09(l)</w:t>
      </w:r>
      <w:r>
        <w:rPr>
          <w:rFonts w:ascii="Arial" w:cs="Arial" w:eastAsia="Arial" w:hAnsi="Arial"/>
          <w:sz w:val="18"/>
          <w:szCs w:val="18"/>
          <w:color w:val="auto"/>
        </w:rPr>
        <w:t xml:space="preserve"> (in each case, in reliance on the then-outstanding Available Equity Amount) made since the Closing Date and on or prior to such date.</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shall mean Title 11 of the United States Code entitled “Bankruptcy,” as now or hereinafter in effect, or any successor statute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Rules 13d-3 and 13d-5 under the Exchange Act. The terms “</w:t>
      </w:r>
      <w:r>
        <w:rPr>
          <w:rFonts w:ascii="Arial" w:cs="Arial" w:eastAsia="Arial" w:hAnsi="Arial"/>
          <w:sz w:val="18"/>
          <w:szCs w:val="18"/>
          <w:b w:val="1"/>
          <w:bCs w:val="1"/>
          <w:color w:val="auto"/>
        </w:rPr>
        <w:t>Beneficially Owns</w:t>
      </w:r>
      <w:r>
        <w:rPr>
          <w:rFonts w:ascii="Arial" w:cs="Arial" w:eastAsia="Arial" w:hAnsi="Arial"/>
          <w:sz w:val="18"/>
          <w:szCs w:val="18"/>
          <w:color w:val="auto"/>
        </w:rPr>
        <w:t>” and “</w:t>
      </w:r>
      <w:r>
        <w:rPr>
          <w:rFonts w:ascii="Arial" w:cs="Arial" w:eastAsia="Arial" w:hAnsi="Arial"/>
          <w:sz w:val="18"/>
          <w:szCs w:val="18"/>
          <w:b w:val="1"/>
          <w:bCs w:val="1"/>
          <w:color w:val="auto"/>
        </w:rPr>
        <w:t>Beneficially Owned</w:t>
      </w:r>
      <w:r>
        <w:rPr>
          <w:rFonts w:ascii="Arial" w:cs="Arial" w:eastAsia="Arial" w:hAnsi="Arial"/>
          <w:sz w:val="18"/>
          <w:szCs w:val="18"/>
          <w:color w:val="auto"/>
        </w:rPr>
        <w:t>” have a corresponding meaning.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shall mean a certification regarding beneficial ownership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shall mean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shall mean an “affiliate” (as such term is defined under, and interpreted in accordance with, 12 U.S.C. 1841(k)) of such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Assignment Agreement</w:t>
      </w:r>
      <w:r>
        <w:rPr>
          <w:rFonts w:ascii="Arial" w:cs="Arial" w:eastAsia="Arial" w:hAnsi="Arial"/>
          <w:sz w:val="18"/>
          <w:szCs w:val="18"/>
          <w:color w:val="auto"/>
        </w:rPr>
        <w:t xml:space="preserve">” shall mean, with respect to any assignment to Borrower or one of its Subsidiaries pursuant to </w:t>
      </w:r>
      <w:r>
        <w:rPr>
          <w:rFonts w:ascii="Arial" w:cs="Arial" w:eastAsia="Arial" w:hAnsi="Arial"/>
          <w:sz w:val="18"/>
          <w:szCs w:val="18"/>
          <w:u w:val="single" w:color="auto"/>
          <w:color w:val="auto"/>
        </w:rPr>
        <w:t>Section 13.05(d)</w:t>
      </w:r>
      <w:r>
        <w:rPr>
          <w:rFonts w:ascii="Arial" w:cs="Arial" w:eastAsia="Arial" w:hAnsi="Arial"/>
          <w:sz w:val="18"/>
          <w:szCs w:val="18"/>
          <w:color w:val="auto"/>
        </w:rPr>
        <w:t xml:space="preserve"> consummated pursuant to the Auction Procedures, an Assignment and Acceptance Agreement substantially in the form of Annex C to the Auction Procedures (as may be modified from time to time as set forth in the definition of “Auction Procedures”).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Loan Purchase</w:t>
      </w:r>
      <w:r>
        <w:rPr>
          <w:rFonts w:ascii="Arial" w:cs="Arial" w:eastAsia="Arial" w:hAnsi="Arial"/>
          <w:sz w:val="18"/>
          <w:szCs w:val="18"/>
          <w:color w:val="auto"/>
        </w:rPr>
        <w:t xml:space="preserve">” shall mean any purchase of Term Loans or Revolving Loans by Borrower or one of its Subsidiaries pursuant to </w:t>
      </w:r>
      <w:r>
        <w:rPr>
          <w:rFonts w:ascii="Arial" w:cs="Arial" w:eastAsia="Arial" w:hAnsi="Arial"/>
          <w:sz w:val="18"/>
          <w:szCs w:val="18"/>
          <w:u w:val="single" w:color="auto"/>
          <w:color w:val="auto"/>
        </w:rPr>
        <w:t>Section 13.05(d)</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sectPr>
      </w:pPr>
    </w:p>
    <w:bookmarkStart w:id="219" w:name="page220"/>
    <w:bookmarkEnd w:id="21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and Type made, converted or continued on the same date and, in the case of LIBOR Loans, as to which a single Interest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w:t>
      </w:r>
      <w:r>
        <w:rPr>
          <w:rFonts w:ascii="Arial" w:cs="Arial" w:eastAsia="Arial" w:hAnsi="Arial"/>
          <w:sz w:val="16"/>
          <w:szCs w:val="16"/>
          <w:u w:val="single" w:color="auto"/>
          <w:color w:val="auto"/>
        </w:rPr>
        <w:t>Section 2.10(a)(iii)</w:t>
      </w:r>
      <w:r>
        <w:rPr>
          <w:rFonts w:ascii="Arial" w:cs="Arial" w:eastAsia="Arial" w:hAnsi="Arial"/>
          <w:sz w:val="16"/>
          <w:szCs w:val="16"/>
          <w:color w:val="auto"/>
        </w:rPr>
        <w:t>;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w:t>
      </w:r>
      <w:r>
        <w:rPr>
          <w:rFonts w:ascii="Arial" w:cs="Arial" w:eastAsia="Arial" w:hAnsi="Arial"/>
          <w:sz w:val="18"/>
          <w:szCs w:val="18"/>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the avoidance of doubt, any lease that was accounted for, or would have been required to be accounted for, by any Person as an operating lease prior to the adoption of FASB ASC 842 and any similar lease entered into subsequent to the adoption of FASB ASC 842 by any Person may, in the sole discretion of Borrower, be accounted for as an operating lease and not as a Capital Lease.</w:t>
      </w:r>
    </w:p>
    <w:p>
      <w:pPr>
        <w:spacing w:after="0" w:line="18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 Obligations</w:t>
      </w:r>
      <w:r>
        <w:rPr>
          <w:rFonts w:ascii="Arial" w:cs="Arial" w:eastAsia="Arial" w:hAnsi="Arial"/>
          <w:sz w:val="18"/>
          <w:szCs w:val="18"/>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the avoidance of doubt, any lease that was accounted for, or would have been required to be accounted for, by any Person as 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 prior to the adoption of FASB ASC 842 and any similar lease entered into subsequent to the adoption of FASB ASC 842 by any Person may, in the sole discretion of Borrower, be accounted for as an operating lease and not as a Capital Lease.</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Arial" w:cs="Arial" w:eastAsia="Arial" w:hAnsi="Arial"/>
          <w:sz w:val="18"/>
          <w:szCs w:val="18"/>
          <w:b w:val="1"/>
          <w:bCs w:val="1"/>
          <w:color w:val="auto"/>
        </w:rPr>
        <w:t>Cash Collateral</w:t>
      </w:r>
      <w:r>
        <w:rPr>
          <w:rFonts w:ascii="Arial" w:cs="Arial" w:eastAsia="Arial" w:hAnsi="Arial"/>
          <w:sz w:val="18"/>
          <w:szCs w:val="18"/>
          <w:color w:val="auto"/>
        </w:rPr>
        <w:t>” and “</w:t>
      </w:r>
      <w:r>
        <w:rPr>
          <w:rFonts w:ascii="Arial" w:cs="Arial" w:eastAsia="Arial" w:hAnsi="Arial"/>
          <w:sz w:val="18"/>
          <w:szCs w:val="18"/>
          <w:b w:val="1"/>
          <w:bCs w:val="1"/>
          <w:color w:val="auto"/>
        </w:rPr>
        <w:t>Cash Collateralization</w:t>
      </w:r>
      <w:r>
        <w:rPr>
          <w:rFonts w:ascii="Arial" w:cs="Arial" w:eastAsia="Arial" w:hAnsi="Arial"/>
          <w:sz w:val="18"/>
          <w:szCs w:val="18"/>
          <w:color w:val="auto"/>
        </w:rPr>
        <w:t>” have corresponding meanings).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1" w:right="239" w:bottom="1440" w:gutter="0" w:footer="0" w:header="0"/>
        </w:sectPr>
      </w:pPr>
    </w:p>
    <w:bookmarkStart w:id="220" w:name="page221"/>
    <w:bookmarkEnd w:id="220"/>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6"/>
          <w:szCs w:val="16"/>
          <w:color w:val="auto"/>
        </w:rPr>
        <w:t>‑</w:t>
      </w:r>
      <w:r>
        <w:rPr>
          <w:rFonts w:ascii="Arial" w:cs="Arial" w:eastAsia="Arial" w:hAnsi="Arial"/>
          <w:sz w:val="16"/>
          <w:szCs w:val="16"/>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4" w:lineRule="exact"/>
        <w:rPr>
          <w:sz w:val="20"/>
          <w:szCs w:val="20"/>
          <w:color w:val="auto"/>
        </w:rPr>
      </w:pPr>
    </w:p>
    <w:p>
      <w:pPr>
        <w:jc w:val="both"/>
        <w:ind w:firstLine="8"/>
        <w:spacing w:after="0" w:line="268" w:lineRule="auto"/>
        <w:tabs>
          <w:tab w:leader="none" w:pos="25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xml:space="preserve">”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Arial" w:cs="Arial" w:eastAsia="Arial" w:hAnsi="Arial"/>
          <w:sz w:val="18"/>
          <w:szCs w:val="18"/>
          <w:u w:val="single" w:color="auto"/>
          <w:color w:val="auto"/>
        </w:rPr>
        <w:t>Section 12.03</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Casualty Event</w:t>
      </w:r>
      <w:r>
        <w:rPr>
          <w:rFonts w:ascii="Arial" w:cs="Arial" w:eastAsia="Arial" w:hAnsi="Arial"/>
          <w:sz w:val="16"/>
          <w:szCs w:val="16"/>
          <w:color w:val="auto"/>
        </w:rPr>
        <w:t xml:space="preserve">” shall mean any loss of title or any loss of or damage to or destruction of, or any condemnation or other taking (or settlement in lieu thereof) (including by any Governmental Authority) of, any Property of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no such event shall constitute a Casualty Event if the proceeds thereof or other compensation in respect thereof is less than $100.0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shall mean a “controlled foreign corporation” within the meaning of Section 957 of the Code.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221" w:name="page222"/>
    <w:bookmarkEnd w:id="221"/>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CFC Holdco</w:t>
      </w:r>
      <w:r>
        <w:rPr>
          <w:rFonts w:ascii="Arial" w:cs="Arial" w:eastAsia="Arial" w:hAnsi="Arial"/>
          <w:sz w:val="16"/>
          <w:szCs w:val="16"/>
          <w:color w:val="auto"/>
        </w:rPr>
        <w:t>” shall mean any Subsidiary that has no material assets other than Equity Interests in one or more Foreign Subsidiaries that is a CFC.</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be deemed to have occurred if:</w:t>
      </w:r>
    </w:p>
    <w:p>
      <w:pPr>
        <w:spacing w:after="0" w:line="256" w:lineRule="exact"/>
        <w:rPr>
          <w:sz w:val="20"/>
          <w:szCs w:val="20"/>
          <w:color w:val="auto"/>
        </w:rPr>
      </w:pPr>
    </w:p>
    <w:p>
      <w:pPr>
        <w:ind w:left="340" w:firstLine="640"/>
        <w:spacing w:after="0" w:line="324" w:lineRule="auto"/>
        <w:tabs>
          <w:tab w:leader="none" w:pos="1836"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Wynn Resorts shall at any time fail to own, directly or indirectly, 60% or more of the voting power of the total outstanding Voting Stock of Borrower; or</w:t>
      </w:r>
    </w:p>
    <w:p>
      <w:pPr>
        <w:spacing w:after="0" w:line="170" w:lineRule="exact"/>
        <w:rPr>
          <w:rFonts w:ascii="Arial" w:cs="Arial" w:eastAsia="Arial" w:hAnsi="Arial"/>
          <w:sz w:val="18"/>
          <w:szCs w:val="18"/>
          <w:color w:val="auto"/>
        </w:rPr>
      </w:pPr>
    </w:p>
    <w:p>
      <w:pPr>
        <w:jc w:val="both"/>
        <w:ind w:left="340" w:firstLine="640"/>
        <w:spacing w:after="0" w:line="341" w:lineRule="auto"/>
        <w:tabs>
          <w:tab w:leader="none" w:pos="191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Wynn Resorts, measured by voting power rather than number of Equity Interests (but excluding (i) any employee benefit plan of such person or its subsidiaries, any person or entity acting in its capacity as a trustee, agent, or other fiduciary or administrator of any such plan, or any person formed as a holding company for Wynn Resorts (in a transaction where the Voting Stock of Wynn Resorts outstanding prior to such transaction is converted into or exchanged for the Voting Stock of the surviving or transferee person constituting all or substantially all of the outstanding shares of such Voting Stock of such surviving or transferee person (immediately after giving effect to such issuance)) and (ii) any person that has received Voting Stock of Wynn Resorts in consideration of any acquisition or Investment, whether by purchase, merger, consolidation, or otherwise, by Wynn Resorts or any of its Subsidiaries, which person is temporarily holding such Voting Stock pending distribution to other persons (so long as, immediately after giving effect to such distribution, no Change of Control shall otherwise have occurred)).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on which the initial extension of credit is made hereunder, which date is September 20,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Mortgaged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 Refinancing</w:t>
      </w:r>
      <w:r>
        <w:rPr>
          <w:rFonts w:ascii="Arial" w:cs="Arial" w:eastAsia="Arial" w:hAnsi="Arial"/>
          <w:sz w:val="17"/>
          <w:szCs w:val="17"/>
          <w:color w:val="auto"/>
        </w:rPr>
        <w:t>” shall mean the repayment and replacement of all loans and commitments under the Existing Credit Agreements.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Commitment</w:t>
      </w:r>
      <w:r>
        <w:rPr>
          <w:rFonts w:ascii="Arial" w:cs="Arial" w:eastAsia="Arial" w:hAnsi="Arial"/>
          <w:sz w:val="18"/>
          <w:szCs w:val="18"/>
          <w:color w:val="auto"/>
        </w:rPr>
        <w:t>” shall mean a Revolving Commitment established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Facility</w:t>
      </w:r>
      <w:r>
        <w:rPr>
          <w:rFonts w:ascii="Arial" w:cs="Arial" w:eastAsia="Arial" w:hAnsi="Arial"/>
          <w:sz w:val="18"/>
          <w:szCs w:val="18"/>
          <w:color w:val="auto"/>
        </w:rPr>
        <w:t>” shall mean the credit facility comprising the Closing Date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222" w:name="page223"/>
    <w:bookmarkEnd w:id="222"/>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shall mean all of the Pledged Collateral, the Mortgaged Real Property, all Property encumbered pursuant to </w:t>
      </w:r>
      <w:r>
        <w:rPr>
          <w:rFonts w:ascii="Arial" w:cs="Arial" w:eastAsia="Arial" w:hAnsi="Arial"/>
          <w:sz w:val="18"/>
          <w:szCs w:val="18"/>
          <w:u w:val="single" w:color="auto"/>
          <w:color w:val="auto"/>
        </w:rPr>
        <w:t>Sections 9.08</w:t>
      </w:r>
      <w:r>
        <w:rPr>
          <w:rFonts w:ascii="Arial" w:cs="Arial" w:eastAsia="Arial" w:hAnsi="Arial"/>
          <w:sz w:val="18"/>
          <w:szCs w:val="18"/>
          <w:color w:val="auto"/>
        </w:rPr>
        <w:t xml:space="preserve">, </w:t>
      </w:r>
      <w:r>
        <w:rPr>
          <w:rFonts w:ascii="Arial" w:cs="Arial" w:eastAsia="Arial" w:hAnsi="Arial"/>
          <w:sz w:val="18"/>
          <w:szCs w:val="18"/>
          <w:u w:val="single" w:color="auto"/>
          <w:color w:val="auto"/>
        </w:rPr>
        <w:t>9.11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9.16</w:t>
      </w:r>
      <w:r>
        <w:rPr>
          <w:rFonts w:ascii="Arial" w:cs="Arial" w:eastAsia="Arial" w:hAnsi="Arial"/>
          <w:sz w:val="18"/>
          <w:szCs w:val="18"/>
          <w:color w:val="auto"/>
        </w:rPr>
        <w:t xml:space="preserve">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Collateral Agent pursuant to the Security Documents, unless and until such time as such assets or Property are required by the Credit Documents to again become subject to a Lien in favor of Collateral Agent.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Agency Agreement</w:t>
      </w:r>
      <w:r>
        <w:rPr>
          <w:rFonts w:ascii="Arial" w:cs="Arial" w:eastAsia="Arial" w:hAnsi="Arial"/>
          <w:sz w:val="17"/>
          <w:szCs w:val="17"/>
          <w:color w:val="auto"/>
        </w:rPr>
        <w:t>” shall mean that certain Collateral Agency Agreement, dated as December 14, 2004, among Bank of America, N.A., Deutsche Bank Trust Company Americas, as collateral agent under the Collateral Agency Intercreditor Agreement, and certain funding agents (including the trustees under the Wynn Las Vegas Notes) from time to time party thereto, as amended by that certain Amendment to Collateral Agency Agreement, dated as of July 29, 2005 and to be supplemented after the Closing Date by an assumption agreement executed by Collateral Agent.</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Agency Intercreditor Agreement</w:t>
      </w:r>
      <w:r>
        <w:rPr>
          <w:rFonts w:ascii="Arial" w:cs="Arial" w:eastAsia="Arial" w:hAnsi="Arial"/>
          <w:sz w:val="18"/>
          <w:szCs w:val="18"/>
          <w:color w:val="auto"/>
        </w:rPr>
        <w:t>” shall mean that certain Intercreditor Agreement, dated as of December 14, 2004, among Deutsche Bank Trust Company Americas, as the collateral agent and certain secured parties (including the trustees under the Wynn Las Vegas Notes) from time to time party thereto to be supplemented after the Closing Date by a joinder executed by Collateral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Letter</w:t>
      </w:r>
      <w:r>
        <w:rPr>
          <w:rFonts w:ascii="Arial" w:cs="Arial" w:eastAsia="Arial" w:hAnsi="Arial"/>
          <w:sz w:val="18"/>
          <w:szCs w:val="18"/>
          <w:color w:val="auto"/>
        </w:rPr>
        <w:t>” shall mean the Commitment Letter, dated as of August 23, 2019, as supplemented by Joinder Agreement No. 1 to the Commitment Letter, dated as of September 5, 2019 and Joinder Agreement No. 2 to the Commitment Letter, dated as of September 10, 2019, by and among Borrower and the Lead Arrangers.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the Revolving Commitments, the Term A Facility Commitments, any Other Commitments, any Incremental Term A Loan Commitments, and any New Term Loan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has the meaning set forth in the definition of “Disqualified Lender”.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Cash Interest Expense</w:t>
      </w:r>
      <w:r>
        <w:rPr>
          <w:rFonts w:ascii="Arial" w:cs="Arial" w:eastAsia="Arial" w:hAnsi="Arial"/>
          <w:sz w:val="17"/>
          <w:szCs w:val="17"/>
          <w:color w:val="auto"/>
        </w:rPr>
        <w:t>” shall mean, with respect to Borrower and the Restricted Subsidiaries on a consolidated basis for any period, Consolidated Interest Expense for such period, less the sum of, without duplication, (a) pay in kind Consolidated Interest Expense and other non-cash Consolidated Interest Expense (including as a result of the effects of purchase accounting), (b) to the extent included in Consolidated Interest Expense, any debt issuance costs, commissions, financing fees paid by, or on behalf of, Borrower or any Restricted Subsidiary, including such fees paid in connection with the Transactions, and the expensing or amortization thereof or of any bridge, commitment, upfront, ticking or other financing fees, including those paid in connection with the Transactions or any amendment of this Agreement or any amendment or refinancing of any other Indebtedness permitted hereunder, and (c) the amortization of debt discounts, if any, or fees in respect of Swap Contracts.</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Companies</w:t>
      </w:r>
      <w:r>
        <w:rPr>
          <w:rFonts w:ascii="Arial" w:cs="Arial" w:eastAsia="Arial" w:hAnsi="Arial"/>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1" w:right="239" w:bottom="1440" w:gutter="0" w:footer="0" w:header="0"/>
        </w:sectPr>
      </w:pPr>
    </w:p>
    <w:bookmarkStart w:id="223" w:name="page224"/>
    <w:bookmarkEnd w:id="223"/>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Liabilities</w:t>
      </w:r>
      <w:r>
        <w:rPr>
          <w:rFonts w:ascii="Arial" w:cs="Arial" w:eastAsia="Arial" w:hAnsi="Arial"/>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shall mean, for any Test Period, the sum (without duplication) of Consolidated Net Income for such Test Period; </w:t>
      </w:r>
      <w:r>
        <w:rPr>
          <w:rFonts w:ascii="Arial" w:cs="Arial" w:eastAsia="Arial" w:hAnsi="Arial"/>
          <w:sz w:val="17"/>
          <w:szCs w:val="17"/>
          <w:i w:val="1"/>
          <w:iCs w:val="1"/>
          <w:color w:val="auto"/>
        </w:rPr>
        <w:t>plus</w:t>
      </w:r>
    </w:p>
    <w:p>
      <w:pPr>
        <w:spacing w:after="0" w:line="268" w:lineRule="exact"/>
        <w:rPr>
          <w:sz w:val="20"/>
          <w:szCs w:val="20"/>
          <w:color w:val="auto"/>
        </w:rPr>
      </w:pPr>
    </w:p>
    <w:p>
      <w:pPr>
        <w:ind w:left="1820" w:hanging="840"/>
        <w:spacing w:after="0"/>
        <w:tabs>
          <w:tab w:leader="none" w:pos="1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each case to the extent deducted in calculating such Consolidated Net Income:</w:t>
      </w:r>
    </w:p>
    <w:p>
      <w:pPr>
        <w:spacing w:after="0" w:line="238" w:lineRule="exact"/>
        <w:rPr>
          <w:rFonts w:ascii="Arial" w:cs="Arial" w:eastAsia="Arial" w:hAnsi="Arial"/>
          <w:sz w:val="18"/>
          <w:szCs w:val="18"/>
          <w:color w:val="auto"/>
        </w:rPr>
      </w:pPr>
    </w:p>
    <w:p>
      <w:pPr>
        <w:ind w:left="1960" w:firstLine="641"/>
        <w:spacing w:after="0" w:line="277" w:lineRule="auto"/>
        <w:tabs>
          <w:tab w:leader="none" w:pos="298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provisions for taxes based on income or profits or capital gains, plus franchise or similar taxes, of Borrower and its Restricted Subsidiaries for such Test Period;</w:t>
      </w:r>
    </w:p>
    <w:p>
      <w:pPr>
        <w:spacing w:after="0" w:line="170" w:lineRule="exact"/>
        <w:rPr>
          <w:rFonts w:ascii="Arial" w:cs="Arial" w:eastAsia="Arial" w:hAnsi="Arial"/>
          <w:sz w:val="18"/>
          <w:szCs w:val="18"/>
          <w:color w:val="auto"/>
        </w:rPr>
      </w:pPr>
    </w:p>
    <w:p>
      <w:pPr>
        <w:ind w:left="1960" w:firstLine="641"/>
        <w:spacing w:after="0" w:line="277" w:lineRule="auto"/>
        <w:tabs>
          <w:tab w:leader="none" w:pos="307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Consolidated Interest Expense of Borrower and its Restricted Subsidiaries for such Test Period, whether paid or accrued and whether or not capitalized;</w:t>
      </w:r>
    </w:p>
    <w:p>
      <w:pPr>
        <w:spacing w:after="0" w:line="170" w:lineRule="exact"/>
        <w:rPr>
          <w:rFonts w:ascii="Arial" w:cs="Arial" w:eastAsia="Arial" w:hAnsi="Arial"/>
          <w:sz w:val="18"/>
          <w:szCs w:val="18"/>
          <w:color w:val="auto"/>
        </w:rPr>
      </w:pPr>
    </w:p>
    <w:p>
      <w:pPr>
        <w:jc w:val="both"/>
        <w:ind w:left="1960" w:firstLine="641"/>
        <w:spacing w:after="0" w:line="259" w:lineRule="auto"/>
        <w:tabs>
          <w:tab w:leader="none" w:pos="308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86" w:lineRule="exact"/>
        <w:rPr>
          <w:rFonts w:ascii="Arial" w:cs="Arial" w:eastAsia="Arial" w:hAnsi="Arial"/>
          <w:sz w:val="18"/>
          <w:szCs w:val="18"/>
          <w:color w:val="auto"/>
        </w:rPr>
      </w:pPr>
    </w:p>
    <w:p>
      <w:pPr>
        <w:jc w:val="both"/>
        <w:ind w:left="1960" w:firstLine="641"/>
        <w:spacing w:after="0" w:line="253" w:lineRule="auto"/>
        <w:tabs>
          <w:tab w:leader="none" w:pos="317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spacing w:after="0" w:line="197" w:lineRule="exact"/>
        <w:rPr>
          <w:rFonts w:ascii="Arial" w:cs="Arial" w:eastAsia="Arial" w:hAnsi="Arial"/>
          <w:sz w:val="18"/>
          <w:szCs w:val="18"/>
          <w:color w:val="auto"/>
        </w:rPr>
      </w:pPr>
    </w:p>
    <w:p>
      <w:pPr>
        <w:ind w:left="3000" w:hanging="399"/>
        <w:spacing w:after="0"/>
        <w:tabs>
          <w:tab w:leader="none" w:pos="30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Pre-Opening Expenses;</w:t>
      </w:r>
    </w:p>
    <w:p>
      <w:pPr>
        <w:spacing w:after="0" w:line="225" w:lineRule="exact"/>
        <w:rPr>
          <w:rFonts w:ascii="Arial" w:cs="Arial" w:eastAsia="Arial" w:hAnsi="Arial"/>
          <w:sz w:val="18"/>
          <w:szCs w:val="18"/>
          <w:color w:val="auto"/>
        </w:rPr>
      </w:pPr>
    </w:p>
    <w:p>
      <w:pPr>
        <w:jc w:val="both"/>
        <w:ind w:left="1960" w:firstLine="641"/>
        <w:spacing w:after="0" w:line="297" w:lineRule="auto"/>
        <w:tabs>
          <w:tab w:leader="none" w:pos="3048"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amount of any restructuring costs, charges, accruals, expenses or reserves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costs, charges, accruals, reserves or items of loss or expense (including, without limitation, losses on asset sales (other than asset sales in the ordinary course of business));</w:t>
      </w:r>
    </w:p>
    <w:p>
      <w:pPr>
        <w:spacing w:after="0" w:line="158" w:lineRule="exact"/>
        <w:rPr>
          <w:rFonts w:ascii="Arial" w:cs="Arial" w:eastAsia="Arial" w:hAnsi="Arial"/>
          <w:sz w:val="16"/>
          <w:szCs w:val="16"/>
          <w:color w:val="auto"/>
        </w:rPr>
      </w:pPr>
    </w:p>
    <w:p>
      <w:pPr>
        <w:ind w:left="1960" w:firstLine="641"/>
        <w:spacing w:after="0" w:line="277" w:lineRule="auto"/>
        <w:tabs>
          <w:tab w:leader="none" w:pos="313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charges, fees and expenses (or any amortization thereof) (including, without limitation, all legal, accounting, advisory or other transaction-related fees, charges,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1" w:right="239" w:bottom="1440" w:gutter="0" w:footer="0" w:header="0"/>
        </w:sectPr>
      </w:pPr>
    </w:p>
    <w:bookmarkStart w:id="224" w:name="page225"/>
    <w:bookmarkEnd w:id="224"/>
    <w:p>
      <w:pPr>
        <w:jc w:val="both"/>
        <w:ind w:left="1620"/>
        <w:spacing w:after="0" w:line="259" w:lineRule="auto"/>
        <w:rPr>
          <w:sz w:val="20"/>
          <w:szCs w:val="20"/>
          <w:color w:val="auto"/>
        </w:rPr>
      </w:pPr>
      <w:r>
        <w:rPr>
          <w:rFonts w:ascii="Arial" w:cs="Arial" w:eastAsia="Arial" w:hAnsi="Arial"/>
          <w:sz w:val="18"/>
          <w:szCs w:val="18"/>
          <w:color w:val="auto"/>
        </w:rPr>
        <w:t>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87" w:lineRule="exact"/>
        <w:rPr>
          <w:sz w:val="20"/>
          <w:szCs w:val="20"/>
          <w:color w:val="auto"/>
        </w:rPr>
      </w:pPr>
    </w:p>
    <w:p>
      <w:pPr>
        <w:ind w:left="2800" w:hanging="539"/>
        <w:spacing w:after="0"/>
        <w:tabs>
          <w:tab w:leader="none" w:pos="2800" w:val="left"/>
        </w:tabs>
        <w:numPr>
          <w:ilvl w:val="2"/>
          <w:numId w:val="213"/>
        </w:numPr>
        <w:rPr>
          <w:rFonts w:ascii="Arial" w:cs="Arial" w:eastAsia="Arial" w:hAnsi="Arial"/>
          <w:sz w:val="17"/>
          <w:szCs w:val="17"/>
          <w:color w:val="auto"/>
        </w:rPr>
      </w:pPr>
      <w:r>
        <w:rPr>
          <w:rFonts w:ascii="Arial" w:cs="Arial" w:eastAsia="Arial" w:hAnsi="Arial"/>
          <w:sz w:val="17"/>
          <w:szCs w:val="17"/>
          <w:color w:val="auto"/>
        </w:rPr>
        <w:t>any losses resulting from mark to market accounting of Swap Contracts or other derivative instruments; and</w:t>
      </w:r>
    </w:p>
    <w:p>
      <w:pPr>
        <w:spacing w:after="0" w:line="236" w:lineRule="exact"/>
        <w:rPr>
          <w:rFonts w:ascii="Arial" w:cs="Arial" w:eastAsia="Arial" w:hAnsi="Arial"/>
          <w:sz w:val="17"/>
          <w:szCs w:val="17"/>
          <w:color w:val="auto"/>
        </w:rPr>
      </w:pPr>
    </w:p>
    <w:p>
      <w:pPr>
        <w:jc w:val="both"/>
        <w:ind w:left="1620" w:firstLine="641"/>
        <w:spacing w:after="0" w:line="257" w:lineRule="auto"/>
        <w:tabs>
          <w:tab w:leader="none" w:pos="2830" w:val="left"/>
        </w:tabs>
        <w:numPr>
          <w:ilvl w:val="2"/>
          <w:numId w:val="213"/>
        </w:numPr>
        <w:rPr>
          <w:rFonts w:ascii="Arial" w:cs="Arial" w:eastAsia="Arial" w:hAnsi="Arial"/>
          <w:sz w:val="18"/>
          <w:szCs w:val="18"/>
          <w:color w:val="auto"/>
        </w:rPr>
      </w:pPr>
      <w:r>
        <w:rPr>
          <w:rFonts w:ascii="Arial" w:cs="Arial" w:eastAsia="Arial" w:hAnsi="Arial"/>
          <w:sz w:val="18"/>
          <w:szCs w:val="18"/>
          <w:color w:val="auto"/>
        </w:rPr>
        <w:t xml:space="preserve">the aggregate amount of accrued and unpaid Management Fees, IP Licensing Fees and Allocable Overhead;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cash payment in respect of such accrued and unpaid Management Fees, IP Licensing Fees and Allocable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Overhead (other than to the extent any such accrual occurred prior to the Closing Date) in any future Test Period shall be subtracted from Consolidated EBITDA in such Test Period to the extent Borrower elected to previously add back such amounts to Consolidated EBITDA; </w:t>
      </w:r>
      <w:r>
        <w:rPr>
          <w:rFonts w:ascii="Arial" w:cs="Arial" w:eastAsia="Arial" w:hAnsi="Arial"/>
          <w:sz w:val="18"/>
          <w:szCs w:val="18"/>
          <w:i w:val="1"/>
          <w:iCs w:val="1"/>
          <w:color w:val="auto"/>
        </w:rPr>
        <w:t>minus</w:t>
      </w:r>
    </w:p>
    <w:p>
      <w:pPr>
        <w:spacing w:after="0" w:line="215" w:lineRule="exact"/>
        <w:rPr>
          <w:rFonts w:ascii="Arial" w:cs="Arial" w:eastAsia="Arial" w:hAnsi="Arial"/>
          <w:sz w:val="18"/>
          <w:szCs w:val="18"/>
          <w:color w:val="auto"/>
        </w:rPr>
      </w:pPr>
    </w:p>
    <w:p>
      <w:pPr>
        <w:ind w:left="1500" w:hanging="860"/>
        <w:spacing w:after="0"/>
        <w:tabs>
          <w:tab w:leader="none" w:pos="15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in each case to the extent included in calculating such Consolidated Net Income:</w:t>
      </w:r>
    </w:p>
    <w:p>
      <w:pPr>
        <w:spacing w:after="0" w:line="238" w:lineRule="exact"/>
        <w:rPr>
          <w:rFonts w:ascii="Arial" w:cs="Arial" w:eastAsia="Arial" w:hAnsi="Arial"/>
          <w:sz w:val="18"/>
          <w:szCs w:val="18"/>
          <w:color w:val="auto"/>
        </w:rPr>
      </w:pPr>
    </w:p>
    <w:p>
      <w:pPr>
        <w:jc w:val="both"/>
        <w:ind w:left="320" w:firstLine="645"/>
        <w:spacing w:after="0" w:line="286" w:lineRule="auto"/>
        <w:tabs>
          <w:tab w:leader="none" w:pos="131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65" w:lineRule="exact"/>
        <w:rPr>
          <w:rFonts w:ascii="Arial" w:cs="Arial" w:eastAsia="Arial" w:hAnsi="Arial"/>
          <w:sz w:val="17"/>
          <w:szCs w:val="17"/>
          <w:color w:val="auto"/>
        </w:rPr>
      </w:pPr>
    </w:p>
    <w:p>
      <w:pPr>
        <w:ind w:left="1360" w:hanging="395"/>
        <w:spacing w:after="0"/>
        <w:tabs>
          <w:tab w:leader="none" w:pos="13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the amount of any gains resulting from mark to market accounting of Swap Contracts or other derivative instruments;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jc w:val="both"/>
        <w:ind w:firstLine="640"/>
        <w:spacing w:after="0" w:line="338" w:lineRule="auto"/>
        <w:tabs>
          <w:tab w:leader="none" w:pos="1496"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the amount of cost savings, operating expense reductions, other operating improvements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eighteen (18) months of the closing date of the Specified Transaction), including in connection with any Specified Transaction (calculated on a Pro Forma Basis as though such cost savings, operating expense reductions, other operating improvements and synergies had been realized during the entirety of such Test Period), net of the amount of actual benefits realized during such Test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other operating improvements and synergies and certifying that such savings, operating expense reductions, other operating improvements and synergies are reasonably expected to be realized within eighteen (18) months of the taking of such specified actions and are factually supportable in the good faith judgment of Borrower, (ii) such actions are to be taken within eighteen (18) months after the consummation of such Specified Transaction, restructuring or implementation of an initiative that is expected to result in such cost savings, operating expense reductions, other operating improvements or synergies, (iii) no cost savings, operating expense reductions, other operating improvements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eighteen (18) months have elapsed after the specified action taken in order to realize such projected cost savings, operating expense reductions, other operating improvements and synergies;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additions made to Consolidated EBITDA for any Test Period pursuant to this clause (c) and </w:t>
      </w:r>
      <w:r>
        <w:rPr>
          <w:rFonts w:ascii="Arial" w:cs="Arial" w:eastAsia="Arial" w:hAnsi="Arial"/>
          <w:sz w:val="16"/>
          <w:szCs w:val="16"/>
          <w:u w:val="single" w:color="auto"/>
          <w:color w:val="auto"/>
        </w:rPr>
        <w:t>Section 1.06(c)</w:t>
      </w:r>
      <w:r>
        <w:rPr>
          <w:rFonts w:ascii="Arial" w:cs="Arial" w:eastAsia="Arial" w:hAnsi="Arial"/>
          <w:sz w:val="16"/>
          <w:szCs w:val="16"/>
          <w:color w:val="auto"/>
        </w:rPr>
        <w:t xml:space="preserve"> shall not (i) exceed 20.0% of Consolidated EBITDA for such Test Period (after giving effect to this clause (c) and Section 1.06(c)) or (ii) be duplicative of one another; </w:t>
      </w:r>
      <w:r>
        <w:rPr>
          <w:rFonts w:ascii="Arial" w:cs="Arial" w:eastAsia="Arial" w:hAnsi="Arial"/>
          <w:sz w:val="16"/>
          <w:szCs w:val="16"/>
          <w:i w:val="1"/>
          <w:iCs w:val="1"/>
          <w:color w:val="auto"/>
        </w:rPr>
        <w:t>plus</w:t>
      </w:r>
    </w:p>
    <w:p>
      <w:pPr>
        <w:spacing w:after="0" w:line="170" w:lineRule="exact"/>
        <w:rPr>
          <w:rFonts w:ascii="Arial" w:cs="Arial" w:eastAsia="Arial" w:hAnsi="Arial"/>
          <w:sz w:val="16"/>
          <w:szCs w:val="16"/>
          <w:color w:val="auto"/>
        </w:rPr>
      </w:pPr>
    </w:p>
    <w:p>
      <w:pPr>
        <w:jc w:val="both"/>
        <w:ind w:firstLine="640"/>
        <w:spacing w:after="0" w:line="311" w:lineRule="auto"/>
        <w:tabs>
          <w:tab w:leader="none" w:pos="150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580" w:top="584" w:right="239" w:bottom="1440" w:gutter="0" w:footer="0" w:header="0"/>
        </w:sectPr>
      </w:pPr>
    </w:p>
    <w:bookmarkStart w:id="225" w:name="page226"/>
    <w:bookmarkEnd w:id="225"/>
    <w:p>
      <w:pPr>
        <w:jc w:val="both"/>
        <w:ind w:left="340"/>
        <w:spacing w:after="0" w:line="323" w:lineRule="auto"/>
        <w:rPr>
          <w:sz w:val="20"/>
          <w:szCs w:val="20"/>
          <w:color w:val="auto"/>
        </w:rPr>
      </w:pPr>
      <w:r>
        <w:rPr>
          <w:rFonts w:ascii="Arial" w:cs="Arial" w:eastAsia="Arial" w:hAnsi="Arial"/>
          <w:sz w:val="17"/>
          <w:szCs w:val="17"/>
          <w:color w:val="auto"/>
        </w:rPr>
        <w:t xml:space="preserve">for such Test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amount of insurance proceeds shall only be included pursuant to this clause (d) to the extent of the amount of insurance proceeds </w:t>
      </w:r>
      <w:r>
        <w:rPr>
          <w:rFonts w:ascii="Arial" w:cs="Arial" w:eastAsia="Arial" w:hAnsi="Arial"/>
          <w:sz w:val="17"/>
          <w:szCs w:val="17"/>
          <w:i w:val="1"/>
          <w:iCs w:val="1"/>
          <w:color w:val="auto"/>
        </w:rPr>
        <w:t>plus</w:t>
      </w:r>
      <w:r>
        <w:rPr>
          <w:rFonts w:ascii="Arial" w:cs="Arial" w:eastAsia="Arial" w:hAnsi="Arial"/>
          <w:sz w:val="17"/>
          <w:szCs w:val="17"/>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17"/>
          <w:szCs w:val="17"/>
          <w:i w:val="1"/>
          <w:iCs w:val="1"/>
          <w:color w:val="auto"/>
        </w:rPr>
        <w:t>plus</w:t>
      </w:r>
    </w:p>
    <w:p>
      <w:pPr>
        <w:spacing w:after="0" w:line="177" w:lineRule="exact"/>
        <w:rPr>
          <w:sz w:val="20"/>
          <w:szCs w:val="20"/>
          <w:color w:val="auto"/>
        </w:rPr>
      </w:pPr>
    </w:p>
    <w:p>
      <w:pPr>
        <w:jc w:val="both"/>
        <w:ind w:left="340" w:right="20" w:firstLine="640"/>
        <w:spacing w:after="0" w:line="311" w:lineRule="auto"/>
        <w:tabs>
          <w:tab w:leader="none" w:pos="183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for any previous Test Period and not added back.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shall be further adjusted:</w:t>
      </w:r>
    </w:p>
    <w:p>
      <w:pPr>
        <w:spacing w:after="0" w:line="252" w:lineRule="exact"/>
        <w:rPr>
          <w:sz w:val="20"/>
          <w:szCs w:val="20"/>
          <w:color w:val="auto"/>
        </w:rPr>
      </w:pPr>
    </w:p>
    <w:p>
      <w:pPr>
        <w:jc w:val="both"/>
        <w:ind w:left="340" w:firstLine="640"/>
        <w:spacing w:after="0" w:line="302" w:lineRule="auto"/>
        <w:tabs>
          <w:tab w:leader="none" w:pos="188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192" w:lineRule="exact"/>
        <w:rPr>
          <w:rFonts w:ascii="Arial" w:cs="Arial" w:eastAsia="Arial" w:hAnsi="Arial"/>
          <w:sz w:val="18"/>
          <w:szCs w:val="18"/>
          <w:color w:val="auto"/>
        </w:rPr>
      </w:pPr>
    </w:p>
    <w:p>
      <w:pPr>
        <w:jc w:val="both"/>
        <w:ind w:left="340" w:firstLine="640"/>
        <w:spacing w:after="0" w:line="302" w:lineRule="auto"/>
        <w:tabs>
          <w:tab w:leader="none" w:pos="187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192" w:lineRule="exact"/>
        <w:rPr>
          <w:rFonts w:ascii="Arial" w:cs="Arial" w:eastAsia="Arial" w:hAnsi="Arial"/>
          <w:sz w:val="18"/>
          <w:szCs w:val="18"/>
          <w:color w:val="auto"/>
        </w:rPr>
      </w:pPr>
    </w:p>
    <w:p>
      <w:pPr>
        <w:jc w:val="both"/>
        <w:ind w:left="340" w:firstLine="640"/>
        <w:spacing w:after="0" w:line="302" w:lineRule="auto"/>
        <w:tabs>
          <w:tab w:leader="none" w:pos="187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w:t>
      </w:r>
    </w:p>
    <w:p>
      <w:pPr>
        <w:spacing w:after="0" w:line="192" w:lineRule="exact"/>
        <w:rPr>
          <w:rFonts w:ascii="Arial" w:cs="Arial" w:eastAsia="Arial" w:hAnsi="Arial"/>
          <w:sz w:val="18"/>
          <w:szCs w:val="18"/>
          <w:color w:val="auto"/>
        </w:rPr>
      </w:pPr>
    </w:p>
    <w:p>
      <w:pPr>
        <w:jc w:val="both"/>
        <w:ind w:left="340" w:firstLine="640"/>
        <w:spacing w:after="0" w:line="344" w:lineRule="auto"/>
        <w:tabs>
          <w:tab w:leader="none" w:pos="188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 the event of any Expansion Capital Expenditures or Development Projects that were opened for business during such Test Period, by multiplying the Consolidated EBITDA attributable to such Expansion Capital Expenditures or Development Projects (as determined by Borrower in good faith) in respect of the first three (3) complete fiscal quarters following opening of the business representing such Expansion Capital Expenditures or Development Projects by: (x) 4 (with respect to the first such quarter), (y) 2 (with respect to the first two such quarters), and (z) 4/3 (with respect to the first three such quarters) and, for the avoidance of doubt, excluding Consolidated EBITDA attributable to such Expansion Capital Expenditures or Development Projects during the quarter in which the business representing such Expansion Capital Expenditure or Development Projects opened when calculating Consolidated EBITDA during any such three fiscal quarters (unless such business opened on the first day of a fiscal quarter);</w:t>
      </w:r>
    </w:p>
    <w:p>
      <w:pPr>
        <w:spacing w:after="0" w:line="139" w:lineRule="exact"/>
        <w:rPr>
          <w:rFonts w:ascii="Arial" w:cs="Arial" w:eastAsia="Arial" w:hAnsi="Arial"/>
          <w:sz w:val="16"/>
          <w:szCs w:val="16"/>
          <w:color w:val="auto"/>
        </w:rPr>
      </w:pPr>
    </w:p>
    <w:p>
      <w:pPr>
        <w:jc w:val="both"/>
        <w:ind w:left="340" w:firstLine="640"/>
        <w:spacing w:after="0" w:line="236" w:lineRule="auto"/>
        <w:tabs>
          <w:tab w:leader="none" w:pos="186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 respect to each fiscal quarter during any Test Period ending on or prior to the eighth (8</w:t>
      </w:r>
      <w:r>
        <w:rPr>
          <w:rFonts w:ascii="Arial" w:cs="Arial" w:eastAsia="Arial" w:hAnsi="Arial"/>
          <w:sz w:val="25"/>
          <w:szCs w:val="25"/>
          <w:color w:val="auto"/>
          <w:vertAlign w:val="superscript"/>
        </w:rPr>
        <w:t>th</w:t>
      </w:r>
      <w:r>
        <w:rPr>
          <w:rFonts w:ascii="Arial" w:cs="Arial" w:eastAsia="Arial" w:hAnsi="Arial"/>
          <w:sz w:val="18"/>
          <w:szCs w:val="18"/>
          <w:color w:val="auto"/>
        </w:rPr>
        <w:t>) full fiscal quarter after the Closing Date (which, for the avoidance of doubt, shall include the sixth (6</w:t>
      </w:r>
      <w:r>
        <w:rPr>
          <w:rFonts w:ascii="Arial" w:cs="Arial" w:eastAsia="Arial" w:hAnsi="Arial"/>
          <w:sz w:val="25"/>
          <w:szCs w:val="25"/>
          <w:color w:val="auto"/>
          <w:vertAlign w:val="superscript"/>
        </w:rPr>
        <w:t>th</w:t>
      </w:r>
      <w:r>
        <w:rPr>
          <w:rFonts w:ascii="Arial" w:cs="Arial" w:eastAsia="Arial" w:hAnsi="Arial"/>
          <w:sz w:val="18"/>
          <w:szCs w:val="18"/>
          <w:color w:val="auto"/>
        </w:rPr>
        <w:t>), seventh (7</w:t>
      </w:r>
      <w:r>
        <w:rPr>
          <w:rFonts w:ascii="Arial" w:cs="Arial" w:eastAsia="Arial" w:hAnsi="Arial"/>
          <w:sz w:val="25"/>
          <w:szCs w:val="25"/>
          <w:color w:val="auto"/>
          <w:vertAlign w:val="superscript"/>
        </w:rPr>
        <w:t>th</w:t>
      </w:r>
      <w:r>
        <w:rPr>
          <w:rFonts w:ascii="Arial" w:cs="Arial" w:eastAsia="Arial" w:hAnsi="Arial"/>
          <w:sz w:val="18"/>
          <w:szCs w:val="18"/>
          <w:color w:val="auto"/>
        </w:rPr>
        <w:t>) and eighth (8</w:t>
      </w:r>
      <w:r>
        <w:rPr>
          <w:rFonts w:ascii="Arial" w:cs="Arial" w:eastAsia="Arial" w:hAnsi="Arial"/>
          <w:sz w:val="25"/>
          <w:szCs w:val="25"/>
          <w:color w:val="auto"/>
          <w:vertAlign w:val="superscript"/>
        </w:rPr>
        <w:t>th</w:t>
      </w:r>
      <w:r>
        <w:rPr>
          <w:rFonts w:ascii="Arial" w:cs="Arial" w:eastAsia="Arial" w:hAnsi="Arial"/>
          <w:sz w:val="18"/>
          <w:szCs w:val="18"/>
          <w:color w:val="auto"/>
        </w:rPr>
        <w:t>) full fiscal quarters after the Closing Date to the extent any such fiscal quarters are included in any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226" w:name="page227"/>
    <w:bookmarkEnd w:id="226"/>
    <w:p>
      <w:pPr>
        <w:ind w:left="340" w:right="20"/>
        <w:spacing w:after="0" w:line="357" w:lineRule="auto"/>
        <w:rPr>
          <w:sz w:val="20"/>
          <w:szCs w:val="20"/>
          <w:color w:val="auto"/>
        </w:rPr>
      </w:pPr>
      <w:r>
        <w:rPr>
          <w:rFonts w:ascii="Arial" w:cs="Arial" w:eastAsia="Arial" w:hAnsi="Arial"/>
          <w:sz w:val="17"/>
          <w:szCs w:val="17"/>
          <w:color w:val="auto"/>
        </w:rPr>
        <w:t>Test Period), Consolidated EBITDA attributable to the Wynn Massachusetts Resort (as determined by Borrower in good faith) shall, in each case, be the greater of (1) $50.0 million and (2) actual Consolidated EBITDA attributable to the Wynn Massachusetts Resort for such fiscal quarter; and</w:t>
      </w:r>
    </w:p>
    <w:p>
      <w:pPr>
        <w:spacing w:after="0" w:line="148" w:lineRule="exact"/>
        <w:rPr>
          <w:sz w:val="20"/>
          <w:szCs w:val="20"/>
          <w:color w:val="auto"/>
        </w:rPr>
      </w:pPr>
    </w:p>
    <w:p>
      <w:pPr>
        <w:jc w:val="both"/>
        <w:ind w:left="340" w:firstLine="640"/>
        <w:spacing w:after="0" w:line="311" w:lineRule="auto"/>
        <w:tabs>
          <w:tab w:leader="none" w:pos="185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exclude the amount, if any, by which the dividends and distributions paid or, at Borrower’s election, declared to Wynn Group Asia by its direct and indirect Subsidiaries that are included in Consolidated Net Income pursuant to clause (c) of the definition thereof during the applicable Test Period exceed the applicable Recurring Dividend Amount for such Test Period.</w:t>
      </w:r>
    </w:p>
    <w:p>
      <w:pPr>
        <w:spacing w:after="0" w:line="15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First Lien Net Leverage Ratio</w:t>
      </w:r>
      <w:r>
        <w:rPr>
          <w:rFonts w:ascii="Arial" w:cs="Arial" w:eastAsia="Arial" w:hAnsi="Arial"/>
          <w:sz w:val="16"/>
          <w:szCs w:val="16"/>
          <w:color w:val="auto"/>
        </w:rPr>
        <w:t xml:space="preserve">” shall mean, as of any date of determination, the ratio of (a) (i) Consolidated Indebtedness of Borrower and its Restricted Subsidiaries that is secured by Liens on the property or assets of Borrower or its Restricted Subsidiaries as of such date that ranks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the Liens securing the Obligations (other than (x) any such Consolidated Indebtedness that is expressly subordinated in right of payment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Unrestricted Operating Cash to</w:t>
      </w:r>
    </w:p>
    <w:p>
      <w:pPr>
        <w:spacing w:after="0" w:line="2" w:lineRule="exact"/>
        <w:rPr>
          <w:sz w:val="20"/>
          <w:szCs w:val="20"/>
          <w:color w:val="auto"/>
        </w:rPr>
      </w:pPr>
    </w:p>
    <w:p>
      <w:pPr>
        <w:jc w:val="both"/>
        <w:ind w:firstLine="8"/>
        <w:spacing w:after="0" w:line="254" w:lineRule="auto"/>
        <w:tabs>
          <w:tab w:leader="none" w:pos="26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Consolidated EBITDA for the Test Period most recently ended prior to such date;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calculating the Consolidated First Lien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Fixed Charge Coverage Ratio</w:t>
      </w:r>
      <w:r>
        <w:rPr>
          <w:rFonts w:ascii="Arial" w:cs="Arial" w:eastAsia="Arial" w:hAnsi="Arial"/>
          <w:sz w:val="17"/>
          <w:szCs w:val="17"/>
          <w:color w:val="auto"/>
        </w:rPr>
        <w:t>” shall mean, for any Test Period, the ratio of (a) Consolidated EBITDA for such Test Period to</w:t>
      </w:r>
    </w:p>
    <w:p>
      <w:pPr>
        <w:spacing w:after="0" w:line="39" w:lineRule="exact"/>
        <w:rPr>
          <w:sz w:val="20"/>
          <w:szCs w:val="20"/>
          <w:color w:val="auto"/>
        </w:rPr>
      </w:pPr>
    </w:p>
    <w:p>
      <w:pPr>
        <w:jc w:val="both"/>
        <w:ind w:firstLine="8"/>
        <w:spacing w:after="0" w:line="268" w:lineRule="auto"/>
        <w:tabs>
          <w:tab w:leader="none" w:pos="281"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Consolidated Cash Interest Expense (net of cash interest income (other than notes receivable and similar items)) (other than (A) Consolidated Cash Interest Expense in respect of Indebtedness that has been Discharged and Escrowed Indebtedness, (B) Consolidated Cash Interest Expense in respect of Indebtedness which constitutes Development Expenses or the proceeds of which were applied to fund Development Expenses (but only for so long as such Indebtedness or such funded expenses, as the case may be, constitute Development Expenses), and (C) Consolidated Cash Interest Expense consisting of cash costs associated with breakage or termination in respect of Swap Contracts for interest rates and costs and fees associated with obtaining Swap Contracts and fees payable thereunder) for such Test Period, all determined on a consolidated basis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calculating the Consolidated Fixed Charge Coverage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7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Indebtedness</w:t>
      </w:r>
      <w:r>
        <w:rPr>
          <w:rFonts w:ascii="Arial" w:cs="Arial" w:eastAsia="Arial" w:hAnsi="Arial"/>
          <w:sz w:val="16"/>
          <w:szCs w:val="16"/>
          <w:color w:val="auto"/>
        </w:rPr>
        <w:t xml:space="preserve">” shall mean, as at any date of determination, (a) the aggregate amount of all Indebtedness of Borrower and its Restricted Subsidiaries (other than (x) any such Indebtedness that has been Discharged, (y) any Escrowed Indebtedness, and (z)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Development Expenses (excluding Development Expenses to the extent proceeds thereof consist of Unrestricted Operating Cash that was deducted from Consolidated Indebtedness for purposes of determining the Consolidated First Lien Net Leverage Ratio, Consolidated Senior Secured Net Leverage Ratio, or Consolidated Total Net Leverage Ratio pursuant to the definitions thereof,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in respect of such non-controlling interest in such Restricted Subsidiary owned by a Person other than Borrower or any of its Restricted Subsidiaries,</w:t>
      </w:r>
    </w:p>
    <w:p>
      <w:pPr>
        <w:spacing w:after="0" w:line="7" w:lineRule="exact"/>
        <w:rPr>
          <w:sz w:val="20"/>
          <w:szCs w:val="20"/>
          <w:color w:val="auto"/>
        </w:rPr>
      </w:pPr>
    </w:p>
    <w:p>
      <w:pPr>
        <w:ind w:firstLine="8"/>
        <w:spacing w:after="0" w:line="261" w:lineRule="auto"/>
        <w:tabs>
          <w:tab w:leader="none" w:pos="32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Consolidated Indebtedness shall not include Contingent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and when any such Contingent Obligation is demanded for payment from Borrower or 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227" w:name="page228"/>
    <w:bookmarkEnd w:id="227"/>
    <w:p>
      <w:pPr>
        <w:jc w:val="both"/>
        <w:spacing w:after="0" w:line="259" w:lineRule="auto"/>
        <w:rPr>
          <w:sz w:val="20"/>
          <w:szCs w:val="20"/>
          <w:color w:val="auto"/>
        </w:rPr>
      </w:pPr>
      <w:r>
        <w:rPr>
          <w:rFonts w:ascii="Arial" w:cs="Arial" w:eastAsia="Arial" w:hAnsi="Arial"/>
          <w:sz w:val="18"/>
          <w:szCs w:val="18"/>
          <w:color w:val="auto"/>
        </w:rPr>
        <w:t>of its Restricted Subsidiaries, then the amounts of such Contingent Obligation shall be included in such calculations, and (iv) the amount of Consolidated Indebtedness, in the case of Indebtedness of a Restricted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xml:space="preserve">” shall mean, for any Test Period, the sum of interest expense of Borrower and its Restricted Subsidiaries for such Test Period as determined on a consolidated basis in accordance with GAAP, </w:t>
      </w:r>
      <w:r>
        <w:rPr>
          <w:rFonts w:ascii="Arial" w:cs="Arial" w:eastAsia="Arial" w:hAnsi="Arial"/>
          <w:sz w:val="16"/>
          <w:szCs w:val="16"/>
          <w:i w:val="1"/>
          <w:iCs w:val="1"/>
          <w:color w:val="auto"/>
        </w:rPr>
        <w:t>plus</w:t>
      </w:r>
      <w:r>
        <w:rPr>
          <w:rFonts w:ascii="Arial" w:cs="Arial" w:eastAsia="Arial" w:hAnsi="Arial"/>
          <w:sz w:val="16"/>
          <w:szCs w:val="16"/>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and any Escrowed Indebtedness,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shall mean, for any Test Period, the aggregate of the net income of Borrower and its Restricted Subsidiaries for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Test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duplication:</w:t>
      </w:r>
    </w:p>
    <w:p>
      <w:pPr>
        <w:spacing w:after="0" w:line="238" w:lineRule="exact"/>
        <w:rPr>
          <w:sz w:val="20"/>
          <w:szCs w:val="20"/>
          <w:color w:val="auto"/>
        </w:rPr>
      </w:pPr>
    </w:p>
    <w:p>
      <w:pPr>
        <w:ind w:left="340" w:firstLine="640"/>
        <w:spacing w:after="0" w:line="324" w:lineRule="auto"/>
        <w:tabs>
          <w:tab w:leader="none" w:pos="183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spacing w:after="0" w:line="170" w:lineRule="exact"/>
        <w:rPr>
          <w:rFonts w:ascii="Arial" w:cs="Arial" w:eastAsia="Arial" w:hAnsi="Arial"/>
          <w:sz w:val="18"/>
          <w:szCs w:val="18"/>
          <w:color w:val="auto"/>
        </w:rPr>
      </w:pPr>
    </w:p>
    <w:p>
      <w:pPr>
        <w:ind w:left="1840" w:hanging="860"/>
        <w:spacing w:after="0"/>
        <w:tabs>
          <w:tab w:leader="none" w:pos="18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thereon) shall be excluded;</w:t>
      </w:r>
    </w:p>
    <w:p>
      <w:pPr>
        <w:spacing w:after="0" w:line="265" w:lineRule="exact"/>
        <w:rPr>
          <w:rFonts w:ascii="Arial" w:cs="Arial" w:eastAsia="Arial" w:hAnsi="Arial"/>
          <w:sz w:val="18"/>
          <w:szCs w:val="18"/>
          <w:color w:val="auto"/>
        </w:rPr>
      </w:pPr>
    </w:p>
    <w:p>
      <w:pPr>
        <w:jc w:val="both"/>
        <w:ind w:left="340" w:firstLine="640"/>
        <w:spacing w:after="0" w:line="319" w:lineRule="auto"/>
        <w:tabs>
          <w:tab w:leader="none" w:pos="183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 (including at Borrower’s election in the case of the direct and indirect Subsidiaries of Wynn Group Asia, dividends and distributions declared (but not yet paid) during such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Borrower elects to include any such declared (but not yet paid) dividend or distribution in Consolidated Net Income of Borrower during any period, in no event shall the subsequent payment of such dividends and distributions be so included);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case of any such Person acquired by Borrower or any Restricted Subsidiary during such Test Period, the foregoing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as if such Person had been acquired on the first day of such Test Period;</w:t>
      </w:r>
    </w:p>
    <w:p>
      <w:pPr>
        <w:spacing w:after="0" w:line="183" w:lineRule="exact"/>
        <w:rPr>
          <w:rFonts w:ascii="Arial" w:cs="Arial" w:eastAsia="Arial" w:hAnsi="Arial"/>
          <w:sz w:val="17"/>
          <w:szCs w:val="17"/>
          <w:color w:val="auto"/>
        </w:rPr>
      </w:pPr>
    </w:p>
    <w:p>
      <w:pPr>
        <w:jc w:val="both"/>
        <w:ind w:left="340" w:firstLine="640"/>
        <w:spacing w:after="0" w:line="346" w:lineRule="auto"/>
        <w:tabs>
          <w:tab w:leader="none" w:pos="184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undistributed earnings of any Restricted Subsidiary of Borrower that is not a Guarantor to the extent that, on the date of determination the payment of cash dividends or similar cash distributions by such Restricted Subsidiary (or loans or advances by such subsidiary to any parent company) are not permitted by the terms of any Contractual Obligation (other than under any Credit Document) or Requirement of Law applicable to such Restricted Subsidiary shall be excluded, unless such restrictions with respect to the payment of cash dividends and other similar cash distributions have been waived;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5" w:right="239" w:bottom="1440" w:gutter="0" w:footer="0" w:header="0"/>
        </w:sectPr>
      </w:pPr>
    </w:p>
    <w:bookmarkStart w:id="228" w:name="page229"/>
    <w:bookmarkEnd w:id="228"/>
    <w:p>
      <w:pPr>
        <w:jc w:val="both"/>
        <w:ind w:left="340"/>
        <w:spacing w:after="0" w:line="311" w:lineRule="auto"/>
        <w:rPr>
          <w:sz w:val="20"/>
          <w:szCs w:val="20"/>
          <w:color w:val="auto"/>
        </w:rPr>
      </w:pPr>
      <w:r>
        <w:rPr>
          <w:rFonts w:ascii="Arial" w:cs="Arial" w:eastAsia="Arial" w:hAnsi="Arial"/>
          <w:sz w:val="18"/>
          <w:szCs w:val="18"/>
          <w:color w:val="auto"/>
        </w:rPr>
        <w:t xml:space="preserve">Subsidiary (not subject to such restriction) thereof in respect of such period by such Restricted Subsidiaries (or to the extent converted into cash); </w:t>
      </w:r>
      <w:r>
        <w:rPr>
          <w:rFonts w:ascii="Arial" w:cs="Arial" w:eastAsia="Arial" w:hAnsi="Arial"/>
          <w:sz w:val="18"/>
          <w:szCs w:val="18"/>
          <w:i w:val="1"/>
          <w:iCs w:val="1"/>
          <w:color w:val="auto"/>
        </w:rPr>
        <w:t>provided further</w:t>
      </w:r>
      <w:r>
        <w:rPr>
          <w:rFonts w:ascii="Arial" w:cs="Arial" w:eastAsia="Arial" w:hAnsi="Arial"/>
          <w:sz w:val="18"/>
          <w:szCs w:val="18"/>
          <w:color w:val="auto"/>
        </w:rPr>
        <w:t>, that in the case of any such Person acquired by Borrower or any Restricted Subsidiary during such Test Period, the foregoing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as if such Person had been acquired on the first day of such Test Period;</w:t>
      </w:r>
    </w:p>
    <w:p>
      <w:pPr>
        <w:spacing w:after="0" w:line="181" w:lineRule="exact"/>
        <w:rPr>
          <w:sz w:val="20"/>
          <w:szCs w:val="20"/>
          <w:color w:val="auto"/>
        </w:rPr>
      </w:pPr>
    </w:p>
    <w:p>
      <w:pPr>
        <w:jc w:val="both"/>
        <w:ind w:left="340" w:firstLine="640"/>
        <w:spacing w:after="0" w:line="311" w:lineRule="auto"/>
        <w:tabs>
          <w:tab w:leader="none" w:pos="183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81" w:lineRule="exact"/>
        <w:rPr>
          <w:rFonts w:ascii="Arial" w:cs="Arial" w:eastAsia="Arial" w:hAnsi="Arial"/>
          <w:sz w:val="18"/>
          <w:szCs w:val="18"/>
          <w:color w:val="auto"/>
        </w:rPr>
      </w:pPr>
    </w:p>
    <w:p>
      <w:pPr>
        <w:jc w:val="both"/>
        <w:ind w:left="340" w:firstLine="640"/>
        <w:spacing w:after="0" w:line="364" w:lineRule="auto"/>
        <w:tabs>
          <w:tab w:leader="none" w:pos="181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48" w:lineRule="exact"/>
        <w:rPr>
          <w:rFonts w:ascii="Arial" w:cs="Arial" w:eastAsia="Arial" w:hAnsi="Arial"/>
          <w:sz w:val="16"/>
          <w:szCs w:val="16"/>
          <w:color w:val="auto"/>
        </w:rPr>
      </w:pPr>
    </w:p>
    <w:p>
      <w:pPr>
        <w:ind w:left="1840" w:hanging="860"/>
        <w:spacing w:after="0"/>
        <w:tabs>
          <w:tab w:leader="none" w:pos="18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65" w:lineRule="exact"/>
        <w:rPr>
          <w:rFonts w:ascii="Arial" w:cs="Arial" w:eastAsia="Arial" w:hAnsi="Arial"/>
          <w:sz w:val="18"/>
          <w:szCs w:val="18"/>
          <w:color w:val="auto"/>
        </w:rPr>
      </w:pPr>
    </w:p>
    <w:p>
      <w:pPr>
        <w:jc w:val="both"/>
        <w:ind w:left="340" w:firstLine="640"/>
        <w:spacing w:after="0" w:line="354" w:lineRule="auto"/>
        <w:tabs>
          <w:tab w:leader="none" w:pos="184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any expenses or reserves for liabilities shall be excluded to the extent that Borrower or any of its Restricted Subsidiaries is entitled to indemnification therefor under binding agreements;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spacing w:after="0" w:line="156" w:lineRule="exact"/>
        <w:rPr>
          <w:rFonts w:ascii="Arial" w:cs="Arial" w:eastAsia="Arial" w:hAnsi="Arial"/>
          <w:sz w:val="16"/>
          <w:szCs w:val="16"/>
          <w:color w:val="auto"/>
        </w:rPr>
      </w:pPr>
    </w:p>
    <w:p>
      <w:pPr>
        <w:jc w:val="both"/>
        <w:ind w:left="340" w:firstLine="640"/>
        <w:spacing w:after="0" w:line="354" w:lineRule="auto"/>
        <w:tabs>
          <w:tab w:leader="none" w:pos="180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156" w:lineRule="exact"/>
        <w:rPr>
          <w:rFonts w:ascii="Arial" w:cs="Arial" w:eastAsia="Arial" w:hAnsi="Arial"/>
          <w:sz w:val="16"/>
          <w:szCs w:val="16"/>
          <w:color w:val="auto"/>
        </w:rPr>
      </w:pPr>
    </w:p>
    <w:p>
      <w:pPr>
        <w:ind w:left="340" w:firstLine="640"/>
        <w:spacing w:after="0" w:line="324" w:lineRule="auto"/>
        <w:tabs>
          <w:tab w:leader="none" w:pos="180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gains and losses resulting solely from fluctuations in currency values and the related tax effects shall be excluded, and charges relating to Accounting Standards Codification Nos. 815 and 820 shall be excluded; and</w:t>
      </w:r>
    </w:p>
    <w:p>
      <w:pPr>
        <w:spacing w:after="0" w:line="170" w:lineRule="exact"/>
        <w:rPr>
          <w:rFonts w:ascii="Arial" w:cs="Arial" w:eastAsia="Arial" w:hAnsi="Arial"/>
          <w:sz w:val="18"/>
          <w:szCs w:val="18"/>
          <w:color w:val="auto"/>
        </w:rPr>
      </w:pPr>
    </w:p>
    <w:p>
      <w:pPr>
        <w:ind w:left="340" w:firstLine="640"/>
        <w:spacing w:after="0" w:line="324" w:lineRule="auto"/>
        <w:tabs>
          <w:tab w:leader="none" w:pos="18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net income (or loss) of a Restricted Subsidiary that is not a Wholly Owned Subsidiary shall be included in an amount proportional to Borrower’s economic ownership interest therein.</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Senior Secured Net Leverage Ratio</w:t>
      </w:r>
      <w:r>
        <w:rPr>
          <w:rFonts w:ascii="Arial" w:cs="Arial" w:eastAsia="Arial" w:hAnsi="Arial"/>
          <w:sz w:val="16"/>
          <w:szCs w:val="16"/>
          <w:color w:val="auto"/>
        </w:rPr>
        <w:t xml:space="preserve">” shall mean, as of any date of determination, the ratio of (a) (i) Consolidated Indebtedness of Borrower and its Restricted Subsidiaries that is secured by Liens on the property or assets of Borrower or its Restricted Subsidiaries as of such date (other than (x) any such Consolidated Indebtedness that is expressly subordinated in right of payment to the Obligations pursuant to a written agreement and (y) any such Consolidated Indebtedness that benefits from the Wynn Las Vegas Pledge (but is not otherwise secured by any Liens on property or assets of Borrower or its Restricted Subsidiaries as of such date))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Unrestricted Operating Cash to (b) Consolidated EBITDA for the Test Period most recently ended prior to such date;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6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Net Leverage Ratio</w:t>
      </w:r>
      <w:r>
        <w:rPr>
          <w:rFonts w:ascii="Arial" w:cs="Arial" w:eastAsia="Arial" w:hAnsi="Arial"/>
          <w:sz w:val="16"/>
          <w:szCs w:val="16"/>
          <w:color w:val="auto"/>
        </w:rPr>
        <w:t xml:space="preserve">” shall mean, as of any date of determination, the ratio of (a) (i) Consolidated Indebtedness of Borrower and its Restricted Subsidiaries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Unrestricted Operating Cash to (b) Consolidated EBITDA for the Test Period most recently ended prior to such date;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calculating the Consolidated Total Net Leverage Ratio, Consolidated EBITDA for the fiscal quarter in which a Qualifying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12" w:right="239" w:bottom="1440" w:gutter="0" w:footer="0" w:header="0"/>
        </w:sectPr>
      </w:pPr>
    </w:p>
    <w:bookmarkStart w:id="229" w:name="page230"/>
    <w:bookmarkEnd w:id="229"/>
    <w:p>
      <w:pPr>
        <w:jc w:val="both"/>
        <w:spacing w:after="0" w:line="277" w:lineRule="auto"/>
        <w:rPr>
          <w:sz w:val="20"/>
          <w:szCs w:val="20"/>
          <w:color w:val="auto"/>
        </w:rPr>
      </w:pPr>
      <w:r>
        <w:rPr>
          <w:rFonts w:ascii="Arial" w:cs="Arial" w:eastAsia="Arial" w:hAnsi="Arial"/>
          <w:sz w:val="18"/>
          <w:szCs w:val="18"/>
          <w:color w:val="auto"/>
        </w:rPr>
        <w:t>Act of Terrorism shall have occurred and the next two succeeding fiscal quarters thereafter shall, in each case, be the greater of (1) Substituted Consolidated EBITDA and (2) actual Consolidated EBITDA for such fiscal quarter.</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shall mean, as to any Person, any obligation of such Person guaranteeing or intended to guarantee any Indebtedness (“</w:t>
      </w:r>
      <w:r>
        <w:rPr>
          <w:rFonts w:ascii="Arial" w:cs="Arial" w:eastAsia="Arial" w:hAnsi="Arial"/>
          <w:sz w:val="16"/>
          <w:szCs w:val="16"/>
          <w:b w:val="1"/>
          <w:b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w:t>
      </w:r>
      <w:r>
        <w:rPr>
          <w:rFonts w:ascii="Arial" w:cs="Arial" w:eastAsia="Arial" w:hAnsi="Arial"/>
          <w:sz w:val="17"/>
          <w:szCs w:val="17"/>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Suspension Period</w:t>
      </w:r>
      <w:r>
        <w:rPr>
          <w:rFonts w:ascii="Arial" w:cs="Arial" w:eastAsia="Arial" w:hAnsi="Arial"/>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Covered Entity</w:t>
      </w:r>
      <w:r>
        <w:rPr>
          <w:rFonts w:ascii="Arial" w:cs="Arial" w:eastAsia="Arial" w:hAnsi="Arial"/>
          <w:sz w:val="16"/>
          <w:szCs w:val="16"/>
          <w:color w:val="auto"/>
        </w:rPr>
        <w:t>” shall mean any of the following: (a) a “covered entity” as that term is defined in, and interpreted in accordance with, 12 C.F.R.</w:t>
      </w:r>
    </w:p>
    <w:p>
      <w:pPr>
        <w:spacing w:after="0" w:line="50" w:lineRule="exact"/>
        <w:rPr>
          <w:sz w:val="20"/>
          <w:szCs w:val="20"/>
          <w:color w:val="auto"/>
        </w:rPr>
      </w:pPr>
    </w:p>
    <w:p>
      <w:pPr>
        <w:ind w:firstLine="8"/>
        <w:spacing w:after="0" w:line="261" w:lineRule="auto"/>
        <w:tabs>
          <w:tab w:leader="none" w:pos="1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Party</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13.22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Agreement Refinancing Indebtedness</w:t>
      </w:r>
      <w:r>
        <w:rPr>
          <w:rFonts w:ascii="Arial" w:cs="Arial" w:eastAsia="Arial" w:hAnsi="Arial"/>
          <w:sz w:val="18"/>
          <w:szCs w:val="18"/>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Arial" w:cs="Arial" w:eastAsia="Arial" w:hAnsi="Arial"/>
          <w:sz w:val="18"/>
          <w:szCs w:val="18"/>
          <w:b w:val="1"/>
          <w:bCs w:val="1"/>
          <w:color w:val="auto"/>
        </w:rPr>
        <w:t>Refinanced Debt</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Indebtedness has the same or a later maturity and, except in the case of any Indebtedness consisting of a revolving credit facility, a Weighted Average Life to Maturity (without giving effect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30" w:name="page231"/>
    <w:bookmarkEnd w:id="230"/>
    <w:p>
      <w:pPr>
        <w:jc w:val="both"/>
        <w:spacing w:after="0" w:line="299" w:lineRule="auto"/>
        <w:rPr>
          <w:sz w:val="20"/>
          <w:szCs w:val="20"/>
          <w:color w:val="auto"/>
        </w:rPr>
      </w:pPr>
      <w:r>
        <w:rPr>
          <w:rFonts w:ascii="Arial" w:cs="Arial" w:eastAsia="Arial" w:hAnsi="Arial"/>
          <w:sz w:val="16"/>
          <w:szCs w:val="16"/>
          <w:color w:val="auto"/>
        </w:rPr>
        <w:t>to any prepayments that reduce scheduled amortization) equal to or greater than the Refinanced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this clause (i) shall not apply to unsecured bridge facilities providing for extensions on customary terms to a date that is no earlier than the applicable maturity date, (B) the stated maturity may be earlier if 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the Refinanced Debt that would result if all payments of principal on the Refinanced Debt that were due on or after the date that is 91 days after the Final Maturity Date in effect at the time of issuance were instead due on the date that is 91 days after the Final Maturity Date in effect at the time of issuance), (ii) such Indebtedness shall not have a greater principal amount than the principal amount of the Refinanced Debt,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and premiums (if any) thereon, </w:t>
      </w:r>
      <w:r>
        <w:rPr>
          <w:rFonts w:ascii="Arial" w:cs="Arial" w:eastAsia="Arial" w:hAnsi="Arial"/>
          <w:sz w:val="16"/>
          <w:szCs w:val="16"/>
          <w:i w:val="1"/>
          <w:iCs w:val="1"/>
          <w:color w:val="auto"/>
        </w:rPr>
        <w:t>plus</w:t>
      </w:r>
      <w:r>
        <w:rPr>
          <w:rFonts w:ascii="Arial" w:cs="Arial" w:eastAsia="Arial" w:hAnsi="Arial"/>
          <w:sz w:val="16"/>
          <w:szCs w:val="16"/>
          <w:color w:val="auto"/>
        </w:rPr>
        <w:t xml:space="preserve">, other fees and expenses associated with the refinancing (including any arrangement fees, upfront fees and original issue discount),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unutilized commitments thereunder,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and premiums (if any) thereon, </w:t>
      </w:r>
      <w:r>
        <w:rPr>
          <w:rFonts w:ascii="Arial" w:cs="Arial" w:eastAsia="Arial" w:hAnsi="Arial"/>
          <w:sz w:val="16"/>
          <w:szCs w:val="16"/>
          <w:i w:val="1"/>
          <w:iCs w:val="1"/>
          <w:color w:val="auto"/>
        </w:rPr>
        <w:t>plus</w:t>
      </w:r>
      <w:r>
        <w:rPr>
          <w:rFonts w:ascii="Arial" w:cs="Arial" w:eastAsia="Arial" w:hAnsi="Arial"/>
          <w:sz w:val="16"/>
          <w:szCs w:val="16"/>
          <w:color w:val="auto"/>
        </w:rPr>
        <w:t>, other fees and expenses associated with the refinancing (including any arrangement fees, upfront fees, and original issue discount), (v) the terms (excluding maturity, amortization, pricing, fees, rate floors, premiums, optional prepayment or optional redemption provisions) of such Indebtedness are (as determined by Borrower in good faith) substantially similar to the terms of the Revolving Commitments or the Term A Facility Loans, as applicable, as existing on the date of incurrence of such Credit Agreement Refinancing Indebtedness except, to the extent such terms (x) at the option of Borrower (1) reflect market terms and conditions (taken as a whole) at the time of incurrence or issuance (as determined by Borrower in good faith),</w:t>
      </w:r>
    </w:p>
    <w:p>
      <w:pPr>
        <w:spacing w:after="0" w:line="8" w:lineRule="exact"/>
        <w:rPr>
          <w:sz w:val="20"/>
          <w:szCs w:val="20"/>
          <w:color w:val="auto"/>
        </w:rPr>
      </w:pPr>
    </w:p>
    <w:p>
      <w:pPr>
        <w:jc w:val="both"/>
        <w:ind w:firstLine="8"/>
        <w:spacing w:after="0" w:line="301" w:lineRule="auto"/>
        <w:tabs>
          <w:tab w:leader="none" w:pos="26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with respect to any Credit Agreement Refinancing Indebtedness that is unsecured, are customary for issuances of “high yield” securities, or (3) are not materially more restrictive to Borrower (as reasonably determined by Borrower in good faith), when taken as a whole, than the terms of the Term A Facility 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Credit Agreement Refinancing Indebtedness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a Credit Agreement Refinancing Indebtedness that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Obligations) or less than pro rata basis with the applicable Loans (and on a greater than pro rata basis with respect to prepayments of any such Credit Agreement Refinancing Indebtedness with the proceeds of permitted refinancing Indebtedness), or (y) are (1) added to the Term A Facility Loans or Revolving Facility, (2) applicable only after the Final Maturity Date (in the case of term Indebtedness) or the latest R/C Maturity Date (in the case of revolving Indebtedness), or (3) otherwise reasonably satisfactory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of clauses (v)(x) and (v)(y) of the definition of “Credit Agreement Refinancing Indebtedness”, if any financial maintenance covenant is added for the benefit of any Credit Agreement Refinancing Indebtedness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Credit Agreement Refinancing Indebtedness, no consent shall be required from Administrative Agent or any of the Lenders to the extent that such financial maintenance covenant (together with any related “equity cure” provisions) or other provision is also added for the benefit of any corresponding existing facility), (vi) no Subsidiary of Borrower shall guaranty such Indebtedness unless such Subsidiary is also a Guarantor hereunder, and (vii) such Indebtedness shall not be secured by any Liens, except Liens on the Collateral.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8" w:right="239" w:bottom="1440" w:gutter="0" w:footer="0" w:header="0"/>
        </w:sectPr>
      </w:pPr>
    </w:p>
    <w:bookmarkStart w:id="231" w:name="page232"/>
    <w:bookmarkEnd w:id="231"/>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(a) this Agreement, (b) the Notes, (c) the L/C Documents, (d) the Security Documents, (e) any Pari Passu Intercreditor Agreement, (f) any Second Lien Intercreditor Agreement, (g) any Extension Amendment, any Refinancing Amendment, and any Incremental Joinder Agreement, (h) any Subordination Agreement, and (i) each other agreement entered into by any Credit Party with Administrative Agent, Collateral Agent and/or any Lender, in connection herewith or therewith evidencing or governing the Obligations (other than the Commitment Letter), all as amended from time to time, but shall not include a Swap Contract or Cash Management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Borrower and the Guarantors.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Swap Contracts</w:t>
      </w:r>
      <w:r>
        <w:rPr>
          <w:rFonts w:ascii="Arial" w:cs="Arial" w:eastAsia="Arial" w:hAnsi="Arial"/>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w:t>
      </w:r>
      <w:r>
        <w:rPr>
          <w:rFonts w:ascii="Arial" w:cs="Arial" w:eastAsia="Arial" w:hAnsi="Arial"/>
          <w:sz w:val="18"/>
          <w:szCs w:val="18"/>
          <w:color w:val="auto"/>
        </w:rPr>
        <w:t>” shall mean each of (a) each Agent, (b) each L/C Lender, and (c) each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Expiration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w:t>
      </w:r>
      <w:r>
        <w:rPr>
          <w:rFonts w:ascii="Arial" w:cs="Arial" w:eastAsia="Arial" w:hAnsi="Arial"/>
          <w:sz w:val="18"/>
          <w:szCs w:val="18"/>
          <w:color w:val="auto"/>
        </w:rPr>
        <w:t>” shall mean Deutsche Bank AG New York Branch.</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Fund Affiliate Lender</w:t>
      </w:r>
      <w:r>
        <w:rPr>
          <w:rFonts w:ascii="Arial" w:cs="Arial" w:eastAsia="Arial" w:hAnsi="Arial"/>
          <w:sz w:val="18"/>
          <w:szCs w:val="18"/>
          <w:color w:val="auto"/>
        </w:rPr>
        <w:t>” shall mean (i) a Lender that is an Affiliate of Borrower and that is a bona fide debt Fund or managed account or financial institution that is engaged in making, purchasing, holding, or otherwise investing in commercial loans and similar extensions of credit in the ordinary course of business or (ii)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xml:space="preserve">” shall mean the incurrence by Borrower or any Restricted Subsidiary of any Indebtedness after the Closing Date (other than as permitted by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issuance or sale of any debt instrument convertible into or exchangeable or exercisable for any Equity Interests shall be deemed a Debt Issuance for purposes of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Amounts</w:t>
      </w:r>
      <w:r>
        <w:rPr>
          <w:rFonts w:ascii="Arial" w:cs="Arial" w:eastAsia="Arial" w:hAnsi="Arial"/>
          <w:sz w:val="18"/>
          <w:szCs w:val="18"/>
          <w:color w:val="auto"/>
        </w:rPr>
        <w:t xml:space="preserve">” shall have the meaning given to such term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would become, with notice or lapse of time or both,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shall have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xml:space="preserve">” shall mean, subject to </w:t>
      </w:r>
      <w:r>
        <w:rPr>
          <w:rFonts w:ascii="Arial" w:cs="Arial" w:eastAsia="Arial" w:hAnsi="Arial"/>
          <w:sz w:val="16"/>
          <w:szCs w:val="16"/>
          <w:u w:val="single" w:color="auto"/>
          <w:color w:val="auto"/>
        </w:rPr>
        <w:t>Section 2.14(b)</w:t>
      </w:r>
      <w:r>
        <w:rPr>
          <w:rFonts w:ascii="Arial" w:cs="Arial" w:eastAsia="Arial" w:hAnsi="Arial"/>
          <w:sz w:val="16"/>
          <w:szCs w:val="16"/>
          <w:color w:val="auto"/>
        </w:rPr>
        <w:t>,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32" w:name="page233"/>
    <w:bookmarkEnd w:id="232"/>
    <w:p>
      <w:pPr>
        <w:jc w:val="both"/>
        <w:spacing w:after="0" w:line="269" w:lineRule="auto"/>
        <w:rPr>
          <w:sz w:val="20"/>
          <w:szCs w:val="20"/>
          <w:color w:val="auto"/>
        </w:rPr>
      </w:pPr>
      <w:r>
        <w:rPr>
          <w:rFonts w:ascii="Arial" w:cs="Arial" w:eastAsia="Arial" w:hAnsi="Arial"/>
          <w:sz w:val="17"/>
          <w:szCs w:val="17"/>
          <w:color w:val="auto"/>
        </w:rPr>
        <w:t>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(iv) any Lender that has, for three or more Business Days after written request of Administrative Agent or Borrower, failed to confirm in writing to Administrative Agent and Borrower that it will comply with its prospective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will cease to be a Defaulting Lender pursuant to this clause (iv) upon Administrative Agent’s and Borrower’s receipt of such written confirmation), or (v) has become the subject of a Bail-In Action. Any determination of a Defaulting Lender under clauses (i) through (v) above will be conclusive and binding absent manifest error.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Crimea, North Korea, Sudan, and Syria.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Expenses</w:t>
      </w:r>
      <w:r>
        <w:rPr>
          <w:rFonts w:ascii="Arial" w:cs="Arial" w:eastAsia="Arial" w:hAnsi="Arial"/>
          <w:sz w:val="17"/>
          <w:szCs w:val="17"/>
          <w:color w:val="auto"/>
        </w:rPr>
        <w:t>” shall mean, without duplication, the aggregate principal amount (not to exceed $500.0 million at any time), of</w:t>
      </w:r>
    </w:p>
    <w:p>
      <w:pPr>
        <w:spacing w:after="0" w:line="39" w:lineRule="exact"/>
        <w:rPr>
          <w:sz w:val="20"/>
          <w:szCs w:val="20"/>
          <w:color w:val="auto"/>
        </w:rPr>
      </w:pPr>
    </w:p>
    <w:p>
      <w:pPr>
        <w:jc w:val="both"/>
        <w:ind w:firstLine="8"/>
        <w:spacing w:after="0" w:line="284" w:lineRule="auto"/>
        <w:tabs>
          <w:tab w:leader="none" w:pos="24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outstanding Indebtedness (including Indebtedness hereunder), the proceeds of which, at the time of determination, as certified by a Responsible Officer of Borrower, are pending application and are intended to be used to fund and (b) amounts spent after the Closing Date (whether funded with the proceeds of Indebtedness, cash flow or otherwise) to fund,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Borrower or the Restricted Subsidiary or other Person that owns assets subject to the Expansion Capital Expenditure or Development Project, as applicable, is diligently pursuing the completion thereof and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 Borrower or a Restricted Subsidiary or other applicable Person is diligently pursuing such Gaming Approvals or governmental authorizations), and (B) no such Indebtedness or funded costs shall constitute Development Expenses with respect to an Expansion Capital Expenditure or a Development Project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Arial" w:cs="Arial" w:eastAsia="Arial" w:hAnsi="Arial"/>
          <w:sz w:val="16"/>
          <w:szCs w:val="16"/>
          <w:b w:val="1"/>
          <w:bCs w:val="1"/>
          <w:color w:val="auto"/>
        </w:rPr>
        <w:t>Development Expenses Initial</w:t>
      </w:r>
      <w:r>
        <w:rPr>
          <w:rFonts w:ascii="Arial" w:cs="Arial" w:eastAsia="Arial" w:hAnsi="Arial"/>
          <w:sz w:val="16"/>
          <w:szCs w:val="16"/>
          <w:color w:val="auto"/>
        </w:rPr>
        <w:t xml:space="preserve"> </w:t>
      </w:r>
      <w:r>
        <w:rPr>
          <w:rFonts w:ascii="Arial" w:cs="Arial" w:eastAsia="Arial" w:hAnsi="Arial"/>
          <w:sz w:val="16"/>
          <w:szCs w:val="16"/>
          <w:b w:val="1"/>
          <w:bCs w:val="1"/>
          <w:color w:val="auto"/>
        </w:rPr>
        <w:t>Fiscal Quarter</w:t>
      </w:r>
      <w:r>
        <w:rPr>
          <w:rFonts w:ascii="Arial" w:cs="Arial" w:eastAsia="Arial" w:hAnsi="Arial"/>
          <w:sz w:val="16"/>
          <w:szCs w:val="16"/>
          <w:color w:val="auto"/>
        </w:rPr>
        <w:t>”), and (C) in order to avoid duplication, it is acknowledged that to the extent that the proceeds of any Indebtedness referred to in clause (a)</w:t>
      </w:r>
      <w:r>
        <w:rPr>
          <w:rFonts w:ascii="Arial" w:cs="Arial" w:eastAsia="Arial" w:hAnsi="Arial"/>
          <w:sz w:val="16"/>
          <w:szCs w:val="16"/>
          <w:b w:val="1"/>
          <w:bCs w:val="1"/>
          <w:color w:val="auto"/>
        </w:rPr>
        <w:t xml:space="preserve"> </w:t>
      </w:r>
      <w:r>
        <w:rPr>
          <w:rFonts w:ascii="Arial" w:cs="Arial" w:eastAsia="Arial" w:hAnsi="Arial"/>
          <w:sz w:val="16"/>
          <w:szCs w:val="16"/>
          <w:color w:val="auto"/>
        </w:rPr>
        <w:t>above have been applied (whether for the purposes described in clauses (i), (ii), or (iii) above or any other purpose), such Indebtedness shall no longer constitute Development Expenses under clause (a) above (it being understood, however, that any such application in accordance with clauses (i), (ii), or (iii) above shall, subject to the other requirements and limitations of this definition, constitute Development Expenses under clause (b)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33" w:name="page234"/>
    <w:bookmarkEnd w:id="233"/>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Expenses Initial Fiscal Quarter</w:t>
      </w:r>
      <w:r>
        <w:rPr>
          <w:rFonts w:ascii="Arial" w:cs="Arial" w:eastAsia="Arial" w:hAnsi="Arial"/>
          <w:sz w:val="17"/>
          <w:szCs w:val="17"/>
          <w:color w:val="auto"/>
        </w:rPr>
        <w:t>” shall have the meaning assigned to such term in the definition of “Development Expenses.”</w:t>
      </w:r>
    </w:p>
    <w:p>
      <w:pPr>
        <w:spacing w:after="0" w:line="2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Project</w:t>
      </w:r>
      <w:r>
        <w:rPr>
          <w:rFonts w:ascii="Arial" w:cs="Arial" w:eastAsia="Arial" w:hAnsi="Arial"/>
          <w:sz w:val="17"/>
          <w:szCs w:val="17"/>
          <w:color w:val="auto"/>
        </w:rPr>
        <w:t>” shall mean Investments, Capital Expenditures and other expenditures, directly or indirectly, (a) in any joint ventures or Unrestricted Subsidiaries in which Borrower or any of its Restricted Subsidiaries, directly or indirectly, has control or with whom it has a management, development or similar contract and, in the case of a joint venture, in which Borrower or any of its Restricted Subsidiaries owns (directly or indirectly) at least 25% of the Equity Interest in such joint venture, or (b) in, or expenditures with respect to, casinos, casino resorts, “racinos,” racetracks, non-gaming resorts, hotels, distributed gaming applications, entertainment developments, restaurants, retail developments or taverns or persons that own casinos, casino resorts, “racinos,” racetracks, non-gaming resorts, hotels, distributed gaming applications, entertainment developments, restaurants, retail developments or taverns (including casinos, casino resorts, “racinos,” racetracks, non-gaming resorts, hotels, distributed gaming applications, entertainment developments, restaurants, retail developments or taverns in development or under construction that are not presently open or operating with respect to which Borrower or any of its Restricted Subsidiaries has (directly or indirectly through subsidiaries) entered into a management, development or similar contract (or an agreement to enter into such a management, development or similar contract) and such contract remains in full force and effect at the time of such Investment, though it may be subject to regulatory approvals), in each case, used to finance, or made for the purpose of allowing such joint ventures, Unrestricted Subsidiaries, casinos, casino resorts, “racinos,” racetracks, non-gaming resorts, hotels, distributed gaming applications, entertainment developments, restaurants, retail developments or taverns, as the case may be, to finance, the purchase, development, construction or other acquisition of any fixed or capital assets or the refurbishment of existing assets or properties that develops, adds to or significantly improves the property of such joint ventures, Unrestricted Subsidiaries, casinos, casino resorts, “racinos,” racetracks, non-gaming resorts, hotels, distributed gaming applications, entertainment developments, restaurants, retail developments or taverns and assets ancillary or related thereto (including, without limitation, hotels, restaurants, entertainment, retail and other similar projects), or the construction and development of casinos, casino resorts, “racinos,” racetracks, non-gaming resorts, hotels, distributed gaming applications, entertainment developments, restaurants, retail developments or taverns or assets ancillary or related thereto (including, without limitation, hotels, restaurants, entertainment, retail and other similar projects) and including Pre-Opening Expenses with respect to such joint ventures, Unrestricted Subsidiaries, casinos, casino resorts, “racinos,” racetracks, non-gaming resorts, hotels, distributed gaming applications, entertainment developments, restaurants, retail developments and taverns.</w:t>
      </w:r>
    </w:p>
    <w:p>
      <w:pPr>
        <w:spacing w:after="0" w:line="18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Discharged</w:t>
      </w:r>
      <w:r>
        <w:rPr>
          <w:rFonts w:ascii="Arial" w:cs="Arial" w:eastAsia="Arial" w:hAnsi="Arial"/>
          <w:sz w:val="16"/>
          <w:szCs w:val="16"/>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w:t>
      </w:r>
      <w:r>
        <w:rPr>
          <w:rFonts w:ascii="Arial" w:cs="Arial" w:eastAsia="Arial" w:hAnsi="Arial"/>
          <w:sz w:val="18"/>
          <w:szCs w:val="18"/>
          <w:color w:val="auto"/>
        </w:rPr>
        <w:t>” shall mean, with respect to any Person: (a) the failure of such Person to timely file or provide pursuant to applicable Gaming Laws (i) any application requested of such Person by any Gaming Authorities in connection with any licensing required of such Person as a lender to Borrower pursuant to applicable Gaming Laws or (ii) any application or other documents or information requested by any Gaming Authority in connection with a determination by such Gaming Authority of the suitability of such Person as a lender to Borrower; (b) the withdrawal by such Person of any such application; (c) any finding by a Gaming Authority that there is reasonable cause to believe that such Person may not be qualified or may be found unsuitable; or (d) any final determination by a Gaming Authority pursuant to applicable Gaming Laws (i) that such Person is “unsuitable” as a lender to Borrower, (ii) that such Person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1"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is “disqualified” as a lender to Borrower, or (iii) denying the issuance to such Person of a license or finding of suitability or other approval.</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Capital Stock</w:t>
      </w:r>
      <w:r>
        <w:rPr>
          <w:rFonts w:ascii="Arial" w:cs="Arial" w:eastAsia="Arial" w:hAnsi="Arial"/>
          <w:sz w:val="18"/>
          <w:szCs w:val="18"/>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(w) with respect to Equity Interests issued to any plan for the benefit of, or to, present or former directors, officers, consultants or employees that is required to be repurchased by the issuer thereof in order to satisfy applicable statutory or regulatory obligations as a result of such director’s, officer’s, consultant’s, or employee’s termination, resignation, retirement, death or disability,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Lenders</w:t>
      </w:r>
      <w:r>
        <w:rPr>
          <w:rFonts w:ascii="Arial" w:cs="Arial" w:eastAsia="Arial" w:hAnsi="Arial"/>
          <w:sz w:val="17"/>
          <w:szCs w:val="17"/>
          <w:color w:val="auto"/>
        </w:rPr>
        <w:t>” shall mean (a) banks, financial institutions, other institutions or Persons identified in writing to the Lead Arrangers by Borrower on or prior to August 23, 2019 as a disqualified lender, (b) competitors or material suppliers of Borrower or its Subsidiaries identified in writing to the Lead Arrangers (or after the Closing Date, Administrative Agent) by Borrower from time to time (a “</w:t>
      </w:r>
      <w:r>
        <w:rPr>
          <w:rFonts w:ascii="Arial" w:cs="Arial" w:eastAsia="Arial" w:hAnsi="Arial"/>
          <w:sz w:val="17"/>
          <w:szCs w:val="17"/>
          <w:b w:val="1"/>
          <w:bCs w:val="1"/>
          <w:color w:val="auto"/>
        </w:rPr>
        <w:t>Competitor</w:t>
      </w:r>
      <w:r>
        <w:rPr>
          <w:rFonts w:ascii="Arial" w:cs="Arial" w:eastAsia="Arial" w:hAnsi="Arial"/>
          <w:sz w:val="17"/>
          <w:szCs w:val="17"/>
          <w:color w:val="auto"/>
        </w:rPr>
        <w:t xml:space="preserve">”), or (c) any Affiliate of such person identified pursuant to clauses (a) or (b) that is clearly identifiable solely on the basis of the similarity of its name or identified in writing to the Lead Arrangers (or after the Closing Date, Administrative Agent) by Borrower from time to time (other than, in the case of Affiliates of Competitors, any bona fide debt fund, investment vehicle, regulated bank entity or unregulated lending entity that is (x) engaged in making, purchasing, holding or otherwise investing in commercial loans or similar extensions of credit in the ordinary course of business and (y) managed, sponsored or advised by any person controlling, controlled by or under common control with a Competitor or Affiliate thereof, as applicable, but only to the extent that no personnel involved with the investment in such Competitor or Affiliate thereof, as applicable, makes (or has the right to make or participate with others in making) investment decisions on behalf of such debt fund, investment vehicle, regulated bank entity or unregulated lending entity); </w:t>
      </w:r>
      <w:r>
        <w:rPr>
          <w:rFonts w:ascii="Arial" w:cs="Arial" w:eastAsia="Arial" w:hAnsi="Arial"/>
          <w:sz w:val="17"/>
          <w:szCs w:val="17"/>
          <w:i w:val="1"/>
          <w:iCs w:val="1"/>
          <w:color w:val="auto"/>
        </w:rPr>
        <w:t>provided</w:t>
      </w:r>
      <w:r>
        <w:rPr>
          <w:rFonts w:ascii="Arial" w:cs="Arial" w:eastAsia="Arial" w:hAnsi="Arial"/>
          <w:sz w:val="17"/>
          <w:szCs w:val="17"/>
          <w:color w:val="auto"/>
        </w:rPr>
        <w:t>, that (i) any subsequent designation of a Disqualified Lender will not become effective until three (3) Business Days after such designation is delivered pursuant to the terms of this definition, it being understood that no such subsequent designation shall apply to any entity that is currently a Lender or party to a pending trade and (ii) the foregoing shall not apply retroactively to disqualify any parties that have previously been allocated a portion of the facilities hereunder or acquired an assignment or participation interest in the facilities hereunder to the extent such party was not a Disqualified Lender at the time of the applicable allocation, assignment or participation, as the case may be)).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Alternate Currency, the equivalent amount thereof in Dollars as determined by Administrative Agent or the applicable L/C Lender, as the case may be, at such time on the basis of the Spot Rate (determined in respect of the most recent Revaluation Date) for the purchase of Dollars with such Alternate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60" w:hanging="252"/>
        <w:spacing w:after="0"/>
        <w:tabs>
          <w:tab w:leader="none" w:pos="2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5" w:name="page236"/>
    <w:bookmarkEnd w:id="23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w:t>
      </w:r>
      <w:r>
        <w:rPr>
          <w:rFonts w:ascii="Arial" w:cs="Arial" w:eastAsia="Arial" w:hAnsi="Arial"/>
          <w:sz w:val="17"/>
          <w:szCs w:val="17"/>
          <w:u w:val="single" w:color="auto"/>
          <w:color w:val="auto"/>
        </w:rPr>
        <w:t>Sections 13.05(e)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as applicable, Affiliate Lenders and Debt Fund Affiliate Lenders;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(x) other than as set forth in clause (ii) of this definition, neither Borrower nor any of Borrower’s Affiliates or Subsidiaries shall be an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Assignee and (y) Eligible Assignee shall not include any Person who is a Defaulting Lender or is subject to a Disqualification.</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shall mean an employee benefit plan (as defined in Section 3(3) of ERISA) that is maintained or contributed to by Borrower or any of its Restricted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Action</w:t>
      </w:r>
      <w:r>
        <w:rPr>
          <w:rFonts w:ascii="Arial" w:cs="Arial" w:eastAsia="Arial" w:hAnsi="Arial"/>
          <w:sz w:val="16"/>
          <w:szCs w:val="16"/>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160"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w:t>
      </w:r>
      <w:r>
        <w:rPr>
          <w:rFonts w:ascii="Arial" w:cs="Arial" w:eastAsia="Arial" w:hAnsi="Arial"/>
          <w:sz w:val="16"/>
          <w:szCs w:val="16"/>
          <w:color w:val="auto"/>
        </w:rPr>
        <w:t>”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1" w:right="239" w:bottom="1440" w:gutter="0" w:footer="0" w:header="0"/>
        </w:sectPr>
      </w:pPr>
    </w:p>
    <w:bookmarkStart w:id="236" w:name="page237"/>
    <w:bookmarkEnd w:id="236"/>
    <w:p>
      <w:pPr>
        <w:jc w:val="both"/>
        <w:spacing w:after="0" w:line="277" w:lineRule="auto"/>
        <w:rPr>
          <w:sz w:val="20"/>
          <w:szCs w:val="20"/>
          <w:color w:val="auto"/>
        </w:rPr>
      </w:pPr>
      <w:r>
        <w:rPr>
          <w:rFonts w:ascii="Arial" w:cs="Arial" w:eastAsia="Arial" w:hAnsi="Arial"/>
          <w:sz w:val="18"/>
          <w:szCs w:val="18"/>
          <w:color w:val="auto"/>
        </w:rPr>
        <w:t xml:space="preserve">definition of Equity Issuance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issuance or sale shall be deemed an Equity Issuance upon the conversion or exchange of such debt instrument into Equity Interests.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Issuance Proceeds</w:t>
      </w:r>
      <w:r>
        <w:rPr>
          <w:rFonts w:ascii="Arial" w:cs="Arial" w:eastAsia="Arial" w:hAnsi="Arial"/>
          <w:sz w:val="17"/>
          <w:szCs w:val="17"/>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Entity</w:t>
      </w:r>
      <w:r>
        <w:rPr>
          <w:rFonts w:ascii="Arial" w:cs="Arial" w:eastAsia="Arial" w:hAnsi="Arial"/>
          <w:sz w:val="18"/>
          <w:szCs w:val="18"/>
          <w:color w:val="auto"/>
        </w:rPr>
        <w:t>” shall mean Borrower, any of its Restricted Subsidiaries, and any other trade or business under common control with Borrower and/or any of its Restricted Subsidiaries within the meaning of Section 414(b) or (c) of the Code.</w:t>
      </w:r>
    </w:p>
    <w:p>
      <w:pPr>
        <w:spacing w:after="0" w:line="1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(a) any “reportable event,” as defined in Section 4043(c) of ERISA or the regulations issued thereunder, with respect to a Pension Plan (other than an event for which the 30-day notice requirement is waived); (b) with respect to any Pension Plan, the failure by any ERISA Entity to satisfy the minimum funding standard under Section 412 of the Code and Section 302 of ERISA, whether or not waived, the failure by any ERISA Entity to make by its due date a required installment under Section 430(j) of the Code with respect to any Pension Plan or the failure by any ERISA Entity to make any required contribution to a Multiemployer Plan; (c) the occurrence of any event of condition that constitutes grounds under Section 4042 of ERISA for the termination of. or the appointment of a trustee to administer, any Pension Plan; (d) the incurrence by any ERISA Entity of any liability under Title IV of ERISA with respect to the termination of any Pension Plan; (e) the receipt by any ERISA Entity from the PBGC or a plan administrator of any notice of intent to terminate any Pension Plan under Section 4041 or 4041A of ERISA or to appoint a trustee to administer any Pension Plan under Section 4042 of ERISA;</w:t>
      </w:r>
    </w:p>
    <w:p>
      <w:pPr>
        <w:spacing w:after="0" w:line="5" w:lineRule="exact"/>
        <w:rPr>
          <w:sz w:val="20"/>
          <w:szCs w:val="20"/>
          <w:color w:val="auto"/>
        </w:rPr>
      </w:pPr>
    </w:p>
    <w:p>
      <w:pPr>
        <w:jc w:val="both"/>
        <w:ind w:firstLine="8"/>
        <w:spacing w:after="0" w:line="281" w:lineRule="auto"/>
        <w:tabs>
          <w:tab w:leader="none" w:pos="23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incurrence by any ERISA Entity of any liability with respect to the complete withdrawal or partial withdrawal (within the meanings of Sections 4203 and 4205 of ERISA) from any Multiemployer Plan; (g) the receipt by an ERISA Entity of any notice concerning the imposition of Withdrawal Liability on any ERISA Entity or a determination that a Multiemployer Plan is insolvent or in reorganization, within the meaning of Sections 4241 and 4245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w:t>
      </w:r>
    </w:p>
    <w:p>
      <w:pPr>
        <w:spacing w:after="0" w:line="4" w:lineRule="exact"/>
        <w:rPr>
          <w:rFonts w:ascii="Arial" w:cs="Arial" w:eastAsia="Arial" w:hAnsi="Arial"/>
          <w:sz w:val="16"/>
          <w:szCs w:val="16"/>
          <w:color w:val="auto"/>
        </w:rPr>
      </w:pPr>
    </w:p>
    <w:p>
      <w:pPr>
        <w:ind w:firstLine="8"/>
        <w:spacing w:after="0" w:line="261" w:lineRule="auto"/>
        <w:tabs>
          <w:tab w:leader="none" w:pos="21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occurrence of a nonexempt prohibited transaction (within the meaning of Section 4975 of the Code or Section 406 of ERISA) which would reasonably be expected to result in liability to Borrower or any of its Restricted Subsidiaries.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Escrowed Indebtedness</w:t>
      </w:r>
      <w:r>
        <w:rPr>
          <w:rFonts w:ascii="Arial" w:cs="Arial" w:eastAsia="Arial" w:hAnsi="Arial"/>
          <w:sz w:val="16"/>
          <w:szCs w:val="16"/>
          <w:color w:val="auto"/>
        </w:rPr>
        <w:t>” shall mean Indebtedness issued in escrow pursuant to customary escrow arrangements pending the release thereof.</w:t>
      </w:r>
    </w:p>
    <w:p>
      <w:pPr>
        <w:spacing w:after="0" w:line="24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fiscal year of Borrower, an amount, if positive, equal to (without duplication):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7" w:name="page238"/>
    <w:bookmarkEnd w:id="237"/>
    <w:p>
      <w:pPr>
        <w:ind w:left="1820" w:hanging="840"/>
        <w:spacing w:after="0"/>
        <w:tabs>
          <w:tab w:leader="none" w:pos="18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340" w:firstLine="640"/>
        <w:spacing w:after="0" w:line="329" w:lineRule="auto"/>
        <w:tabs>
          <w:tab w:leader="none" w:pos="184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Arial" w:cs="Arial" w:eastAsia="Arial" w:hAnsi="Arial"/>
          <w:sz w:val="17"/>
          <w:szCs w:val="17"/>
          <w:i w:val="1"/>
          <w:iCs w:val="1"/>
          <w:color w:val="auto"/>
        </w:rPr>
        <w:t>plus</w:t>
      </w:r>
    </w:p>
    <w:p>
      <w:pPr>
        <w:spacing w:after="0" w:line="170" w:lineRule="exact"/>
        <w:rPr>
          <w:rFonts w:ascii="Arial" w:cs="Arial" w:eastAsia="Arial" w:hAnsi="Arial"/>
          <w:sz w:val="17"/>
          <w:szCs w:val="17"/>
          <w:color w:val="auto"/>
        </w:rPr>
      </w:pPr>
    </w:p>
    <w:p>
      <w:pPr>
        <w:ind w:left="340" w:firstLine="640"/>
        <w:spacing w:after="0" w:line="324" w:lineRule="auto"/>
        <w:tabs>
          <w:tab w:leader="none" w:pos="183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840" w:hanging="860"/>
        <w:spacing w:after="0"/>
        <w:tabs>
          <w:tab w:leader="none" w:pos="18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any amounts received from the early extinguishment of Swap Contracts that are not included in Consolidated Net Income; </w:t>
      </w:r>
      <w:r>
        <w:rPr>
          <w:rFonts w:ascii="Arial" w:cs="Arial" w:eastAsia="Arial" w:hAnsi="Arial"/>
          <w:sz w:val="16"/>
          <w:szCs w:val="16"/>
          <w:i w:val="1"/>
          <w:iCs w:val="1"/>
          <w:color w:val="auto"/>
        </w:rPr>
        <w:t>minus</w:t>
      </w:r>
    </w:p>
    <w:p>
      <w:pPr>
        <w:spacing w:after="0" w:line="288" w:lineRule="exact"/>
        <w:rPr>
          <w:rFonts w:ascii="Arial" w:cs="Arial" w:eastAsia="Arial" w:hAnsi="Arial"/>
          <w:sz w:val="16"/>
          <w:szCs w:val="16"/>
          <w:color w:val="auto"/>
        </w:rPr>
      </w:pPr>
    </w:p>
    <w:p>
      <w:pPr>
        <w:ind w:left="1820" w:hanging="840"/>
        <w:spacing w:after="0"/>
        <w:tabs>
          <w:tab w:leader="none" w:pos="18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increase, if any, of Working Capital from the beginning of such period to the end of such period; </w:t>
      </w:r>
      <w:r>
        <w:rPr>
          <w:rFonts w:ascii="Arial" w:cs="Arial" w:eastAsia="Arial" w:hAnsi="Arial"/>
          <w:sz w:val="18"/>
          <w:szCs w:val="18"/>
          <w:i w:val="1"/>
          <w:iCs w:val="1"/>
          <w:color w:val="auto"/>
        </w:rPr>
        <w:t>minus</w:t>
      </w:r>
    </w:p>
    <w:p>
      <w:pPr>
        <w:spacing w:after="0" w:line="265" w:lineRule="exact"/>
        <w:rPr>
          <w:rFonts w:ascii="Arial" w:cs="Arial" w:eastAsia="Arial" w:hAnsi="Arial"/>
          <w:sz w:val="18"/>
          <w:szCs w:val="18"/>
          <w:color w:val="auto"/>
        </w:rPr>
      </w:pPr>
    </w:p>
    <w:p>
      <w:pPr>
        <w:ind w:left="1800" w:hanging="820"/>
        <w:spacing w:after="0"/>
        <w:tabs>
          <w:tab w:leader="none" w:pos="18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any amounts paid in connection with the early extinguishment of Swap Contracts that are not included in Consolidated Net Income;</w:t>
      </w:r>
    </w:p>
    <w:p>
      <w:pPr>
        <w:spacing w:after="0" w:line="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minus</w:t>
      </w:r>
    </w:p>
    <w:p>
      <w:pPr>
        <w:spacing w:after="0" w:line="265" w:lineRule="exact"/>
        <w:rPr>
          <w:rFonts w:ascii="Arial" w:cs="Arial" w:eastAsia="Arial" w:hAnsi="Arial"/>
          <w:sz w:val="16"/>
          <w:szCs w:val="16"/>
          <w:color w:val="auto"/>
        </w:rPr>
      </w:pPr>
    </w:p>
    <w:p>
      <w:pPr>
        <w:jc w:val="both"/>
        <w:ind w:left="340" w:firstLine="640"/>
        <w:spacing w:after="0" w:line="311" w:lineRule="auto"/>
        <w:tabs>
          <w:tab w:leader="none" w:pos="184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amount of Capital Expenditures made in cash during such period, except to the extent financed with the proceeds of Indebtedness (other than revolving Indebtedness), Asset Sales or Casualty Events (to the extent such proceeds did not increase Consolidated Net Income) of Borrower or its Restricted Subsidiaries; </w:t>
      </w:r>
      <w:r>
        <w:rPr>
          <w:rFonts w:ascii="Arial" w:cs="Arial" w:eastAsia="Arial" w:hAnsi="Arial"/>
          <w:sz w:val="18"/>
          <w:szCs w:val="18"/>
          <w:i w:val="1"/>
          <w:iCs w:val="1"/>
          <w:color w:val="auto"/>
        </w:rPr>
        <w:t>minus</w:t>
      </w:r>
    </w:p>
    <w:p>
      <w:pPr>
        <w:spacing w:after="0" w:line="181" w:lineRule="exact"/>
        <w:rPr>
          <w:rFonts w:ascii="Arial" w:cs="Arial" w:eastAsia="Arial" w:hAnsi="Arial"/>
          <w:sz w:val="18"/>
          <w:szCs w:val="18"/>
          <w:color w:val="auto"/>
        </w:rPr>
      </w:pPr>
    </w:p>
    <w:p>
      <w:pPr>
        <w:jc w:val="both"/>
        <w:ind w:left="340" w:firstLine="640"/>
        <w:spacing w:after="0" w:line="325" w:lineRule="auto"/>
        <w:tabs>
          <w:tab w:leader="none" w:pos="184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(other than revolving Indebtedness), Asset Sales or Casualty Events (to the extent such proceeds did not increase Consolidated Net Income) of Borrower or its Restricted Subsidiaries; </w:t>
      </w:r>
      <w:r>
        <w:rPr>
          <w:rFonts w:ascii="Arial" w:cs="Arial" w:eastAsia="Arial" w:hAnsi="Arial"/>
          <w:sz w:val="17"/>
          <w:szCs w:val="17"/>
          <w:i w:val="1"/>
          <w:iCs w:val="1"/>
          <w:color w:val="auto"/>
        </w:rPr>
        <w:t>minus</w:t>
      </w:r>
    </w:p>
    <w:p>
      <w:pPr>
        <w:spacing w:after="0" w:line="175" w:lineRule="exact"/>
        <w:rPr>
          <w:rFonts w:ascii="Arial" w:cs="Arial" w:eastAsia="Arial" w:hAnsi="Arial"/>
          <w:sz w:val="17"/>
          <w:szCs w:val="17"/>
          <w:color w:val="auto"/>
        </w:rPr>
      </w:pPr>
    </w:p>
    <w:p>
      <w:pPr>
        <w:jc w:val="both"/>
        <w:ind w:left="340" w:firstLine="640"/>
        <w:spacing w:after="0" w:line="354" w:lineRule="auto"/>
        <w:tabs>
          <w:tab w:leader="none" w:pos="1806"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the amount of Investments made during such period pursuant to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Sections 10.04(a)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(except to the extent such amount increased Consolidated Net Income),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t>
      </w:r>
      <w:r>
        <w:rPr>
          <w:rFonts w:ascii="Arial" w:cs="Arial" w:eastAsia="Arial" w:hAnsi="Arial"/>
          <w:sz w:val="16"/>
          <w:szCs w:val="16"/>
          <w:u w:val="single" w:color="auto"/>
          <w:color w:val="auto"/>
        </w:rPr>
        <w:t>(h)</w:t>
      </w:r>
      <w:r>
        <w:rPr>
          <w:rFonts w:ascii="Arial" w:cs="Arial" w:eastAsia="Arial" w:hAnsi="Arial"/>
          <w:sz w:val="16"/>
          <w:szCs w:val="16"/>
          <w:color w:val="auto"/>
        </w:rPr>
        <w:t xml:space="preserve"> (to the extent not taken into account in arriving at Consolidated Net Income),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t>
      </w:r>
      <w:r>
        <w:rPr>
          <w:rFonts w:ascii="Arial" w:cs="Arial" w:eastAsia="Arial" w:hAnsi="Arial"/>
          <w:sz w:val="16"/>
          <w:szCs w:val="16"/>
          <w:color w:val="auto"/>
        </w:rPr>
        <w:t xml:space="preserve">, </w:t>
      </w:r>
      <w:r>
        <w:rPr>
          <w:rFonts w:ascii="Arial" w:cs="Arial" w:eastAsia="Arial" w:hAnsi="Arial"/>
          <w:sz w:val="16"/>
          <w:szCs w:val="16"/>
          <w:u w:val="single" w:color="auto"/>
          <w:color w:val="auto"/>
        </w:rPr>
        <w:t>(p)</w:t>
      </w:r>
      <w:r>
        <w:rPr>
          <w:rFonts w:ascii="Arial" w:cs="Arial" w:eastAsia="Arial" w:hAnsi="Arial"/>
          <w:sz w:val="16"/>
          <w:szCs w:val="16"/>
          <w:color w:val="auto"/>
        </w:rPr>
        <w:t xml:space="preserve">,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except to the extent financed with the proceeds of Indebtedness (other than Revolving Loans),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156" w:lineRule="exact"/>
        <w:rPr>
          <w:rFonts w:ascii="Arial" w:cs="Arial" w:eastAsia="Arial" w:hAnsi="Arial"/>
          <w:sz w:val="16"/>
          <w:szCs w:val="16"/>
          <w:color w:val="auto"/>
        </w:rPr>
      </w:pPr>
    </w:p>
    <w:p>
      <w:pPr>
        <w:ind w:left="340" w:right="20" w:firstLine="640"/>
        <w:spacing w:after="0" w:line="324" w:lineRule="auto"/>
        <w:tabs>
          <w:tab w:leader="none" w:pos="180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Arial" w:cs="Arial" w:eastAsia="Arial" w:hAnsi="Arial"/>
          <w:sz w:val="18"/>
          <w:szCs w:val="18"/>
          <w:i w:val="1"/>
          <w:iCs w:val="1"/>
          <w:color w:val="auto"/>
        </w:rPr>
        <w:t>minus</w:t>
      </w:r>
    </w:p>
    <w:p>
      <w:pPr>
        <w:spacing w:after="0" w:line="170" w:lineRule="exact"/>
        <w:rPr>
          <w:rFonts w:ascii="Arial" w:cs="Arial" w:eastAsia="Arial" w:hAnsi="Arial"/>
          <w:sz w:val="18"/>
          <w:szCs w:val="18"/>
          <w:color w:val="auto"/>
        </w:rPr>
      </w:pPr>
    </w:p>
    <w:p>
      <w:pPr>
        <w:ind w:left="1840" w:hanging="860"/>
        <w:spacing w:after="0"/>
        <w:tabs>
          <w:tab w:leader="none" w:pos="18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to the extent included in Consolidated Net Income, Specified 10.04(s) Investment Returns received during such fiscal year; </w:t>
      </w:r>
      <w:r>
        <w:rPr>
          <w:rFonts w:ascii="Arial" w:cs="Arial" w:eastAsia="Arial" w:hAnsi="Arial"/>
          <w:sz w:val="16"/>
          <w:szCs w:val="16"/>
          <w:i w:val="1"/>
          <w:iCs w:val="1"/>
          <w:color w:val="auto"/>
        </w:rPr>
        <w:t>minus</w:t>
      </w:r>
    </w:p>
    <w:p>
      <w:pPr>
        <w:spacing w:after="0" w:line="288" w:lineRule="exact"/>
        <w:rPr>
          <w:rFonts w:ascii="Arial" w:cs="Arial" w:eastAsia="Arial" w:hAnsi="Arial"/>
          <w:sz w:val="16"/>
          <w:szCs w:val="16"/>
          <w:color w:val="auto"/>
        </w:rPr>
      </w:pPr>
    </w:p>
    <w:p>
      <w:pPr>
        <w:jc w:val="both"/>
        <w:ind w:left="340" w:firstLine="640"/>
        <w:spacing w:after="0" w:line="311" w:lineRule="auto"/>
        <w:tabs>
          <w:tab w:leader="none" w:pos="180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w:t>
      </w:r>
    </w:p>
    <w:p>
      <w:pPr>
        <w:spacing w:after="0" w:line="15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Dividend Amount</w:t>
      </w:r>
      <w:r>
        <w:rPr>
          <w:rFonts w:ascii="Arial" w:cs="Arial" w:eastAsia="Arial" w:hAnsi="Arial"/>
          <w:sz w:val="18"/>
          <w:szCs w:val="18"/>
          <w:color w:val="auto"/>
        </w:rPr>
        <w:t>” shall mean, as of any date of determination, (a) the aggregate cumulative amount for each Test Period set forth in the definition of “Recurring Dividend Amount” of dividends and distributions paid, or, at Borrower’s election, declared (but not yet paid) to Wynn Group Asia from its direct and indirect Subsidiaries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12" w:right="239" w:bottom="1440" w:gutter="0" w:footer="0" w:header="0"/>
        </w:sectPr>
      </w:pPr>
    </w:p>
    <w:bookmarkStart w:id="238" w:name="page239"/>
    <w:bookmarkEnd w:id="238"/>
    <w:p>
      <w:pPr>
        <w:spacing w:after="0" w:line="277" w:lineRule="auto"/>
        <w:rPr>
          <w:sz w:val="20"/>
          <w:szCs w:val="20"/>
          <w:color w:val="auto"/>
        </w:rPr>
      </w:pPr>
      <w:r>
        <w:rPr>
          <w:rFonts w:ascii="Arial" w:cs="Arial" w:eastAsia="Arial" w:hAnsi="Arial"/>
          <w:sz w:val="18"/>
          <w:szCs w:val="18"/>
          <w:color w:val="auto"/>
        </w:rPr>
        <w:t xml:space="preserve">during such Test Period in excess of the Recurring Dividend Amount for such Test Period (which in the case of any Test Period shall never be less than zero) minus (b) the cumulative amount of Restricted Payments made pursuant to </w:t>
      </w:r>
      <w:r>
        <w:rPr>
          <w:rFonts w:ascii="Arial" w:cs="Arial" w:eastAsia="Arial" w:hAnsi="Arial"/>
          <w:sz w:val="18"/>
          <w:szCs w:val="18"/>
          <w:u w:val="single" w:color="auto"/>
          <w:color w:val="auto"/>
        </w:rPr>
        <w:t>Section 10.06(s)</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the rules and regulations of the SEC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Designation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Immaterial Subsidiaries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12.07(b)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shall mean (a) any Unrestricted Subsidiary, (b) any Immaterial Subsidiary, (c) any Foreign Subsidiary or CFC Holdco,</w:t>
      </w:r>
    </w:p>
    <w:p>
      <w:pPr>
        <w:spacing w:after="0" w:line="39" w:lineRule="exact"/>
        <w:rPr>
          <w:sz w:val="20"/>
          <w:szCs w:val="20"/>
          <w:color w:val="auto"/>
        </w:rPr>
      </w:pPr>
    </w:p>
    <w:p>
      <w:pPr>
        <w:jc w:val="both"/>
        <w:ind w:firstLine="8"/>
        <w:spacing w:after="0" w:line="281" w:lineRule="auto"/>
        <w:tabs>
          <w:tab w:leader="none" w:pos="26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any Subsidiary that is prohibited or restricted by applicable law, rule or regulation (including, without limitation, any Gaming Laws) from guaranteeing the Obligations, (e) any Subsidiary that is prohibited or restricted by any agreement, instrument, or other undertaking to which such Subsidiary is a party or by which it or any of its property or assets is bound from guaranteeing the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agreement, instrument or other undertaking</w:t>
      </w:r>
    </w:p>
    <w:p>
      <w:pPr>
        <w:spacing w:after="0" w:line="2" w:lineRule="exact"/>
        <w:rPr>
          <w:rFonts w:ascii="Arial" w:cs="Arial" w:eastAsia="Arial" w:hAnsi="Arial"/>
          <w:sz w:val="16"/>
          <w:szCs w:val="16"/>
          <w:color w:val="auto"/>
        </w:rPr>
      </w:pPr>
    </w:p>
    <w:p>
      <w:pPr>
        <w:jc w:val="both"/>
        <w:ind w:firstLine="8"/>
        <w:spacing w:after="0" w:line="267" w:lineRule="auto"/>
        <w:tabs>
          <w:tab w:leader="none" w:pos="22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is in existence on the Closing Date and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(or, with respect to a Subsidiary acquired after the Closing Date, as of the date of such acquisition) (or replaces or refinances any such agreement, instrument, or other undertaking that was in effect at such time) and (ii) in the case of a Subsidiary acquired after the Closing Date, was not entered into in connection with or anticipation of such acquisition, (f)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(g) each Subsidiary that is not a Wholly Owned Subsidiary of Borrower (for so long as such Subsidiary remains a non-Wholly Owned Subsidiary) other than any Wholly Owned Subsidiary that subsequently becomes a non-Wholly Owned Subsidiary as a result of the sale, disposition, or other transfer of Equity Interests by Borrower or any of its Subsidiaries to Wynn Resorts or an Affiliate of Wynn Resorts, (h) any special purpose subsidiary, not for profit subsidiary or captive insurance subsidiary (in each case designated by Borrower in good faith), and (i) any other Subsidiary with respect to which, in the reasonable judgment of Administrative Agent (which shall be confirmed in writing by notice to Borrower), the cost or other consequences (including any adverse tax consequences) of providing a guarantee shall be excessive in view of the benefits to be obtained by the Lenders therefrom.</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shall mean all of the following Taxes imposed on or with respect to any Agent, any Lender, or any other recipient of any payment to be made by or on account of any obligation of any Credit Party or required to be deducted from any payment to such recipient, in each case, under any Credit Document, (a) income or franchise Taxes imposed on (or measured by) such recipient’s net income or net profits (however denominated) and branch profits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5" w:right="239" w:bottom="1440" w:gutter="0" w:footer="0" w:header="0"/>
        </w:sectPr>
      </w:pPr>
    </w:p>
    <w:bookmarkStart w:id="239" w:name="page240"/>
    <w:bookmarkEnd w:id="239"/>
    <w:p>
      <w:pPr>
        <w:jc w:val="both"/>
        <w:spacing w:after="0" w:line="269" w:lineRule="auto"/>
        <w:rPr>
          <w:sz w:val="20"/>
          <w:szCs w:val="20"/>
          <w:color w:val="auto"/>
        </w:rPr>
      </w:pPr>
      <w:r>
        <w:rPr>
          <w:rFonts w:ascii="Arial" w:cs="Arial" w:eastAsia="Arial" w:hAnsi="Arial"/>
          <w:sz w:val="17"/>
          <w:szCs w:val="17"/>
          <w:color w:val="auto"/>
        </w:rPr>
        <w:t xml:space="preserve">Taxes, in each case, (i) imposed by a jurisdiction as a result of such recipient being organized under the Laws of, or having its principal office or, in the case of any Lender, its Applicable Lending Office located in such jurisdiction or (ii) that are Other Connection Taxes, (b) in the case of any Lender, any U.S. federal withholding tax that is imposed on amounts payable to or for the account of such Lender with respect to an applicable interest in a Loan or Commitment pursuant to a Law in effect on the date on which (i) such Lender acquires such interest in the applicable Commitment (or, to the extent a Lender acquires an interest in a Loan not funded pursuant to a prior Commitment, acquires such interest in such Loan), in each case, other than pursuant to an assignment requested by Borrower under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(ii) such Lender designates a new Applicable Lending Office, except in each case of clause (i) and (ii), to the extent that additional amounts with respect to such withholding Tax were payable pursuant to </w:t>
      </w:r>
      <w:r>
        <w:rPr>
          <w:rFonts w:ascii="Arial" w:cs="Arial" w:eastAsia="Arial" w:hAnsi="Arial"/>
          <w:sz w:val="17"/>
          <w:szCs w:val="17"/>
          <w:u w:val="single" w:color="auto"/>
          <w:color w:val="auto"/>
        </w:rPr>
        <w:t>Section 5.06(a)</w:t>
      </w:r>
      <w:r>
        <w:rPr>
          <w:rFonts w:ascii="Arial" w:cs="Arial" w:eastAsia="Arial" w:hAnsi="Arial"/>
          <w:sz w:val="17"/>
          <w:szCs w:val="17"/>
          <w:color w:val="auto"/>
        </w:rPr>
        <w:t xml:space="preserve"> either to such Lender’s assignor immediately before such Lender acquired the applicable interest in the applicable Loan or Commitment or to such Lender immediately before it designated the new applicable lending office, (c) Taxes attributable to such recipient’s failure to comply with </w:t>
      </w:r>
      <w:r>
        <w:rPr>
          <w:rFonts w:ascii="Arial" w:cs="Arial" w:eastAsia="Arial" w:hAnsi="Arial"/>
          <w:sz w:val="17"/>
          <w:szCs w:val="17"/>
          <w:u w:val="single" w:color="auto"/>
          <w:color w:val="auto"/>
        </w:rPr>
        <w:t>Section 5.06(c)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(d) any withholding Tax imposed under FATCA. For purposes of subclause (b) of this definition, a Lender that acquires a participation pursuant to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shall be treated as having acquired such participation on the earlier date(s) on which such Lender acquired the applicable interest(s) in the Commitment(s) and/or Loan(s) to which such participation relates.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Credit Agreements</w:t>
      </w:r>
      <w:r>
        <w:rPr>
          <w:rFonts w:ascii="Arial" w:cs="Arial" w:eastAsia="Arial" w:hAnsi="Arial"/>
          <w:sz w:val="16"/>
          <w:szCs w:val="16"/>
          <w:color w:val="auto"/>
        </w:rPr>
        <w:t>” shall mean, collectively, (i) that certain Credit Agreement, dated as of November 20, 2014 (as amended or otherwise modified prior to the date hereof), by and among Borrower, the guarantors party thereto, DB, as administrative agent and collateral agent, and the lenders party thereto, and (ii) that certain Credit Agreement, dated as of October 30, 2018 (as amended or otherwise modified prior to the date hereof), by and among Wynn Resorts, Limited, the guarantors party thereto, DB, as administrative agent and collateral agent, and the lenders party thereto.</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Tranche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Tranche</w:t>
      </w:r>
      <w:r>
        <w:rPr>
          <w:rFonts w:ascii="Arial" w:cs="Arial" w:eastAsia="Arial" w:hAnsi="Arial"/>
          <w:sz w:val="18"/>
          <w:szCs w:val="18"/>
          <w:color w:val="auto"/>
        </w:rPr>
        <w:t>” shall mean any Existing Term Loan Tranche or Existing Revolving Tranche.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 Capital Expenditures</w:t>
      </w:r>
      <w:r>
        <w:rPr>
          <w:rFonts w:ascii="Arial" w:cs="Arial" w:eastAsia="Arial" w:hAnsi="Arial"/>
          <w:sz w:val="18"/>
          <w:szCs w:val="18"/>
          <w:color w:val="auto"/>
        </w:rPr>
        <w:t>” shall mean any capital expenditure by Borrower or any of its Restricted Subsidiaries in respect of the purchase, construction,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2.13(d)</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40" w:name="page241"/>
    <w:bookmarkEnd w:id="240"/>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xml:space="preserve">” shall mean any date on which any Existing Term Loan Tranche or Existing Revolving Tranche is modified to extend the related scheduled maturity date(s) in accordance with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(with respect to the Lenders under such Existing Term Loan Tranche or Existing Revolving Tranche which agree to such modification).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any Term Loan Extension Request or Revolving Extension Request.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Tranche</w:t>
      </w:r>
      <w:r>
        <w:rPr>
          <w:rFonts w:ascii="Arial" w:cs="Arial" w:eastAsia="Arial" w:hAnsi="Arial"/>
          <w:sz w:val="18"/>
          <w:szCs w:val="18"/>
          <w:color w:val="auto"/>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Fair Share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6.10</w:t>
      </w:r>
      <w:r>
        <w:rPr>
          <w:rFonts w:ascii="Arial" w:cs="Arial" w:eastAsia="Arial" w:hAnsi="Arial"/>
          <w:sz w:val="20"/>
          <w:szCs w:val="20"/>
          <w:color w:val="auto"/>
        </w:rPr>
        <w:t>.</w:t>
      </w: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w:t>
      </w:r>
      <w:r>
        <w:rPr>
          <w:rFonts w:ascii="Arial" w:cs="Arial" w:eastAsia="Arial" w:hAnsi="Arial"/>
          <w:sz w:val="20"/>
          <w:szCs w:val="20"/>
          <w:color w:val="auto"/>
        </w:rPr>
        <w:t xml:space="preserve"> </w:t>
      </w:r>
      <w:r>
        <w:rPr>
          <w:rFonts w:ascii="Arial" w:cs="Arial" w:eastAsia="Arial" w:hAnsi="Arial"/>
          <w:sz w:val="18"/>
          <w:szCs w:val="18"/>
          <w:color w:val="auto"/>
        </w:rPr>
        <w:t>Accounting Standards Board.</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 of the Code (or any amended or successor version described above) and any fiscal or regulatory legislation, rules, or official administrative practices adopted pursuant to any intergovernmental agreements, treaty or convention among Governmental Authorities and implementing such Sections of the Code.</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xml:space="preserve">” shall mean,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aforesaid rate shall be less than zero, such rate shall be deemed to be zero for purposes of this Agreement.</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Maturity Date</w:t>
      </w:r>
      <w:r>
        <w:rPr>
          <w:rFonts w:ascii="Arial" w:cs="Arial" w:eastAsia="Arial" w:hAnsi="Arial"/>
          <w:sz w:val="16"/>
          <w:szCs w:val="16"/>
          <w:color w:val="auto"/>
        </w:rPr>
        <w:t>” shall mean the latest of the latest R/C Maturity Date, the Term A Facility Maturity Date, the latest New Term Loan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Maintenance Covenant</w:t>
      </w:r>
      <w:r>
        <w:rPr>
          <w:rFonts w:ascii="Arial" w:cs="Arial" w:eastAsia="Arial" w:hAnsi="Arial"/>
          <w:sz w:val="18"/>
          <w:szCs w:val="18"/>
          <w:color w:val="auto"/>
        </w:rPr>
        <w:t xml:space="preserve">” shall mean the covenant set forth in </w:t>
      </w:r>
      <w:r>
        <w:rPr>
          <w:rFonts w:ascii="Arial" w:cs="Arial" w:eastAsia="Arial" w:hAnsi="Arial"/>
          <w:sz w:val="18"/>
          <w:szCs w:val="18"/>
          <w:u w:val="single" w:color="auto"/>
          <w:color w:val="auto"/>
        </w:rPr>
        <w:t>Section 10.08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Ratings Inc.,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41" w:name="page242"/>
    <w:bookmarkEnd w:id="241"/>
    <w:p>
      <w:pPr>
        <w:spacing w:after="0"/>
        <w:rPr>
          <w:sz w:val="20"/>
          <w:szCs w:val="20"/>
          <w:color w:val="auto"/>
        </w:rPr>
      </w:pPr>
      <w:r>
        <w:rPr>
          <w:rFonts w:ascii="Arial" w:cs="Arial" w:eastAsia="Arial" w:hAnsi="Arial"/>
          <w:sz w:val="17"/>
          <w:szCs w:val="17"/>
          <w:color w:val="auto"/>
        </w:rPr>
        <w:t>effect or any successor statute thereto, and (d) the Flood Insurance Reform Act of 2004 as now or hereafter in effect or any successor statute thereto.</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that is organized under the laws of a jurisdiction other than the United States, any state thereof, or the District of Columbia.</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in making, purchasing, holding, or otherwise investing in commercial loans and similar extensions of credit in the ordinary course.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Credit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shall mean the date of the making of any extension of credit (whether the making of a Loan or the issuance of a Letter of Credit) hereunder (including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Approval</w:t>
      </w:r>
      <w:r>
        <w:rPr>
          <w:rFonts w:ascii="Arial" w:cs="Arial" w:eastAsia="Arial" w:hAnsi="Arial"/>
          <w:sz w:val="16"/>
          <w:szCs w:val="16"/>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spacing w:after="0" w:line="3" w:lineRule="exact"/>
        <w:rPr>
          <w:sz w:val="20"/>
          <w:szCs w:val="20"/>
          <w:color w:val="auto"/>
        </w:rPr>
      </w:pPr>
    </w:p>
    <w:p>
      <w:pPr>
        <w:ind w:firstLine="8"/>
        <w:spacing w:after="0" w:line="261" w:lineRule="auto"/>
        <w:tabs>
          <w:tab w:leader="none" w:pos="25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Facility</w:t>
      </w:r>
      <w:r>
        <w:rPr>
          <w:rFonts w:ascii="Arial" w:cs="Arial" w:eastAsia="Arial" w:hAnsi="Arial"/>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w:t>
      </w:r>
      <w:r>
        <w:rPr>
          <w:rFonts w:ascii="Arial" w:cs="Arial" w:eastAsia="Arial" w:hAnsi="Arial"/>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government or political subdivision of the United States or any other country, whether federal, state, provincial, local or otherwise, or any agency, authority, board, bureau, central bank, commission, office, division, department or instrumentality thereof or therein, including, without limitation, 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42" w:name="page243"/>
    <w:bookmarkEnd w:id="242"/>
    <w:p>
      <w:pPr>
        <w:jc w:val="both"/>
        <w:spacing w:after="0" w:line="308" w:lineRule="auto"/>
        <w:rPr>
          <w:sz w:val="20"/>
          <w:szCs w:val="20"/>
          <w:color w:val="auto"/>
        </w:rPr>
      </w:pPr>
      <w:r>
        <w:rPr>
          <w:rFonts w:ascii="Arial" w:cs="Arial" w:eastAsia="Arial" w:hAnsi="Arial"/>
          <w:sz w:val="17"/>
          <w:szCs w:val="17"/>
          <w:color w:val="auto"/>
        </w:rPr>
        <w:t>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shall mean the guarantee of each Guarantor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shall mean each of the Persons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attached hereto and each Wholly Owned Restricted Subsidiary that may hereafter execute a Joinder Agreement pursuant to </w:t>
      </w:r>
      <w:r>
        <w:rPr>
          <w:rFonts w:ascii="Arial" w:cs="Arial" w:eastAsia="Arial" w:hAnsi="Arial"/>
          <w:sz w:val="17"/>
          <w:szCs w:val="17"/>
          <w:u w:val="single" w:color="auto"/>
          <w:color w:val="auto"/>
        </w:rPr>
        <w:t>Section 9.11</w:t>
      </w:r>
      <w:r>
        <w:rPr>
          <w:rFonts w:ascii="Arial" w:cs="Arial" w:eastAsia="Arial" w:hAnsi="Arial"/>
          <w:sz w:val="17"/>
          <w:szCs w:val="17"/>
          <w:color w:val="auto"/>
        </w:rPr>
        <w:t>, together with their successors and permitted assigns, and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shall mean any one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17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Immaterial Subsidiary</w:t>
      </w:r>
      <w:r>
        <w:rPr>
          <w:rFonts w:ascii="Arial" w:cs="Arial" w:eastAsia="Arial" w:hAnsi="Arial"/>
          <w:sz w:val="16"/>
          <w:szCs w:val="16"/>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 Threshold Amount</w:t>
      </w:r>
      <w:r>
        <w:rPr>
          <w:rFonts w:ascii="Arial" w:cs="Arial" w:eastAsia="Arial" w:hAnsi="Arial"/>
          <w:sz w:val="18"/>
          <w:szCs w:val="18"/>
          <w:color w:val="auto"/>
        </w:rPr>
        <w:t>” shall mean $150.0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stock of Borrower,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Commitments</w:t>
      </w:r>
      <w:r>
        <w:rPr>
          <w:rFonts w:ascii="Arial" w:cs="Arial" w:eastAsia="Arial" w:hAnsi="Arial"/>
          <w:sz w:val="18"/>
          <w:szCs w:val="18"/>
          <w:color w:val="auto"/>
        </w:rPr>
        <w:t>” shall mean the Incremental Revolving Commitments and the Incremental Term Loan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Existing Tranche Revolving Commitments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Incurrence-Based Amount</w:t>
      </w:r>
      <w:r>
        <w:rPr>
          <w:rFonts w:ascii="Arial" w:cs="Arial" w:eastAsia="Arial" w:hAnsi="Arial"/>
          <w:sz w:val="18"/>
          <w:szCs w:val="18"/>
          <w:color w:val="auto"/>
        </w:rPr>
        <w:t>” has the meaning set forth in the definition of “Incremental Loan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 Amount</w:t>
      </w:r>
      <w:r>
        <w:rPr>
          <w:rFonts w:ascii="Arial" w:cs="Arial" w:eastAsia="Arial" w:hAnsi="Arial"/>
          <w:sz w:val="18"/>
          <w:szCs w:val="18"/>
          <w:color w:val="auto"/>
        </w:rPr>
        <w:t>” shall mean, as of any date of determination:</w:t>
      </w:r>
    </w:p>
    <w:p>
      <w:pPr>
        <w:spacing w:after="0" w:line="256" w:lineRule="exact"/>
        <w:rPr>
          <w:sz w:val="20"/>
          <w:szCs w:val="20"/>
          <w:color w:val="auto"/>
        </w:rPr>
      </w:pPr>
    </w:p>
    <w:p>
      <w:pPr>
        <w:ind w:left="1820" w:hanging="840"/>
        <w:spacing w:after="0"/>
        <w:tabs>
          <w:tab w:leader="none" w:pos="18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 Shared Fixed Incremental Amount;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340" w:firstLine="640"/>
        <w:spacing w:after="0" w:line="364" w:lineRule="auto"/>
        <w:tabs>
          <w:tab w:leader="none" w:pos="184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(x) in the case of an Incremental Commitment or Ratio Debt that serves to effectively extend the maturity of the Term Loans, the Revolving Commitments, Permitted First Priority Refinancing Debt, and/or any Ratio Debt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an amount equal to the reductions in the Term Loans, the Revolving Commitments, the Permitted First Priority Refinancing Debt, and/or such </w:t>
      </w:r>
      <w:r>
        <w:rPr>
          <w:rFonts w:ascii="Arial" w:cs="Arial" w:eastAsia="Arial" w:hAnsi="Arial"/>
          <w:sz w:val="16"/>
          <w:szCs w:val="16"/>
          <w:i w:val="1"/>
          <w:iCs w:val="1"/>
          <w:color w:val="auto"/>
        </w:rPr>
        <w:t>pari passu</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5" w:right="239" w:bottom="1440" w:gutter="0" w:footer="0" w:header="0"/>
        </w:sectPr>
      </w:pPr>
    </w:p>
    <w:bookmarkStart w:id="243" w:name="page244"/>
    <w:bookmarkEnd w:id="243"/>
    <w:p>
      <w:pPr>
        <w:jc w:val="both"/>
        <w:ind w:left="340"/>
        <w:spacing w:after="0" w:line="336" w:lineRule="auto"/>
        <w:rPr>
          <w:sz w:val="20"/>
          <w:szCs w:val="20"/>
          <w:color w:val="auto"/>
        </w:rPr>
      </w:pPr>
      <w:r>
        <w:rPr>
          <w:rFonts w:ascii="Arial" w:cs="Arial" w:eastAsia="Arial" w:hAnsi="Arial"/>
          <w:sz w:val="17"/>
          <w:szCs w:val="17"/>
          <w:color w:val="auto"/>
        </w:rPr>
        <w:t xml:space="preserve">Ratio Debt to be replaced with such Incremental Commitment or Ratio Debt and (y) in the case of any Incremental Commitment or Ratio Debt that effectively replaces any commitment under the Revolving Facility terminated, or any Term Loan repaid, under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13.04(b)</w:t>
      </w:r>
      <w:r>
        <w:rPr>
          <w:rFonts w:ascii="Arial" w:cs="Arial" w:eastAsia="Arial" w:hAnsi="Arial"/>
          <w:sz w:val="17"/>
          <w:szCs w:val="17"/>
          <w:color w:val="auto"/>
        </w:rPr>
        <w:t xml:space="preserve">, </w:t>
      </w:r>
      <w:r>
        <w:rPr>
          <w:rFonts w:ascii="Arial" w:cs="Arial" w:eastAsia="Arial" w:hAnsi="Arial"/>
          <w:sz w:val="17"/>
          <w:szCs w:val="17"/>
          <w:u w:val="single" w:color="auto"/>
          <w:color w:val="auto"/>
        </w:rPr>
        <w:t>13.04(h)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13.05(g)</w:t>
      </w:r>
      <w:r>
        <w:rPr>
          <w:rFonts w:ascii="Arial" w:cs="Arial" w:eastAsia="Arial" w:hAnsi="Arial"/>
          <w:sz w:val="17"/>
          <w:szCs w:val="17"/>
          <w:color w:val="auto"/>
        </w:rPr>
        <w:t xml:space="preserve">, an amount equal to the portion of the relevant terminated commitments under the Revolving Facility or repaid Term Loans; </w:t>
      </w:r>
      <w:r>
        <w:rPr>
          <w:rFonts w:ascii="Arial" w:cs="Arial" w:eastAsia="Arial" w:hAnsi="Arial"/>
          <w:sz w:val="17"/>
          <w:szCs w:val="17"/>
          <w:i w:val="1"/>
          <w:iCs w:val="1"/>
          <w:color w:val="auto"/>
        </w:rPr>
        <w:t>plus</w:t>
      </w:r>
    </w:p>
    <w:p>
      <w:pPr>
        <w:spacing w:after="0" w:line="165" w:lineRule="exact"/>
        <w:rPr>
          <w:sz w:val="20"/>
          <w:szCs w:val="20"/>
          <w:color w:val="auto"/>
        </w:rPr>
      </w:pPr>
    </w:p>
    <w:p>
      <w:pPr>
        <w:jc w:val="both"/>
        <w:ind w:left="340" w:firstLine="640"/>
        <w:spacing w:after="0" w:line="302" w:lineRule="auto"/>
        <w:tabs>
          <w:tab w:leader="none" w:pos="183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the aggregate amount of (i) any voluntary prepayment or repurchase of Term Loans, Permitted First Priority Refinancing Debt, or Ratio Debt that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and (ii) any permanent reduction of Revolving Commitments, revolving commitments constituting Permitted First Priority Refinancing Debt, and revolving commitments constituting Ratio Debt that are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in each case to the extent that the relevant prepayment is not funded or effected with any long term Indebtedness (the amounts under clauses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together, the “</w:t>
      </w:r>
      <w:r>
        <w:rPr>
          <w:rFonts w:ascii="Arial" w:cs="Arial" w:eastAsia="Arial" w:hAnsi="Arial"/>
          <w:sz w:val="18"/>
          <w:szCs w:val="18"/>
          <w:b w:val="1"/>
          <w:bCs w:val="1"/>
          <w:color w:val="auto"/>
        </w:rPr>
        <w:t>Incremental Prepayment Amount</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aggregate principal amount of all Indebtedness incurred or issued in reliance on the Ratio Prepayment Amount; </w:t>
      </w:r>
      <w:r>
        <w:rPr>
          <w:rFonts w:ascii="Arial" w:cs="Arial" w:eastAsia="Arial" w:hAnsi="Arial"/>
          <w:sz w:val="18"/>
          <w:szCs w:val="18"/>
          <w:i w:val="1"/>
          <w:iCs w:val="1"/>
          <w:color w:val="auto"/>
        </w:rPr>
        <w:t>plus</w:t>
      </w:r>
    </w:p>
    <w:p>
      <w:pPr>
        <w:spacing w:after="0" w:line="192" w:lineRule="exact"/>
        <w:rPr>
          <w:rFonts w:ascii="Arial" w:cs="Arial" w:eastAsia="Arial" w:hAnsi="Arial"/>
          <w:sz w:val="18"/>
          <w:szCs w:val="18"/>
          <w:color w:val="auto"/>
        </w:rPr>
      </w:pPr>
    </w:p>
    <w:p>
      <w:pPr>
        <w:jc w:val="both"/>
        <w:ind w:left="340" w:firstLine="640"/>
        <w:spacing w:after="0" w:line="319" w:lineRule="auto"/>
        <w:tabs>
          <w:tab w:leader="none" w:pos="184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an unlimited amount so long as, in the case of this clause (d), (A)(i) for any Incremental Commitment or Incremental Term Loan incurred in reliance on this clause (d) that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Senior Facilities, the Consolidated First Lien Net Leverage Ratio would not exceed 3.25:1.00, (ii) for any Incremental Commitment or Incremental Term Loan incurred in reliance on this clause (d) that is secured by the Collateral on a junior lien basis to the Senior Facilities, the Consolidated Senior Secured Net Leverage Ratio would not exceed 3.75:1.00, and (iii) for any Incremental Commitment or Incremental Term Loan incurred in reliance on this clause (d) that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such purpose, (1) in the case of any Incremental Revolving Commitment, such calculation shall be made assuming a full drawing of such Incremental Revolving Commitment and (2) such calculation shall be made without netting the cash proceeds of any Borrowing under such Incremental Commitment (this clause (d), the “</w:t>
      </w:r>
      <w:r>
        <w:rPr>
          <w:rFonts w:ascii="Arial" w:cs="Arial" w:eastAsia="Arial" w:hAnsi="Arial"/>
          <w:sz w:val="17"/>
          <w:szCs w:val="17"/>
          <w:b w:val="1"/>
          <w:bCs w:val="1"/>
          <w:color w:val="auto"/>
        </w:rPr>
        <w:t>Incremental Incurrence-Based Amount</w:t>
      </w:r>
      <w:r>
        <w:rPr>
          <w:rFonts w:ascii="Arial" w:cs="Arial" w:eastAsia="Arial" w:hAnsi="Arial"/>
          <w:sz w:val="17"/>
          <w:szCs w:val="17"/>
          <w:color w:val="auto"/>
        </w:rPr>
        <w:t>”).</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understood and agreed that (I) Borrower may elect to use the Incremental Incurrence-Based Amount prior to the Shared Fixed Incremental Amount or the Incremental Prepayment Amount and regardless of whether there is capacity under the Shared Fixed Incremental Amount or the Incremental Prepayment Amount, and if the Shared Fixed Incremental Amount, the Incremental Prepayment Amount, and the Incremental Incurrence-Based Amount are each available and Borrower does not make an election, Borrower will be deemed to have elected to use the Incremental Incurrence-Based Amount, and (II) any portion of any Incremental Term Loan, Incremental Term Loan Commitment, Incremental Revolving Commitment, or Ratio Debt incurred in reliance on the Shared Fixed Incremental Amount or the Incremental Prepayment Amount shall be reclassified as incurred under the Incremental Incurrence-Based Amount as Borrower may elect from time to time if Borrower meets the applicable Consolidated First Lien Net Leverage Ratio, Consolidated Senior Secured Net Leverage Ratio, or Consolidated Fixed Charge Coverage Ratio, as applicable, under the Incremental Incurrence-Based Amount at such time on a Pro Forma Basis.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Prepayment Amount</w:t>
      </w:r>
      <w:r>
        <w:rPr>
          <w:rFonts w:ascii="Arial" w:cs="Arial" w:eastAsia="Arial" w:hAnsi="Arial"/>
          <w:sz w:val="18"/>
          <w:szCs w:val="18"/>
          <w:color w:val="auto"/>
        </w:rPr>
        <w:t>” has the meaning set forth in the definition of “Incremental Loan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Revolving Commitments</w:t>
      </w:r>
      <w:r>
        <w:rPr>
          <w:rFonts w:ascii="Arial" w:cs="Arial" w:eastAsia="Arial" w:hAnsi="Arial"/>
          <w:sz w:val="16"/>
          <w:szCs w:val="16"/>
          <w:color w:val="auto"/>
        </w:rPr>
        <w:t>” shall mean Incremental Existing Tranche Revolving Commitments and New Revolving Commitments.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Revolving Loans</w:t>
      </w:r>
      <w:r>
        <w:rPr>
          <w:rFonts w:ascii="Arial" w:cs="Arial" w:eastAsia="Arial" w:hAnsi="Arial"/>
          <w:sz w:val="18"/>
          <w:szCs w:val="18"/>
          <w:color w:val="auto"/>
        </w:rPr>
        <w:t>” shall mean any Revolving Loans made pursuant to Incremental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A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A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12" w:right="239" w:bottom="1440" w:gutter="0" w:footer="0" w:header="0"/>
        </w:sectPr>
      </w:pPr>
    </w:p>
    <w:bookmarkStart w:id="244" w:name="page245"/>
    <w:bookmarkEnd w:id="244"/>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Loan Commitments</w:t>
      </w:r>
      <w:r>
        <w:rPr>
          <w:rFonts w:ascii="Arial" w:cs="Arial" w:eastAsia="Arial" w:hAnsi="Arial"/>
          <w:sz w:val="17"/>
          <w:szCs w:val="17"/>
          <w:color w:val="auto"/>
        </w:rPr>
        <w:t>” shall mean the Incremental Term A Loan Commitments and the New Term Loan Commitments.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shall mean the Incremental Term A Loans and any New Term Loans.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Arial" w:cs="Arial" w:eastAsia="Arial" w:hAnsi="Arial"/>
          <w:sz w:val="18"/>
          <w:szCs w:val="18"/>
          <w:b w:val="1"/>
          <w:bCs w:val="1"/>
          <w:color w:val="auto"/>
        </w:rPr>
        <w:t>incurrence</w:t>
      </w:r>
      <w:r>
        <w:rPr>
          <w:rFonts w:ascii="Arial" w:cs="Arial" w:eastAsia="Arial" w:hAnsi="Arial"/>
          <w:sz w:val="18"/>
          <w:szCs w:val="18"/>
          <w:color w:val="auto"/>
        </w:rPr>
        <w:t>,” “</w:t>
      </w:r>
      <w:r>
        <w:rPr>
          <w:rFonts w:ascii="Arial" w:cs="Arial" w:eastAsia="Arial" w:hAnsi="Arial"/>
          <w:sz w:val="18"/>
          <w:szCs w:val="18"/>
          <w:b w:val="1"/>
          <w:bCs w:val="1"/>
          <w:color w:val="auto"/>
        </w:rPr>
        <w:t>incurred</w:t>
      </w:r>
      <w:r>
        <w:rPr>
          <w:rFonts w:ascii="Arial" w:cs="Arial" w:eastAsia="Arial" w:hAnsi="Arial"/>
          <w:sz w:val="18"/>
          <w:szCs w:val="18"/>
          <w:color w:val="auto"/>
        </w:rPr>
        <w:t>” and “</w:t>
      </w:r>
      <w:r>
        <w:rPr>
          <w:rFonts w:ascii="Arial" w:cs="Arial" w:eastAsia="Arial" w:hAnsi="Arial"/>
          <w:sz w:val="18"/>
          <w:szCs w:val="18"/>
          <w:b w:val="1"/>
          <w:bCs w:val="1"/>
          <w:color w:val="auto"/>
        </w:rPr>
        <w:t>incurring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Incurrence-Based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spacing w:after="0" w:line="3" w:lineRule="exact"/>
        <w:rPr>
          <w:sz w:val="20"/>
          <w:szCs w:val="20"/>
          <w:color w:val="auto"/>
        </w:rPr>
      </w:pPr>
    </w:p>
    <w:p>
      <w:pPr>
        <w:jc w:val="both"/>
        <w:ind w:firstLine="8"/>
        <w:spacing w:after="0" w:line="281" w:lineRule="auto"/>
        <w:tabs>
          <w:tab w:leader="none" w:pos="31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8" w:lineRule="exact"/>
        <w:rPr>
          <w:rFonts w:ascii="Arial" w:cs="Arial" w:eastAsia="Arial" w:hAnsi="Arial"/>
          <w:sz w:val="16"/>
          <w:szCs w:val="16"/>
          <w:color w:val="auto"/>
        </w:rPr>
      </w:pPr>
    </w:p>
    <w:p>
      <w:pPr>
        <w:jc w:val="both"/>
        <w:ind w:firstLine="8"/>
        <w:spacing w:after="0" w:line="251" w:lineRule="auto"/>
        <w:tabs>
          <w:tab w:leader="none" w:pos="26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(w) obligations of an Unrestricted Subsidiary secured by a Lien on the Equity Interests of such Unrestricted Subsidiary, (x) casino “chips” and gaming winnings of customers, (y) any obligations of such Person in respect of Cash Management Agreements, and (z) any obligations of such Person in respect of employee, consultant or contractor deferred compensation and benefit plans shall not constitute Indebtedness.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13.03(b)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Base Restricted Payments Amount</w:t>
      </w:r>
      <w:r>
        <w:rPr>
          <w:rFonts w:ascii="Arial" w:cs="Arial" w:eastAsia="Arial" w:hAnsi="Arial"/>
          <w:sz w:val="18"/>
          <w:szCs w:val="18"/>
          <w:color w:val="auto"/>
        </w:rPr>
        <w:t xml:space="preserve">” shall mean, as of any date of determination, (i) the greater of (A) $350.0 million and (B) 35% of Consolidated EBITDA calculated on a Pro Forma Basis as of the most recently ended Test Period, minus the aggregate amount of Restricted Payments made pursuant to </w:t>
      </w:r>
      <w:r>
        <w:rPr>
          <w:rFonts w:ascii="Arial" w:cs="Arial" w:eastAsia="Arial" w:hAnsi="Arial"/>
          <w:sz w:val="18"/>
          <w:szCs w:val="18"/>
          <w:u w:val="single" w:color="auto"/>
          <w:color w:val="auto"/>
        </w:rPr>
        <w:t>Section 10.06(i)(i)</w:t>
      </w:r>
      <w:r>
        <w:rPr>
          <w:rFonts w:ascii="Arial" w:cs="Arial" w:eastAsia="Arial" w:hAnsi="Arial"/>
          <w:sz w:val="18"/>
          <w:szCs w:val="18"/>
          <w:color w:val="auto"/>
        </w:rPr>
        <w:t xml:space="preserve">, Junior Prepayments made pursuant to </w:t>
      </w:r>
      <w:r>
        <w:rPr>
          <w:rFonts w:ascii="Arial" w:cs="Arial" w:eastAsia="Arial" w:hAnsi="Arial"/>
          <w:sz w:val="18"/>
          <w:szCs w:val="18"/>
          <w:u w:val="single" w:color="auto"/>
          <w:color w:val="auto"/>
        </w:rPr>
        <w:t>Section 10.09(a)(i)</w:t>
      </w:r>
      <w:r>
        <w:rPr>
          <w:rFonts w:ascii="Arial" w:cs="Arial" w:eastAsia="Arial" w:hAnsi="Arial"/>
          <w:sz w:val="18"/>
          <w:szCs w:val="18"/>
          <w:color w:val="auto"/>
        </w:rPr>
        <w:t xml:space="preserve">, and the aggregate amount of Investments made (and as calculated) pursuant to </w:t>
      </w:r>
      <w:r>
        <w:rPr>
          <w:rFonts w:ascii="Arial" w:cs="Arial" w:eastAsia="Arial" w:hAnsi="Arial"/>
          <w:sz w:val="18"/>
          <w:szCs w:val="18"/>
          <w:u w:val="single" w:color="auto"/>
          <w:color w:val="auto"/>
        </w:rPr>
        <w:t>Section 10.04(x)</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1" w:right="239" w:bottom="1440" w:gutter="0" w:footer="0" w:header="0"/>
        </w:sectPr>
      </w:pPr>
    </w:p>
    <w:bookmarkStart w:id="245" w:name="page246"/>
    <w:bookmarkEnd w:id="245"/>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Base Junior Financing Prepayments Amount</w:t>
      </w:r>
      <w:r>
        <w:rPr>
          <w:rFonts w:ascii="Arial" w:cs="Arial" w:eastAsia="Arial" w:hAnsi="Arial"/>
          <w:sz w:val="18"/>
          <w:szCs w:val="18"/>
          <w:color w:val="auto"/>
        </w:rPr>
        <w:t xml:space="preserve">” shall mean, as of any date of determination, $250.0 million minus the aggregate amount of Restricted Payments made pursuant to </w:t>
      </w:r>
      <w:r>
        <w:rPr>
          <w:rFonts w:ascii="Arial" w:cs="Arial" w:eastAsia="Arial" w:hAnsi="Arial"/>
          <w:sz w:val="18"/>
          <w:szCs w:val="18"/>
          <w:u w:val="single" w:color="auto"/>
          <w:color w:val="auto"/>
        </w:rPr>
        <w:t>Section 10.06(l)</w:t>
      </w:r>
      <w:r>
        <w:rPr>
          <w:rFonts w:ascii="Arial" w:cs="Arial" w:eastAsia="Arial" w:hAnsi="Arial"/>
          <w:sz w:val="18"/>
          <w:szCs w:val="18"/>
          <w:color w:val="auto"/>
        </w:rPr>
        <w:t xml:space="preserve">, Junior Prepayments made pursuant to </w:t>
      </w:r>
      <w:r>
        <w:rPr>
          <w:rFonts w:ascii="Arial" w:cs="Arial" w:eastAsia="Arial" w:hAnsi="Arial"/>
          <w:sz w:val="18"/>
          <w:szCs w:val="18"/>
          <w:u w:val="single" w:color="auto"/>
          <w:color w:val="auto"/>
        </w:rPr>
        <w:t>Section 10.09(j)</w:t>
      </w:r>
      <w:r>
        <w:rPr>
          <w:rFonts w:ascii="Arial" w:cs="Arial" w:eastAsia="Arial" w:hAnsi="Arial"/>
          <w:sz w:val="18"/>
          <w:szCs w:val="18"/>
          <w:color w:val="auto"/>
        </w:rPr>
        <w:t xml:space="preserve">, and the aggregate amount of Investments made (and as calculated) pursuant to </w:t>
      </w:r>
      <w:r>
        <w:rPr>
          <w:rFonts w:ascii="Arial" w:cs="Arial" w:eastAsia="Arial" w:hAnsi="Arial"/>
          <w:sz w:val="18"/>
          <w:szCs w:val="18"/>
          <w:u w:val="single" w:color="auto"/>
          <w:color w:val="auto"/>
        </w:rPr>
        <w:t>Section 10.04(z)</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has the meaning set forth in the definition of “Perfection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Intercompany Contribution Indebtedness</w:t>
      </w:r>
      <w:r>
        <w:rPr>
          <w:rFonts w:ascii="Arial" w:cs="Arial" w:eastAsia="Arial" w:hAnsi="Arial"/>
          <w:sz w:val="17"/>
          <w:szCs w:val="17"/>
          <w:color w:val="auto"/>
        </w:rPr>
        <w:t>” shall mean unsecured Indebtedness (including unsecured Indebtedness convertible into or exchangeable or exercisable for any Equity Interests) of Borrower or all or any Restricted Subsidiaries that are Credit Parties owed to Wynn Resorts or any other Affiliate of Borrower (other than Borrower or a Subsidiary of Borrower that is a Credit Party)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as to each LIBOR Loan, the period commencing on the date such LIBOR Loan is disbursed or converted to or continued as a LIBOR Loan and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Administrative Agent and, in all cases of a period that is twelve months or less but greater than one month, all the applicable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jc w:val="both"/>
        <w:ind w:left="660" w:firstLine="645"/>
        <w:spacing w:after="0" w:line="264" w:lineRule="auto"/>
        <w:tabs>
          <w:tab w:leader="none" w:pos="165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71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w:t>
      </w:r>
    </w:p>
    <w:p>
      <w:pPr>
        <w:spacing w:after="0" w:line="17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Protection Agreement</w:t>
      </w:r>
      <w:r>
        <w:rPr>
          <w:rFonts w:ascii="Arial" w:cs="Arial" w:eastAsia="Arial" w:hAnsi="Arial"/>
          <w:sz w:val="16"/>
          <w:szCs w:val="16"/>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Interpolated Rate</w:t>
      </w:r>
      <w:r>
        <w:rPr>
          <w:rFonts w:ascii="Arial" w:cs="Arial" w:eastAsia="Arial" w:hAnsi="Arial"/>
          <w:sz w:val="17"/>
          <w:szCs w:val="17"/>
          <w:color w:val="auto"/>
        </w:rPr>
        <w:t xml:space="preserve">” means, at any time, for any Interest Period,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to the same number of decimal places as the LIBO Screen Rate) determined by Administrative Agent (which determination shall be conclusive and binding absent manifest error) to be equal to the rate that results from interpolating on a linear basis between: (a) the LIBO Screen Rate for the longest period for which the LIBO Screen Rate is available for the applicable currency that is shorter than the Impacted Interest Period; and (b) the LIBO Screen Rate for the shortest period for which that LIBO Screen Rate is available for the applicable currency that exceeds the Impacted Interest Period, in each case, at such time.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246" w:name="page247"/>
    <w:bookmarkEnd w:id="246"/>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Investments</w:t>
      </w:r>
      <w:r>
        <w:rPr>
          <w:rFonts w:ascii="Arial" w:cs="Arial" w:eastAsia="Arial" w:hAnsi="Arial"/>
          <w:sz w:val="17"/>
          <w:szCs w:val="17"/>
          <w:color w:val="auto"/>
        </w:rPr>
        <w:t>” of any Person shall mean (a) any loan or advance of funds or credit by such Person to any other Person, (b) any Contingent Obligation by such Person in respect of the Indebtedness of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“Investment” shall include the portion (proportionate to Borrower’s Equity Interest in such Subsidiary) of the fair market value of the net assets of any Subsidiary of Borrower at the time of Designation of such Subsidiary as an Unrestricted Subsidiary pursuant to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(excluding any Subsidiaries designated as Unrestricted Subsidiaries on the Closing Date and set forth on </w:t>
      </w:r>
      <w:r>
        <w:rPr>
          <w:rFonts w:ascii="Arial" w:cs="Arial" w:eastAsia="Arial" w:hAnsi="Arial"/>
          <w:sz w:val="17"/>
          <w:szCs w:val="17"/>
          <w:u w:val="single" w:color="auto"/>
          <w:color w:val="auto"/>
        </w:rPr>
        <w:t>Schedule 8.12(c)</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at the time of such Revocation.</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Licensing Fees</w:t>
      </w:r>
      <w:r>
        <w:rPr>
          <w:rFonts w:ascii="Arial" w:cs="Arial" w:eastAsia="Arial" w:hAnsi="Arial"/>
          <w:sz w:val="18"/>
          <w:szCs w:val="18"/>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(ii) that certain Intellectual Property Licensing Agreement, dated as of February 26, 2015, among Wynn Resorts, Wynn Resorts Holdings, LLC, and Wynn Las Vegas, (iii) that certain Intellectual Property License Agreement, dated as of September 19, 2009, among Wynn Resorts Holdings, LLC, Wynn Resorts, and Wynn Macau, Limited, and (iv) that certain Amended and Restated Intellectual Property License Agreement, dated as of September 19, 2009, by and among Wynn Resorts Holdings, LLC, Wynn Resorts, and Wynn Resorts (Macau), S.A. and (b) without duplication to any fees paid under any agreement described in clause (a), licensing agreements in form and substance substantially similar to any agreement described in clause (a).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CDS Definitions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13.04(i)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Agreements</w:t>
      </w:r>
      <w:r>
        <w:rPr>
          <w:rFonts w:ascii="Arial" w:cs="Arial" w:eastAsia="Arial" w:hAnsi="Arial"/>
          <w:sz w:val="18"/>
          <w:szCs w:val="18"/>
          <w:color w:val="auto"/>
        </w:rPr>
        <w:t xml:space="preserve">” shall mean each Joinder Agreement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attached hereto or such other form as is reasonably acceptable to Administrative Agent and each Joinder Agreement to be entered into pursuant to the Security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Financing</w:t>
      </w:r>
      <w:r>
        <w:rPr>
          <w:rFonts w:ascii="Arial" w:cs="Arial" w:eastAsia="Arial" w:hAnsi="Arial"/>
          <w:sz w:val="18"/>
          <w:szCs w:val="18"/>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247" w:name="page248"/>
    <w:bookmarkEnd w:id="247"/>
    <w:p>
      <w:pPr>
        <w:jc w:val="both"/>
        <w:spacing w:after="0" w:line="257" w:lineRule="auto"/>
        <w:rPr>
          <w:sz w:val="20"/>
          <w:szCs w:val="20"/>
          <w:color w:val="auto"/>
        </w:rPr>
      </w:pPr>
      <w:r>
        <w:rPr>
          <w:rFonts w:ascii="Arial" w:cs="Arial" w:eastAsia="Arial" w:hAnsi="Arial"/>
          <w:sz w:val="18"/>
          <w:szCs w:val="18"/>
          <w:color w:val="auto"/>
        </w:rPr>
        <w:t>(except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providing for extensions on customary terms to at least 91 days after such Final Maturity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Prepayments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Commitments</w:t>
      </w:r>
      <w:r>
        <w:rPr>
          <w:rFonts w:ascii="Arial" w:cs="Arial" w:eastAsia="Arial" w:hAnsi="Arial"/>
          <w:sz w:val="18"/>
          <w:szCs w:val="18"/>
          <w:color w:val="auto"/>
        </w:rPr>
        <w:t xml:space="preserve">” shall mean the commitments of each L/C Lender to issue Letters of Credit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The L/C Commitments are part of, and not in addition to, the Revolving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Disbursements</w:t>
      </w:r>
      <w:r>
        <w:rPr>
          <w:rFonts w:ascii="Arial" w:cs="Arial" w:eastAsia="Arial" w:hAnsi="Arial"/>
          <w:sz w:val="18"/>
          <w:szCs w:val="18"/>
          <w:color w:val="auto"/>
        </w:rPr>
        <w:t>” shall mean a payment or disbursement made by any L/C Lender pursuant to a Letter of Credit.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Documents</w:t>
      </w:r>
      <w:r>
        <w:rPr>
          <w:rFonts w:ascii="Arial" w:cs="Arial" w:eastAsia="Arial" w:hAnsi="Arial"/>
          <w:sz w:val="18"/>
          <w:szCs w:val="18"/>
          <w:color w:val="auto"/>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Interest</w:t>
      </w:r>
      <w:r>
        <w:rPr>
          <w:rFonts w:ascii="Arial" w:cs="Arial" w:eastAsia="Arial" w:hAnsi="Arial"/>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Lender</w:t>
      </w:r>
      <w:r>
        <w:rPr>
          <w:rFonts w:ascii="Arial" w:cs="Arial" w:eastAsia="Arial" w:hAnsi="Arial"/>
          <w:sz w:val="16"/>
          <w:szCs w:val="16"/>
          <w:color w:val="auto"/>
        </w:rPr>
        <w:t xml:space="preserve">” shall mean, as the context may require: (a) with respect to each Existing Letter of Credit, any person listed on </w:t>
      </w:r>
      <w:r>
        <w:rPr>
          <w:rFonts w:ascii="Arial" w:cs="Arial" w:eastAsia="Arial" w:hAnsi="Arial"/>
          <w:sz w:val="16"/>
          <w:szCs w:val="16"/>
          <w:u w:val="single" w:color="auto"/>
          <w:color w:val="auto"/>
        </w:rPr>
        <w:t>Schedule 2.03(s)</w:t>
      </w:r>
      <w:r>
        <w:rPr>
          <w:rFonts w:ascii="Arial" w:cs="Arial" w:eastAsia="Arial" w:hAnsi="Arial"/>
          <w:sz w:val="16"/>
          <w:szCs w:val="16"/>
          <w:color w:val="auto"/>
        </w:rPr>
        <w:t xml:space="preserve"> as an L/C Lender, in its capacity as issuer of such Existing Letter of Credit), (b) each of DB (solely in respect of standby Letters of Credit), Goldman Sachs Bank USA, and The Bank of Nova Scotia or any of their respective Affiliates, in its capacity as issuer of Letters of Credit issued by it hereunder, together with its successors and assigns in such capacity; and/or (c) any other Revolving Lender or Revolving Lenders selected by Borrower and reasonably acceptable to Administrative Agent (such approval not to be unreasonably withheld or delayed) that agrees to become an L/C Lender, in each case under this clause (c) in its capacity as issuer of Letters of Credit issued by such Lender hereunder, together with its successors and assigns in such capacity.</w:t>
      </w:r>
    </w:p>
    <w:p>
      <w:pPr>
        <w:spacing w:after="0" w:line="1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Liability</w:t>
      </w:r>
      <w:r>
        <w:rPr>
          <w:rFonts w:ascii="Arial" w:cs="Arial" w:eastAsia="Arial" w:hAnsi="Arial"/>
          <w:sz w:val="18"/>
          <w:szCs w:val="18"/>
          <w:color w:val="auto"/>
        </w:rPr>
        <w:t xml:space="preserve">” shall mean, at any time, without duplication, the sum of (a) the Dollar Equivalent of the Stated Amount of all outstanding Letters of Credit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Payment Notice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2.03(d)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shall mean an amount equal to the lesser of (a) $75.0 million and (b) the Total Revolving Commitments then in effect. With respect to each of DB, Goldman Sachs Bank USA, and The Bank of Nova Scotia (or any of their respective Affiliates), such L/C Lender’s L/C Sublimit shall be $25.0 million (in each case as the same may be changed from time to time with the prior written consent of Borrower and the applicable L/C Lender). The L/C Sublimit is part of, and not in addition to, the Total Revolving Commitments.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5" w:right="239" w:bottom="1440" w:gutter="0" w:footer="0" w:header="0"/>
        </w:sectPr>
      </w:pPr>
    </w:p>
    <w:bookmarkStart w:id="248" w:name="page249"/>
    <w:bookmarkEnd w:id="24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Arrangers</w:t>
      </w:r>
      <w:r>
        <w:rPr>
          <w:rFonts w:ascii="Arial" w:cs="Arial" w:eastAsia="Arial" w:hAnsi="Arial"/>
          <w:sz w:val="18"/>
          <w:szCs w:val="18"/>
          <w:color w:val="auto"/>
        </w:rPr>
        <w:t>” shall mean, collectively, Deutsche Bank Securities, Inc., Goldman Sachs Bank USA, The Bank of Nova Scotia, BofA Securities, Inc., BNP Paribas Securities Corp., Fifth Third Bank, JPMorgan Chase Bank, N.A., Mizuho Bank, Ltd., Sumitomo Mitsui Banking Corporation, Credit Agricole Corporate and Investment Bank, SunTrust Robinson Humphrey, Inc., and Citizens Bank, National Association, in their capacities as joint lead arrangers and joint bookrunners hereunder.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shall mean any lease, sublease, franchise agreement, license, occupancy or concession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Insolvency Event</w:t>
      </w:r>
      <w:r>
        <w:rPr>
          <w:rFonts w:ascii="Arial" w:cs="Arial" w:eastAsia="Arial" w:hAnsi="Arial"/>
          <w:sz w:val="16"/>
          <w:szCs w:val="16"/>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6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shall mean (a) each Person listed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(b) any Person that becomes a Lender from time to time party hereto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and shall include each Existing Letter of Credit.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 Base Rate</w:t>
      </w:r>
      <w:r>
        <w:rPr>
          <w:rFonts w:ascii="Arial" w:cs="Arial" w:eastAsia="Arial" w:hAnsi="Arial"/>
          <w:sz w:val="17"/>
          <w:szCs w:val="17"/>
          <w:color w:val="auto"/>
        </w:rPr>
        <w:t>” shall mean, with respect to any LIBOR Loan for any Interest Period therefor, the 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as administered by ICE Benchmark Administration Limited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Administrative Agent in its reasonable discretion (in each case the “</w:t>
      </w:r>
      <w:r>
        <w:rPr>
          <w:rFonts w:ascii="Arial" w:cs="Arial" w:eastAsia="Arial" w:hAnsi="Arial"/>
          <w:sz w:val="17"/>
          <w:szCs w:val="17"/>
          <w:b w:val="1"/>
          <w:bCs w:val="1"/>
          <w:color w:val="auto"/>
        </w:rPr>
        <w:t>LIBO</w:t>
      </w:r>
      <w:r>
        <w:rPr>
          <w:rFonts w:ascii="Arial" w:cs="Arial" w:eastAsia="Arial" w:hAnsi="Arial"/>
          <w:sz w:val="17"/>
          <w:szCs w:val="17"/>
          <w:color w:val="auto"/>
        </w:rPr>
        <w:t xml:space="preserve"> </w:t>
      </w:r>
      <w:r>
        <w:rPr>
          <w:rFonts w:ascii="Arial" w:cs="Arial" w:eastAsia="Arial" w:hAnsi="Arial"/>
          <w:sz w:val="17"/>
          <w:szCs w:val="17"/>
          <w:b w:val="1"/>
          <w:bCs w:val="1"/>
          <w:color w:val="auto"/>
        </w:rPr>
        <w:t>Screen Rate</w:t>
      </w:r>
      <w:r>
        <w:rPr>
          <w:rFonts w:ascii="Arial" w:cs="Arial" w:eastAsia="Arial" w:hAnsi="Arial"/>
          <w:sz w:val="17"/>
          <w:szCs w:val="17"/>
          <w:color w:val="auto"/>
        </w:rPr>
        <w:t>”) at approximately 11:00 a.m., London time, two Business Days prior to the commencement of such Interest Period (for delivery on the first day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LIBO Screen Rate shall be less than zero, such rate shall be deemed to be zero for the purposes of this Agreement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if the LIBO Screen Rate shall not be available at such time for such Interest Period (an “</w:t>
      </w:r>
      <w:r>
        <w:rPr>
          <w:rFonts w:ascii="Arial" w:cs="Arial" w:eastAsia="Arial" w:hAnsi="Arial"/>
          <w:sz w:val="17"/>
          <w:szCs w:val="17"/>
          <w:b w:val="1"/>
          <w:bCs w:val="1"/>
          <w:color w:val="auto"/>
        </w:rPr>
        <w:t>Impacted Interest Period</w:t>
      </w:r>
      <w:r>
        <w:rPr>
          <w:rFonts w:ascii="Arial" w:cs="Arial" w:eastAsia="Arial" w:hAnsi="Arial"/>
          <w:sz w:val="17"/>
          <w:szCs w:val="17"/>
          <w:color w:val="auto"/>
        </w:rPr>
        <w:t xml:space="preserve">”), then the LIBO Base Rate shall be the Interpolated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Interpolated Rate shall be less than zero, such rate shall be deemed to be zero for purposes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 comparable or successor rate is approved by Administrative Agent in connection herewith, the approved rate shall be consistent with market practice for LIBOR-based loans (and the application of such rate shall also be in accordance with market practice);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to the extent such market practice is not administratively feasible for Administrative Agent, such approved rate shall be applied in a manner as otherwise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t>reasonably determined by Administrative Agent. Notwithstanding the foregoing, the LIBO Base Rate shall not be less than 0.00%.</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 Rate</w:t>
      </w:r>
      <w:r>
        <w:rPr>
          <w:rFonts w:ascii="Arial" w:cs="Arial" w:eastAsia="Arial" w:hAnsi="Arial"/>
          <w:sz w:val="18"/>
          <w:szCs w:val="18"/>
          <w:color w:val="auto"/>
        </w:rPr>
        <w:t xml:space="preserve">” shall mean, for any LIBOR Loan for any Interest Period therefor,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(rounded upwards, if necessary, to the nearest 1/100th of 1%) determined by Administrative Agent to be equal to the LIBO Base Rate for such Loan for such Interest Period multiplied by the Statutory Reserve Rate for such Loan for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Loans</w:t>
      </w:r>
      <w:r>
        <w:rPr>
          <w:rFonts w:ascii="Arial" w:cs="Arial" w:eastAsia="Arial" w:hAnsi="Arial"/>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Revocation</w:t>
      </w:r>
      <w:r>
        <w:rPr>
          <w:rFonts w:ascii="Arial" w:cs="Arial" w:eastAsia="Arial" w:hAnsi="Arial"/>
          <w:sz w:val="16"/>
          <w:szCs w:val="16"/>
          <w:color w:val="auto"/>
        </w:rPr>
        <w:t>” shall mean the revocation, failure to renew or suspension of, or the appointment of a receiver, supervisor or similar official with respect to, any Gaming License covering any Gaming Facility owned, leased, operated or used by Borrower or any of its Restricted Subsidiaries.</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Condition Transaction</w:t>
      </w:r>
      <w:r>
        <w:rPr>
          <w:rFonts w:ascii="Arial" w:cs="Arial" w:eastAsia="Arial" w:hAnsi="Arial"/>
          <w:sz w:val="17"/>
          <w:szCs w:val="17"/>
          <w:color w:val="auto"/>
        </w:rPr>
        <w:t>” shall mean any transaction whose consummation is not conditioned on the availability of, or on obtaining, third party financing (or if such condition does exist, Borrower or any of its Subsidiaries would be required to pay any fee, liquidated damages or other amount or be subject to any indemnity, claim or other liability as a result of such third party financing not having been available or obtained), including, without limitation, any Permitted Acquisition or other acquisition not prohibited hereunder (including repayment of Indebtedness of the Person acquired, or that is secured by the assets acquired, in such Permitted Acquisition or other acquisition), any permitted Investment or any unconditional repayment or redemption of, or offer to purchase, any Indebtedness (and, in each case, the incurrence of Indebtedness and/or Liens, the making of dispositions or Restricted Payments or the consummation of any other transactions in connection therewith).</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Authority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the Revolving Loans and the Term Loans.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Losses</w:t>
      </w:r>
      <w:r>
        <w:rPr>
          <w:rFonts w:ascii="Arial" w:cs="Arial" w:eastAsia="Arial" w:hAnsi="Arial"/>
          <w:sz w:val="17"/>
          <w:szCs w:val="17"/>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but limited to in the case of counsel, reasonable fees and expenses of one primary counsel for the Secured Parties and Indemnitees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and Indemnitees),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Resort</w:t>
      </w:r>
      <w:r>
        <w:rPr>
          <w:rFonts w:ascii="Arial" w:cs="Arial" w:eastAsia="Arial" w:hAnsi="Arial"/>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5" w:right="239" w:bottom="1440" w:gutter="0" w:footer="0" w:header="0"/>
        </w:sectPr>
      </w:pPr>
    </w:p>
    <w:bookmarkStart w:id="250" w:name="page251"/>
    <w:bookmarkEnd w:id="250"/>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Fees</w:t>
      </w:r>
      <w:r>
        <w:rPr>
          <w:rFonts w:ascii="Arial" w:cs="Arial" w:eastAsia="Arial" w:hAnsi="Arial"/>
          <w:sz w:val="17"/>
          <w:szCs w:val="17"/>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February 26, 2015,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Arial" w:cs="Arial" w:eastAsia="Arial" w:hAnsi="Arial"/>
          <w:sz w:val="17"/>
          <w:szCs w:val="17"/>
          <w:i w:val="1"/>
          <w:iCs w:val="1"/>
          <w:color w:val="auto"/>
        </w:rPr>
        <w:t>provided</w:t>
      </w:r>
      <w:r>
        <w:rPr>
          <w:rFonts w:ascii="Arial" w:cs="Arial" w:eastAsia="Arial" w:hAnsi="Arial"/>
          <w:sz w:val="17"/>
          <w:szCs w:val="17"/>
          <w:color w:val="auto"/>
        </w:rPr>
        <w:t>, that no litigation challenging the issuance of a Gaming License or any matters arising therefrom, related thereto or in connection therewith shall constitute, result or otherwise have (or reasonably be expected to constitute, result or otherwise have) a Material Adverse Effect.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Minimum Cage Cash Amount</w:t>
      </w:r>
      <w:r>
        <w:rPr>
          <w:rFonts w:ascii="Arial" w:cs="Arial" w:eastAsia="Arial" w:hAnsi="Arial"/>
          <w:sz w:val="16"/>
          <w:szCs w:val="16"/>
          <w:color w:val="auto"/>
        </w:rPr>
        <w:t>” shall mean, as of any date of determination, an amount equal to $15.0 million multiplied by the number of material Gaming Facilities (as determined by Borrower in good faith) owned and operated by Borrower and its Restricted Subsidiaries. For purposes of this definition, as of the Closing Date each of (a) the Wynn Las Vegas Resort and Encore at Wynn Las Vegas (taken as a whole) and (b) the Wynn Massachusetts Resort shall count as material Gaming Facilities such that as of the Closing Date the Minimum Cage Cash Amount shall be $30.0 million.</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Collateral Amount</w:t>
      </w:r>
      <w:r>
        <w:rPr>
          <w:rFonts w:ascii="Arial" w:cs="Arial" w:eastAsia="Arial" w:hAnsi="Arial"/>
          <w:sz w:val="18"/>
          <w:szCs w:val="18"/>
          <w:color w:val="auto"/>
        </w:rPr>
        <w:t xml:space="preserve">”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2.10(d)</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2.16(a)(i)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w:t>
      </w:r>
      <w:r>
        <w:rPr>
          <w:rFonts w:ascii="Arial" w:cs="Arial" w:eastAsia="Arial" w:hAnsi="Arial"/>
          <w:sz w:val="18"/>
          <w:szCs w:val="18"/>
          <w:color w:val="auto"/>
        </w:rPr>
        <w:t>, an amount equal to 103% of the aggregate L/C Liability, and (iii) otherwise, an amount determined by Administrative Agent and the L/C Lenders in their reasonable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xml:space="preserve">” shall mean an agreement, including, but not limited to, a mortgage, deed of trust or any other document, creating and evidencing a first Lien (subject only to Permitted Liens) in favor of Collateral Agent on behalf of the Secured Parties on each Mortgaged Real Property, which shall be in substantially the form of </w:t>
      </w:r>
      <w:r>
        <w:rPr>
          <w:rFonts w:ascii="Arial" w:cs="Arial" w:eastAsia="Arial" w:hAnsi="Arial"/>
          <w:sz w:val="16"/>
          <w:szCs w:val="16"/>
          <w:u w:val="single" w:color="auto"/>
          <w:color w:val="auto"/>
        </w:rPr>
        <w:t>Exhibit I-1</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I-2</w:t>
      </w:r>
      <w:r>
        <w:rPr>
          <w:rFonts w:ascii="Arial" w:cs="Arial" w:eastAsia="Arial" w:hAnsi="Arial"/>
          <w:sz w:val="16"/>
          <w:szCs w:val="16"/>
          <w:color w:val="auto"/>
        </w:rPr>
        <w:t>,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Real Property</w:t>
      </w:r>
      <w:r>
        <w:rPr>
          <w:rFonts w:ascii="Arial" w:cs="Arial" w:eastAsia="Arial" w:hAnsi="Arial"/>
          <w:sz w:val="18"/>
          <w:szCs w:val="18"/>
          <w:color w:val="auto"/>
        </w:rPr>
        <w:t xml:space="preserve">” shall mean (a) each Closing Date Mortgaged Real Property listed on </w:t>
      </w:r>
      <w:r>
        <w:rPr>
          <w:rFonts w:ascii="Arial" w:cs="Arial" w:eastAsia="Arial" w:hAnsi="Arial"/>
          <w:sz w:val="18"/>
          <w:szCs w:val="18"/>
          <w:u w:val="single" w:color="auto"/>
          <w:color w:val="auto"/>
        </w:rPr>
        <w:t>Schedule 1.01(c)</w:t>
      </w:r>
      <w:r>
        <w:rPr>
          <w:rFonts w:ascii="Arial" w:cs="Arial" w:eastAsia="Arial" w:hAnsi="Arial"/>
          <w:sz w:val="18"/>
          <w:szCs w:val="18"/>
          <w:color w:val="auto"/>
        </w:rPr>
        <w:t xml:space="preserve"> and (b) each Real Property, if any, which shall be subject to a Mortgage delivered after the Closing Date pursuant to </w:t>
      </w:r>
      <w:r>
        <w:rPr>
          <w:rFonts w:ascii="Arial" w:cs="Arial" w:eastAsia="Arial" w:hAnsi="Arial"/>
          <w:sz w:val="18"/>
          <w:szCs w:val="18"/>
          <w:u w:val="single" w:color="auto"/>
          <w:color w:val="auto"/>
        </w:rPr>
        <w:t>Section 9.08, 9.11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9.16</w:t>
      </w:r>
      <w:r>
        <w:rPr>
          <w:rFonts w:ascii="Arial" w:cs="Arial" w:eastAsia="Arial" w:hAnsi="Arial"/>
          <w:sz w:val="18"/>
          <w:szCs w:val="18"/>
          <w:color w:val="auto"/>
        </w:rPr>
        <w:t xml:space="preserve"> (in each case, unless and until such Real Property is no longer subject to a Mortgage).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ERISA Entity is then making or obligated to make contributions, (b) to which any ERISA Entity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251" w:name="page252"/>
    <w:bookmarkEnd w:id="251"/>
    <w:p>
      <w:pPr>
        <w:spacing w:after="0"/>
        <w:rPr>
          <w:sz w:val="20"/>
          <w:szCs w:val="20"/>
          <w:color w:val="auto"/>
        </w:rPr>
      </w:pPr>
      <w:r>
        <w:rPr>
          <w:rFonts w:ascii="Arial" w:cs="Arial" w:eastAsia="Arial" w:hAnsi="Arial"/>
          <w:sz w:val="17"/>
          <w:szCs w:val="17"/>
          <w:color w:val="auto"/>
        </w:rPr>
        <w:t>(including any Person which ceased to be an ERISA Entity during such five year period) has within the preceding five plan years made contributions, or</w:t>
      </w:r>
    </w:p>
    <w:p>
      <w:pPr>
        <w:spacing w:after="0" w:line="35" w:lineRule="exact"/>
        <w:rPr>
          <w:sz w:val="20"/>
          <w:szCs w:val="20"/>
          <w:color w:val="auto"/>
        </w:rPr>
      </w:pPr>
    </w:p>
    <w:p>
      <w:pPr>
        <w:ind w:left="660" w:right="1500" w:hanging="652"/>
        <w:spacing w:after="0" w:line="490" w:lineRule="auto"/>
        <w:tabs>
          <w:tab w:leader="none" w:pos="25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with respect to which Borrower or any Restricted Subsidiary would reasonably be expected to incur liability under Title IV of ERISA. “</w:t>
      </w:r>
      <w:r>
        <w:rPr>
          <w:rFonts w:ascii="Arial" w:cs="Arial" w:eastAsia="Arial" w:hAnsi="Arial"/>
          <w:sz w:val="18"/>
          <w:szCs w:val="18"/>
          <w:b w:val="1"/>
          <w:bCs w:val="1"/>
          <w:color w:val="auto"/>
        </w:rPr>
        <w:t>NAIC</w:t>
      </w:r>
      <w:r>
        <w:rPr>
          <w:rFonts w:ascii="Arial" w:cs="Arial" w:eastAsia="Arial" w:hAnsi="Arial"/>
          <w:sz w:val="18"/>
          <w:szCs w:val="18"/>
          <w:color w:val="auto"/>
        </w:rPr>
        <w:t>” shall mean the National Association of Insurance Commissioners.</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Proceeds</w:t>
      </w:r>
      <w:r>
        <w:rPr>
          <w:rFonts w:ascii="Arial" w:cs="Arial" w:eastAsia="Arial" w:hAnsi="Arial"/>
          <w:sz w:val="18"/>
          <w:szCs w:val="18"/>
          <w:color w:val="auto"/>
        </w:rPr>
        <w:t>” shall mean:</w:t>
      </w:r>
    </w:p>
    <w:p>
      <w:pPr>
        <w:spacing w:after="0" w:line="229" w:lineRule="exact"/>
        <w:rPr>
          <w:rFonts w:ascii="Arial" w:cs="Arial" w:eastAsia="Arial" w:hAnsi="Arial"/>
          <w:sz w:val="18"/>
          <w:szCs w:val="18"/>
          <w:color w:val="auto"/>
        </w:rPr>
      </w:pPr>
    </w:p>
    <w:p>
      <w:pPr>
        <w:jc w:val="both"/>
        <w:ind w:left="660" w:firstLine="645"/>
        <w:spacing w:after="0" w:line="284" w:lineRule="auto"/>
        <w:tabs>
          <w:tab w:leader="none" w:pos="167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 xml:space="preserve">in the case of any Asset Sale by Borrower or any Restricted Subsidiary pursuant to </w:t>
      </w:r>
      <w:r>
        <w:rPr>
          <w:rFonts w:ascii="Arial" w:cs="Arial" w:eastAsia="Arial" w:hAnsi="Arial"/>
          <w:sz w:val="16"/>
          <w:szCs w:val="16"/>
          <w:u w:val="single" w:color="auto"/>
          <w:color w:val="auto"/>
        </w:rPr>
        <w:t>Section 10.05(c)</w:t>
      </w:r>
      <w:r>
        <w:rPr>
          <w:rFonts w:ascii="Arial" w:cs="Arial" w:eastAsia="Arial" w:hAnsi="Arial"/>
          <w:sz w:val="16"/>
          <w:szCs w:val="16"/>
          <w:color w:val="auto"/>
        </w:rPr>
        <w:t xml:space="preserve">, 100% of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at the time of receipt of such net cash proceeds or at any time during the reinvestment period contemplated by </w:t>
      </w:r>
      <w:r>
        <w:rPr>
          <w:rFonts w:ascii="Arial" w:cs="Arial" w:eastAsia="Arial" w:hAnsi="Arial"/>
          <w:sz w:val="16"/>
          <w:szCs w:val="16"/>
          <w:u w:val="single" w:color="auto"/>
          <w:color w:val="auto"/>
        </w:rPr>
        <w:t>Section 2.10(a)(iii)</w:t>
      </w:r>
      <w:r>
        <w:rPr>
          <w:rFonts w:ascii="Arial" w:cs="Arial" w:eastAsia="Arial" w:hAnsi="Arial"/>
          <w:sz w:val="16"/>
          <w:szCs w:val="16"/>
          <w:color w:val="auto"/>
        </w:rPr>
        <w:t>, if Borrower shall deliver a certificate of a Responsible Officer of Borrower to Administrative Agent certifying that on a Pro Forma Basis immediately after giving effect to the Asset Sale and the application of the proceeds thereof or at the relevant time during such reinvestment period, (I) the Consolidated First Lien Net Leverage Ratio is less than 1.00 to 1.00, 50% of such net cash proceeds that would otherwise constitute Net Available Proceeds shall constitute Net Available Proceeds or (II) the Consolidated First Lien Net Leverage Ratio is less than 0.50 to 1.00, none of such net cash proceeds that would otherwise constitute Net Available Proceeds shall constitute Net Available Proceeds;</w:t>
      </w:r>
    </w:p>
    <w:p>
      <w:pPr>
        <w:spacing w:after="0" w:line="396" w:lineRule="exact"/>
        <w:rPr>
          <w:rFonts w:ascii="Arial" w:cs="Arial" w:eastAsia="Arial" w:hAnsi="Arial"/>
          <w:sz w:val="16"/>
          <w:szCs w:val="16"/>
          <w:color w:val="auto"/>
        </w:rPr>
      </w:pPr>
    </w:p>
    <w:p>
      <w:pPr>
        <w:jc w:val="both"/>
        <w:ind w:left="660" w:firstLine="645"/>
        <w:spacing w:after="0" w:line="269" w:lineRule="auto"/>
        <w:tabs>
          <w:tab w:leader="none" w:pos="1783" w:val="left"/>
        </w:tabs>
        <w:numPr>
          <w:ilvl w:val="1"/>
          <w:numId w:val="238"/>
        </w:numPr>
        <w:rPr>
          <w:rFonts w:ascii="Arial" w:cs="Arial" w:eastAsia="Arial" w:hAnsi="Arial"/>
          <w:sz w:val="17"/>
          <w:szCs w:val="17"/>
          <w:color w:val="auto"/>
        </w:rPr>
      </w:pPr>
      <w:r>
        <w:rPr>
          <w:rFonts w:ascii="Arial" w:cs="Arial" w:eastAsia="Arial" w:hAnsi="Arial"/>
          <w:sz w:val="17"/>
          <w:szCs w:val="17"/>
          <w:color w:val="auto"/>
        </w:rPr>
        <w:t xml:space="preserve">in the case of any Casualty Event of Borrower or any Restricted Subsidiary, the aggregate amount of cash proceeds of insurance, condemnation awards and other compensation (excluding proceeds constituting business interruption insurance or other similar compensation for loss of revenue, but including the proceeds of any disposition of Property pursuant to </w:t>
      </w:r>
      <w:r>
        <w:rPr>
          <w:rFonts w:ascii="Arial" w:cs="Arial" w:eastAsia="Arial" w:hAnsi="Arial"/>
          <w:sz w:val="17"/>
          <w:szCs w:val="17"/>
          <w:u w:val="single" w:color="auto"/>
          <w:color w:val="auto"/>
        </w:rPr>
        <w:t>Section 10.05(l)</w:t>
      </w:r>
      <w:r>
        <w:rPr>
          <w:rFonts w:ascii="Arial" w:cs="Arial" w:eastAsia="Arial" w:hAnsi="Arial"/>
          <w:sz w:val="17"/>
          <w:szCs w:val="17"/>
          <w:color w:val="auto"/>
        </w:rPr>
        <w:t xml:space="preserve">) received by the Person whose Property was subject to such Casualty Event in respect of such Casualty Event net of (A) fees and expenses incurred by or on behalf of Borrower or any Restricted Subsidiary in connection with recovery thereof, (B) repayments of Indebtedness (other than Indebtedness hereunder) to the extent secured by a Lien on such Property that is permitted by the Credit Documents and that is not junior to the Lien thereon securing the Obligations, (C) any Taxes paid or payable by or on behalf of Borrower or any Restricted Subsidiary in respect of the amount so recovered (after application of all credits and other offsets arising from such Casualty Event), and (D) amounts required to be paid to any Person (other than any Company) owning a beneficial interest in the subject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252" w:name="page253"/>
    <w:bookmarkEnd w:id="252"/>
    <w:p>
      <w:pPr>
        <w:jc w:val="both"/>
        <w:ind w:left="660"/>
        <w:spacing w:after="0" w:line="290" w:lineRule="auto"/>
        <w:rPr>
          <w:sz w:val="20"/>
          <w:szCs w:val="20"/>
          <w:color w:val="auto"/>
        </w:rPr>
      </w:pPr>
      <w:r>
        <w:rPr>
          <w:rFonts w:ascii="Arial" w:cs="Arial" w:eastAsia="Arial" w:hAnsi="Arial"/>
          <w:sz w:val="16"/>
          <w:szCs w:val="16"/>
          <w:color w:val="auto"/>
        </w:rPr>
        <w:t xml:space="preserve">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at the time of receipt of such amounts or at any time during the reinvestment period contemplated by </w:t>
      </w:r>
      <w:r>
        <w:rPr>
          <w:rFonts w:ascii="Arial" w:cs="Arial" w:eastAsia="Arial" w:hAnsi="Arial"/>
          <w:sz w:val="16"/>
          <w:szCs w:val="16"/>
          <w:u w:val="single" w:color="auto"/>
          <w:color w:val="auto"/>
        </w:rPr>
        <w:t>Section 2.10(a)(i)</w:t>
      </w:r>
      <w:r>
        <w:rPr>
          <w:rFonts w:ascii="Arial" w:cs="Arial" w:eastAsia="Arial" w:hAnsi="Arial"/>
          <w:sz w:val="16"/>
          <w:szCs w:val="16"/>
          <w:color w:val="auto"/>
        </w:rPr>
        <w:t>, if Borrower shall deliver a certificate of a Responsible Officer of Borrower to Administrative Agent certifying that on a Pro Forma Basis immediately after giving effect to the Asset Sale and the application of the proceeds thereof or at the relevant time during such reinvestment period, (I) the Consolidated First Lien Net Leverage Ratio is less than 1.00 to 1.00, 50% of such amounts that would otherwise constitute Net Available Proceeds shall constitute Net Available Proceeds or (II) the Consolidated First Lien Net Leverage Ratio is less than 0.50 to 1.00, none of such amounts that would otherwise constitute Net Available Proceeds shall constitute Net Available Proceeds; and</w:t>
      </w:r>
    </w:p>
    <w:p>
      <w:pPr>
        <w:spacing w:after="0" w:line="166" w:lineRule="exact"/>
        <w:rPr>
          <w:sz w:val="20"/>
          <w:szCs w:val="20"/>
          <w:color w:val="auto"/>
        </w:rPr>
      </w:pPr>
    </w:p>
    <w:p>
      <w:pPr>
        <w:jc w:val="both"/>
        <w:ind w:left="660" w:firstLine="645"/>
        <w:spacing w:after="0" w:line="286" w:lineRule="auto"/>
        <w:tabs>
          <w:tab w:leader="none" w:pos="1769"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Short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13.04(i)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Commitments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Maturity Date</w:t>
      </w:r>
      <w:r>
        <w:rPr>
          <w:rFonts w:ascii="Arial" w:cs="Arial" w:eastAsia="Arial" w:hAnsi="Arial"/>
          <w:sz w:val="18"/>
          <w:szCs w:val="18"/>
          <w:color w:val="auto"/>
        </w:rPr>
        <w:t xml:space="preserve">” shall mean, with respect to any New Term Loans to be made pursuant to the related Incremental Joinder Agreement, the maturity date thereof as determined in accordance with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Notes</w:t>
      </w:r>
      <w:r>
        <w:rPr>
          <w:rFonts w:ascii="Arial" w:cs="Arial" w:eastAsia="Arial" w:hAnsi="Arial"/>
          <w:sz w:val="18"/>
          <w:szCs w:val="18"/>
          <w:color w:val="auto"/>
        </w:rPr>
        <w:t>” shall mean the promissory notes executed and delivered in connection with any New Term Loan Commitments and the related New Term Loans.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xml:space="preserve">” shall have the meaning provided by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xml:space="preserve">” shall have the meaning provided by </w:t>
      </w:r>
      <w:r>
        <w:rPr>
          <w:rFonts w:ascii="Arial" w:cs="Arial" w:eastAsia="Arial" w:hAnsi="Arial"/>
          <w:sz w:val="18"/>
          <w:szCs w:val="18"/>
          <w:u w:val="single" w:color="auto"/>
          <w:color w:val="auto"/>
        </w:rPr>
        <w:t>Section 5.06(c)(ii)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mean the Revolving Notes and the Term Loan Notes.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mean a notice of borrowing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Continuation/Conversion</w:t>
      </w:r>
      <w:r>
        <w:rPr>
          <w:rFonts w:ascii="Arial" w:cs="Arial" w:eastAsia="Arial" w:hAnsi="Arial"/>
          <w:sz w:val="18"/>
          <w:szCs w:val="18"/>
          <w:color w:val="auto"/>
        </w:rPr>
        <w:t xml:space="preserve">” shall mean a notice of continuation/conversion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Intent to Cure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w:t>
      </w:r>
      <w:r>
        <w:rPr>
          <w:rFonts w:ascii="Arial" w:cs="Arial" w:eastAsia="Arial" w:hAnsi="Arial"/>
          <w:sz w:val="18"/>
          <w:szCs w:val="18"/>
          <w:color w:val="auto"/>
        </w:rPr>
        <w:t>” shall mean the Federal Reserve Bank of New York.</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NYFRB Rate</w:t>
      </w:r>
      <w:r>
        <w:rPr>
          <w:rFonts w:ascii="Arial" w:cs="Arial" w:eastAsia="Arial" w:hAnsi="Arial"/>
          <w:sz w:val="18"/>
          <w:szCs w:val="18"/>
          <w:color w:val="auto"/>
        </w:rPr>
        <w:t xml:space="preserve">” shall mean,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none of such rates are published for any day that is a Business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5" w:right="239" w:bottom="1440" w:gutter="0" w:footer="0" w:header="0"/>
        </w:sectPr>
      </w:pPr>
    </w:p>
    <w:bookmarkStart w:id="253" w:name="page254"/>
    <w:bookmarkEnd w:id="253"/>
    <w:p>
      <w:pPr>
        <w:jc w:val="both"/>
        <w:spacing w:after="0" w:line="264" w:lineRule="auto"/>
        <w:rPr>
          <w:sz w:val="20"/>
          <w:szCs w:val="20"/>
          <w:color w:val="auto"/>
        </w:rPr>
      </w:pPr>
      <w:r>
        <w:rPr>
          <w:rFonts w:ascii="Arial" w:cs="Arial" w:eastAsia="Arial" w:hAnsi="Arial"/>
          <w:sz w:val="18"/>
          <w:szCs w:val="18"/>
          <w:color w:val="auto"/>
        </w:rPr>
        <w:t xml:space="preserve">Day, the term “NYFRB Rate” shall mean the rate for a federal funds transaction quoted at 11:00 a.m. on such day received by Administrative Agent from a Federal funds broker of recognized standing selected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any of the aforesaid rates shall be less than zero, such rate shall be deemed to be zero for purposes of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 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8.22(b)(v)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Market Assignment and Assumption Agreement</w:t>
      </w:r>
      <w:r>
        <w:rPr>
          <w:rFonts w:ascii="Arial" w:cs="Arial" w:eastAsia="Arial" w:hAnsi="Arial"/>
          <w:sz w:val="18"/>
          <w:szCs w:val="18"/>
          <w:color w:val="auto"/>
        </w:rPr>
        <w:t xml:space="preserve">” shall mean an Open Market Assignment and Assumption Agreement substantially in the form attached as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w:t>
      </w:r>
      <w:r>
        <w:rPr>
          <w:rFonts w:ascii="Arial" w:cs="Arial" w:eastAsia="Arial" w:hAnsi="Arial"/>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xml:space="preserve">” shall mean Indebtedness incurred pursuant to </w:t>
      </w:r>
      <w:r>
        <w:rPr>
          <w:rFonts w:ascii="Arial" w:cs="Arial" w:eastAsia="Arial" w:hAnsi="Arial"/>
          <w:sz w:val="18"/>
          <w:szCs w:val="18"/>
          <w:u w:val="single" w:color="auto"/>
          <w:color w:val="auto"/>
        </w:rPr>
        <w:t>Section 10.01(c)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Commitments</w:t>
      </w:r>
      <w:r>
        <w:rPr>
          <w:rFonts w:ascii="Arial" w:cs="Arial" w:eastAsia="Arial" w:hAnsi="Arial"/>
          <w:sz w:val="18"/>
          <w:szCs w:val="18"/>
          <w:color w:val="auto"/>
        </w:rPr>
        <w:t>” shall mean the Other Term Loan Commitments and Other Revolving Commitments.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Agent, any Lender or any other recipient of any payment to be made by or on account of any obligation of any Credit Party under any Credit Document,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First Lien Indebtedness</w:t>
      </w:r>
      <w:r>
        <w:rPr>
          <w:rFonts w:ascii="Arial" w:cs="Arial" w:eastAsia="Arial" w:hAnsi="Arial"/>
          <w:sz w:val="18"/>
          <w:szCs w:val="18"/>
          <w:color w:val="auto"/>
        </w:rPr>
        <w:t xml:space="preserve">” shall mean outstanding Indebtedness that is not incurred under this Agreement and that (a)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and (b) is Permitted First Priority Refinancing Debt or Ratio Debt.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Junior Indebtedness</w:t>
      </w:r>
      <w:r>
        <w:rPr>
          <w:rFonts w:ascii="Arial" w:cs="Arial" w:eastAsia="Arial" w:hAnsi="Arial"/>
          <w:sz w:val="18"/>
          <w:szCs w:val="18"/>
          <w:color w:val="auto"/>
        </w:rPr>
        <w:t>” shall mean Permitted Unsecured Refinancing Debt, Permitted Second Priority Refinancing Debt, or Ratio Debt, in each case, that is secured by a Lien on Collateral junior to the Liens securing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254" w:name="page255"/>
    <w:bookmarkEnd w:id="254"/>
    <w:p>
      <w:pPr>
        <w:jc w:val="both"/>
        <w:spacing w:after="0" w:line="277" w:lineRule="auto"/>
        <w:rPr>
          <w:sz w:val="20"/>
          <w:szCs w:val="20"/>
          <w:color w:val="auto"/>
        </w:rPr>
      </w:pPr>
      <w:r>
        <w:rPr>
          <w:rFonts w:ascii="Arial" w:cs="Arial" w:eastAsia="Arial" w:hAnsi="Arial"/>
          <w:sz w:val="18"/>
          <w:szCs w:val="18"/>
          <w:color w:val="auto"/>
        </w:rPr>
        <w:t xml:space="preserve">Obligations or that is unsecured. For the avoidance of doubt, Indebtedness incurred pursuant to </w:t>
      </w:r>
      <w:r>
        <w:rPr>
          <w:rFonts w:ascii="Arial" w:cs="Arial" w:eastAsia="Arial" w:hAnsi="Arial"/>
          <w:sz w:val="18"/>
          <w:szCs w:val="18"/>
          <w:u w:val="single" w:color="auto"/>
          <w:color w:val="auto"/>
        </w:rPr>
        <w:t>Section 10.01(e)</w:t>
      </w:r>
      <w:r>
        <w:rPr>
          <w:rFonts w:ascii="Arial" w:cs="Arial" w:eastAsia="Arial" w:hAnsi="Arial"/>
          <w:sz w:val="18"/>
          <w:szCs w:val="18"/>
          <w:color w:val="auto"/>
        </w:rPr>
        <w:t xml:space="preserve"> shall in no event constitute Other Junior Indebtedness.</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Commitments</w:t>
      </w:r>
      <w:r>
        <w:rPr>
          <w:rFonts w:ascii="Arial" w:cs="Arial" w:eastAsia="Arial" w:hAnsi="Arial"/>
          <w:sz w:val="18"/>
          <w:szCs w:val="18"/>
          <w:color w:val="auto"/>
        </w:rPr>
        <w:t>” shall mean one or more Tranches of revolving credit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Loans</w:t>
      </w:r>
      <w:r>
        <w:rPr>
          <w:rFonts w:ascii="Arial" w:cs="Arial" w:eastAsia="Arial" w:hAnsi="Arial"/>
          <w:sz w:val="18"/>
          <w:szCs w:val="18"/>
          <w:color w:val="auto"/>
        </w:rPr>
        <w:t>” shall mean one or more Tranches of Revolving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 Commitments</w:t>
      </w:r>
      <w:r>
        <w:rPr>
          <w:rFonts w:ascii="Arial" w:cs="Arial" w:eastAsia="Arial" w:hAnsi="Arial"/>
          <w:sz w:val="18"/>
          <w:szCs w:val="18"/>
          <w:color w:val="auto"/>
        </w:rPr>
        <w:t>” shall mean one or more Tranches of term loan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Loans</w:t>
      </w:r>
      <w:r>
        <w:rPr>
          <w:rFonts w:ascii="Arial" w:cs="Arial" w:eastAsia="Arial" w:hAnsi="Arial"/>
          <w:sz w:val="18"/>
          <w:szCs w:val="18"/>
          <w:color w:val="auto"/>
        </w:rPr>
        <w:t>” shall mean one or more Tranches of Term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Overdraft 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10.02(cc)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Bank Funding Rate</w:t>
      </w:r>
      <w:r>
        <w:rPr>
          <w:rFonts w:ascii="Arial" w:cs="Arial" w:eastAsia="Arial" w:hAnsi="Arial"/>
          <w:sz w:val="18"/>
          <w:szCs w:val="18"/>
          <w:color w:val="auto"/>
        </w:rPr>
        <w:t>” shall mean,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in Full</w:t>
      </w:r>
      <w:r>
        <w:rPr>
          <w:rFonts w:ascii="Arial" w:cs="Arial" w:eastAsia="Arial" w:hAnsi="Arial"/>
          <w:sz w:val="17"/>
          <w:szCs w:val="17"/>
          <w:color w:val="auto"/>
        </w:rPr>
        <w:t>” or “</w:t>
      </w:r>
      <w:r>
        <w:rPr>
          <w:rFonts w:ascii="Arial" w:cs="Arial" w:eastAsia="Arial" w:hAnsi="Arial"/>
          <w:sz w:val="17"/>
          <w:szCs w:val="17"/>
          <w:b w:val="1"/>
          <w:bCs w:val="1"/>
          <w:color w:val="auto"/>
        </w:rPr>
        <w:t>Payment in Full</w:t>
      </w:r>
      <w:r>
        <w:rPr>
          <w:rFonts w:ascii="Arial" w:cs="Arial" w:eastAsia="Arial" w:hAnsi="Arial"/>
          <w:sz w:val="17"/>
          <w:szCs w:val="17"/>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Administrative Agent). For purposes of this definition, “</w:t>
      </w:r>
      <w:r>
        <w:rPr>
          <w:rFonts w:ascii="Arial" w:cs="Arial" w:eastAsia="Arial" w:hAnsi="Arial"/>
          <w:sz w:val="17"/>
          <w:szCs w:val="17"/>
          <w:b w:val="1"/>
          <w:bCs w:val="1"/>
          <w:color w:val="auto"/>
        </w:rPr>
        <w:t>Unasserted Obligations</w:t>
      </w:r>
      <w:r>
        <w:rPr>
          <w:rFonts w:ascii="Arial" w:cs="Arial" w:eastAsia="Arial" w:hAnsi="Arial"/>
          <w:sz w:val="17"/>
          <w:szCs w:val="17"/>
          <w:color w:val="auto"/>
        </w:rPr>
        <w:t>” shall mean, at any time, contingent indemnity obligations in respect of which no claim or demand for payment has been made at such time.</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R</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 employee pension benefit plan (other than a Multiemployer Plan) that is covered by Title IV of ERISA or subject to the minimum funding standards under Section 412 of the Code or Section 302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5" w:right="239" w:bottom="1440" w:gutter="0" w:footer="0" w:header="0"/>
        </w:sectPr>
      </w:pPr>
    </w:p>
    <w:bookmarkStart w:id="255" w:name="page256"/>
    <w:bookmarkEnd w:id="255"/>
    <w:p>
      <w:pPr>
        <w:jc w:val="both"/>
        <w:spacing w:after="0" w:line="277" w:lineRule="auto"/>
        <w:rPr>
          <w:sz w:val="20"/>
          <w:szCs w:val="20"/>
          <w:color w:val="auto"/>
        </w:rPr>
      </w:pPr>
      <w:r>
        <w:rPr>
          <w:rFonts w:ascii="Arial" w:cs="Arial" w:eastAsia="Arial" w:hAnsi="Arial"/>
          <w:sz w:val="18"/>
          <w:szCs w:val="18"/>
          <w:color w:val="auto"/>
        </w:rPr>
        <w:t>ERISA and is or was, within the past six years, maintained or contributed to by any ERISA Entity, or with respect to which Borrower or any Restricted Subsidiary would reasonably be expected to incur liability under Title IV of ERISA.</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that certain Perfection Certificate, dated as of the Closing Date (the “</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w:t>
      </w:r>
      <w:r>
        <w:rPr>
          <w:rFonts w:ascii="Arial" w:cs="Arial" w:eastAsia="Arial" w:hAnsi="Arial"/>
          <w:sz w:val="18"/>
          <w:szCs w:val="18"/>
          <w:u w:val="single" w:color="auto"/>
          <w:color w:val="auto"/>
        </w:rPr>
        <w:t>Section 9.04(h)(ii)</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shall mean any acquisition, whether by purchase, merger, consolidation or otherwise, by Borrower or any of its Restricted Subsidiaries of all or substantially all of the business, property or assets of, or Equity Interests in, a Person or any unit, division or line of business of a Person so long as (a) immediately after a binding contract with respect thereto is entered into between Borrower or one of its Restricted Subsidiaries and the seller with respect thereto and after giving pro forma effect to such acquisition and related transactions, no Event of Default has occurred and is continuing or would result therefrom and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w:t>
      </w:r>
      <w:r>
        <w:rPr>
          <w:rFonts w:ascii="Arial" w:cs="Arial" w:eastAsia="Arial" w:hAnsi="Arial"/>
          <w:sz w:val="16"/>
          <w:szCs w:val="16"/>
          <w:u w:val="single" w:color="auto"/>
          <w:color w:val="auto"/>
        </w:rPr>
        <w:t>Section 10.11</w:t>
      </w:r>
      <w:r>
        <w:rPr>
          <w:rFonts w:ascii="Arial" w:cs="Arial" w:eastAsia="Arial" w:hAnsi="Arial"/>
          <w:sz w:val="16"/>
          <w:szCs w:val="16"/>
          <w:color w:val="auto"/>
        </w:rPr>
        <w:t>, and (c) with respect to a Permitted Acquisition in excess of $100.0 million, Borrower has delivered to Administrative Agent an Officer’s Certificate to the effect set forth in clauses (a) and (b) above, together with all relevant financial information for the Person or assets to be acquired.</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Business</w:t>
      </w:r>
      <w:r>
        <w:rPr>
          <w:rFonts w:ascii="Arial" w:cs="Arial" w:eastAsia="Arial" w:hAnsi="Arial"/>
          <w:sz w:val="17"/>
          <w:szCs w:val="17"/>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 Assets</w:t>
      </w:r>
      <w:r>
        <w:rPr>
          <w:rFonts w:ascii="Arial" w:cs="Arial" w:eastAsia="Arial" w:hAnsi="Arial"/>
          <w:sz w:val="16"/>
          <w:szCs w:val="16"/>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Priority Refinancing Debt</w:t>
      </w:r>
      <w:r>
        <w:rPr>
          <w:rFonts w:ascii="Arial" w:cs="Arial" w:eastAsia="Arial" w:hAnsi="Arial"/>
          <w:sz w:val="17"/>
          <w:szCs w:val="17"/>
          <w:color w:val="auto"/>
        </w:rPr>
        <w:t xml:space="preserve">” shall mean any secured Indebtedness incurred by any Credit Party (and Contingent Obligations of any other Credit Party in respect thereof) in the form of one or more series of senior 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Junior Debt Conditions</w:t>
      </w:r>
      <w:r>
        <w:rPr>
          <w:rFonts w:ascii="Arial" w:cs="Arial" w:eastAsia="Arial" w:hAnsi="Arial"/>
          <w:sz w:val="17"/>
          <w:szCs w:val="17"/>
          <w:color w:val="auto"/>
        </w:rPr>
        <w:t>” shall mean that such applicable debt (i) does not have a scheduled maturity date prior to the date that is 91 days after the Final Maturity Date then in effect at the time of issuance (excluding bridge facilities providing for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providing for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satisfy the Permitted Junior Debt Conditions) or Equity Issuances,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256" w:name="page257"/>
    <w:bookmarkEnd w:id="256"/>
    <w:p>
      <w:pPr>
        <w:jc w:val="both"/>
        <w:spacing w:after="0" w:line="259" w:lineRule="auto"/>
        <w:rPr>
          <w:sz w:val="20"/>
          <w:szCs w:val="20"/>
          <w:color w:val="auto"/>
        </w:rPr>
      </w:pPr>
      <w:r>
        <w:rPr>
          <w:rFonts w:ascii="Arial" w:cs="Arial" w:eastAsia="Arial" w:hAnsi="Arial"/>
          <w:sz w:val="18"/>
          <w:szCs w:val="18"/>
          <w:color w:val="auto"/>
        </w:rPr>
        <w:t>customary asset sale and excess cash flow provisions that permit application of the applicable proceeds to the payment of the Obligations prior to application to such Junior Financing) due prior to the date that is ninety-one (91) days after the Final Maturity Date then in effect at the time of issuance (excluding bridge facilities providing for extensions on customary terms to at least ninety-one (91) days after such Final Maturity Date) and (iv) is not at any time guaranteed by any Subsidiaries other than Subsidiaries that are Guarantors.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shall mean, with respect to any Indebtedness, any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(without giving effect to any prepayments that reduce scheduled amortization) that is shorter than that of the Indebtedness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this clause (a) shall not apply to unsecured bridge facilities allowing extensions on customary terms to a date that is no earlier than the applicable maturity date, (B) the stated maturity may be earlier if the stated maturity is not earlier than the earlier of (1) the stated maturity of such Indebtedness in effect prior to such refinancing or (2) 91 days after the Final Maturity Date in effect at the time of issuance, and (C) the Weighted Average Life to Maturity may be shorter if the Weighted Average Life to Maturity is not shorter than the Weighted Average Life to Maturity of such Indebtedness that would result if all payments of principal on such Indebtedness that were due on or after the date that is 91 days after the Final Maturity Date in effect at the time of issuance were instead due on the date that is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premium or other payment required to be paid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fees and expenses of Borrower or any of its Restricted Subsidiaries incurred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unutilized commitments thereunder; and (c) the obligors on such refinancing Indebtedness shall be the obligors on such Indebtedness being refinanced (other than in the case of a refinancing of the Wynn Las Vegas Notes, in which case the obligors may be Borrower, any of the Guarantors, or any obligors with respect to Indebtedness incurred under </w:t>
      </w:r>
      <w:r>
        <w:rPr>
          <w:rFonts w:ascii="Arial" w:cs="Arial" w:eastAsia="Arial" w:hAnsi="Arial"/>
          <w:sz w:val="16"/>
          <w:szCs w:val="16"/>
          <w:u w:val="single" w:color="auto"/>
          <w:color w:val="auto"/>
        </w:rPr>
        <w:t>Section 10.01(v)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Credit Party shall be permitted to guarantee any such refinancing Indebtedness of any other Credit Party.</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Priority Refinancing Debt</w:t>
      </w:r>
      <w:r>
        <w:rPr>
          <w:rFonts w:ascii="Arial" w:cs="Arial" w:eastAsia="Arial" w:hAnsi="Arial"/>
          <w:sz w:val="16"/>
          <w:szCs w:val="16"/>
          <w:color w:val="auto"/>
        </w:rPr>
        <w:t xml:space="preserve">” shall mean secured Indebtedness incurred by any Credit Party (and Contingent Obligations of any other Credit Parties in respect thereof) in the form of one or more series of second lien (or other junior lien) secured notes or second lien (or other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is secured by the Collateral on a second priority (or other junior priority) basis to the liens securing the Obligations and the obligations in respect of any Permitted First Priority Refinancing Debt and is not secured by any property or assets of Borrower or any Restricted Subsidiary other than the Collateral, (b) such Indebtedness constitutes Credit Agreement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that such Indebtedness may be secured by a Lien on the Collateral that is junior to the Liens securing the Obligations and the obligations in respect of any Permitted First Priority Refinancing Debt, notwithstanding any provision to the contrary contained in the definition of “Credit Agreement Refinancing Indebtedness”),</w:t>
      </w:r>
    </w:p>
    <w:p>
      <w:pPr>
        <w:spacing w:after="0" w:line="2" w:lineRule="exact"/>
        <w:rPr>
          <w:sz w:val="20"/>
          <w:szCs w:val="20"/>
          <w:color w:val="auto"/>
        </w:rPr>
      </w:pPr>
    </w:p>
    <w:p>
      <w:pPr>
        <w:ind w:right="20" w:firstLine="8"/>
        <w:spacing w:after="0" w:line="261" w:lineRule="auto"/>
        <w:tabs>
          <w:tab w:leader="none" w:pos="2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holders of such Indebtedness (or their representative) shall be party to the Second Lien Intercreditor Agreement (as “Second Priority Debt Parties”) with Administrative Agent, and (d) such Indebtedness meets the Permitted Junior Debt Conditions.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shall mean unsecured Indebtedness incurred by Borrower or its Restricted Subsidiaries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constitutes Credit Agreement Refinancing Indebtedness and (b) meets the Permitted Junior Debt Conditions.</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company, association, partnership, limited liability company, joint venture, trust, unincorporated organization or Governmental Authority or any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set forth in the Security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257" w:name="page258"/>
    <w:bookmarkEnd w:id="2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Post-Increase Revolving 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Pre-Increase Revolving 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Pre-Opening Expenses</w:t>
      </w:r>
      <w:r>
        <w:rPr>
          <w:rFonts w:ascii="Arial" w:cs="Arial" w:eastAsia="Arial" w:hAnsi="Arial"/>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Restricted Subsidiaries for such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Asset</w:t>
      </w:r>
      <w:r>
        <w:rPr>
          <w:rFonts w:ascii="Arial" w:cs="Arial" w:eastAsia="Arial" w:hAnsi="Arial"/>
          <w:sz w:val="17"/>
          <w:szCs w:val="17"/>
          <w:color w:val="auto"/>
        </w:rPr>
        <w:t>” shall mean each of the Wynn Massachusetts Resort and the Wynn Las Vegas Resort and the Encore at Wynn Las Vegas.</w:t>
      </w:r>
    </w:p>
    <w:p>
      <w:pPr>
        <w:spacing w:after="0" w:line="23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Mortgage Liens</w:t>
      </w:r>
      <w:r>
        <w:rPr>
          <w:rFonts w:ascii="Arial" w:cs="Arial" w:eastAsia="Arial" w:hAnsi="Arial"/>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shall mean the rate of interest per annum publicly announced from time to time by DB as its prime rate in effect at its Principal Office; each change in the Prime Rate shall be effective from and including the date such change is publicly announced as being effective. The parties hereto acknowledge that the rate announced publicly by Administrative Agent as its prime rate is an index or base rate and shall not necessarily be its lowest or best rate charged to its customers or other banks.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w:t>
      </w:r>
      <w:r>
        <w:rPr>
          <w:rFonts w:ascii="Arial" w:cs="Arial" w:eastAsia="Arial" w:hAnsi="Arial"/>
          <w:sz w:val="18"/>
          <w:szCs w:val="18"/>
          <w:color w:val="auto"/>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(except in the case of a refinancing) within 270 days after such acquisition of such Property or the incurrence of such costs by such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QFC</w:t>
      </w:r>
      <w:r>
        <w:rPr>
          <w:rFonts w:ascii="Arial" w:cs="Arial" w:eastAsia="Arial" w:hAnsi="Arial"/>
          <w:sz w:val="16"/>
          <w:szCs w:val="16"/>
          <w:color w:val="auto"/>
        </w:rPr>
        <w:t>” shall have the meaning assigned to the term “qualified financial contract” in, and shall be interpreted in accordance with, 12 U.S.C. 5390(c)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 Credit Support</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13.22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Capital Stock</w:t>
      </w:r>
      <w:r>
        <w:rPr>
          <w:rFonts w:ascii="Arial" w:cs="Arial" w:eastAsia="Arial" w:hAnsi="Arial"/>
          <w:sz w:val="17"/>
          <w:szCs w:val="17"/>
          <w:color w:val="auto"/>
        </w:rPr>
        <w:t>” shall mean, with respect to any Person, any Equity Interests of such Person which is not Disqualified Capital Stock.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1" w:right="239" w:bottom="1440" w:gutter="0" w:footer="0" w:header="0"/>
        </w:sectPr>
      </w:pPr>
    </w:p>
    <w:bookmarkStart w:id="258" w:name="page259"/>
    <w:bookmarkEnd w:id="258"/>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Contingent Obligation</w:t>
      </w:r>
      <w:r>
        <w:rPr>
          <w:rFonts w:ascii="Arial" w:cs="Arial" w:eastAsia="Arial" w:hAnsi="Arial"/>
          <w:sz w:val="16"/>
          <w:szCs w:val="16"/>
          <w:color w:val="auto"/>
        </w:rPr>
        <w:t xml:space="preserve">” shall mean Contingent Obligations permitted by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in respect of (a) Indebtedness of any Joint Venture in which Borrower or any of its Restricted Subsidiaries owns (directly or indirectly) at least 25% of the Equity Interest of such Joint Venture or (b) Indebtedness of casinos, “racinos”, full-service casino resorts, non-gaming resorts, distributed gaming applications or taverns or other Facilities (and properties ancillary or related thereto (or owners of casinos, “racinos”, full-service casino resorts, non-gaming resorts, distributed gaming applications or taverns or other Facilities) with respect to which Borrower or any of its Restricted Subsidiaries has (directly or indirectly through Subsidiaries) entered into a management, development, or similar contract and such contract remains in full force and effect at the time such Contingent Obligations are incurred.</w:t>
      </w:r>
    </w:p>
    <w:p>
      <w:pPr>
        <w:spacing w:after="0" w:line="15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ECP Guarantor</w:t>
      </w:r>
      <w:r>
        <w:rPr>
          <w:rFonts w:ascii="Arial" w:cs="Arial" w:eastAsia="Arial" w:hAnsi="Arial"/>
          <w:sz w:val="16"/>
          <w:szCs w:val="16"/>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Act of Terrorism</w:t>
      </w:r>
      <w:r>
        <w:rPr>
          <w:rFonts w:ascii="Arial" w:cs="Arial" w:eastAsia="Arial" w:hAnsi="Arial"/>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or entertainment establishment in any market in which Borrower or any of its Affiliates operates a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Project</w:t>
      </w:r>
      <w:r>
        <w:rPr>
          <w:rFonts w:ascii="Arial" w:cs="Arial" w:eastAsia="Arial" w:hAnsi="Arial"/>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Resort and the Wynn Massachusetts Resort shall count as separate projects.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Dates</w:t>
      </w:r>
      <w:r>
        <w:rPr>
          <w:rFonts w:ascii="Arial" w:cs="Arial" w:eastAsia="Arial" w:hAnsi="Arial"/>
          <w:sz w:val="18"/>
          <w:szCs w:val="18"/>
          <w:color w:val="auto"/>
        </w:rPr>
        <w:t>” shall mean the last Business Day of each Quarter in each year, commencing with the last Business Day of the first full Quarter after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Maturity Date</w:t>
      </w:r>
      <w:r>
        <w:rPr>
          <w:rFonts w:ascii="Arial" w:cs="Arial" w:eastAsia="Arial" w:hAnsi="Arial"/>
          <w:sz w:val="18"/>
          <w:szCs w:val="18"/>
          <w:color w:val="auto"/>
        </w:rPr>
        <w:t>” shall mean, (a) with respect to the Closing Date Revolving Commitments and any Incremental Existing Tranche Revolving Commitments of the same Tranche and any Revolving Loans thereunder, the date that is the fifth anniversary of the Closing Date and (b) with respect to any other Tranche of Revolving Commitments and Revolving Loans, the maturity date set forth therefor in the applicable Extension Amendment, Refinancing Amendment, or Incremental Joinder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Percentage</w:t>
      </w:r>
      <w:r>
        <w:rPr>
          <w:rFonts w:ascii="Arial" w:cs="Arial" w:eastAsia="Arial" w:hAnsi="Arial"/>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Ratio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Ratio Debt Amount</w:t>
      </w:r>
      <w:r>
        <w:rPr>
          <w:rFonts w:ascii="Arial" w:cs="Arial" w:eastAsia="Arial" w:hAnsi="Arial"/>
          <w:sz w:val="18"/>
          <w:szCs w:val="18"/>
          <w:color w:val="auto"/>
        </w:rPr>
        <w:t>” shall mean, as of any date of determination:</w:t>
      </w:r>
    </w:p>
    <w:p>
      <w:pPr>
        <w:spacing w:after="0" w:line="229" w:lineRule="exact"/>
        <w:rPr>
          <w:sz w:val="20"/>
          <w:szCs w:val="20"/>
          <w:color w:val="auto"/>
        </w:rPr>
      </w:pPr>
    </w:p>
    <w:p>
      <w:pPr>
        <w:ind w:left="1680" w:hanging="375"/>
        <w:spacing w:after="0"/>
        <w:tabs>
          <w:tab w:leader="none" w:pos="1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the Shared Fixed Incremental Amount; </w:t>
      </w:r>
      <w:r>
        <w:rPr>
          <w:rFonts w:ascii="Arial" w:cs="Arial" w:eastAsia="Arial" w:hAnsi="Arial"/>
          <w:sz w:val="18"/>
          <w:szCs w:val="18"/>
          <w:i w:val="1"/>
          <w:iCs w:val="1"/>
          <w:color w:val="auto"/>
        </w:rPr>
        <w:t>plus</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71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(x) in the case of an Incremental Commitment or any Ratio Debt that serves to effectively extend the maturity of the Term Loans, the Revolving Commitments, Permitted First Priority Refinancing Debt, and/or any Ratio Debt that is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an amount equal to the reductions in the Term Loans, the Revolving Commitments, the Permitted First Priority Refinancing Debt,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1" w:right="239" w:bottom="1440" w:gutter="0" w:footer="0" w:header="0"/>
        </w:sectPr>
      </w:pPr>
    </w:p>
    <w:bookmarkStart w:id="259" w:name="page260"/>
    <w:bookmarkEnd w:id="259"/>
    <w:p>
      <w:pPr>
        <w:jc w:val="both"/>
        <w:ind w:left="660" w:right="20"/>
        <w:spacing w:after="0" w:line="312" w:lineRule="auto"/>
        <w:rPr>
          <w:sz w:val="20"/>
          <w:szCs w:val="20"/>
          <w:color w:val="auto"/>
        </w:rPr>
      </w:pPr>
      <w:r>
        <w:rPr>
          <w:rFonts w:ascii="Arial" w:cs="Arial" w:eastAsia="Arial" w:hAnsi="Arial"/>
          <w:sz w:val="16"/>
          <w:szCs w:val="16"/>
          <w:color w:val="auto"/>
        </w:rPr>
        <w:t xml:space="preserve">and/or such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Ratio Debt to be replaced with such Indebtedness and (y) in the case of any Incremental Commitment or Ratio Debt that effectively replaces any commitment under the Revolving Facility terminated, or any Term Loan repaid,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13.04(b)</w:t>
      </w:r>
      <w:r>
        <w:rPr>
          <w:rFonts w:ascii="Arial" w:cs="Arial" w:eastAsia="Arial" w:hAnsi="Arial"/>
          <w:sz w:val="16"/>
          <w:szCs w:val="16"/>
          <w:color w:val="auto"/>
        </w:rPr>
        <w:t xml:space="preserve">, </w:t>
      </w:r>
      <w:r>
        <w:rPr>
          <w:rFonts w:ascii="Arial" w:cs="Arial" w:eastAsia="Arial" w:hAnsi="Arial"/>
          <w:sz w:val="16"/>
          <w:szCs w:val="16"/>
          <w:u w:val="single" w:color="auto"/>
          <w:color w:val="auto"/>
        </w:rPr>
        <w:t>13.04(h)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13.05(g)</w:t>
      </w:r>
      <w:r>
        <w:rPr>
          <w:rFonts w:ascii="Arial" w:cs="Arial" w:eastAsia="Arial" w:hAnsi="Arial"/>
          <w:sz w:val="16"/>
          <w:szCs w:val="16"/>
          <w:color w:val="auto"/>
        </w:rPr>
        <w:t xml:space="preserve">, an amount equal to the portion of the relevant terminated commitments under the Revolving Facility or repaid Term Loans; </w:t>
      </w:r>
      <w:r>
        <w:rPr>
          <w:rFonts w:ascii="Arial" w:cs="Arial" w:eastAsia="Arial" w:hAnsi="Arial"/>
          <w:sz w:val="16"/>
          <w:szCs w:val="16"/>
          <w:i w:val="1"/>
          <w:iCs w:val="1"/>
          <w:color w:val="auto"/>
        </w:rPr>
        <w:t>plus</w:t>
      </w:r>
    </w:p>
    <w:p>
      <w:pPr>
        <w:spacing w:after="0" w:line="147" w:lineRule="exact"/>
        <w:rPr>
          <w:sz w:val="20"/>
          <w:szCs w:val="20"/>
          <w:color w:val="auto"/>
        </w:rPr>
      </w:pPr>
    </w:p>
    <w:p>
      <w:pPr>
        <w:jc w:val="both"/>
        <w:ind w:left="660" w:firstLine="645"/>
        <w:spacing w:after="0" w:line="273" w:lineRule="auto"/>
        <w:tabs>
          <w:tab w:leader="none" w:pos="168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the aggregate amount of (i) any voluntary prepayment or repurchase of Term Loans, Permitted First Priority Refinancing Debt or Ratio Debt that is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and (ii) any permanent reduction of Revolving Commitments, revolving commitments constituting Permitted First Priority Refinancing Debt and revolving commitments constituting Ratio Debt that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in each case to the extent the relevant prepayment or reduction is not funded or effected with any long term Indebtedness (the amounts under clauses (b) and (c) together, the “</w:t>
      </w:r>
      <w:r>
        <w:rPr>
          <w:rFonts w:ascii="Arial" w:cs="Arial" w:eastAsia="Arial" w:hAnsi="Arial"/>
          <w:sz w:val="17"/>
          <w:szCs w:val="17"/>
          <w:b w:val="1"/>
          <w:bCs w:val="1"/>
          <w:color w:val="auto"/>
        </w:rPr>
        <w:t>Ratio Prepayment Amount</w:t>
      </w:r>
      <w:r>
        <w:rPr>
          <w:rFonts w:ascii="Arial" w:cs="Arial" w:eastAsia="Arial" w:hAnsi="Arial"/>
          <w:sz w:val="17"/>
          <w:szCs w:val="17"/>
          <w:color w:val="auto"/>
        </w:rPr>
        <w:t xml:space="preserv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principal amount of all Incremental Commitments incurred or issued in reliance on the Incremental Prepayment Amount; </w:t>
      </w:r>
      <w:r>
        <w:rPr>
          <w:rFonts w:ascii="Arial" w:cs="Arial" w:eastAsia="Arial" w:hAnsi="Arial"/>
          <w:sz w:val="17"/>
          <w:szCs w:val="17"/>
          <w:i w:val="1"/>
          <w:iCs w:val="1"/>
          <w:color w:val="auto"/>
        </w:rPr>
        <w:t>plus</w:t>
      </w:r>
    </w:p>
    <w:p>
      <w:pPr>
        <w:spacing w:after="0" w:line="178" w:lineRule="exact"/>
        <w:rPr>
          <w:rFonts w:ascii="Arial" w:cs="Arial" w:eastAsia="Arial" w:hAnsi="Arial"/>
          <w:sz w:val="17"/>
          <w:szCs w:val="17"/>
          <w:color w:val="auto"/>
        </w:rPr>
      </w:pPr>
    </w:p>
    <w:p>
      <w:pPr>
        <w:jc w:val="both"/>
        <w:ind w:left="660" w:firstLine="645"/>
        <w:spacing w:after="0" w:line="271" w:lineRule="auto"/>
        <w:tabs>
          <w:tab w:leader="none" w:pos="172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an unlimited amount so long as, in the case of this clause (d), (i) if such Ratio Debt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Senior Facilities, the Consolidated First Lien Net Leverage Ratio would not exceed 3.25:1.00, (ii) if such Indebtedness is secured by the Collateral on a junior lien basis to the Senior Facilities, the Consolidated Senior Secured Net Leverage Ratio would not exceed 3.75:1.00, and (iii) if such Indebtedness is unsecured or not secured by the Collateral, the Consolidated Fixed Charge Coverage Ratio shall not exceed 2.00:1.00, in each case, calculated on a Pro Forma Basis after giving effect thereto, including the application of proceeds thereof, as of the last day of the most recently ended Test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such purpose, (1) in the case of any revolving Indebtedness incurred in reliance on this clause (d), such calculation shall be made assuming a full drawing of such revolving Indebtedness and (2) such calculation shall be made without netting the cash proceeds of any such Indebtedness (this clause (d), the “</w:t>
      </w:r>
      <w:r>
        <w:rPr>
          <w:rFonts w:ascii="Arial" w:cs="Arial" w:eastAsia="Arial" w:hAnsi="Arial"/>
          <w:sz w:val="17"/>
          <w:szCs w:val="17"/>
          <w:b w:val="1"/>
          <w:bCs w:val="1"/>
          <w:color w:val="auto"/>
        </w:rPr>
        <w:t>Ratio Incurrence-Based Amount</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It is understood and agreed that (I) Borrower may elect to use the Ratio Incurrence-Based Amount prior to the Shared Fixed Incremental Amount or the Ratio Prepayment Amount and regardless of whether there is capacity under the Shared Fixed Incremental Amount or the Ratio Prepayment Amount, and if the Shared Fixed Incremental Amount, the Ratio Prepayment Amount and the Ratio Incurrence-Based Amount are each available and Borrower does not make an election, Borrower will be deemed to have elected to use the Ratio Incurrence-Based Amount, and (II) any portion of any Indebtedness incurred in reliance on the Shared Fixed Incremental Amount or the Ratio Prepayment Amount shall be reclassified as incurred under the Ratio Incurrence-Based Amount as Borrower may elect from time to time if Borrower meets the applicable Consolidated First Lien Net Leverage Ratio, Consolidated Senior Secured Net Leverage Ratio, or Consolidated Fixed Charge Coverage Ratio, as applicable, under the Ratio Incurrence-Based Amount at such time on a pro forma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Ratio Incurrence-Based Amount</w:t>
      </w:r>
      <w:r>
        <w:rPr>
          <w:rFonts w:ascii="Arial" w:cs="Arial" w:eastAsia="Arial" w:hAnsi="Arial"/>
          <w:sz w:val="18"/>
          <w:szCs w:val="18"/>
          <w:color w:val="auto"/>
        </w:rPr>
        <w:t>” has the meaning set forth in the definition of “Ratio Debt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Ratio Prepayment Amount</w:t>
      </w:r>
      <w:r>
        <w:rPr>
          <w:rFonts w:ascii="Arial" w:cs="Arial" w:eastAsia="Arial" w:hAnsi="Arial"/>
          <w:sz w:val="18"/>
          <w:szCs w:val="18"/>
          <w:color w:val="auto"/>
        </w:rPr>
        <w:t>” has the meaning set forth in the definition of “Ratio Debt Amount”.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as to any Person, all the right, title and interest of such Person in and to land, improvements and appurtenant fixtures, including leaseholds.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Recurring Dividend Amount</w:t>
      </w:r>
      <w:r>
        <w:rPr>
          <w:rFonts w:ascii="Arial" w:cs="Arial" w:eastAsia="Arial" w:hAnsi="Arial"/>
          <w:sz w:val="18"/>
          <w:szCs w:val="18"/>
          <w:color w:val="auto"/>
        </w:rPr>
        <w:t>” shall mean, the amount of dividends paid to (or, at Borrower’s option, declared to be paid to) Wynn Group Asia by its direct and indirect Subsidiaries during the applicable Test Period in the amounts set forth below: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5" w:right="239" w:bottom="1440" w:gutter="0" w:footer="0" w:header="0"/>
        </w:sectPr>
      </w:pPr>
    </w:p>
    <w:bookmarkStart w:id="260" w:name="page261"/>
    <w:bookmarkEnd w:id="260"/>
    <w:tbl>
      <w:tblPr>
        <w:tblLayout w:type="fixed"/>
        <w:tblInd w:w="2980" w:type="dxa"/>
        <w:tblCellMar>
          <w:top w:w="0" w:type="dxa"/>
          <w:left w:w="0" w:type="dxa"/>
          <w:bottom w:w="0" w:type="dxa"/>
          <w:right w:w="0" w:type="dxa"/>
        </w:tblCellMar>
      </w:tblPr>
      <w:tr>
        <w:trPr>
          <w:trHeight w:val="216"/>
        </w:trPr>
        <w:tc>
          <w:tcPr>
            <w:tcW w:w="300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Test Period Ending</w:t>
            </w:r>
          </w:p>
        </w:tc>
        <w:tc>
          <w:tcPr>
            <w:tcW w:w="276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Recurring Dividend Amount</w:t>
            </w:r>
          </w:p>
        </w:tc>
      </w:tr>
      <w:tr>
        <w:trPr>
          <w:trHeight w:val="234"/>
        </w:trPr>
        <w:tc>
          <w:tcPr>
            <w:tcW w:w="3000" w:type="dxa"/>
            <w:vAlign w:val="bottom"/>
          </w:tcPr>
          <w:p>
            <w:pPr>
              <w:spacing w:after="0"/>
              <w:rPr>
                <w:sz w:val="20"/>
                <w:szCs w:val="20"/>
                <w:color w:val="auto"/>
              </w:rPr>
            </w:pPr>
          </w:p>
        </w:tc>
        <w:tc>
          <w:tcPr>
            <w:tcW w:w="2760" w:type="dxa"/>
            <w:vAlign w:val="bottom"/>
          </w:tcPr>
          <w:p>
            <w:pPr>
              <w:jc w:val="center"/>
              <w:ind w:left="450"/>
              <w:spacing w:after="0"/>
              <w:rPr>
                <w:sz w:val="20"/>
                <w:szCs w:val="20"/>
                <w:color w:val="auto"/>
              </w:rPr>
            </w:pPr>
            <w:r>
              <w:rPr>
                <w:rFonts w:ascii="Arial" w:cs="Arial" w:eastAsia="Arial" w:hAnsi="Arial"/>
                <w:sz w:val="18"/>
                <w:szCs w:val="18"/>
                <w:b w:val="1"/>
                <w:bCs w:val="1"/>
                <w:color w:val="auto"/>
                <w:w w:val="92"/>
              </w:rPr>
              <w:t>(millions)</w:t>
            </w:r>
          </w:p>
        </w:tc>
      </w:tr>
      <w:tr>
        <w:trPr>
          <w:trHeight w:val="459"/>
        </w:trPr>
        <w:tc>
          <w:tcPr>
            <w:tcW w:w="3000" w:type="dxa"/>
            <w:vAlign w:val="bottom"/>
          </w:tcPr>
          <w:p>
            <w:pPr>
              <w:jc w:val="center"/>
              <w:ind w:right="430"/>
              <w:spacing w:after="0"/>
              <w:rPr>
                <w:sz w:val="20"/>
                <w:szCs w:val="20"/>
                <w:color w:val="auto"/>
              </w:rPr>
            </w:pPr>
            <w:r>
              <w:rPr>
                <w:rFonts w:ascii="Arial" w:cs="Arial" w:eastAsia="Arial" w:hAnsi="Arial"/>
                <w:sz w:val="18"/>
                <w:szCs w:val="18"/>
                <w:color w:val="auto"/>
                <w:w w:val="88"/>
              </w:rPr>
              <w:t>September 30, 2019</w:t>
            </w:r>
          </w:p>
        </w:tc>
        <w:tc>
          <w:tcPr>
            <w:tcW w:w="2760" w:type="dxa"/>
            <w:vAlign w:val="bottom"/>
          </w:tcPr>
          <w:p>
            <w:pPr>
              <w:jc w:val="center"/>
              <w:ind w:left="450"/>
              <w:spacing w:after="0"/>
              <w:rPr>
                <w:sz w:val="20"/>
                <w:szCs w:val="20"/>
                <w:color w:val="auto"/>
              </w:rPr>
            </w:pPr>
            <w:r>
              <w:rPr>
                <w:rFonts w:ascii="Arial" w:cs="Arial" w:eastAsia="Arial" w:hAnsi="Arial"/>
                <w:sz w:val="18"/>
                <w:szCs w:val="18"/>
                <w:color w:val="auto"/>
                <w:w w:val="90"/>
              </w:rPr>
              <w:t>$432.0</w:t>
            </w:r>
          </w:p>
        </w:tc>
      </w:tr>
      <w:tr>
        <w:trPr>
          <w:trHeight w:val="459"/>
        </w:trPr>
        <w:tc>
          <w:tcPr>
            <w:tcW w:w="3000" w:type="dxa"/>
            <w:vAlign w:val="bottom"/>
          </w:tcPr>
          <w:p>
            <w:pPr>
              <w:jc w:val="center"/>
              <w:ind w:right="430"/>
              <w:spacing w:after="0"/>
              <w:rPr>
                <w:sz w:val="20"/>
                <w:szCs w:val="20"/>
                <w:color w:val="auto"/>
              </w:rPr>
            </w:pPr>
            <w:r>
              <w:rPr>
                <w:rFonts w:ascii="Arial" w:cs="Arial" w:eastAsia="Arial" w:hAnsi="Arial"/>
                <w:sz w:val="18"/>
                <w:szCs w:val="18"/>
                <w:color w:val="auto"/>
                <w:w w:val="88"/>
              </w:rPr>
              <w:t>September 30, 2020</w:t>
            </w:r>
          </w:p>
        </w:tc>
        <w:tc>
          <w:tcPr>
            <w:tcW w:w="2760" w:type="dxa"/>
            <w:vAlign w:val="bottom"/>
          </w:tcPr>
          <w:p>
            <w:pPr>
              <w:jc w:val="center"/>
              <w:ind w:left="450"/>
              <w:spacing w:after="0"/>
              <w:rPr>
                <w:sz w:val="20"/>
                <w:szCs w:val="20"/>
                <w:color w:val="auto"/>
              </w:rPr>
            </w:pPr>
            <w:r>
              <w:rPr>
                <w:rFonts w:ascii="Arial" w:cs="Arial" w:eastAsia="Arial" w:hAnsi="Arial"/>
                <w:sz w:val="18"/>
                <w:szCs w:val="18"/>
                <w:color w:val="auto"/>
                <w:w w:val="90"/>
              </w:rPr>
              <w:t>$475.0</w:t>
            </w:r>
          </w:p>
        </w:tc>
      </w:tr>
      <w:tr>
        <w:trPr>
          <w:trHeight w:val="459"/>
        </w:trPr>
        <w:tc>
          <w:tcPr>
            <w:tcW w:w="3000" w:type="dxa"/>
            <w:vAlign w:val="bottom"/>
          </w:tcPr>
          <w:p>
            <w:pPr>
              <w:jc w:val="center"/>
              <w:ind w:right="430"/>
              <w:spacing w:after="0"/>
              <w:rPr>
                <w:sz w:val="20"/>
                <w:szCs w:val="20"/>
                <w:color w:val="auto"/>
              </w:rPr>
            </w:pPr>
            <w:r>
              <w:rPr>
                <w:rFonts w:ascii="Arial" w:cs="Arial" w:eastAsia="Arial" w:hAnsi="Arial"/>
                <w:sz w:val="18"/>
                <w:szCs w:val="18"/>
                <w:color w:val="auto"/>
                <w:w w:val="88"/>
              </w:rPr>
              <w:t>September 30, 2021</w:t>
            </w:r>
          </w:p>
        </w:tc>
        <w:tc>
          <w:tcPr>
            <w:tcW w:w="2760" w:type="dxa"/>
            <w:vAlign w:val="bottom"/>
          </w:tcPr>
          <w:p>
            <w:pPr>
              <w:jc w:val="center"/>
              <w:ind w:left="450"/>
              <w:spacing w:after="0"/>
              <w:rPr>
                <w:sz w:val="20"/>
                <w:szCs w:val="20"/>
                <w:color w:val="auto"/>
              </w:rPr>
            </w:pPr>
            <w:r>
              <w:rPr>
                <w:rFonts w:ascii="Arial" w:cs="Arial" w:eastAsia="Arial" w:hAnsi="Arial"/>
                <w:sz w:val="18"/>
                <w:szCs w:val="18"/>
                <w:color w:val="auto"/>
                <w:w w:val="90"/>
              </w:rPr>
              <w:t>$532.0</w:t>
            </w:r>
          </w:p>
        </w:tc>
      </w:tr>
      <w:tr>
        <w:trPr>
          <w:trHeight w:val="459"/>
        </w:trPr>
        <w:tc>
          <w:tcPr>
            <w:tcW w:w="3000" w:type="dxa"/>
            <w:vAlign w:val="bottom"/>
          </w:tcPr>
          <w:p>
            <w:pPr>
              <w:jc w:val="center"/>
              <w:ind w:right="430"/>
              <w:spacing w:after="0"/>
              <w:rPr>
                <w:sz w:val="20"/>
                <w:szCs w:val="20"/>
                <w:color w:val="auto"/>
              </w:rPr>
            </w:pPr>
            <w:r>
              <w:rPr>
                <w:rFonts w:ascii="Arial" w:cs="Arial" w:eastAsia="Arial" w:hAnsi="Arial"/>
                <w:sz w:val="18"/>
                <w:szCs w:val="18"/>
                <w:color w:val="auto"/>
                <w:w w:val="88"/>
              </w:rPr>
              <w:t>September 30, 2022</w:t>
            </w:r>
          </w:p>
        </w:tc>
        <w:tc>
          <w:tcPr>
            <w:tcW w:w="2760" w:type="dxa"/>
            <w:vAlign w:val="bottom"/>
          </w:tcPr>
          <w:p>
            <w:pPr>
              <w:jc w:val="center"/>
              <w:ind w:left="450"/>
              <w:spacing w:after="0"/>
              <w:rPr>
                <w:sz w:val="20"/>
                <w:szCs w:val="20"/>
                <w:color w:val="auto"/>
              </w:rPr>
            </w:pPr>
            <w:r>
              <w:rPr>
                <w:rFonts w:ascii="Arial" w:cs="Arial" w:eastAsia="Arial" w:hAnsi="Arial"/>
                <w:sz w:val="18"/>
                <w:szCs w:val="18"/>
                <w:color w:val="auto"/>
                <w:w w:val="90"/>
              </w:rPr>
              <w:t>$575.0</w:t>
            </w:r>
          </w:p>
        </w:tc>
      </w:tr>
      <w:tr>
        <w:trPr>
          <w:trHeight w:val="459"/>
        </w:trPr>
        <w:tc>
          <w:tcPr>
            <w:tcW w:w="3000" w:type="dxa"/>
            <w:vAlign w:val="bottom"/>
          </w:tcPr>
          <w:p>
            <w:pPr>
              <w:jc w:val="center"/>
              <w:ind w:right="430"/>
              <w:spacing w:after="0"/>
              <w:rPr>
                <w:sz w:val="20"/>
                <w:szCs w:val="20"/>
                <w:color w:val="auto"/>
              </w:rPr>
            </w:pPr>
            <w:r>
              <w:rPr>
                <w:rFonts w:ascii="Arial" w:cs="Arial" w:eastAsia="Arial" w:hAnsi="Arial"/>
                <w:sz w:val="18"/>
                <w:szCs w:val="18"/>
                <w:color w:val="auto"/>
                <w:w w:val="88"/>
              </w:rPr>
              <w:t>September 30, 2023</w:t>
            </w:r>
          </w:p>
        </w:tc>
        <w:tc>
          <w:tcPr>
            <w:tcW w:w="2760" w:type="dxa"/>
            <w:vAlign w:val="bottom"/>
          </w:tcPr>
          <w:p>
            <w:pPr>
              <w:jc w:val="center"/>
              <w:ind w:left="450"/>
              <w:spacing w:after="0"/>
              <w:rPr>
                <w:sz w:val="20"/>
                <w:szCs w:val="20"/>
                <w:color w:val="auto"/>
              </w:rPr>
            </w:pPr>
            <w:r>
              <w:rPr>
                <w:rFonts w:ascii="Arial" w:cs="Arial" w:eastAsia="Arial" w:hAnsi="Arial"/>
                <w:sz w:val="18"/>
                <w:szCs w:val="18"/>
                <w:color w:val="auto"/>
                <w:w w:val="90"/>
              </w:rPr>
              <w:t>$632.0</w:t>
            </w:r>
          </w:p>
        </w:tc>
      </w:tr>
      <w:tr>
        <w:trPr>
          <w:trHeight w:val="459"/>
        </w:trPr>
        <w:tc>
          <w:tcPr>
            <w:tcW w:w="3000" w:type="dxa"/>
            <w:vAlign w:val="bottom"/>
          </w:tcPr>
          <w:p>
            <w:pPr>
              <w:jc w:val="center"/>
              <w:ind w:right="430"/>
              <w:spacing w:after="0"/>
              <w:rPr>
                <w:sz w:val="20"/>
                <w:szCs w:val="20"/>
                <w:color w:val="auto"/>
              </w:rPr>
            </w:pPr>
            <w:r>
              <w:rPr>
                <w:rFonts w:ascii="Arial" w:cs="Arial" w:eastAsia="Arial" w:hAnsi="Arial"/>
                <w:sz w:val="18"/>
                <w:szCs w:val="18"/>
                <w:color w:val="auto"/>
                <w:w w:val="88"/>
              </w:rPr>
              <w:t>September 30, 2024 and thereafter</w:t>
            </w:r>
          </w:p>
        </w:tc>
        <w:tc>
          <w:tcPr>
            <w:tcW w:w="2760" w:type="dxa"/>
            <w:vAlign w:val="bottom"/>
          </w:tcPr>
          <w:p>
            <w:pPr>
              <w:jc w:val="center"/>
              <w:ind w:left="450"/>
              <w:spacing w:after="0"/>
              <w:rPr>
                <w:sz w:val="20"/>
                <w:szCs w:val="20"/>
                <w:color w:val="auto"/>
              </w:rPr>
            </w:pPr>
            <w:r>
              <w:rPr>
                <w:rFonts w:ascii="Arial" w:cs="Arial" w:eastAsia="Arial" w:hAnsi="Arial"/>
                <w:sz w:val="18"/>
                <w:szCs w:val="18"/>
                <w:color w:val="auto"/>
                <w:w w:val="90"/>
              </w:rPr>
              <w:t>$695.0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w:t>
      </w:r>
      <w:r>
        <w:rPr>
          <w:rFonts w:ascii="Arial" w:cs="Arial" w:eastAsia="Arial" w:hAnsi="Arial"/>
          <w:sz w:val="18"/>
          <w:szCs w:val="18"/>
          <w:color w:val="auto"/>
        </w:rPr>
        <w:t>” shall mean redeem, repurchase, repay, defease (covenant or legal), Discharge or otherwise acquire or retire for value; and “</w:t>
      </w:r>
      <w:r>
        <w:rPr>
          <w:rFonts w:ascii="Arial" w:cs="Arial" w:eastAsia="Arial" w:hAnsi="Arial"/>
          <w:sz w:val="18"/>
          <w:szCs w:val="18"/>
          <w:b w:val="1"/>
          <w:bCs w:val="1"/>
          <w:color w:val="auto"/>
        </w:rPr>
        <w:t>redemption</w:t>
      </w:r>
      <w:r>
        <w:rPr>
          <w:rFonts w:ascii="Arial" w:cs="Arial" w:eastAsia="Arial" w:hAnsi="Arial"/>
          <w:sz w:val="18"/>
          <w:szCs w:val="18"/>
          <w:color w:val="auto"/>
        </w:rPr>
        <w:t>” and “</w:t>
      </w:r>
      <w:r>
        <w:rPr>
          <w:rFonts w:ascii="Arial" w:cs="Arial" w:eastAsia="Arial" w:hAnsi="Arial"/>
          <w:sz w:val="18"/>
          <w:szCs w:val="18"/>
          <w:b w:val="1"/>
          <w:bCs w:val="1"/>
          <w:color w:val="auto"/>
        </w:rPr>
        <w:t>redeemed</w:t>
      </w:r>
      <w:r>
        <w:rPr>
          <w:rFonts w:ascii="Arial" w:cs="Arial" w:eastAsia="Arial" w:hAnsi="Arial"/>
          <w:sz w:val="18"/>
          <w:szCs w:val="18"/>
          <w:color w:val="auto"/>
        </w:rPr>
        <w:t>” have correlative meanings.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Arial" w:cs="Arial" w:eastAsia="Arial" w:hAnsi="Arial"/>
          <w:sz w:val="18"/>
          <w:szCs w:val="18"/>
          <w:b w:val="1"/>
          <w:bCs w:val="1"/>
          <w:color w:val="auto"/>
        </w:rPr>
        <w:t>refinancing</w:t>
      </w:r>
      <w:r>
        <w:rPr>
          <w:rFonts w:ascii="Arial" w:cs="Arial" w:eastAsia="Arial" w:hAnsi="Arial"/>
          <w:sz w:val="18"/>
          <w:szCs w:val="18"/>
          <w:color w:val="auto"/>
        </w:rPr>
        <w:t>” and “</w:t>
      </w:r>
      <w:r>
        <w:rPr>
          <w:rFonts w:ascii="Arial" w:cs="Arial" w:eastAsia="Arial" w:hAnsi="Arial"/>
          <w:sz w:val="18"/>
          <w:szCs w:val="18"/>
          <w:b w:val="1"/>
          <w:bCs w:val="1"/>
          <w:color w:val="auto"/>
        </w:rPr>
        <w:t>refinanced</w:t>
      </w:r>
      <w:r>
        <w:rPr>
          <w:rFonts w:ascii="Arial" w:cs="Arial" w:eastAsia="Arial" w:hAnsi="Arial"/>
          <w:sz w:val="18"/>
          <w:szCs w:val="18"/>
          <w:color w:val="auto"/>
        </w:rPr>
        <w:t>” have correlative meanings.</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Refinancing Amendment</w:t>
      </w:r>
      <w:r>
        <w:rPr>
          <w:rFonts w:ascii="Arial" w:cs="Arial" w:eastAsia="Arial" w:hAnsi="Arial"/>
          <w:sz w:val="16"/>
          <w:szCs w:val="16"/>
          <w:color w:val="auto"/>
        </w:rPr>
        <w:t xml:space="preserve">” shall mean an amendment to this Agreement in form and substance reasonably satisfactory to Administrative Agent and Borrower executed by each of (a) Borrower and (b) each additional Lender and each existing Lender that agrees to provide any portion of the Credit Agreement Refinancing Indebtedness being incurred pursuant thereto, and delivered to Administrative Agent in accordance with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2.08(c)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Regulated Bank</w:t>
      </w:r>
      <w:r>
        <w:rPr>
          <w:rFonts w:ascii="Arial" w:cs="Arial" w:eastAsia="Arial" w:hAnsi="Arial"/>
          <w:sz w:val="16"/>
          <w:szCs w:val="16"/>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of the Federal Reserve System of the United States under 12 CFR part 211; (iv) a non-U.S. branch of a foreign bank managed and controlled by a U.S. branch referred to in clause (iii); or</w:t>
      </w:r>
    </w:p>
    <w:p>
      <w:pPr>
        <w:spacing w:after="0" w:line="3" w:lineRule="exact"/>
        <w:rPr>
          <w:sz w:val="20"/>
          <w:szCs w:val="20"/>
          <w:color w:val="auto"/>
        </w:rPr>
      </w:pPr>
    </w:p>
    <w:p>
      <w:pPr>
        <w:ind w:right="20" w:firstLine="8"/>
        <w:spacing w:after="0" w:line="261" w:lineRule="auto"/>
        <w:tabs>
          <w:tab w:leader="none" w:pos="28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other U.S. or non-U.S. depository institution or any branch, agency or similar office thereof supervised by a bank regulatory authority in any jurisdiction.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261" w:name="page262"/>
    <w:bookmarkEnd w:id="261"/>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Obligations</w:t>
      </w:r>
      <w:r>
        <w:rPr>
          <w:rFonts w:ascii="Arial" w:cs="Arial" w:eastAsia="Arial" w:hAnsi="Arial"/>
          <w:sz w:val="17"/>
          <w:szCs w:val="17"/>
          <w:color w:val="auto"/>
        </w:rPr>
        <w:t>” shall mean the obligations of Borrower to reimburse L/C Disbursements in respect of any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Four Fiscal Quarter Period</w:t>
      </w:r>
      <w:r>
        <w:rPr>
          <w:rFonts w:ascii="Arial" w:cs="Arial" w:eastAsia="Arial" w:hAnsi="Arial"/>
          <w:sz w:val="17"/>
          <w:szCs w:val="17"/>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 of</w:t>
      </w:r>
    </w:p>
    <w:p>
      <w:pPr>
        <w:spacing w:after="0" w:line="2" w:lineRule="exact"/>
        <w:rPr>
          <w:sz w:val="20"/>
          <w:szCs w:val="20"/>
          <w:color w:val="auto"/>
        </w:rPr>
      </w:pPr>
    </w:p>
    <w:p>
      <w:pPr>
        <w:jc w:val="both"/>
        <w:ind w:firstLine="8"/>
        <w:spacing w:after="0" w:line="255" w:lineRule="auto"/>
        <w:tabs>
          <w:tab w:leader="none" w:pos="22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Tranche Lenders</w:t>
      </w:r>
      <w:r>
        <w:rPr>
          <w:rFonts w:ascii="Arial" w:cs="Arial" w:eastAsia="Arial" w:hAnsi="Arial"/>
          <w:sz w:val="17"/>
          <w:szCs w:val="17"/>
          <w:color w:val="auto"/>
        </w:rPr>
        <w:t>” shall mean: (a) with respect to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Term A Facility Loans, Non-Defaulting Lenders having more than 50% of the aggregate sum of the Term A Facility Loans and unutilized Term A Facility Commitments of all Non-Defaulting Lenders then outstanding; (c) for each Extension Tranche, if applicable, with respect to Lenders having Extended Revolving Loans or 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(d) for each Tranche of Other Term Loans, Non-Defaulting Lenders having more than 50% of the aggregate sum of such Other Term Loans and unutilized Other Term Loan Commitments of all Non-Defaulting Lenders then outstanding; and (e) for each Tranche of New Term Loans, Non-Defaulting Lenders having more than 50% of the aggregate sum of such New Term Loans and unutilized New Term Loan Commitments of all Non-Defaulting Lenders then outstanding.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262" w:name="page263"/>
    <w:bookmarkEnd w:id="262"/>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Responsible Officer</w:t>
      </w:r>
      <w:r>
        <w:rPr>
          <w:rFonts w:ascii="Arial" w:cs="Arial" w:eastAsia="Arial" w:hAnsi="Arial"/>
          <w:sz w:val="17"/>
          <w:szCs w:val="17"/>
          <w:color w:val="auto"/>
        </w:rPr>
        <w:t>” shall mean, including when used with respect to any Person (whether Borrower or otherwise),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 or the chief executive officer of Wynn Resorts, the president of Wynn Resorts (if not the chief executive officer), any senior or executive vice president of Wynn Resorts, the chief financial officer, the chief accounting officer or treasurer of Wynn Resorts or, with respect to financial matters, the chief financial officer, chief accounting officer, senior financial officer or treasurer of Wynn Resorts.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Payment</w:t>
      </w:r>
      <w:r>
        <w:rPr>
          <w:rFonts w:ascii="Arial" w:cs="Arial" w:eastAsia="Arial" w:hAnsi="Arial"/>
          <w:sz w:val="17"/>
          <w:szCs w:val="17"/>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Subsidiaries</w:t>
      </w:r>
      <w:r>
        <w:rPr>
          <w:rFonts w:ascii="Arial" w:cs="Arial" w:eastAsia="Arial" w:hAnsi="Arial"/>
          <w:sz w:val="18"/>
          <w:szCs w:val="18"/>
          <w:color w:val="auto"/>
        </w:rPr>
        <w:t>” shall mean all existing and future Subsidiaries of Borrower other than the Unrestricted Subsidiaries.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Revaluation Date</w:t>
      </w:r>
      <w:r>
        <w:rPr>
          <w:rFonts w:ascii="Arial" w:cs="Arial" w:eastAsia="Arial" w:hAnsi="Arial"/>
          <w:sz w:val="17"/>
          <w:szCs w:val="17"/>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w:t>
      </w:r>
    </w:p>
    <w:p>
      <w:pPr>
        <w:spacing w:after="0" w:line="1" w:lineRule="exact"/>
        <w:rPr>
          <w:sz w:val="20"/>
          <w:szCs w:val="20"/>
          <w:color w:val="auto"/>
        </w:rPr>
      </w:pPr>
    </w:p>
    <w:p>
      <w:pPr>
        <w:ind w:firstLine="8"/>
        <w:spacing w:after="0" w:line="261" w:lineRule="auto"/>
        <w:tabs>
          <w:tab w:leader="none" w:pos="3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date of any payment by an L/C Lender under any Letter of Credit denominated in an Alternate Currency, and (iv) such additional dates as Administrative Agent or the applicable L/C Lender shall reasonably determine or the Required Lenders shall require.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Reverse Trigger Event</w:t>
      </w:r>
      <w:r>
        <w:rPr>
          <w:rFonts w:ascii="Arial" w:cs="Arial" w:eastAsia="Arial" w:hAnsi="Arial"/>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Availability Period</w:t>
      </w:r>
      <w:r>
        <w:rPr>
          <w:rFonts w:ascii="Arial" w:cs="Arial" w:eastAsia="Arial" w:hAnsi="Arial"/>
          <w:sz w:val="17"/>
          <w:szCs w:val="17"/>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74"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w:t>
      </w:r>
      <w:r>
        <w:rPr>
          <w:rFonts w:ascii="Arial" w:cs="Arial" w:eastAsia="Arial" w:hAnsi="Arial"/>
          <w:sz w:val="18"/>
          <w:szCs w:val="18"/>
          <w:color w:val="auto"/>
        </w:rPr>
        <w:t xml:space="preserve">” shall mean, for each Revolving Lender, the obligation of such Lender to make Revolving Loans in an aggregate principal amount at any one time outstanding up to but not exceeding the amount set forth opposite the name of such Lender on </w:t>
      </w:r>
      <w:r>
        <w:rPr>
          <w:rFonts w:ascii="Arial" w:cs="Arial" w:eastAsia="Arial" w:hAnsi="Arial"/>
          <w:sz w:val="18"/>
          <w:szCs w:val="18"/>
          <w:u w:val="single" w:color="auto"/>
          <w:color w:val="auto"/>
        </w:rPr>
        <w:t>Annex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under the caption “Revolving Commitment,” or in the Assignment Agreement pursuant to which such Lender assumed its Revolving Commitment or in any Refinancing Amendment or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1" w:right="239" w:bottom="1440" w:gutter="0" w:footer="0" w:header="0"/>
        </w:sectPr>
      </w:pPr>
    </w:p>
    <w:bookmarkStart w:id="263" w:name="page264"/>
    <w:bookmarkEnd w:id="263"/>
    <w:p>
      <w:pPr>
        <w:jc w:val="both"/>
        <w:spacing w:after="0" w:line="279" w:lineRule="auto"/>
        <w:rPr>
          <w:sz w:val="20"/>
          <w:szCs w:val="20"/>
          <w:color w:val="auto"/>
        </w:rPr>
      </w:pPr>
      <w:r>
        <w:rPr>
          <w:rFonts w:ascii="Arial" w:cs="Arial" w:eastAsia="Arial" w:hAnsi="Arial"/>
          <w:sz w:val="17"/>
          <w:szCs w:val="17"/>
          <w:color w:val="auto"/>
        </w:rPr>
        <w:t xml:space="preserve">Incremental Joinder Agreement, as applicable, as the same may be (a) changed pursuant to </w:t>
      </w:r>
      <w:r>
        <w:rPr>
          <w:rFonts w:ascii="Arial" w:cs="Arial" w:eastAsia="Arial" w:hAnsi="Arial"/>
          <w:sz w:val="17"/>
          <w:szCs w:val="17"/>
          <w:u w:val="single" w:color="auto"/>
          <w:color w:val="auto"/>
        </w:rPr>
        <w:t>Section 13.05(b)</w:t>
      </w:r>
      <w:r>
        <w:rPr>
          <w:rFonts w:ascii="Arial" w:cs="Arial" w:eastAsia="Arial" w:hAnsi="Arial"/>
          <w:sz w:val="17"/>
          <w:szCs w:val="17"/>
          <w:color w:val="auto"/>
        </w:rPr>
        <w:t xml:space="preserve">, (b) reduced or terminated from time to time pursuant to </w:t>
      </w:r>
      <w:r>
        <w:rPr>
          <w:rFonts w:ascii="Arial" w:cs="Arial" w:eastAsia="Arial" w:hAnsi="Arial"/>
          <w:sz w:val="17"/>
          <w:szCs w:val="17"/>
          <w:u w:val="single" w:color="auto"/>
          <w:color w:val="auto"/>
        </w:rPr>
        <w:t>Sections 2.04</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11.01</w:t>
      </w:r>
      <w:r>
        <w:rPr>
          <w:rFonts w:ascii="Arial" w:cs="Arial" w:eastAsia="Arial" w:hAnsi="Arial"/>
          <w:sz w:val="17"/>
          <w:szCs w:val="17"/>
          <w:color w:val="auto"/>
        </w:rPr>
        <w:t xml:space="preserve">, as applicable, or (c) increased or otherwise adjusted from time to time in accordance with this Agreement, including pursuant to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 it being understood that a Revolving Lender’s Revolving Commitment shall include any Extended Revolving Commitments, Incremental Revolving Commitments, and Other Revolving Commitments of such Revolving Lender.</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xml:space="preserve">” shall mean, with respect to any Lender at any time, the aggregate principal amount at such time of all outstanding Revolving Loans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w:t>
      </w:r>
      <w:r>
        <w:rPr>
          <w:rFonts w:ascii="Arial" w:cs="Arial" w:eastAsia="Arial" w:hAnsi="Arial"/>
          <w:sz w:val="18"/>
          <w:szCs w:val="18"/>
          <w:color w:val="auto"/>
        </w:rPr>
        <w:t>” shall mean each credit facility comprising Revolving Commitments of a particular Tranche.</w:t>
      </w:r>
    </w:p>
    <w:p>
      <w:pPr>
        <w:spacing w:after="0" w:line="225"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Lenders</w:t>
      </w:r>
      <w:r>
        <w:rPr>
          <w:rFonts w:ascii="Arial" w:cs="Arial" w:eastAsia="Arial" w:hAnsi="Arial"/>
          <w:sz w:val="18"/>
          <w:szCs w:val="18"/>
          <w:color w:val="auto"/>
        </w:rPr>
        <w:t xml:space="preserve">” shall mean (a) on the Closing Date, the Lenders having a Revolving Commitment on </w:t>
      </w:r>
      <w:r>
        <w:rPr>
          <w:rFonts w:ascii="Arial" w:cs="Arial" w:eastAsia="Arial" w:hAnsi="Arial"/>
          <w:sz w:val="18"/>
          <w:szCs w:val="18"/>
          <w:u w:val="single" w:color="auto"/>
          <w:color w:val="auto"/>
        </w:rPr>
        <w:t>Annex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hereof and (b) thereafter, the Lenders from time to time holding Revolving Loans and/or a Revolving Commitment as in effect from time to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Tranche Exposure</w:t>
      </w:r>
      <w:r>
        <w:rPr>
          <w:rFonts w:ascii="Arial" w:cs="Arial" w:eastAsia="Arial" w:hAnsi="Arial"/>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 under its Revolving Commitment of such Tranche.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9.04 Financials</w:t>
      </w:r>
      <w:r>
        <w:rPr>
          <w:rFonts w:ascii="Arial" w:cs="Arial" w:eastAsia="Arial" w:hAnsi="Arial"/>
          <w:sz w:val="17"/>
          <w:szCs w:val="17"/>
          <w:color w:val="auto"/>
        </w:rPr>
        <w:t xml:space="preserve">” shall mean the financial statements delivered, or required to be delivered, pursuant to </w:t>
      </w:r>
      <w:r>
        <w:rPr>
          <w:rFonts w:ascii="Arial" w:cs="Arial" w:eastAsia="Arial" w:hAnsi="Arial"/>
          <w:sz w:val="17"/>
          <w:szCs w:val="17"/>
          <w:u w:val="single" w:color="auto"/>
          <w:color w:val="auto"/>
        </w:rPr>
        <w:t>Section 9.04(a)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together with the accompanying certificate of a Responsible Officer of Borrower delivered, or required to be delivered, pursuant to </w:t>
      </w:r>
      <w:r>
        <w:rPr>
          <w:rFonts w:ascii="Arial" w:cs="Arial" w:eastAsia="Arial" w:hAnsi="Arial"/>
          <w:sz w:val="17"/>
          <w:szCs w:val="17"/>
          <w:u w:val="single" w:color="auto"/>
          <w:color w:val="auto"/>
        </w:rPr>
        <w:t>Section 9.04(c)</w:t>
      </w:r>
      <w:r>
        <w:rPr>
          <w:rFonts w:ascii="Arial" w:cs="Arial" w:eastAsia="Arial" w:hAnsi="Arial"/>
          <w:sz w:val="17"/>
          <w:szCs w:val="17"/>
          <w:color w:val="auto"/>
        </w:rPr>
        <w: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Borrower and/or any or all of its Restricted Subsidiaries and any Cash Management Bank.</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mean the Agents, the Lenders, any Swap Provider that is party to a Credit Swap Contract and any Cash Management Bank that is a party to a Secured Cash Management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all rules and regulations of the SEC promulgated thereunder.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5" w:right="239" w:bottom="1440" w:gutter="0" w:footer="0" w:header="0"/>
        </w:sectPr>
      </w:pPr>
    </w:p>
    <w:bookmarkStart w:id="264" w:name="page265"/>
    <w:bookmarkEnd w:id="264"/>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a security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among the Credit Parties and Collateral Agent, as the same may be amended in accordance with the terms thereof and hereof.</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shall mean the Security Agreement, the Mortgages, the Collateral Agency Agreement (from and after such time as Collateral Agent becomes a funding agent thereunder), the Collateral Agency Intercreditor Agreement (from and after such time as Collateral Agent becomes a party thereto),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Facilities</w:t>
      </w:r>
      <w:r>
        <w:rPr>
          <w:rFonts w:ascii="Arial" w:cs="Arial" w:eastAsia="Arial" w:hAnsi="Arial"/>
          <w:sz w:val="18"/>
          <w:szCs w:val="18"/>
          <w:color w:val="auto"/>
        </w:rPr>
        <w:t>” shall mean the Closing Date Revolving Facility and the Term A Facility.</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Shared Fixed Incremental Amount</w:t>
      </w:r>
      <w:r>
        <w:rPr>
          <w:rFonts w:ascii="Arial" w:cs="Arial" w:eastAsia="Arial" w:hAnsi="Arial"/>
          <w:sz w:val="17"/>
          <w:szCs w:val="17"/>
          <w:color w:val="auto"/>
        </w:rPr>
        <w:t xml:space="preserve">” shall mean, as of any date of determination, (a) the greater of (i) $500.0 million and (ii) 50% of Consolidated EBITDA calculated on a Pro Forma Basis as of the most recently ended Test Period </w:t>
      </w:r>
      <w:r>
        <w:rPr>
          <w:rFonts w:ascii="Arial" w:cs="Arial" w:eastAsia="Arial" w:hAnsi="Arial"/>
          <w:sz w:val="17"/>
          <w:szCs w:val="17"/>
          <w:i w:val="1"/>
          <w:iCs w:val="1"/>
          <w:color w:val="auto"/>
        </w:rPr>
        <w:t>minus</w:t>
      </w:r>
      <w:r>
        <w:rPr>
          <w:rFonts w:ascii="Arial" w:cs="Arial" w:eastAsia="Arial" w:hAnsi="Arial"/>
          <w:sz w:val="17"/>
          <w:szCs w:val="17"/>
          <w:color w:val="auto"/>
        </w:rPr>
        <w:t xml:space="preserve"> (b)(i) the aggregate outstanding principal amount of all Incremental Commitments incurred or issued in reliance on the Shared Fixed Incremental Amount and (ii) the aggregate outstanding principal amount of all Indebtedness incurred or issued in reliance on </w:t>
      </w:r>
      <w:r>
        <w:rPr>
          <w:rFonts w:ascii="Arial" w:cs="Arial" w:eastAsia="Arial" w:hAnsi="Arial"/>
          <w:sz w:val="17"/>
          <w:szCs w:val="17"/>
          <w:u w:val="single" w:color="auto"/>
          <w:color w:val="auto"/>
        </w:rPr>
        <w:t>Section 10.01(t)</w:t>
      </w:r>
      <w:r>
        <w:rPr>
          <w:rFonts w:ascii="Arial" w:cs="Arial" w:eastAsia="Arial" w:hAnsi="Arial"/>
          <w:sz w:val="17"/>
          <w:szCs w:val="17"/>
          <w:color w:val="auto"/>
        </w:rPr>
        <w:t xml:space="preserve"> in reliance on the Shared Fixed Incremental Amount.</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2" w:lineRule="exact"/>
        <w:rPr>
          <w:sz w:val="20"/>
          <w:szCs w:val="20"/>
          <w:color w:val="auto"/>
        </w:rPr>
      </w:pPr>
    </w:p>
    <w:p>
      <w:pPr>
        <w:jc w:val="both"/>
        <w:ind w:firstLine="8"/>
        <w:spacing w:after="0" w:line="292" w:lineRule="auto"/>
        <w:tabs>
          <w:tab w:leader="none" w:pos="24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5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10.04(s) Investment Returns</w:t>
      </w:r>
      <w:r>
        <w:rPr>
          <w:rFonts w:ascii="Arial" w:cs="Arial" w:eastAsia="Arial" w:hAnsi="Arial"/>
          <w:sz w:val="18"/>
          <w:szCs w:val="18"/>
          <w:color w:val="auto"/>
        </w:rPr>
        <w:t xml:space="preserve">” shall mean the amounts received by Borrower and its Restricted Subsidiaries with respect to Investments made pursuant to </w:t>
      </w:r>
      <w:r>
        <w:rPr>
          <w:rFonts w:ascii="Arial" w:cs="Arial" w:eastAsia="Arial" w:hAnsi="Arial"/>
          <w:sz w:val="18"/>
          <w:szCs w:val="18"/>
          <w:u w:val="single" w:color="auto"/>
          <w:color w:val="auto"/>
        </w:rPr>
        <w:t>Section 10.04(s)</w:t>
      </w:r>
      <w:r>
        <w:rPr>
          <w:rFonts w:ascii="Arial" w:cs="Arial" w:eastAsia="Arial" w:hAnsi="Arial"/>
          <w:sz w:val="18"/>
          <w:szCs w:val="18"/>
          <w:color w:val="auto"/>
        </w:rPr>
        <w:t xml:space="preserve"> (including with respect to contracts related to such Investments and including principal, dividends, interest, distributions, sale proceeds, payments under contracts relating to such Investments, repayments or other amounts) that are designated by Borrower as Specified 10.04(s) Investment Returns in the compliance certificate delivered to Administrative Agent in respect of the fiscal quarter (or fiscal year) in which such amounts were received.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Representations</w:t>
      </w:r>
      <w:r>
        <w:rPr>
          <w:rFonts w:ascii="Arial" w:cs="Arial" w:eastAsia="Arial" w:hAnsi="Arial"/>
          <w:sz w:val="18"/>
          <w:szCs w:val="18"/>
          <w:color w:val="auto"/>
        </w:rPr>
        <w:t xml:space="preserve">” mean the representations and warranties of the Credit Parties set forth in </w:t>
      </w:r>
      <w:r>
        <w:rPr>
          <w:rFonts w:ascii="Arial" w:cs="Arial" w:eastAsia="Arial" w:hAnsi="Arial"/>
          <w:sz w:val="18"/>
          <w:szCs w:val="18"/>
          <w:u w:val="single" w:color="auto"/>
          <w:color w:val="auto"/>
        </w:rPr>
        <w:t>Sections 8.01(a)(i)</w:t>
      </w:r>
      <w:r>
        <w:rPr>
          <w:rFonts w:ascii="Arial" w:cs="Arial" w:eastAsia="Arial" w:hAnsi="Arial"/>
          <w:sz w:val="18"/>
          <w:szCs w:val="18"/>
          <w:color w:val="auto"/>
        </w:rPr>
        <w:t xml:space="preserve"> (but only with respect to Credit Parties), </w:t>
      </w:r>
      <w:r>
        <w:rPr>
          <w:rFonts w:ascii="Arial" w:cs="Arial" w:eastAsia="Arial" w:hAnsi="Arial"/>
          <w:sz w:val="18"/>
          <w:szCs w:val="18"/>
          <w:u w:val="single" w:color="auto"/>
          <w:color w:val="auto"/>
        </w:rPr>
        <w:t>8.01(a)(ii)</w:t>
      </w:r>
      <w:r>
        <w:rPr>
          <w:rFonts w:ascii="Arial" w:cs="Arial" w:eastAsia="Arial" w:hAnsi="Arial"/>
          <w:sz w:val="18"/>
          <w:szCs w:val="18"/>
          <w:color w:val="auto"/>
        </w:rPr>
        <w:t xml:space="preserve"> (but only with respect to Credit Parties), </w:t>
      </w:r>
      <w:r>
        <w:rPr>
          <w:rFonts w:ascii="Arial" w:cs="Arial" w:eastAsia="Arial" w:hAnsi="Arial"/>
          <w:sz w:val="18"/>
          <w:szCs w:val="18"/>
          <w:u w:val="single" w:color="auto"/>
          <w:color w:val="auto"/>
        </w:rPr>
        <w:t>8.04(a)(i)(x)</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8.04(a)(ii)</w:t>
      </w:r>
      <w:r>
        <w:rPr>
          <w:rFonts w:ascii="Arial" w:cs="Arial" w:eastAsia="Arial" w:hAnsi="Arial"/>
          <w:sz w:val="18"/>
          <w:szCs w:val="18"/>
          <w:color w:val="auto"/>
        </w:rPr>
        <w:t xml:space="preserve"> (solely with respect to the Wynn Las Vegas Notes and the Wynn Resorts Finance Notes),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(but only as it relates to the Credit Documents), </w:t>
      </w:r>
      <w:r>
        <w:rPr>
          <w:rFonts w:ascii="Arial" w:cs="Arial" w:eastAsia="Arial" w:hAnsi="Arial"/>
          <w:sz w:val="18"/>
          <w:szCs w:val="18"/>
          <w:u w:val="single" w:color="auto"/>
          <w:color w:val="auto"/>
        </w:rPr>
        <w:t>8.09</w:t>
      </w:r>
      <w:r>
        <w:rPr>
          <w:rFonts w:ascii="Arial" w:cs="Arial" w:eastAsia="Arial" w:hAnsi="Arial"/>
          <w:sz w:val="18"/>
          <w:szCs w:val="18"/>
          <w:color w:val="auto"/>
        </w:rPr>
        <w:t xml:space="preserve">, </w:t>
      </w:r>
      <w:r>
        <w:rPr>
          <w:rFonts w:ascii="Arial" w:cs="Arial" w:eastAsia="Arial" w:hAnsi="Arial"/>
          <w:sz w:val="18"/>
          <w:szCs w:val="18"/>
          <w:u w:val="single" w:color="auto"/>
          <w:color w:val="auto"/>
        </w:rPr>
        <w:t>8.11(b)</w:t>
      </w:r>
      <w:r>
        <w:rPr>
          <w:rFonts w:ascii="Arial" w:cs="Arial" w:eastAsia="Arial" w:hAnsi="Arial"/>
          <w:sz w:val="18"/>
          <w:szCs w:val="18"/>
          <w:color w:val="auto"/>
        </w:rPr>
        <w:t xml:space="preserve">, </w:t>
      </w:r>
      <w:r>
        <w:rPr>
          <w:rFonts w:ascii="Arial" w:cs="Arial" w:eastAsia="Arial" w:hAnsi="Arial"/>
          <w:sz w:val="18"/>
          <w:szCs w:val="18"/>
          <w:u w:val="single" w:color="auto"/>
          <w:color w:val="auto"/>
        </w:rPr>
        <w:t>8.14</w:t>
      </w:r>
      <w:r>
        <w:rPr>
          <w:rFonts w:ascii="Arial" w:cs="Arial" w:eastAsia="Arial" w:hAnsi="Arial"/>
          <w:sz w:val="18"/>
          <w:szCs w:val="18"/>
          <w:color w:val="auto"/>
        </w:rPr>
        <w:t xml:space="preserve"> (but only as it relates to security interests that may be perfected through the filing of UCC financing statements, filing of intellectual property security agreements with the United States Patent and Trademark Office or United States Copyright Office or delivery of stock or equivalent certificates representing Equity Interests in material Subsidiaries that are not Foreign Subsidiaries (other than Equity Interests in any such Subsidiaries for which prior approval of Liens is required under applicable Gaming Laws but has not been obtained)), </w:t>
      </w:r>
      <w:r>
        <w:rPr>
          <w:rFonts w:ascii="Arial" w:cs="Arial" w:eastAsia="Arial" w:hAnsi="Arial"/>
          <w:sz w:val="18"/>
          <w:szCs w:val="18"/>
          <w:u w:val="single" w:color="auto"/>
          <w:color w:val="auto"/>
        </w:rPr>
        <w:t>8.17</w:t>
      </w:r>
      <w:r>
        <w:rPr>
          <w:rFonts w:ascii="Arial" w:cs="Arial" w:eastAsia="Arial" w:hAnsi="Arial"/>
          <w:sz w:val="18"/>
          <w:szCs w:val="18"/>
          <w:color w:val="auto"/>
        </w:rPr>
        <w:t xml:space="preserve">, </w:t>
      </w:r>
      <w:r>
        <w:rPr>
          <w:rFonts w:ascii="Arial" w:cs="Arial" w:eastAsia="Arial" w:hAnsi="Arial"/>
          <w:sz w:val="18"/>
          <w:szCs w:val="18"/>
          <w:u w:val="single" w:color="auto"/>
          <w:color w:val="auto"/>
        </w:rPr>
        <w:t>8.22</w:t>
      </w:r>
      <w:r>
        <w:rPr>
          <w:rFonts w:ascii="Arial" w:cs="Arial" w:eastAsia="Arial" w:hAnsi="Arial"/>
          <w:sz w:val="18"/>
          <w:szCs w:val="18"/>
          <w:color w:val="auto"/>
        </w:rPr>
        <w:t xml:space="preserve"> (solely as it relates to the use of proceeds of the Loans (other than with respect to the Patriot Act)), and </w:t>
      </w:r>
      <w:r>
        <w:rPr>
          <w:rFonts w:ascii="Arial" w:cs="Arial" w:eastAsia="Arial" w:hAnsi="Arial"/>
          <w:sz w:val="18"/>
          <w:szCs w:val="18"/>
          <w:u w:val="single" w:color="auto"/>
          <w:color w:val="auto"/>
        </w:rPr>
        <w:t>8.23</w:t>
      </w:r>
      <w:r>
        <w:rPr>
          <w:rFonts w:ascii="Arial" w:cs="Arial" w:eastAsia="Arial" w:hAnsi="Arial"/>
          <w:sz w:val="18"/>
          <w:szCs w:val="18"/>
          <w:color w:val="auto"/>
        </w:rPr>
        <w:t xml:space="preserve"> (as it relates to the use of proceeds of the Loans).</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or designation of a Restricted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265" w:name="page266"/>
    <w:bookmarkEnd w:id="265"/>
    <w:p>
      <w:pPr>
        <w:jc w:val="both"/>
        <w:spacing w:after="0" w:line="312" w:lineRule="auto"/>
        <w:rPr>
          <w:sz w:val="20"/>
          <w:szCs w:val="20"/>
          <w:color w:val="auto"/>
        </w:rPr>
      </w:pPr>
      <w:r>
        <w:rPr>
          <w:rFonts w:ascii="Arial" w:cs="Arial" w:eastAsia="Arial" w:hAnsi="Arial"/>
          <w:sz w:val="16"/>
          <w:szCs w:val="16"/>
          <w:color w:val="auto"/>
        </w:rPr>
        <w:t>Subsidiary that results in a Restricted Subsidiary ceasing to be a Restricted Subsidiary of Borrower or redesignation of an Unrestricted Subsidiary that results in an Unrestricted Subsidiary becoming a Restricted Subsidiary, and (e) Acquisition or Investment constituting an acquisition of assets constituting a business unit, line of business or division of another Person. For the avoidance of doubt, the Transactions shall constitute a Specified Transaction.</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 currency shall mean the rate determined by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Administrative Agent or such L/C Lender may obtain such spot rate from another financial institution designated by Administrative Agent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L/C Lender if the Person acting in such capacity does not have as of the date of determination a spot buying rate for any such currency;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further </w:t>
      </w:r>
      <w:r>
        <w:rPr>
          <w:rFonts w:ascii="Arial" w:cs="Arial" w:eastAsia="Arial" w:hAnsi="Arial"/>
          <w:sz w:val="18"/>
          <w:szCs w:val="18"/>
          <w:color w:val="auto"/>
        </w:rPr>
        <w:t>that such L/C Lender may use such spot rate quoted on the date as of which the foreign exchange computation is made in the case of any Letter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denominated in an Alternate Currency.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Statutory Reserve Rate</w:t>
      </w:r>
      <w:r>
        <w:rPr>
          <w:rFonts w:ascii="Arial" w:cs="Arial" w:eastAsia="Arial" w:hAnsi="Arial"/>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of Governors of the Federal Reserve System of the United States (or any successor) to which Administrative Agent is subject with respect to the LIBO Base Rate, for eurocurrency funding (currently referred to as “Eurocurrency Liabilities” in Regulation D). Such reserve percentage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xml:space="preserve">” shall mean each Subordination Agreement,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among Administrative Agent, the applicable Credit Parties and the providers of any Intercompany Contribution Indebtedness.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Substituted Consolidated EBITDA</w:t>
      </w:r>
      <w:r>
        <w:rPr>
          <w:rFonts w:ascii="Arial" w:cs="Arial" w:eastAsia="Arial" w:hAnsi="Arial"/>
          <w:sz w:val="17"/>
          <w:szCs w:val="17"/>
          <w:color w:val="auto"/>
        </w:rPr>
        <w:t>” shall mean with respect to any fiscal quarter, the greater of Consolidated EBITDA for the fiscal quarter</w:t>
      </w:r>
    </w:p>
    <w:p>
      <w:pPr>
        <w:spacing w:after="0" w:line="39" w:lineRule="exact"/>
        <w:rPr>
          <w:sz w:val="20"/>
          <w:szCs w:val="20"/>
          <w:color w:val="auto"/>
        </w:rPr>
      </w:pPr>
    </w:p>
    <w:p>
      <w:pPr>
        <w:ind w:firstLine="8"/>
        <w:spacing w:after="0" w:line="323" w:lineRule="auto"/>
        <w:tabs>
          <w:tab w:leader="none" w:pos="24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Supported QFC</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13.22</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Contract</w:t>
      </w:r>
      <w:r>
        <w:rPr>
          <w:rFonts w:ascii="Arial" w:cs="Arial" w:eastAsia="Arial" w:hAnsi="Arial"/>
          <w:sz w:val="17"/>
          <w:szCs w:val="17"/>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5" w:right="239" w:bottom="1440" w:gutter="0" w:footer="0" w:header="0"/>
        </w:sectPr>
      </w:pPr>
    </w:p>
    <w:bookmarkStart w:id="266" w:name="page267"/>
    <w:bookmarkEnd w:id="266"/>
    <w:p>
      <w:pPr>
        <w:jc w:val="both"/>
        <w:spacing w:after="0" w:line="279" w:lineRule="auto"/>
        <w:rPr>
          <w:sz w:val="20"/>
          <w:szCs w:val="20"/>
          <w:color w:val="auto"/>
        </w:rPr>
      </w:pPr>
      <w:r>
        <w:rPr>
          <w:rFonts w:ascii="Arial" w:cs="Arial" w:eastAsia="Arial" w:hAnsi="Arial"/>
          <w:sz w:val="17"/>
          <w:szCs w:val="17"/>
          <w:color w:val="auto"/>
        </w:rPr>
        <w:t>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Provider</w:t>
      </w:r>
      <w:r>
        <w:rPr>
          <w:rFonts w:ascii="Arial" w:cs="Arial" w:eastAsia="Arial" w:hAnsi="Arial"/>
          <w:sz w:val="17"/>
          <w:szCs w:val="17"/>
          <w:color w:val="auto"/>
        </w:rPr>
        <w:t xml:space="preserve">”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Arial" w:cs="Arial" w:eastAsia="Arial" w:hAnsi="Arial"/>
          <w:sz w:val="17"/>
          <w:szCs w:val="17"/>
          <w:u w:val="single" w:color="auto"/>
          <w:color w:val="auto"/>
        </w:rPr>
        <w:t>Section 12.03</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Taking</w:t>
      </w:r>
      <w:r>
        <w:rPr>
          <w:rFonts w:ascii="Arial" w:cs="Arial" w:eastAsia="Arial" w:hAnsi="Arial"/>
          <w:sz w:val="16"/>
          <w:szCs w:val="16"/>
          <w:color w:val="auto"/>
        </w:rPr>
        <w:t>” 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spacing w:after="0" w:line="14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Payments</w:t>
      </w:r>
      <w:r>
        <w:rPr>
          <w:rFonts w:ascii="Arial" w:cs="Arial" w:eastAsia="Arial" w:hAnsi="Arial"/>
          <w:sz w:val="16"/>
          <w:szCs w:val="16"/>
          <w:color w:val="auto"/>
        </w:rPr>
        <w:t>” shall mean, with respect to any taxable period (i) for which Borrower and/or any of its Subsidiaries are members of a consolidated, combined or similar income tax group for applicable federal, state and/or local income tax purposes of which a direct or indirect parent of Borrower is the common parent (a “</w:t>
      </w:r>
      <w:r>
        <w:rPr>
          <w:rFonts w:ascii="Arial" w:cs="Arial" w:eastAsia="Arial" w:hAnsi="Arial"/>
          <w:sz w:val="16"/>
          <w:szCs w:val="16"/>
          <w:b w:val="1"/>
          <w:bCs w:val="1"/>
          <w:color w:val="auto"/>
        </w:rPr>
        <w:t>Tax Group</w:t>
      </w:r>
      <w:r>
        <w:rPr>
          <w:rFonts w:ascii="Arial" w:cs="Arial" w:eastAsia="Arial" w:hAnsi="Arial"/>
          <w:sz w:val="16"/>
          <w:szCs w:val="16"/>
          <w:color w:val="auto"/>
        </w:rPr>
        <w:t>”) or (ii) for which Borrower is a disregarded entity or a partnership with a direct or indirect corporate parent (a “</w:t>
      </w:r>
      <w:r>
        <w:rPr>
          <w:rFonts w:ascii="Arial" w:cs="Arial" w:eastAsia="Arial" w:hAnsi="Arial"/>
          <w:sz w:val="16"/>
          <w:szCs w:val="16"/>
          <w:b w:val="1"/>
          <w:bCs w:val="1"/>
          <w:color w:val="auto"/>
        </w:rPr>
        <w:t>Corporate</w:t>
      </w:r>
      <w:r>
        <w:rPr>
          <w:rFonts w:ascii="Arial" w:cs="Arial" w:eastAsia="Arial" w:hAnsi="Arial"/>
          <w:sz w:val="16"/>
          <w:szCs w:val="16"/>
          <w:color w:val="auto"/>
        </w:rPr>
        <w:t xml:space="preserve"> </w:t>
      </w:r>
      <w:r>
        <w:rPr>
          <w:rFonts w:ascii="Arial" w:cs="Arial" w:eastAsia="Arial" w:hAnsi="Arial"/>
          <w:sz w:val="16"/>
          <w:szCs w:val="16"/>
          <w:b w:val="1"/>
          <w:bCs w:val="1"/>
          <w:color w:val="auto"/>
        </w:rPr>
        <w:t>Parent</w:t>
      </w:r>
      <w:r>
        <w:rPr>
          <w:rFonts w:ascii="Arial" w:cs="Arial" w:eastAsia="Arial" w:hAnsi="Arial"/>
          <w:sz w:val="16"/>
          <w:szCs w:val="16"/>
          <w:color w:val="auto"/>
        </w:rPr>
        <w:t>”), (a) payments equal to the portion of any consolidated, combined or similar federal, state and/or local income taxes (as applicable) of such Tax</w:t>
      </w:r>
      <w:r>
        <w:rPr>
          <w:rFonts w:ascii="Arial" w:cs="Arial" w:eastAsia="Arial" w:hAnsi="Arial"/>
          <w:sz w:val="16"/>
          <w:szCs w:val="16"/>
          <w:b w:val="1"/>
          <w:bCs w:val="1"/>
          <w:color w:val="auto"/>
        </w:rPr>
        <w:t xml:space="preserve"> </w:t>
      </w:r>
      <w:r>
        <w:rPr>
          <w:rFonts w:ascii="Arial" w:cs="Arial" w:eastAsia="Arial" w:hAnsi="Arial"/>
          <w:sz w:val="16"/>
          <w:szCs w:val="16"/>
          <w:color w:val="auto"/>
        </w:rPr>
        <w:t>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Arial" w:cs="Arial" w:eastAsia="Arial" w:hAnsi="Arial"/>
          <w:sz w:val="16"/>
          <w:szCs w:val="16"/>
          <w:b w:val="1"/>
          <w:bCs w:val="1"/>
          <w:color w:val="auto"/>
        </w:rPr>
        <w:t>Corporate Parent Subsidiaries</w:t>
      </w:r>
      <w:r>
        <w:rPr>
          <w:rFonts w:ascii="Arial" w:cs="Arial" w:eastAsia="Arial" w:hAnsi="Arial"/>
          <w:sz w:val="16"/>
          <w:szCs w:val="16"/>
          <w:color w:val="auto"/>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 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73"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Facility</w:t>
      </w:r>
      <w:r>
        <w:rPr>
          <w:rFonts w:ascii="Arial" w:cs="Arial" w:eastAsia="Arial" w:hAnsi="Arial"/>
          <w:sz w:val="18"/>
          <w:szCs w:val="18"/>
          <w:color w:val="auto"/>
        </w:rPr>
        <w:t>” shall mean the credit facility comprising the Term A Facility Commitments, any Incremental Term A Loan Commitments, and the Term A Facility Loans.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267" w:name="page268"/>
    <w:bookmarkEnd w:id="267"/>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Facility Commitment</w:t>
      </w:r>
      <w:r>
        <w:rPr>
          <w:rFonts w:ascii="Arial" w:cs="Arial" w:eastAsia="Arial" w:hAnsi="Arial"/>
          <w:sz w:val="17"/>
          <w:szCs w:val="17"/>
          <w:color w:val="auto"/>
        </w:rPr>
        <w:t xml:space="preserve">” shall mean, for each Term A Facility Lender, the obligation of such Lender, if any, to make a Term A Facility Loan to Borrower on the Closing Date, in a principal amount not to exceed the amount set forth opposite such Lender’s name under the heading “Term A Facility Commitment” on Annex A-2, or in the Assignment Agreement pursuant to which such Lender assumed its Term A Facility Commitment, as applicable, as the same may be (i) changed pursuant to </w:t>
      </w:r>
      <w:r>
        <w:rPr>
          <w:rFonts w:ascii="Arial" w:cs="Arial" w:eastAsia="Arial" w:hAnsi="Arial"/>
          <w:sz w:val="17"/>
          <w:szCs w:val="17"/>
          <w:u w:val="single" w:color="auto"/>
          <w:color w:val="auto"/>
        </w:rPr>
        <w:t>Section 13.05(b)</w:t>
      </w:r>
      <w:r>
        <w:rPr>
          <w:rFonts w:ascii="Arial" w:cs="Arial" w:eastAsia="Arial" w:hAnsi="Arial"/>
          <w:sz w:val="17"/>
          <w:szCs w:val="17"/>
          <w:color w:val="auto"/>
        </w:rPr>
        <w:t xml:space="preserve"> or (ii) reduced or terminated from time to time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w:t>
      </w:r>
      <w:r>
        <w:rPr>
          <w:rFonts w:ascii="Arial" w:cs="Arial" w:eastAsia="Arial" w:hAnsi="Arial"/>
          <w:sz w:val="17"/>
          <w:szCs w:val="17"/>
          <w:color w:val="auto"/>
        </w:rPr>
        <w:t>. The aggregate principal amount of the Term A Facility Commitments of all Term A Facility Lenders on the Closing Date is $1,000.0 million.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Facility Lender</w:t>
      </w:r>
      <w:r>
        <w:rPr>
          <w:rFonts w:ascii="Arial" w:cs="Arial" w:eastAsia="Arial" w:hAnsi="Arial"/>
          <w:sz w:val="17"/>
          <w:szCs w:val="17"/>
          <w:color w:val="auto"/>
        </w:rPr>
        <w:t xml:space="preserve">” shall mean (a) on the Closing Date, the Lenders having Term A Facility Commitments on </w:t>
      </w:r>
      <w:r>
        <w:rPr>
          <w:rFonts w:ascii="Arial" w:cs="Arial" w:eastAsia="Arial" w:hAnsi="Arial"/>
          <w:sz w:val="17"/>
          <w:szCs w:val="17"/>
          <w:u w:val="single" w:color="auto"/>
          <w:color w:val="auto"/>
        </w:rPr>
        <w:t>Annex A-2</w:t>
      </w:r>
      <w:r>
        <w:rPr>
          <w:rFonts w:ascii="Arial" w:cs="Arial" w:eastAsia="Arial" w:hAnsi="Arial"/>
          <w:sz w:val="17"/>
          <w:szCs w:val="17"/>
          <w:color w:val="auto"/>
        </w:rPr>
        <w:t xml:space="preserve"> hereof and</w:t>
      </w:r>
    </w:p>
    <w:p>
      <w:pPr>
        <w:spacing w:after="0" w:line="39" w:lineRule="exact"/>
        <w:rPr>
          <w:sz w:val="20"/>
          <w:szCs w:val="20"/>
          <w:color w:val="auto"/>
        </w:rPr>
      </w:pPr>
    </w:p>
    <w:p>
      <w:pPr>
        <w:ind w:firstLine="8"/>
        <w:spacing w:after="0" w:line="261" w:lineRule="auto"/>
        <w:tabs>
          <w:tab w:leader="none" w:pos="267"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thereafter, the Lenders from time to time holding any Incremental Term A Loan Commitments and/or Term A Facility Loans, as the case may be, after giving effect to any assignments thereof permitted by </w:t>
      </w:r>
      <w:r>
        <w:rPr>
          <w:rFonts w:ascii="Arial" w:cs="Arial" w:eastAsia="Arial" w:hAnsi="Arial"/>
          <w:sz w:val="18"/>
          <w:szCs w:val="18"/>
          <w:u w:val="single" w:color="auto"/>
          <w:color w:val="auto"/>
        </w:rPr>
        <w:t>Section 13.05(b)</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Facility Loans</w:t>
      </w:r>
      <w:r>
        <w:rPr>
          <w:rFonts w:ascii="Arial" w:cs="Arial" w:eastAsia="Arial" w:hAnsi="Arial"/>
          <w:sz w:val="18"/>
          <w:szCs w:val="18"/>
          <w:color w:val="auto"/>
        </w:rPr>
        <w:t xml:space="preserve">” shall mean (a) the term loans made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and (b) term loans made pursuant to any Incremental Term A Loan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Facility Maturity Date</w:t>
      </w:r>
      <w:r>
        <w:rPr>
          <w:rFonts w:ascii="Arial" w:cs="Arial" w:eastAsia="Arial" w:hAnsi="Arial"/>
          <w:sz w:val="18"/>
          <w:szCs w:val="18"/>
          <w:color w:val="auto"/>
        </w:rPr>
        <w:t>” shall mean the date that is the fifth anniversary of the Closing Date.</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Facility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shall mean, collectively, (a) the Term A Facility Commitments, (b) any Incremental Term Loan Commitments, and (c) any Other Term Loan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Notes</w:t>
      </w:r>
      <w:r>
        <w:rPr>
          <w:rFonts w:ascii="Arial" w:cs="Arial" w:eastAsia="Arial" w:hAnsi="Arial"/>
          <w:sz w:val="18"/>
          <w:szCs w:val="18"/>
          <w:color w:val="auto"/>
        </w:rPr>
        <w:t>” shall mean, collectively, the Term A Facility Notes, any New Term Loan Notes, and any promissory notes evidencing Extended Term Loans or Other Term Loans.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Loans</w:t>
      </w:r>
      <w:r>
        <w:rPr>
          <w:rFonts w:ascii="Arial" w:cs="Arial" w:eastAsia="Arial" w:hAnsi="Arial"/>
          <w:sz w:val="16"/>
          <w:szCs w:val="16"/>
          <w:color w:val="auto"/>
        </w:rPr>
        <w:t>” shall mean, collectively, the Term A Facility Loans, any Extended Term Loans, any Other Term Loans, and any New Term Loans.</w:t>
      </w:r>
    </w:p>
    <w:p>
      <w:pPr>
        <w:spacing w:after="0" w:line="24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Test Period</w:t>
      </w:r>
      <w:r>
        <w:rPr>
          <w:rFonts w:ascii="Arial" w:cs="Arial" w:eastAsia="Arial" w:hAnsi="Arial"/>
          <w:sz w:val="16"/>
          <w:szCs w:val="16"/>
          <w:color w:val="auto"/>
        </w:rPr>
        <w:t xml:space="preserve">”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determining (x) adjustments to Consolidated EBITDA for purposes of clause (F) of the definition thereof, (y) Consolidated Net Income related to dividends and distributions paid or declared to Wynn Group Asia by its direct or indirect Subsidiaries for purposes of clause (c) of the definition thereof, and (z) the Recurring Dividend Amount, “Test Period” shall be deemed the period of the four most recently ended consecutive fiscal quarters of Borrower and its Restricted Subsidiaries ending September 30 for which quarterly or annual financial statements have been delivered or are required to have been delivered to Administrative Agent or have been filed with the SEC.</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Title Insurance Threshold Amount</w:t>
      </w:r>
      <w:r>
        <w:rPr>
          <w:rFonts w:ascii="Arial" w:cs="Arial" w:eastAsia="Arial" w:hAnsi="Arial"/>
          <w:sz w:val="17"/>
          <w:szCs w:val="17"/>
          <w:color w:val="auto"/>
        </w:rPr>
        <w:t xml:space="preserve">” shall mean Real Property (or, in the case of a leasehold, such leasehold interest or estate) other than the Wynn Las Vegas Convention Center in the event of the occurrence of the Wynn Las Vegas Convention Center Acquisition that (a) has a fair market value in excess of $300.0 million or (b) upon which a Credit Party develops a Facility with a fair market value in excess of $300.0 million;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each of the Closing Date Mortgaged Real Properties shall be deemed to exceed the Title Insurance Threshold Amount.</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Commitments</w:t>
      </w:r>
      <w:r>
        <w:rPr>
          <w:rFonts w:ascii="Arial" w:cs="Arial" w:eastAsia="Arial" w:hAnsi="Arial"/>
          <w:sz w:val="18"/>
          <w:szCs w:val="18"/>
          <w:color w:val="auto"/>
        </w:rPr>
        <w:t>” shall mean, at any time, the Revolving Commitments of all the Revolving Lenders at such time. The Total Revolving Commitments on the Closing Date are $850.0 million.</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w:t>
      </w:r>
      <w:r>
        <w:rPr>
          <w:rFonts w:ascii="Arial" w:cs="Arial" w:eastAsia="Arial" w:hAnsi="Arial"/>
          <w:sz w:val="16"/>
          <w:szCs w:val="16"/>
          <w:color w:val="auto"/>
        </w:rPr>
        <w:t>” shall mean (i) when used with respect to the Lenders, each of the following classes of Lenders: (a) Lenders having Revolving Loans incurred pursuant to the Closing Date Revolving Commitment or any Incremental Existing Tranche Revolving Commitments of the same Tranche or Closing Date Revolving Commitments and any Incremental Existing Tranche Revolving Commitments of the same Tranche, (b) Lenders having such other Tranche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268" w:name="page269"/>
    <w:bookmarkEnd w:id="268"/>
    <w:p>
      <w:pPr>
        <w:spacing w:after="0"/>
        <w:rPr>
          <w:sz w:val="20"/>
          <w:szCs w:val="20"/>
          <w:color w:val="auto"/>
        </w:rPr>
      </w:pPr>
      <w:r>
        <w:rPr>
          <w:rFonts w:ascii="Arial" w:cs="Arial" w:eastAsia="Arial" w:hAnsi="Arial"/>
          <w:sz w:val="16"/>
          <w:szCs w:val="16"/>
          <w:color w:val="auto"/>
        </w:rPr>
        <w:t>of Revolving Loans or Revolving Commitments created pursuant to an Extension Amendment, Incremental Joinder Agreement, or Refinancing Amendment,</w:t>
      </w:r>
    </w:p>
    <w:p>
      <w:pPr>
        <w:spacing w:after="0" w:line="46" w:lineRule="exact"/>
        <w:rPr>
          <w:sz w:val="20"/>
          <w:szCs w:val="20"/>
          <w:color w:val="auto"/>
        </w:rPr>
      </w:pPr>
    </w:p>
    <w:p>
      <w:pPr>
        <w:jc w:val="both"/>
        <w:ind w:firstLine="8"/>
        <w:spacing w:after="0" w:line="287" w:lineRule="auto"/>
        <w:tabs>
          <w:tab w:leader="none" w:pos="24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Lenders having Term A Facility Loans or Term A Facility Commitments and Incremental Term A Loan Commitments, and (d) Lenders having such other Tranche of Term Loans or Term Loan Commitments created pursuant to an Extension Amendment, Incremental Joinder Agreement, or Refinancing Amendment, and (ii) when used with respect to Loans or Commitments, each of the following classes of Loans or Commitments: (a) Revolving Loans incurred pursuant to the Closing Date Revolving Commitment or any Incremental Existing Tranche Revolving Commitments of the same Tranche or Closing Date Revolving Commitments and any Incremental Existing Tranche Revolving Commitments of the same Tranche, (b) such other Tranche of Revolving Loans or Revolving Commitments created pursuant to an Extension Amendment, Incremental Joinder Agreement, or Refinancing Amendment, (c) Term A Facility Loans or Term A Facility Commitments and Incremental Term A Loan Commitments, and (d) such other Tranche of Term Loans or Term Loan Commitments created pursuant to an Extension Amendment, Incremental Joinder Agreement, or Refinancing Amendment.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entering into of this Agreement and the other Credit Documents and the borrowings hereunder on the Closing Date, (b) the Closing Date Refinancing, (c) the Wynn Group Reorganization, and (d) the payment of fees and expenses in connection with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Publication No. 600 (or such later version thereof as may be in effect at the time of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Joint Ventures</w:t>
      </w:r>
      <w:r>
        <w:rPr>
          <w:rFonts w:ascii="Arial" w:cs="Arial" w:eastAsia="Arial" w:hAnsi="Arial"/>
          <w:sz w:val="18"/>
          <w:szCs w:val="18"/>
          <w:color w:val="auto"/>
        </w:rPr>
        <w:t xml:space="preserve">” shall mean any joint venture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un-reallocated portion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Operating Cash</w:t>
      </w:r>
      <w:r>
        <w:rPr>
          <w:rFonts w:ascii="Arial" w:cs="Arial" w:eastAsia="Arial" w:hAnsi="Arial"/>
          <w:sz w:val="16"/>
          <w:szCs w:val="16"/>
          <w:color w:val="auto"/>
        </w:rPr>
        <w:t>” shall mean, as of any date of determination, cash and Cash Equivalents of Borrower and its Restricted Subsidiaries that would not appear as “restricted” on a combined or consolidated balance sheet of the Consolidated Companies in an amount in excess of the Minimum Cage Cash Amount and excluding cash and Cash Equivalents constituting dividends paid to Wynn Group Asia by its direct and indirect Subsidiaries.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Subsidiaries</w:t>
      </w:r>
      <w:r>
        <w:rPr>
          <w:rFonts w:ascii="Arial" w:cs="Arial" w:eastAsia="Arial" w:hAnsi="Arial"/>
          <w:sz w:val="18"/>
          <w:szCs w:val="18"/>
          <w:color w:val="auto"/>
        </w:rPr>
        <w:t xml:space="preserve">” shall mean (a) as of the Closing Date, the Subsidiaries listed on </w:t>
      </w:r>
      <w:r>
        <w:rPr>
          <w:rFonts w:ascii="Arial" w:cs="Arial" w:eastAsia="Arial" w:hAnsi="Arial"/>
          <w:sz w:val="18"/>
          <w:szCs w:val="18"/>
          <w:u w:val="single" w:color="auto"/>
          <w:color w:val="auto"/>
        </w:rPr>
        <w:t>Schedule 8.12(c)</w:t>
      </w:r>
      <w:r>
        <w:rPr>
          <w:rFonts w:ascii="Arial" w:cs="Arial" w:eastAsia="Arial" w:hAnsi="Arial"/>
          <w:sz w:val="18"/>
          <w:szCs w:val="18"/>
          <w:color w:val="auto"/>
        </w:rPr>
        <w:t>, (b) any Subsidiary of Borrower designated as an “Unrestricted Subsidiary” pursuant to and in compliance with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5" w:right="239" w:bottom="1440" w:gutter="0" w:footer="0" w:header="0"/>
        </w:sectPr>
      </w:pPr>
    </w:p>
    <w:bookmarkStart w:id="269" w:name="page270"/>
    <w:bookmarkEnd w:id="269"/>
    <w:p>
      <w:pPr>
        <w:jc w:val="both"/>
        <w:spacing w:after="0" w:line="277" w:lineRule="auto"/>
        <w:rPr>
          <w:sz w:val="20"/>
          <w:szCs w:val="20"/>
          <w:color w:val="auto"/>
        </w:rPr>
      </w:pPr>
      <w:r>
        <w:rPr>
          <w:rFonts w:ascii="Arial" w:cs="Arial" w:eastAsia="Arial" w:hAnsi="Arial"/>
          <w:sz w:val="18"/>
          <w:szCs w:val="18"/>
          <w:u w:val="single" w:color="auto"/>
          <w:color w:val="auto"/>
        </w:rPr>
        <w:t>Section 9.12</w:t>
      </w:r>
      <w:r>
        <w:rPr>
          <w:rFonts w:ascii="Arial" w:cs="Arial" w:eastAsia="Arial" w:hAnsi="Arial"/>
          <w:sz w:val="18"/>
          <w:szCs w:val="18"/>
          <w:color w:val="auto"/>
        </w:rPr>
        <w:t xml:space="preserve"> and (c) any Subsidiary of an Unrestricted Subsidiary (in each case, unless such Subsidiary is no longer a Subsidiary of Borrower or is subsequently designated as a Restricted Subsidiary pursuant to this Agreement).</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Unutilized R/C Commitment</w:t>
      </w:r>
      <w:r>
        <w:rPr>
          <w:rFonts w:ascii="Arial" w:cs="Arial" w:eastAsia="Arial" w:hAnsi="Arial"/>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13.22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5.06(c)(ii)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Venue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10.05(p)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Venue Easements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10.05(p)</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Restricted Subsidiary</w:t>
      </w:r>
      <w:r>
        <w:rPr>
          <w:rFonts w:ascii="Arial" w:cs="Arial" w:eastAsia="Arial" w:hAnsi="Arial"/>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WLV</w:t>
      </w:r>
      <w:r>
        <w:rPr>
          <w:rFonts w:ascii="Arial" w:cs="Arial" w:eastAsia="Arial" w:hAnsi="Arial"/>
          <w:sz w:val="18"/>
          <w:szCs w:val="18"/>
          <w:color w:val="auto"/>
        </w:rPr>
        <w:t>” shall mean Wynn Las Vegas and any of its Restricted Subsidiaries.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WLV Lien Limitation</w:t>
      </w:r>
      <w:r>
        <w:rPr>
          <w:rFonts w:ascii="Arial" w:cs="Arial" w:eastAsia="Arial" w:hAnsi="Arial"/>
          <w:sz w:val="18"/>
          <w:szCs w:val="18"/>
          <w:color w:val="auto"/>
        </w:rPr>
        <w:t xml:space="preserve">” shall mean the limitation on the pledge of Collateral granted by WLV to the Principal Property Cap (as defined in the Security Agreement) pursuant to the penultimate paragraph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Security Agreement.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means, for any Person at any date, the amount (which may be a negative number) of the Consolidated Current Assets of such Person minus the Consolidated Current Liabilities of such Person at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270" w:name="page271"/>
    <w:bookmarkEnd w:id="270"/>
    <w:p>
      <w:pPr>
        <w:jc w:val="both"/>
        <w:spacing w:after="0" w:line="270" w:lineRule="auto"/>
        <w:rPr>
          <w:sz w:val="20"/>
          <w:szCs w:val="20"/>
          <w:color w:val="auto"/>
        </w:rPr>
      </w:pPr>
      <w:r>
        <w:rPr>
          <w:rFonts w:ascii="Arial" w:cs="Arial" w:eastAsia="Arial" w:hAnsi="Arial"/>
          <w:sz w:val="17"/>
          <w:szCs w:val="17"/>
          <w:color w:val="auto"/>
        </w:rPr>
        <w:t>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 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Group Asia</w:t>
      </w:r>
      <w:r>
        <w:rPr>
          <w:rFonts w:ascii="Arial" w:cs="Arial" w:eastAsia="Arial" w:hAnsi="Arial"/>
          <w:sz w:val="18"/>
          <w:szCs w:val="18"/>
          <w:color w:val="auto"/>
        </w:rPr>
        <w:t>” shall mean Wynn Group Asia, Inc., a Nevada corporation.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Group Reorganization</w:t>
      </w:r>
      <w:r>
        <w:rPr>
          <w:rFonts w:ascii="Arial" w:cs="Arial" w:eastAsia="Arial" w:hAnsi="Arial"/>
          <w:sz w:val="18"/>
          <w:szCs w:val="18"/>
          <w:color w:val="auto"/>
        </w:rPr>
        <w:t>” shall mean a series of corporate restructurings and related transactions pursuant to which (a) Wynn Group Asia becomes a Subsidiary of Borrower and (b) each of (x) Wynn Massachusetts and its Subsidiaries and (y) Everett Property, LLC become Subsidiaries of Wynn America Group, LLC, in each case on or prior to the Closing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2023 Notes</w:t>
      </w:r>
      <w:r>
        <w:rPr>
          <w:rFonts w:ascii="Arial" w:cs="Arial" w:eastAsia="Arial" w:hAnsi="Arial"/>
          <w:sz w:val="18"/>
          <w:szCs w:val="18"/>
          <w:color w:val="auto"/>
        </w:rPr>
        <w:t>” shall mean the 4.250% Senior Notes of Wynn Las Vegas due 2023 in the original aggregate principal amount of $500.0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2025 Notes</w:t>
      </w:r>
      <w:r>
        <w:rPr>
          <w:rFonts w:ascii="Arial" w:cs="Arial" w:eastAsia="Arial" w:hAnsi="Arial"/>
          <w:sz w:val="18"/>
          <w:szCs w:val="18"/>
          <w:color w:val="auto"/>
        </w:rPr>
        <w:t>” shall mean the 5.500% Senior Notes of Wynn Las Vegas due 2025 in the original aggregate principal amount of $1,800.0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2027 Notes</w:t>
      </w:r>
      <w:r>
        <w:rPr>
          <w:rFonts w:ascii="Arial" w:cs="Arial" w:eastAsia="Arial" w:hAnsi="Arial"/>
          <w:sz w:val="18"/>
          <w:szCs w:val="18"/>
          <w:color w:val="auto"/>
        </w:rPr>
        <w:t>” shall mean the 5.250% Senior Notes of Wynn Las Vegas due 2027 in the original aggregate principal amount of $900.0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Convention Center</w:t>
      </w:r>
      <w:r>
        <w:rPr>
          <w:rFonts w:ascii="Arial" w:cs="Arial" w:eastAsia="Arial" w:hAnsi="Arial"/>
          <w:sz w:val="18"/>
          <w:szCs w:val="18"/>
          <w:color w:val="auto"/>
        </w:rPr>
        <w:t>” shall mean an approximately 400,000 square foot convention and meeting center and related amenities (including related Real Property and improvements thereon) located adjacent to the Wynn Las Vegas Resort.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Convention Center Acquisition</w:t>
      </w:r>
      <w:r>
        <w:rPr>
          <w:rFonts w:ascii="Arial" w:cs="Arial" w:eastAsia="Arial" w:hAnsi="Arial"/>
          <w:sz w:val="18"/>
          <w:szCs w:val="18"/>
          <w:color w:val="auto"/>
        </w:rPr>
        <w:t>” shall mean the acquisition (whether by fee or absolute assignment, leasehold or lease or otherwise) by Borrower and/or its Restricted Subsidiaries of the Wynn Las Vegas Convention Center from Affiliates of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Notes</w:t>
      </w:r>
      <w:r>
        <w:rPr>
          <w:rFonts w:ascii="Arial" w:cs="Arial" w:eastAsia="Arial" w:hAnsi="Arial"/>
          <w:sz w:val="18"/>
          <w:szCs w:val="18"/>
          <w:color w:val="auto"/>
        </w:rPr>
        <w:t xml:space="preserve">” shall mean each of the Wynn Las Vegas 2023 Notes, the Wynn Las Vegas 2025 Notes, and the Wynn Las Vegas 2027 Notes, together with, without duplication, any other Indebtedness permitted to be incurred under </w:t>
      </w:r>
      <w:r>
        <w:rPr>
          <w:rFonts w:ascii="Arial" w:cs="Arial" w:eastAsia="Arial" w:hAnsi="Arial"/>
          <w:sz w:val="18"/>
          <w:szCs w:val="18"/>
          <w:u w:val="single" w:color="auto"/>
          <w:color w:val="auto"/>
        </w:rPr>
        <w:t>Section 10.01(e)</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Pledge</w:t>
      </w:r>
      <w:r>
        <w:rPr>
          <w:rFonts w:ascii="Arial" w:cs="Arial" w:eastAsia="Arial" w:hAnsi="Arial"/>
          <w:sz w:val="18"/>
          <w:szCs w:val="18"/>
          <w:color w:val="auto"/>
        </w:rPr>
        <w:t>” shall mean the direct pledge of the Equity Interests in Wynn Las Vegas and related ancillary rights as collateral security in favor of the holders of Wynn Las Vegas Notes.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Resort</w:t>
      </w:r>
      <w:r>
        <w:rPr>
          <w:rFonts w:ascii="Arial" w:cs="Arial" w:eastAsia="Arial" w:hAnsi="Arial"/>
          <w:sz w:val="18"/>
          <w:szCs w:val="18"/>
          <w:color w:val="auto"/>
        </w:rPr>
        <w:t>” means the Wynn Las Vegas hotel and casino resort.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5" w:right="239" w:bottom="1440" w:gutter="0" w:footer="0" w:header="0"/>
        </w:sectPr>
      </w:pPr>
    </w:p>
    <w:bookmarkStart w:id="271" w:name="page272"/>
    <w:bookmarkEnd w:id="27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w:t>
      </w:r>
      <w:r>
        <w:rPr>
          <w:rFonts w:ascii="Arial" w:cs="Arial" w:eastAsia="Arial" w:hAnsi="Arial"/>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w:t>
      </w:r>
      <w:r>
        <w:rPr>
          <w:rFonts w:ascii="Arial" w:cs="Arial" w:eastAsia="Arial" w:hAnsi="Arial"/>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Resort</w:t>
      </w:r>
      <w:r>
        <w:rPr>
          <w:rFonts w:ascii="Arial" w:cs="Arial" w:eastAsia="Arial" w:hAnsi="Arial"/>
          <w:sz w:val="18"/>
          <w:szCs w:val="18"/>
          <w:color w:val="auto"/>
        </w:rPr>
        <w:t>” shall mean the casino resort and related amenities owned and/or operated by Borrower and its Subsidiaries in Everett, Massachusetts.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shall mean Wynn Resorts, Limited, a Nevada corporation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Finance Notes</w:t>
      </w:r>
      <w:r>
        <w:rPr>
          <w:rFonts w:ascii="Arial" w:cs="Arial" w:eastAsia="Arial" w:hAnsi="Arial"/>
          <w:sz w:val="18"/>
          <w:szCs w:val="18"/>
          <w:color w:val="auto"/>
        </w:rPr>
        <w:t>” shall mean the 5.125% Senior Notes of Borrower due 2029 in the original aggregate principal amount of $750,000,000.</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1.02. Accounting Terms and Determinations</w:t>
      </w:r>
      <w:r>
        <w:rPr>
          <w:rFonts w:ascii="Arial" w:cs="Arial" w:eastAsia="Arial" w:hAnsi="Arial"/>
          <w:sz w:val="17"/>
          <w:szCs w:val="17"/>
          <w:color w:val="auto"/>
        </w:rPr>
        <w:t>. Except as otherwise provided in this Agreement, all computations and determinations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1.03. Classes and Types of Loans</w:t>
      </w:r>
      <w:r>
        <w:rPr>
          <w:rFonts w:ascii="Arial" w:cs="Arial" w:eastAsia="Arial" w:hAnsi="Arial"/>
          <w:sz w:val="18"/>
          <w:szCs w:val="18"/>
          <w:color w:val="auto"/>
        </w:rPr>
        <w:t>. Loans hereunder are distinguished by “Class” and by “Type.” The “Class” of a Loan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 Loan) refers to whether such Loan is a Revolving Loan of any particular Tranche, a Term A Facility Loan, a New Term Loan of any particular Tranche, or a Term Loan of any particular Tranche of Term Loans created pursuant to an Extension Amendment or a Refinancing Amendment, each of which constitutes a Class. The “Type” of a Loan refers to whether such Loan is an ABR Loan or a LIBOR Loan, each of which constitutes a Type. Loans may be identified by both Class and Type.</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Rules of Construction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41" w:val="left"/>
        </w:tabs>
        <w:numPr>
          <w:ilvl w:val="1"/>
          <w:numId w:val="251"/>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in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78" w:lineRule="exact"/>
        <w:rPr>
          <w:rFonts w:ascii="Arial" w:cs="Arial" w:eastAsia="Arial" w:hAnsi="Arial"/>
          <w:sz w:val="17"/>
          <w:szCs w:val="17"/>
          <w:color w:val="auto"/>
        </w:rPr>
      </w:pPr>
    </w:p>
    <w:p>
      <w:pPr>
        <w:ind w:left="1200" w:hanging="544"/>
        <w:spacing w:after="0"/>
        <w:tabs>
          <w:tab w:leader="none" w:pos="120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w:t>
      </w:r>
    </w:p>
    <w:p>
      <w:pPr>
        <w:spacing w:after="0" w:line="34" w:lineRule="exact"/>
        <w:rPr>
          <w:rFonts w:ascii="Arial" w:cs="Arial" w:eastAsia="Arial" w:hAnsi="Arial"/>
          <w:sz w:val="17"/>
          <w:szCs w:val="17"/>
          <w:color w:val="auto"/>
        </w:rPr>
      </w:pPr>
    </w:p>
    <w:p>
      <w:pPr>
        <w:jc w:val="both"/>
        <w:ind w:firstLine="8"/>
        <w:spacing w:after="0" w:line="255" w:lineRule="auto"/>
        <w:tabs>
          <w:tab w:leader="none" w:pos="21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w:t>
      </w:r>
      <w:r>
        <w:rPr>
          <w:rFonts w:ascii="Arial" w:cs="Arial" w:eastAsia="Arial" w:hAnsi="Arial"/>
          <w:sz w:val="18"/>
          <w:szCs w:val="18"/>
          <w:color w:val="auto"/>
        </w:rPr>
        <w:t>” shall mean “amend, restate, amend and restate, supplement or modify”; and “</w:t>
      </w:r>
      <w:r>
        <w:rPr>
          <w:rFonts w:ascii="Arial" w:cs="Arial" w:eastAsia="Arial" w:hAnsi="Arial"/>
          <w:sz w:val="18"/>
          <w:szCs w:val="18"/>
          <w:b w:val="1"/>
          <w:bCs w:val="1"/>
          <w:color w:val="auto"/>
        </w:rPr>
        <w:t>amended</w:t>
      </w:r>
      <w:r>
        <w:rPr>
          <w:rFonts w:ascii="Arial" w:cs="Arial" w:eastAsia="Arial" w:hAnsi="Arial"/>
          <w:sz w:val="18"/>
          <w:szCs w:val="18"/>
          <w:color w:val="auto"/>
        </w:rPr>
        <w:t>,” “</w:t>
      </w:r>
      <w:r>
        <w:rPr>
          <w:rFonts w:ascii="Arial" w:cs="Arial" w:eastAsia="Arial" w:hAnsi="Arial"/>
          <w:sz w:val="18"/>
          <w:szCs w:val="18"/>
          <w:b w:val="1"/>
          <w:bCs w:val="1"/>
          <w:color w:val="auto"/>
        </w:rPr>
        <w:t>amending</w:t>
      </w:r>
      <w:r>
        <w:rPr>
          <w:rFonts w:ascii="Arial" w:cs="Arial" w:eastAsia="Arial" w:hAnsi="Arial"/>
          <w:sz w:val="18"/>
          <w:szCs w:val="18"/>
          <w:color w:val="auto"/>
        </w:rPr>
        <w:t>” and “</w:t>
      </w:r>
      <w:r>
        <w:rPr>
          <w:rFonts w:ascii="Arial" w:cs="Arial" w:eastAsia="Arial" w:hAnsi="Arial"/>
          <w:sz w:val="18"/>
          <w:szCs w:val="18"/>
          <w:b w:val="1"/>
          <w:bCs w:val="1"/>
          <w:color w:val="auto"/>
        </w:rPr>
        <w:t>amendment</w:t>
      </w:r>
      <w:r>
        <w:rPr>
          <w:rFonts w:ascii="Arial" w:cs="Arial" w:eastAsia="Arial" w:hAnsi="Arial"/>
          <w:sz w:val="18"/>
          <w:szCs w:val="18"/>
          <w:color w:val="auto"/>
        </w:rPr>
        <w:t>” shall have meanings correlative to the foregoing; (ii) in the computation of periods of time from a specified date to a later specified date, “</w:t>
      </w:r>
      <w:r>
        <w:rPr>
          <w:rFonts w:ascii="Arial" w:cs="Arial" w:eastAsia="Arial" w:hAnsi="Arial"/>
          <w:sz w:val="18"/>
          <w:szCs w:val="18"/>
          <w:b w:val="1"/>
          <w:bCs w:val="1"/>
          <w:color w:val="auto"/>
        </w:rPr>
        <w:t>from</w:t>
      </w:r>
      <w:r>
        <w:rPr>
          <w:rFonts w:ascii="Arial" w:cs="Arial" w:eastAsia="Arial" w:hAnsi="Arial"/>
          <w:sz w:val="18"/>
          <w:szCs w:val="18"/>
          <w:color w:val="auto"/>
        </w:rPr>
        <w:t>” shall mean “from and including”; “</w:t>
      </w:r>
      <w:r>
        <w:rPr>
          <w:rFonts w:ascii="Arial" w:cs="Arial" w:eastAsia="Arial" w:hAnsi="Arial"/>
          <w:sz w:val="18"/>
          <w:szCs w:val="18"/>
          <w:b w:val="1"/>
          <w:bCs w:val="1"/>
          <w:color w:val="auto"/>
        </w:rPr>
        <w:t>to</w:t>
      </w:r>
      <w:r>
        <w:rPr>
          <w:rFonts w:ascii="Arial" w:cs="Arial" w:eastAsia="Arial" w:hAnsi="Arial"/>
          <w:sz w:val="18"/>
          <w:szCs w:val="18"/>
          <w:color w:val="auto"/>
        </w:rPr>
        <w:t>”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272" w:name="page273"/>
    <w:bookmarkEnd w:id="272"/>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until</w:t>
      </w:r>
      <w:r>
        <w:rPr>
          <w:rFonts w:ascii="Arial" w:cs="Arial" w:eastAsia="Arial" w:hAnsi="Arial"/>
          <w:sz w:val="17"/>
          <w:szCs w:val="17"/>
          <w:color w:val="auto"/>
        </w:rPr>
        <w:t>” shall mean “to but excluding”; and “</w:t>
      </w:r>
      <w:r>
        <w:rPr>
          <w:rFonts w:ascii="Arial" w:cs="Arial" w:eastAsia="Arial" w:hAnsi="Arial"/>
          <w:sz w:val="17"/>
          <w:szCs w:val="17"/>
          <w:b w:val="1"/>
          <w:bCs w:val="1"/>
          <w:color w:val="auto"/>
        </w:rPr>
        <w:t>through</w:t>
      </w:r>
      <w:r>
        <w:rPr>
          <w:rFonts w:ascii="Arial" w:cs="Arial" w:eastAsia="Arial" w:hAnsi="Arial"/>
          <w:sz w:val="17"/>
          <w:szCs w:val="17"/>
          <w:color w:val="auto"/>
        </w:rPr>
        <w:t>” shall mean “to and including”; (iii)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and “</w:t>
      </w:r>
      <w:r>
        <w:rPr>
          <w:rFonts w:ascii="Arial" w:cs="Arial" w:eastAsia="Arial" w:hAnsi="Arial"/>
          <w:sz w:val="17"/>
          <w:szCs w:val="17"/>
          <w:b w:val="1"/>
          <w:bCs w:val="1"/>
          <w:color w:val="auto"/>
        </w:rPr>
        <w:t>hereunder</w:t>
      </w:r>
      <w:r>
        <w:rPr>
          <w:rFonts w:ascii="Arial" w:cs="Arial" w:eastAsia="Arial" w:hAnsi="Arial"/>
          <w:sz w:val="17"/>
          <w:szCs w:val="17"/>
          <w:color w:val="auto"/>
        </w:rPr>
        <w:t>” (and similar terms) in any Credit Document refer to such Credit Document as a whole and not to any particular provision of such Credit Document; (iv) “</w:t>
      </w:r>
      <w:r>
        <w:rPr>
          <w:rFonts w:ascii="Arial" w:cs="Arial" w:eastAsia="Arial" w:hAnsi="Arial"/>
          <w:sz w:val="17"/>
          <w:szCs w:val="17"/>
          <w:b w:val="1"/>
          <w:bCs w:val="1"/>
          <w:color w:val="auto"/>
        </w:rPr>
        <w:t>including</w:t>
      </w:r>
      <w:r>
        <w:rPr>
          <w:rFonts w:ascii="Arial" w:cs="Arial" w:eastAsia="Arial" w:hAnsi="Arial"/>
          <w:sz w:val="17"/>
          <w:szCs w:val="17"/>
          <w:color w:val="auto"/>
        </w:rPr>
        <w:t>” (and similar terms) shall mean “including without limitation” (and similarly for similar terms); (v) “</w:t>
      </w:r>
      <w:r>
        <w:rPr>
          <w:rFonts w:ascii="Arial" w:cs="Arial" w:eastAsia="Arial" w:hAnsi="Arial"/>
          <w:sz w:val="17"/>
          <w:szCs w:val="17"/>
          <w:b w:val="1"/>
          <w:bCs w:val="1"/>
          <w:color w:val="auto"/>
        </w:rPr>
        <w:t>or</w:t>
      </w:r>
      <w:r>
        <w:rPr>
          <w:rFonts w:ascii="Arial" w:cs="Arial" w:eastAsia="Arial" w:hAnsi="Arial"/>
          <w:sz w:val="17"/>
          <w:szCs w:val="17"/>
          <w:color w:val="auto"/>
        </w:rPr>
        <w:t>” has the inclusive meaning represented by the phrase “and/or”;</w:t>
      </w:r>
    </w:p>
    <w:p>
      <w:pPr>
        <w:spacing w:after="0" w:line="2" w:lineRule="exact"/>
        <w:rPr>
          <w:sz w:val="20"/>
          <w:szCs w:val="20"/>
          <w:color w:val="auto"/>
        </w:rPr>
      </w:pPr>
    </w:p>
    <w:p>
      <w:pPr>
        <w:ind w:firstLine="8"/>
        <w:spacing w:after="0" w:line="261" w:lineRule="auto"/>
        <w:tabs>
          <w:tab w:leader="none" w:pos="30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the date hereof</w:t>
      </w:r>
      <w:r>
        <w:rPr>
          <w:rFonts w:ascii="Arial" w:cs="Arial" w:eastAsia="Arial" w:hAnsi="Arial"/>
          <w:sz w:val="18"/>
          <w:szCs w:val="18"/>
          <w:color w:val="auto"/>
        </w:rPr>
        <w:t>” shall mean the date first set forth above; (vii) “</w:t>
      </w:r>
      <w:r>
        <w:rPr>
          <w:rFonts w:ascii="Arial" w:cs="Arial" w:eastAsia="Arial" w:hAnsi="Arial"/>
          <w:sz w:val="18"/>
          <w:szCs w:val="18"/>
          <w:b w:val="1"/>
          <w:bCs w:val="1"/>
          <w:color w:val="auto"/>
        </w:rPr>
        <w:t>asset</w:t>
      </w:r>
      <w:r>
        <w:rPr>
          <w:rFonts w:ascii="Arial" w:cs="Arial" w:eastAsia="Arial" w:hAnsi="Arial"/>
          <w:sz w:val="18"/>
          <w:szCs w:val="18"/>
          <w:color w:val="auto"/>
        </w:rPr>
        <w:t>” and “</w:t>
      </w:r>
      <w:r>
        <w:rPr>
          <w:rFonts w:ascii="Arial" w:cs="Arial" w:eastAsia="Arial" w:hAnsi="Arial"/>
          <w:sz w:val="18"/>
          <w:szCs w:val="18"/>
          <w:b w:val="1"/>
          <w:bCs w:val="1"/>
          <w:color w:val="auto"/>
        </w:rPr>
        <w:t>property</w:t>
      </w:r>
      <w:r>
        <w:rPr>
          <w:rFonts w:ascii="Arial" w:cs="Arial" w:eastAsia="Arial" w:hAnsi="Arial"/>
          <w:sz w:val="18"/>
          <w:szCs w:val="18"/>
          <w:color w:val="auto"/>
        </w:rPr>
        <w:t>” shall have the same meaning and effect and refer to all Property; and (viii) a “</w:t>
      </w:r>
      <w:r>
        <w:rPr>
          <w:rFonts w:ascii="Arial" w:cs="Arial" w:eastAsia="Arial" w:hAnsi="Arial"/>
          <w:sz w:val="18"/>
          <w:szCs w:val="18"/>
          <w:b w:val="1"/>
          <w:bCs w:val="1"/>
          <w:color w:val="auto"/>
        </w:rPr>
        <w:t>fiscal year</w:t>
      </w:r>
      <w:r>
        <w:rPr>
          <w:rFonts w:ascii="Arial" w:cs="Arial" w:eastAsia="Arial" w:hAnsi="Arial"/>
          <w:sz w:val="18"/>
          <w:szCs w:val="18"/>
          <w:color w:val="auto"/>
        </w:rPr>
        <w:t>” or a “</w:t>
      </w:r>
      <w:r>
        <w:rPr>
          <w:rFonts w:ascii="Arial" w:cs="Arial" w:eastAsia="Arial" w:hAnsi="Arial"/>
          <w:sz w:val="18"/>
          <w:szCs w:val="18"/>
          <w:b w:val="1"/>
          <w:bCs w:val="1"/>
          <w:color w:val="auto"/>
        </w:rPr>
        <w:t>fiscal quarter</w:t>
      </w:r>
      <w:r>
        <w:rPr>
          <w:rFonts w:ascii="Arial" w:cs="Arial" w:eastAsia="Arial" w:hAnsi="Arial"/>
          <w:sz w:val="18"/>
          <w:szCs w:val="18"/>
          <w:color w:val="auto"/>
        </w:rPr>
        <w:t>” is a reference to a fiscal year or fiscal quarter of Borrower.</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055" w:val="left"/>
        </w:tabs>
        <w:numPr>
          <w:ilvl w:val="1"/>
          <w:numId w:val="253"/>
        </w:numPr>
        <w:rPr>
          <w:rFonts w:ascii="Arial" w:cs="Arial" w:eastAsia="Arial" w:hAnsi="Arial"/>
          <w:sz w:val="18"/>
          <w:szCs w:val="18"/>
          <w:color w:val="auto"/>
        </w:rPr>
      </w:pPr>
      <w:r>
        <w:rPr>
          <w:rFonts w:ascii="Arial" w:cs="Arial" w:eastAsia="Arial" w:hAnsi="Arial"/>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81" w:lineRule="exact"/>
        <w:rPr>
          <w:rFonts w:ascii="Arial" w:cs="Arial" w:eastAsia="Arial" w:hAnsi="Arial"/>
          <w:sz w:val="18"/>
          <w:szCs w:val="18"/>
          <w:color w:val="auto"/>
        </w:rPr>
      </w:pPr>
    </w:p>
    <w:p>
      <w:pPr>
        <w:jc w:val="both"/>
        <w:ind w:firstLine="656"/>
        <w:spacing w:after="0" w:line="285" w:lineRule="auto"/>
        <w:tabs>
          <w:tab w:leader="none" w:pos="1106" w:val="left"/>
        </w:tabs>
        <w:numPr>
          <w:ilvl w:val="1"/>
          <w:numId w:val="253"/>
        </w:numPr>
        <w:rPr>
          <w:rFonts w:ascii="Arial" w:cs="Arial" w:eastAsia="Arial" w:hAnsi="Arial"/>
          <w:sz w:val="16"/>
          <w:szCs w:val="16"/>
          <w:color w:val="auto"/>
        </w:rPr>
      </w:pPr>
      <w:r>
        <w:rPr>
          <w:rFonts w:ascii="Arial" w:cs="Arial" w:eastAsia="Arial" w:hAnsi="Arial"/>
          <w:sz w:val="16"/>
          <w:szCs w:val="16"/>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(ii) references to any Requirement of Law shall include all statutory and regulatory provisions consolidating, amending, replacing, supplementing or interpreting such Requirement of Law, and</w:t>
      </w:r>
    </w:p>
    <w:p>
      <w:pPr>
        <w:spacing w:after="0" w:line="2" w:lineRule="exact"/>
        <w:rPr>
          <w:rFonts w:ascii="Arial" w:cs="Arial" w:eastAsia="Arial" w:hAnsi="Arial"/>
          <w:sz w:val="16"/>
          <w:szCs w:val="16"/>
          <w:color w:val="auto"/>
        </w:rPr>
      </w:pPr>
    </w:p>
    <w:p>
      <w:pPr>
        <w:ind w:firstLine="8"/>
        <w:spacing w:after="0" w:line="261" w:lineRule="auto"/>
        <w:tabs>
          <w:tab w:leader="none" w:pos="32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the avoidance of doubt, any reference herein to “the date hereof” or words of similar import shall refer to the date that this Agreement was initially entered into (September 20, 2019).</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04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Exchange Rates; Currency Equivalents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068"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 shall be such Dollar Equivalent amount as so determined by Administrative Agent or the applicable L/C Lender, as applicable.</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10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Wherever in this Agreement in connection with the issuance, amendment or extension of a Letter of Credit, an amount, such as a required minimum or multiple amount, is expressed in Dollars, but such Borrowing, LIBOR Loan or Letter of Credit is denominated in an Alternate Currency, such amount shall be the relevant Alternative Currency Equivalent of such Dollar amount (rounded to the nearest unit of such Alternate Currency, with 0.5 of a unit being rounded upward), as determined by Administrative Agent or the applicable L/C Lender, as the case may be.</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14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Administrative Agent does not warrant, nor accept responsibility, nor shall Administrative Agent have any liability with respect to the administration, submission or any other matter related to the rates in the definition of “LIBO Rate” or any rate that is an alternative or replacement for or successor to any of such rate or the effect of the foregoing.</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Pro Forma Calculations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17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Notwithstanding anything to the contrary herein, Consolidated EBITDA, total assets, the Consolidated First Lien Net Leverage Ratio, Consolidated Senior Secured Net Leverage Ratio, Consolidated Total Net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1" w:right="239" w:bottom="1440" w:gutter="0" w:footer="0" w:header="0"/>
        </w:sectPr>
      </w:pPr>
    </w:p>
    <w:bookmarkStart w:id="273" w:name="page274"/>
    <w:bookmarkEnd w:id="273"/>
    <w:p>
      <w:pPr>
        <w:jc w:val="both"/>
        <w:spacing w:after="0" w:line="302" w:lineRule="auto"/>
        <w:rPr>
          <w:sz w:val="20"/>
          <w:szCs w:val="20"/>
          <w:color w:val="auto"/>
        </w:rPr>
      </w:pPr>
      <w:r>
        <w:rPr>
          <w:rFonts w:ascii="Arial" w:cs="Arial" w:eastAsia="Arial" w:hAnsi="Arial"/>
          <w:sz w:val="16"/>
          <w:szCs w:val="16"/>
          <w:color w:val="auto"/>
        </w:rPr>
        <w:t xml:space="preserve">Leverage Ratio, and Consolidated Fixed Charge Coverage Ratio shall be calculated in the manner prescribed by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clauses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when calculating Consolidated EBITDA and the Consolidated First Lien Net Leverage Ratio for purposes of determining actual compliance (and not compliance on a Pro Forma Basis) with the Financial Maintenance Covenant, the events described in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that occurred subsequent to the end of the applicable Test Period shall not be given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w:t>
      </w:r>
    </w:p>
    <w:p>
      <w:pPr>
        <w:spacing w:after="0" w:line="154" w:lineRule="exact"/>
        <w:rPr>
          <w:sz w:val="20"/>
          <w:szCs w:val="20"/>
          <w:color w:val="auto"/>
        </w:rPr>
      </w:pPr>
    </w:p>
    <w:p>
      <w:pPr>
        <w:jc w:val="both"/>
        <w:ind w:firstLine="656"/>
        <w:spacing w:after="0" w:line="269" w:lineRule="auto"/>
        <w:tabs>
          <w:tab w:leader="none" w:pos="106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For purposes of calculating Consolidated EBITDA, total assets, the Consolidated First Lien Net Leverage Ratio, Consolidated Senior Secured Net Leverage Ratio, Consolidated Total Net Leverage Ratio, and Consolidated Fixed Charge Coverage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then Consolidated EBITDA, total assets, the Consolidated First Lien Net Leverage Ratio, Consolidated Senior Secured Net Leverage Ratio, Consolidated Total Net Leverage Ratio, and the Consolidated Fixed Charge Coverage Ratio shall be calculated to give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in accordance with this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656"/>
        <w:spacing w:after="0" w:line="287" w:lineRule="auto"/>
        <w:tabs>
          <w:tab w:leader="none" w:pos="105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Whenever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is to be given to a Specified Transaction, the pro forma calculations shall be made in good faith by a Responsible Officer of Borrower and include, for the avoidance of doubt, the amount of cost savings, operating expense reductions, other operating improvements, and synergies projected by Borrower in good faith to be realized as a result of specified actions taken or with respect to which steps have been initiated, or are reasonably expected to be initiated, within eighteen (18) months of the closing date of such Specified Transaction (in the good faith determination of Borrower)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though such cost savings, operating expense reductions, other operating improvements, and synergies had been realized during the entirety of the applicable period), net of the amount of actual benefits realized during such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cost savings, operating expense reductions, other operating improvements, and synergies, the limitations and requirements set forth in clause (c) of the definition of Consolidated EBITDA (other than the requirement set forth in clause (c) of Consolidated EBITDA that steps have been initiated or taken) shall apply;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duplicative of one another.</w:t>
      </w:r>
    </w:p>
    <w:p>
      <w:pPr>
        <w:spacing w:after="0" w:line="172" w:lineRule="exact"/>
        <w:rPr>
          <w:rFonts w:ascii="Arial" w:cs="Arial" w:eastAsia="Arial" w:hAnsi="Arial"/>
          <w:sz w:val="16"/>
          <w:szCs w:val="16"/>
          <w:color w:val="auto"/>
        </w:rPr>
      </w:pPr>
    </w:p>
    <w:p>
      <w:pPr>
        <w:jc w:val="both"/>
        <w:ind w:firstLine="656"/>
        <w:spacing w:after="0" w:line="268" w:lineRule="auto"/>
        <w:tabs>
          <w:tab w:leader="none" w:pos="1092"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In the event that Borrower or any Restricted Subsidiary incurs (including by assumption or guarantees) or repays (including by redemption, repayment, prepayment, retirement, exchange or extinguishment) any Indebtedness included in the calculations of Consolidated EBITDA, total assets, the Consolidated First Lien Net Leverage Ratio, Consolidated Senior Secured Net Leverage Ratio, Consolidated Total Net Leverage Ratio, and Consolidated Fixed Charge Coverage Ratio, as the case may be (in each case, other than Indebtedness incurred or repaid under any revolving credit facility without a corresponding permanent reduction in the commitments with respect thereto), (i) during the applicable Test Period and/or (ii) subsequent to the end of the applicable Test Period and prior to or simultaneously with the event for which the calculation of any such ratio is made, then Consolidated EBITDA, total assets, the Consolidated First Lien Net Leverage Ratio, Consolidated Senior Secured Net Leverage Ratio, Consolidated Total Net Leverage Ratio, and the Consolidated Fixed Charge Coverage Ratio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or repayment of Indebtedness, to the extent required, as if the same had occurred on the last day of the applicable Test Period in the case of Consolidated EBITDA, total assets, the Consolidated First Lien Net Leverage Ratio, Consolidated Senior Secured Net Leverage Ratio, Consolidated Total Net Leverage Ratio and on the first day of the applicable Test Period in the case of the Consolidated Fixed Charge Coverage Ratio. Interest on a Capital Lease shall be deemed to accrue at an interest rate reasonably determined by a responsible financial or accounting officer of Borrower to be the rate of interest implicit in such Capital Lease in accordance with GAAP. Interest on Indebtedness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5" w:right="239" w:bottom="1440" w:gutter="0" w:footer="0" w:header="0"/>
        </w:sectPr>
      </w:pPr>
    </w:p>
    <w:bookmarkStart w:id="274" w:name="page275"/>
    <w:bookmarkEnd w:id="274"/>
    <w:p>
      <w:pPr>
        <w:jc w:val="both"/>
        <w:spacing w:after="0" w:line="308" w:lineRule="auto"/>
        <w:rPr>
          <w:sz w:val="20"/>
          <w:szCs w:val="20"/>
          <w:color w:val="auto"/>
        </w:rPr>
      </w:pPr>
      <w:r>
        <w:rPr>
          <w:rFonts w:ascii="Arial" w:cs="Arial" w:eastAsia="Arial" w:hAnsi="Arial"/>
          <w:sz w:val="17"/>
          <w:szCs w:val="17"/>
          <w:color w:val="auto"/>
        </w:rPr>
        <w:t>that may optionally be determined at an interest rate based upon a factor of a prime or similar rate, a London interbank offered rate, or other rate, shall be determined to have been based upon the rate actually chosen, or if none, then based upon such optional rate chosen as Borrower may designate.</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1.07. Letter of Credit Amounts</w:t>
      </w:r>
      <w:r>
        <w:rPr>
          <w:rFonts w:ascii="Arial" w:cs="Arial" w:eastAsia="Arial" w:hAnsi="Arial"/>
          <w:sz w:val="18"/>
          <w:szCs w:val="18"/>
          <w:color w:val="auto"/>
        </w:rPr>
        <w:t>. Unless otherwise specified herein, the amount of a Letter of Credit at any time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Dollar Equivalent of the stated amount of such Letter of Credit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1.08. Limited Condition Transactions</w:t>
      </w:r>
      <w:r>
        <w:rPr>
          <w:rFonts w:ascii="Arial" w:cs="Arial" w:eastAsia="Arial" w:hAnsi="Arial"/>
          <w:sz w:val="16"/>
          <w:szCs w:val="16"/>
          <w:color w:val="auto"/>
        </w:rPr>
        <w:t>. For purposes of (i) determining compliance with any provision of this Agreement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Credit Document which requires the calculation of Consolidated EBITDA, total assets, the Consolidated First Lien Net Leverage Ratio, Consolidated Senior Secured Net Leverage Ratio, Consolidated Total Net Leverage Ratio, or the Consolidated Fixed Charge Coverage Ratio, (ii) determining compliance with representations, warranties, Defaults or Events of Default, or (iii) testing availability under baskets set forth in this Agreement or any other Credit Document (including baskets measured as a percentage of Consolidated EBITDA), in each case, in connection with a Limited Condition Transaction, at the option of Borrower (Borrower’s election to exercise such option in connection with any Limited Condition Transaction, an “</w:t>
      </w:r>
      <w:r>
        <w:rPr>
          <w:rFonts w:ascii="Arial" w:cs="Arial" w:eastAsia="Arial" w:hAnsi="Arial"/>
          <w:sz w:val="16"/>
          <w:szCs w:val="16"/>
          <w:b w:val="1"/>
          <w:bCs w:val="1"/>
          <w:color w:val="auto"/>
        </w:rPr>
        <w:t>LCT Election</w:t>
      </w:r>
      <w:r>
        <w:rPr>
          <w:rFonts w:ascii="Arial" w:cs="Arial" w:eastAsia="Arial" w:hAnsi="Arial"/>
          <w:sz w:val="16"/>
          <w:szCs w:val="16"/>
          <w:color w:val="auto"/>
        </w:rPr>
        <w:t>”), the date of determination of whether any such action is permitted under this Agreement and the other Credit Documents shall be deemed to be the date the definitive agreements for such Limited Condition Transaction are entered into (or, with respect to the incurrence of Indebtedness and Liens, the Limited Condition Transaction for which the proceeds will be used) (the “</w:t>
      </w:r>
      <w:r>
        <w:rPr>
          <w:rFonts w:ascii="Arial" w:cs="Arial" w:eastAsia="Arial" w:hAnsi="Arial"/>
          <w:sz w:val="16"/>
          <w:szCs w:val="16"/>
          <w:b w:val="1"/>
          <w:bCs w:val="1"/>
          <w:color w:val="auto"/>
        </w:rPr>
        <w:t>LCT Test Date</w:t>
      </w:r>
      <w:r>
        <w:rPr>
          <w:rFonts w:ascii="Arial" w:cs="Arial" w:eastAsia="Arial" w:hAnsi="Arial"/>
          <w:sz w:val="16"/>
          <w:szCs w:val="16"/>
          <w:color w:val="auto"/>
        </w:rPr>
        <w:t>”), and if, after giving effect on a Pro Forma Basis to the Limited Condition Transaction and the other transactions to be entered into in connection therewith as if they had occurred at the beginning of the most recent Test Period ending prior to the LCT Test Date, Borrower could have taken such action on the relevant LCT Test Date in compliance with such representation, warranty, absence of Default or Event of Default, ratio or basket, such representation, warranty, absence of Default or Event of Default, ratio or basket shall be deemed to have been complied with. For the avoidance of doubt, if Borrower has made an LCT Election and any of the ratios or baskets for which compliance was determined or tested as of the LCT Test Date are exceeded as a result of fluctuations in any such ratio or basket (including due to fluctuations in Consolidated EBITDA of Borrower or the Person subject to such Limited Condition Transaction) at or prior to the consummation of the relevant transaction or action, such baskets or ratios will not be deemed to have been exceeded as a result of such fluctuations. If Borrower has made an LCT Election for any Limited Condition Transaction, then in connection with any subsequent calculation of ratios or baskets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Notwithstanding the foregoing, the amount of (i) any Incremental Commitments that may be incurred under the Incremental Incurrence-Based Amount and (ii) any Indebtedness that may be incurred under the Ratio Incurrence-Based Amount, in each case, determined at the time of signing of definitive documentation with respect to, or giving of notice with respect to, a Limited Condition Transaction may be recalculated, at the option of Borrower, at the time of funding.</w:t>
      </w:r>
    </w:p>
    <w:p>
      <w:pPr>
        <w:spacing w:after="0" w:line="39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6"/>
          <w:szCs w:val="16"/>
          <w:b w:val="1"/>
          <w:bCs w:val="1"/>
          <w:color w:val="auto"/>
        </w:rPr>
        <w:t>Ratio Calculations; Negative Covenant Reclassification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2" w:lineRule="auto"/>
        <w:tabs>
          <w:tab w:leader="none" w:pos="108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With respect to any amounts incurred or transactions entered into (or consummated) in reliance on a provision of any Credit Document that does not require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 Pro Forma Basis) (any such amounts (which will include any related “grower” component), the “</w:t>
      </w:r>
      <w:r>
        <w:rPr>
          <w:rFonts w:ascii="Arial" w:cs="Arial" w:eastAsia="Arial" w:hAnsi="Arial"/>
          <w:sz w:val="17"/>
          <w:szCs w:val="17"/>
          <w:b w:val="1"/>
          <w:bCs w:val="1"/>
          <w:color w:val="auto"/>
        </w:rPr>
        <w:t>Fixed Amounts</w:t>
      </w:r>
      <w:r>
        <w:rPr>
          <w:rFonts w:ascii="Arial" w:cs="Arial" w:eastAsia="Arial" w:hAnsi="Arial"/>
          <w:sz w:val="17"/>
          <w:szCs w:val="17"/>
          <w:color w:val="auto"/>
        </w:rPr>
        <w:t>”) substantially concurrently with any amounts incurred or transactions entered into (or consummated) in reliance on a provision of such Credit Document that requires compliance with a financial ratio or test (including the Consolidated First Lien Net Leverage Ratio, Consolidated Senior Secured Net Leverage Ratio, Consolidated Total Net Leverage Ratio, and/or Consolidated Fixed Charge Coverage Ratio, whether or not specifically required to be determined on 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275" w:name="page276"/>
    <w:bookmarkEnd w:id="275"/>
    <w:p>
      <w:pPr>
        <w:jc w:val="both"/>
        <w:spacing w:after="0" w:line="289" w:lineRule="auto"/>
        <w:rPr>
          <w:sz w:val="20"/>
          <w:szCs w:val="20"/>
          <w:color w:val="auto"/>
        </w:rPr>
      </w:pPr>
      <w:r>
        <w:rPr>
          <w:rFonts w:ascii="Arial" w:cs="Arial" w:eastAsia="Arial" w:hAnsi="Arial"/>
          <w:sz w:val="16"/>
          <w:szCs w:val="16"/>
          <w:color w:val="auto"/>
        </w:rPr>
        <w:t>Pro Forma Basis) which may include any “builder” or “grower” amount (any such amounts, the “</w:t>
      </w:r>
      <w:r>
        <w:rPr>
          <w:rFonts w:ascii="Arial" w:cs="Arial" w:eastAsia="Arial" w:hAnsi="Arial"/>
          <w:sz w:val="16"/>
          <w:szCs w:val="16"/>
          <w:b w:val="1"/>
          <w:bCs w:val="1"/>
          <w:color w:val="auto"/>
        </w:rPr>
        <w:t>Incurrence-Based Amounts</w:t>
      </w:r>
      <w:r>
        <w:rPr>
          <w:rFonts w:ascii="Arial" w:cs="Arial" w:eastAsia="Arial" w:hAnsi="Arial"/>
          <w:sz w:val="16"/>
          <w:szCs w:val="16"/>
          <w:color w:val="auto"/>
        </w:rPr>
        <w:t>”), it is understood and agreed that the Fixed Amounts shall be disregarded in the calculation of the financial ratio or test applicable to such Incurrence-Based Amounts. For example, if Borrower incurs Indebtedness under clause (a), (b), or (c) of the definition of “Incremental Loan Amount” on the same date that it incurs Indebtedness under clause (d) of the definition of “Incremental Loan Amount”, then the Consolidated First Lien Net Leverage Ratio and any other applicable ratio will be calculated with respect to such incurrence under clause (d) of the definition of “Incremental Loan Amount” without regard to any incurrence of Indebtedness under clause (a), (b), or (c) of the definition of “Incremental Loan Amount”. If Borrower or its Restricted Subsidiaries enters into any revolving, delayed draw, or other committed debt facility, Borrower may elect to determine compliance of such debt facility (including the incurrence of Indebtedness and Liens from time to time in connection therewith) with this Agreement and each other Credit Document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w:t>
      </w:r>
    </w:p>
    <w:p>
      <w:pPr>
        <w:spacing w:after="0" w:line="165" w:lineRule="exact"/>
        <w:rPr>
          <w:sz w:val="20"/>
          <w:szCs w:val="20"/>
          <w:color w:val="auto"/>
        </w:rPr>
      </w:pPr>
    </w:p>
    <w:p>
      <w:pPr>
        <w:jc w:val="both"/>
        <w:ind w:firstLine="656"/>
        <w:spacing w:after="0" w:line="284" w:lineRule="auto"/>
        <w:tabs>
          <w:tab w:leader="none" w:pos="106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any other Credit Document to the contrary, (i) unless specifically stated otherwise herein, any carve-out, basket, exclusion or exception to any affirmative, negative or other covenant in this Agreement or the other Credit Documents may be used together by any Credit Party and its Subsidiaries without limitation for any purpose not prohibited hereby, and (ii) any action or event permitted by this Agreement or the other Credit Documents need not be permitted solely by reference to one provision permitting such action or event but may be permitted in part by one such provision and in part by one or more other provisions of this Agreement and the other Credit Documents. For purposes of determining compliance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the event that any Lien, Investment, Indebtedness (whether at the time of incurrence or upon application of all or a portion of the proceeds thereof), Asset Sale, disposition, fundamental change, Restricted Payment, Affiliate transaction, contractual requirement or payment or prepayment of Indebtedness meets the criteria of one, or more than one, of the “baskets” or categories of transactions then permitted pursuant to any clause or subsection of (i)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(solely in the case of Indebtedness), (ii)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(solely in the case of Liens), (iii)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(solely in the case of Investments), (iv)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(solely in the case of Asset Sales and other dispositions), (v)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(solely in the case of Restricted Payments), (vi)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(solely in the case of Affiliate transactions), or (vii)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(solely in the case of payment or prepayment of Indebtedness), such transaction (or any portion thereof) at any time shall be permitted under one or more of such “baskets” or categories of such Section at the time of such transaction or any later time from time to time, in each case, as determined by Borrower in its sole discretion at such time and thereafter may be reclassified or divided (as if incurred at such later time) by Borrower in any manner not expressly prohibited by this Agreement, and such Lien, Investment, Indebtedness, Asset Sale, disposition, fundamental change, Restricted Payment, Affiliate transaction, contractual requirement or payment or prepayment of Indebtedness (or any portion thereof) shall be treated as having been incurred or existing pursuant to only such “basket” or category of transactions or “baskets” or categories of transactions (or any portion thereof) of such Section without giving pro forma effect to such item (or portion thereof) when calculating the amount of Liens, Investments, Indebtedness, Asset Sales, dispositions, fundamental changes, Restricted Payments, Affiliate transactions, contractual requirements or payments or prepayments of Indebtedness, as applicable, that may be incurred pursuant to any other “basket” or category of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all Indebtedness under this Agreement outstanding on the Closing Date shall at all times be deemed to have been incurred pursuant to clause (a)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may not be reclassified, (B) all Indebtedness outstanding on the Closing Date under the Wynn Las Vegas Notes shall be deemed to have been incurred pursuant to clause (e)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may not be reclassified and (C) all Indebtedness incurred on the Closing Date under the Wynn Resorts Finance Notes shall be deemed to have been incurred pursuant to clause (v)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may not be reclassified. For the avoidance of doubt,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1.09(b)</w:t>
      </w:r>
      <w:r>
        <w:rPr>
          <w:rFonts w:ascii="Arial" w:cs="Arial" w:eastAsia="Arial" w:hAnsi="Arial"/>
          <w:sz w:val="16"/>
          <w:szCs w:val="16"/>
          <w:color w:val="auto"/>
        </w:rPr>
        <w:t xml:space="preserve"> shall only permit redesignation and reclassification of “baskets” or categories within the same Section of Article X.</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1.10. Divisions</w:t>
      </w:r>
      <w:r>
        <w:rPr>
          <w:rFonts w:ascii="Arial" w:cs="Arial" w:eastAsia="Arial" w:hAnsi="Arial"/>
          <w:sz w:val="17"/>
          <w:szCs w:val="17"/>
          <w:color w:val="auto"/>
        </w:rPr>
        <w:t>. Any reference in this Agreement or any other Credit Document to a merger, transfer, consolidation, assignment, sale,</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 consolidation, assignment, sale or transfer, or similar term, as applicable, to, of or with a separate Person. Any division of a limited liability company, limited partnership or trust shall constitute a separate Person under this Agreement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276" w:name="page277"/>
    <w:bookmarkEnd w:id="276"/>
    <w:p>
      <w:pPr>
        <w:spacing w:after="0" w:line="277" w:lineRule="auto"/>
        <w:rPr>
          <w:sz w:val="20"/>
          <w:szCs w:val="20"/>
          <w:color w:val="auto"/>
        </w:rPr>
      </w:pPr>
      <w:r>
        <w:rPr>
          <w:rFonts w:ascii="Arial" w:cs="Arial" w:eastAsia="Arial" w:hAnsi="Arial"/>
          <w:sz w:val="18"/>
          <w:szCs w:val="18"/>
          <w:color w:val="auto"/>
        </w:rPr>
        <w:t>the other Credit Documents (and each division of any limited liability company, limited partnership or trust that is a Restricted Subsidiary, joint venture or any other like term shall also constitute such a Person or entity).</w:t>
      </w:r>
    </w:p>
    <w:p>
      <w:pPr>
        <w:spacing w:after="0" w:line="17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color w:val="auto"/>
        </w:rPr>
        <w:t>Loans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9" w:lineRule="auto"/>
        <w:tabs>
          <w:tab w:leader="none" w:pos="1041" w:val="left"/>
        </w:tabs>
        <w:numPr>
          <w:ilvl w:val="0"/>
          <w:numId w:val="260"/>
        </w:numPr>
        <w:rPr>
          <w:rFonts w:ascii="Arial" w:cs="Arial" w:eastAsia="Arial" w:hAnsi="Arial"/>
          <w:sz w:val="17"/>
          <w:szCs w:val="17"/>
          <w:color w:val="auto"/>
        </w:rPr>
      </w:pPr>
      <w:r>
        <w:rPr>
          <w:rFonts w:ascii="Arial" w:cs="Arial" w:eastAsia="Arial" w:hAnsi="Arial"/>
          <w:sz w:val="17"/>
          <w:szCs w:val="17"/>
          <w:b w:val="1"/>
          <w:bCs w:val="1"/>
          <w:color w:val="auto"/>
        </w:rPr>
        <w:t>Revolving Loans</w:t>
      </w:r>
      <w:r>
        <w:rPr>
          <w:rFonts w:ascii="Arial" w:cs="Arial" w:eastAsia="Arial" w:hAnsi="Arial"/>
          <w:sz w:val="17"/>
          <w:szCs w:val="17"/>
          <w:color w:val="auto"/>
        </w:rPr>
        <w:t>. Each Revolving Lender agrees, severally and not jointly, on the terms and conditions of this Agreement, to make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loans (the “</w:t>
      </w:r>
      <w:r>
        <w:rPr>
          <w:rFonts w:ascii="Arial" w:cs="Arial" w:eastAsia="Arial" w:hAnsi="Arial"/>
          <w:sz w:val="17"/>
          <w:szCs w:val="17"/>
          <w:b w:val="1"/>
          <w:bCs w:val="1"/>
          <w:color w:val="auto"/>
        </w:rPr>
        <w:t>Revolving Loans</w:t>
      </w:r>
      <w:r>
        <w:rPr>
          <w:rFonts w:ascii="Arial" w:cs="Arial" w:eastAsia="Arial" w:hAnsi="Arial"/>
          <w:sz w:val="17"/>
          <w:szCs w:val="17"/>
          <w:color w:val="auto"/>
        </w:rPr>
        <w:t xml:space="preserve">”) to Borrower in Dollars from time to time, on any Business Day during, with respect to any Revolving Commitment of such Revolving Lender, the Revolving Availability Period applicable to such Revolving Commitment, in an aggregate principal amount at any one time outstanding not exceeding the amount of the Revolving Commitment of such Revolving Lender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LIBOR Loans.</w:t>
      </w:r>
    </w:p>
    <w:p>
      <w:pPr>
        <w:spacing w:after="0" w:line="179" w:lineRule="exact"/>
        <w:rPr>
          <w:rFonts w:ascii="Arial" w:cs="Arial" w:eastAsia="Arial" w:hAnsi="Arial"/>
          <w:sz w:val="17"/>
          <w:szCs w:val="17"/>
          <w:color w:val="auto"/>
        </w:rPr>
      </w:pPr>
    </w:p>
    <w:p>
      <w:pPr>
        <w:jc w:val="both"/>
        <w:ind w:firstLine="656"/>
        <w:spacing w:after="0" w:line="266" w:lineRule="auto"/>
        <w:tabs>
          <w:tab w:leader="none" w:pos="1038"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Term A Facility Loans</w:t>
      </w:r>
      <w:r>
        <w:rPr>
          <w:rFonts w:ascii="Arial" w:cs="Arial" w:eastAsia="Arial" w:hAnsi="Arial"/>
          <w:sz w:val="18"/>
          <w:szCs w:val="18"/>
          <w:color w:val="auto"/>
        </w:rPr>
        <w:t>. Each Lender with a Term A Facility Commitment agrees, severally and not jointly, on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make a Term A Facility Loan to Borrower in Dollars on the Closing Date in an aggregate principal amount equal to the Term A Facility Commitment of such Lender. Term A Facility Loans that are repaid or prepaid may not be reborrowed.</w:t>
      </w:r>
    </w:p>
    <w:p>
      <w:pPr>
        <w:spacing w:after="0" w:line="176" w:lineRule="exact"/>
        <w:rPr>
          <w:rFonts w:ascii="Arial" w:cs="Arial" w:eastAsia="Arial" w:hAnsi="Arial"/>
          <w:sz w:val="18"/>
          <w:szCs w:val="18"/>
          <w:color w:val="auto"/>
        </w:rPr>
      </w:pPr>
    </w:p>
    <w:p>
      <w:pPr>
        <w:ind w:firstLine="656"/>
        <w:spacing w:after="0" w:line="282" w:lineRule="auto"/>
        <w:tabs>
          <w:tab w:leader="none" w:pos="1095"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LIBOR Loans</w:t>
      </w:r>
      <w:r>
        <w:rPr>
          <w:rFonts w:ascii="Arial" w:cs="Arial" w:eastAsia="Arial" w:hAnsi="Arial"/>
          <w:sz w:val="18"/>
          <w:szCs w:val="18"/>
          <w:color w:val="auto"/>
        </w:rPr>
        <w:t>. No more than twenty (20) separate Interest Periods in respect of LIBOR Loans may be outstanding at any one time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under all of the facilities.</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2.02. Borrowings</w:t>
      </w:r>
      <w:r>
        <w:rPr>
          <w:rFonts w:ascii="Arial" w:cs="Arial" w:eastAsia="Arial" w:hAnsi="Arial"/>
          <w:sz w:val="16"/>
          <w:szCs w:val="16"/>
          <w:color w:val="auto"/>
        </w:rPr>
        <w:t>. Borrower shall give Administrative Agent notice of each borrowing hereunder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4.05</w:t>
      </w:r>
      <w:r>
        <w:rPr>
          <w:rFonts w:ascii="Arial" w:cs="Arial" w:eastAsia="Arial" w:hAnsi="Arial"/>
          <w:sz w:val="16"/>
          <w:szCs w:val="16"/>
          <w:b w:val="1"/>
          <w:bCs w:val="1"/>
          <w:color w:val="auto"/>
        </w:rPr>
        <w:t xml:space="preserve">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of a Notice of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R/C Percentage.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6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9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the Revolving Commitments may be utilized, upon the request of Borrower, in addition to the Revolving Loans provided for by </w:t>
      </w:r>
      <w:r>
        <w:rPr>
          <w:rFonts w:ascii="Arial" w:cs="Arial" w:eastAsia="Arial" w:hAnsi="Arial"/>
          <w:sz w:val="18"/>
          <w:szCs w:val="18"/>
          <w:u w:val="single" w:color="auto"/>
          <w:color w:val="auto"/>
        </w:rPr>
        <w:t>Section 2.01(a)</w:t>
      </w:r>
      <w:r>
        <w:rPr>
          <w:rFonts w:ascii="Arial" w:cs="Arial" w:eastAsia="Arial" w:hAnsi="Arial"/>
          <w:sz w:val="18"/>
          <w:szCs w:val="18"/>
          <w:color w:val="auto"/>
        </w:rPr>
        <w:t>, for standby and commercial documentary letters of credit (herein collectively called “</w:t>
      </w:r>
      <w:r>
        <w:rPr>
          <w:rFonts w:ascii="Arial" w:cs="Arial" w:eastAsia="Arial" w:hAnsi="Arial"/>
          <w:sz w:val="18"/>
          <w:szCs w:val="18"/>
          <w:b w:val="1"/>
          <w:bCs w:val="1"/>
          <w:color w:val="auto"/>
        </w:rPr>
        <w:t>Letters of Credit</w:t>
      </w:r>
      <w:r>
        <w:rPr>
          <w:rFonts w:ascii="Arial" w:cs="Arial" w:eastAsia="Arial" w:hAnsi="Arial"/>
          <w:sz w:val="18"/>
          <w:szCs w:val="18"/>
          <w:color w:val="auto"/>
        </w:rPr>
        <w:t>”) issued by the applicable L/C Lender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277" w:name="page278"/>
    <w:bookmarkEnd w:id="277"/>
    <w:p>
      <w:pPr>
        <w:spacing w:after="0" w:line="277" w:lineRule="auto"/>
        <w:rPr>
          <w:sz w:val="20"/>
          <w:szCs w:val="20"/>
          <w:color w:val="auto"/>
        </w:rPr>
      </w:pPr>
      <w:r>
        <w:rPr>
          <w:rFonts w:ascii="Arial" w:cs="Arial" w:eastAsia="Arial" w:hAnsi="Arial"/>
          <w:sz w:val="18"/>
          <w:szCs w:val="18"/>
          <w:color w:val="auto"/>
        </w:rPr>
        <w:t xml:space="preserve">(which L/C Lenders agree to the terms and provisions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in reliance upon the agreements of the other Lenders set forth herein) for the account of Borrower or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w:t>
      </w:r>
    </w:p>
    <w:p>
      <w:pPr>
        <w:spacing w:after="0" w:line="170" w:lineRule="exact"/>
        <w:rPr>
          <w:sz w:val="20"/>
          <w:szCs w:val="20"/>
          <w:color w:val="auto"/>
        </w:rPr>
      </w:pPr>
    </w:p>
    <w:p>
      <w:pPr>
        <w:ind w:left="660" w:firstLine="645"/>
        <w:spacing w:after="0" w:line="277" w:lineRule="auto"/>
        <w:tabs>
          <w:tab w:leader="none" w:pos="1658" w:val="left"/>
        </w:tabs>
        <w:numPr>
          <w:ilvl w:val="2"/>
          <w:numId w:val="262"/>
        </w:numPr>
        <w:rPr>
          <w:rFonts w:ascii="Arial" w:cs="Arial" w:eastAsia="Arial" w:hAnsi="Arial"/>
          <w:sz w:val="18"/>
          <w:szCs w:val="18"/>
          <w:color w:val="auto"/>
        </w:rPr>
      </w:pPr>
      <w:r>
        <w:rPr>
          <w:rFonts w:ascii="Arial" w:cs="Arial" w:eastAsia="Arial" w:hAnsi="Arial"/>
          <w:sz w:val="18"/>
          <w:szCs w:val="18"/>
          <w:color w:val="auto"/>
        </w:rPr>
        <w:t xml:space="preserve">the aggregate amount of all L/C Liabilities,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principal amount of all the Revolving Loans then outstanding, exceed at any time the Total Revolving Commitments as in effect at such time,</w:t>
      </w:r>
    </w:p>
    <w:p>
      <w:pPr>
        <w:spacing w:after="0" w:line="170" w:lineRule="exact"/>
        <w:rPr>
          <w:rFonts w:ascii="Arial" w:cs="Arial" w:eastAsia="Arial" w:hAnsi="Arial"/>
          <w:sz w:val="18"/>
          <w:szCs w:val="18"/>
          <w:color w:val="auto"/>
        </w:rPr>
      </w:pPr>
    </w:p>
    <w:p>
      <w:pPr>
        <w:ind w:left="660" w:firstLine="645"/>
        <w:spacing w:after="0" w:line="277" w:lineRule="auto"/>
        <w:tabs>
          <w:tab w:leader="none" w:pos="1762" w:val="left"/>
        </w:tabs>
        <w:numPr>
          <w:ilvl w:val="2"/>
          <w:numId w:val="262"/>
        </w:numPr>
        <w:rPr>
          <w:rFonts w:ascii="Arial" w:cs="Arial" w:eastAsia="Arial" w:hAnsi="Arial"/>
          <w:sz w:val="18"/>
          <w:szCs w:val="18"/>
          <w:color w:val="auto"/>
        </w:rPr>
      </w:pPr>
      <w:r>
        <w:rPr>
          <w:rFonts w:ascii="Arial" w:cs="Arial" w:eastAsia="Arial" w:hAnsi="Arial"/>
          <w:sz w:val="18"/>
          <w:szCs w:val="18"/>
          <w:color w:val="auto"/>
        </w:rPr>
        <w:t xml:space="preserve">the sum of the aggregate principal amount of all Revolving Loans of any Revolving Lender then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Revolving Lender’s L/C Liability exceed at any time such Revolving Lender’s Revolving Commitment as in effect at such time,</w:t>
      </w:r>
    </w:p>
    <w:p>
      <w:pPr>
        <w:spacing w:after="0" w:line="170" w:lineRule="exact"/>
        <w:rPr>
          <w:rFonts w:ascii="Arial" w:cs="Arial" w:eastAsia="Arial" w:hAnsi="Arial"/>
          <w:sz w:val="18"/>
          <w:szCs w:val="18"/>
          <w:color w:val="auto"/>
        </w:rPr>
      </w:pPr>
    </w:p>
    <w:p>
      <w:pPr>
        <w:ind w:left="660" w:firstLine="645"/>
        <w:spacing w:after="0" w:line="277" w:lineRule="auto"/>
        <w:tabs>
          <w:tab w:leader="none" w:pos="1785"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2"/>
          <w:numId w:val="262"/>
        </w:numPr>
        <w:rPr>
          <w:rFonts w:ascii="Arial" w:cs="Arial" w:eastAsia="Arial" w:hAnsi="Arial"/>
          <w:sz w:val="16"/>
          <w:szCs w:val="16"/>
          <w:color w:val="auto"/>
        </w:rPr>
      </w:pPr>
      <w:r>
        <w:rPr>
          <w:rFonts w:ascii="Arial" w:cs="Arial" w:eastAsia="Arial" w:hAnsi="Arial"/>
          <w:sz w:val="16"/>
          <w:szCs w:val="16"/>
          <w:color w:val="auto"/>
        </w:rPr>
        <w:t>the Dollar Equivalent of the Stated Amount of any Letter of Credit be less than $100,000 or such lesser amount as is acceptable to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L/C Lender,</w:t>
      </w:r>
    </w:p>
    <w:p>
      <w:pPr>
        <w:spacing w:after="0" w:line="210" w:lineRule="exact"/>
        <w:rPr>
          <w:rFonts w:ascii="Arial" w:cs="Arial" w:eastAsia="Arial" w:hAnsi="Arial"/>
          <w:sz w:val="16"/>
          <w:szCs w:val="16"/>
          <w:color w:val="auto"/>
        </w:rPr>
      </w:pPr>
    </w:p>
    <w:p>
      <w:pPr>
        <w:jc w:val="both"/>
        <w:ind w:left="660" w:firstLine="645"/>
        <w:spacing w:after="0" w:line="255" w:lineRule="auto"/>
        <w:tabs>
          <w:tab w:leader="none" w:pos="1739" w:val="left"/>
        </w:tabs>
        <w:numPr>
          <w:ilvl w:val="2"/>
          <w:numId w:val="262"/>
        </w:numPr>
        <w:rPr>
          <w:rFonts w:ascii="Arial" w:cs="Arial" w:eastAsia="Arial" w:hAnsi="Arial"/>
          <w:sz w:val="18"/>
          <w:szCs w:val="18"/>
          <w:color w:val="auto"/>
        </w:rPr>
      </w:pPr>
      <w:r>
        <w:rPr>
          <w:rFonts w:ascii="Arial" w:cs="Arial" w:eastAsia="Arial" w:hAnsi="Arial"/>
          <w:sz w:val="18"/>
          <w:szCs w:val="18"/>
          <w:color w:val="auto"/>
        </w:rPr>
        <w:t xml:space="preserve">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Administrative Agent’s reasonable satisfaction, on or prior to the third Business Day preceding the latest R/C Maturity Date then in effect, subject to the ability of Borrower to request Auto-Extension Letters of Credit in accordance with </w:t>
      </w:r>
      <w:r>
        <w:rPr>
          <w:rFonts w:ascii="Arial" w:cs="Arial" w:eastAsia="Arial" w:hAnsi="Arial"/>
          <w:sz w:val="18"/>
          <w:szCs w:val="18"/>
          <w:u w:val="single" w:color="auto"/>
          <w:color w:val="auto"/>
        </w:rPr>
        <w:t>Section 2.03(b)</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660" w:right="20" w:firstLine="645"/>
        <w:spacing w:after="0" w:line="259" w:lineRule="auto"/>
        <w:tabs>
          <w:tab w:leader="none" w:pos="1748"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spacing w:after="0" w:line="186" w:lineRule="exact"/>
        <w:rPr>
          <w:rFonts w:ascii="Arial" w:cs="Arial" w:eastAsia="Arial" w:hAnsi="Arial"/>
          <w:sz w:val="18"/>
          <w:szCs w:val="18"/>
          <w:color w:val="auto"/>
        </w:rPr>
      </w:pPr>
    </w:p>
    <w:p>
      <w:pPr>
        <w:ind w:left="1800" w:hanging="495"/>
        <w:spacing w:after="0"/>
        <w:tabs>
          <w:tab w:leader="none" w:pos="18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any Letter of Credit be issued in a currency other than Dollars or an Alternate Currency nor at a tenor other than sight, or</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1889" w:val="left"/>
        </w:tabs>
        <w:numPr>
          <w:ilvl w:val="2"/>
          <w:numId w:val="262"/>
        </w:numPr>
        <w:rPr>
          <w:rFonts w:ascii="Arial" w:cs="Arial" w:eastAsia="Arial" w:hAnsi="Arial"/>
          <w:sz w:val="17"/>
          <w:szCs w:val="17"/>
          <w:color w:val="auto"/>
        </w:rPr>
      </w:pPr>
      <w:r>
        <w:rPr>
          <w:rFonts w:ascii="Arial" w:cs="Arial" w:eastAsia="Arial" w:hAnsi="Arial"/>
          <w:sz w:val="17"/>
          <w:szCs w:val="17"/>
          <w:color w:val="auto"/>
        </w:rPr>
        <w:t xml:space="preserve">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spacing w:after="0" w:line="178" w:lineRule="exact"/>
        <w:rPr>
          <w:rFonts w:ascii="Arial" w:cs="Arial" w:eastAsia="Arial" w:hAnsi="Arial"/>
          <w:sz w:val="17"/>
          <w:szCs w:val="17"/>
          <w:color w:val="auto"/>
        </w:rPr>
      </w:pPr>
    </w:p>
    <w:p>
      <w:pPr>
        <w:ind w:left="1080" w:hanging="424"/>
        <w:spacing w:after="0"/>
        <w:tabs>
          <w:tab w:leader="none" w:pos="108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Whenever Borrower requires the issuance of a Letter of Credit it shall give the applicable L/C Lender and Administrative Agent at least three</w:t>
      </w:r>
    </w:p>
    <w:p>
      <w:pPr>
        <w:spacing w:after="0" w:line="46" w:lineRule="exact"/>
        <w:rPr>
          <w:rFonts w:ascii="Arial" w:cs="Arial" w:eastAsia="Arial" w:hAnsi="Arial"/>
          <w:sz w:val="16"/>
          <w:szCs w:val="16"/>
          <w:color w:val="auto"/>
        </w:rPr>
      </w:pPr>
    </w:p>
    <w:p>
      <w:pPr>
        <w:jc w:val="both"/>
        <w:ind w:firstLine="8"/>
        <w:spacing w:after="0" w:line="292" w:lineRule="auto"/>
        <w:tabs>
          <w:tab w:leader="none" w:pos="261"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such other form as is reasonably acceptable to the applicable L/C Lender appropriately completed (each a “</w:t>
      </w:r>
      <w:r>
        <w:rPr>
          <w:rFonts w:ascii="Arial" w:cs="Arial" w:eastAsia="Arial" w:hAnsi="Arial"/>
          <w:sz w:val="16"/>
          <w:szCs w:val="16"/>
          <w:b w:val="1"/>
          <w:bCs w:val="1"/>
          <w:color w:val="auto"/>
        </w:rPr>
        <w:t>Letter of Credit Request</w:t>
      </w:r>
      <w:r>
        <w:rPr>
          <w:rFonts w:ascii="Arial" w:cs="Arial" w:eastAsia="Arial" w:hAnsi="Arial"/>
          <w:sz w:val="16"/>
          <w:szCs w:val="16"/>
          <w:color w:val="auto"/>
        </w:rPr>
        <w:t>”) and shall specify a date of issuance not beyond the fifth Business Day prior to the latest R/C Maturity Date then in effect. Each Letter of Credit Request must be accompanied by documentation describing in reasonable detail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5" w:right="239" w:bottom="1440" w:gutter="0" w:footer="0" w:header="0"/>
        </w:sectPr>
      </w:pPr>
    </w:p>
    <w:bookmarkStart w:id="278" w:name="page279"/>
    <w:bookmarkEnd w:id="278"/>
    <w:p>
      <w:pPr>
        <w:jc w:val="both"/>
        <w:spacing w:after="0" w:line="283" w:lineRule="auto"/>
        <w:rPr>
          <w:sz w:val="20"/>
          <w:szCs w:val="20"/>
          <w:color w:val="auto"/>
        </w:rPr>
      </w:pPr>
      <w:r>
        <w:rPr>
          <w:rFonts w:ascii="Arial" w:cs="Arial" w:eastAsia="Arial" w:hAnsi="Arial"/>
          <w:sz w:val="16"/>
          <w:szCs w:val="16"/>
          <w:color w:val="auto"/>
        </w:rPr>
        <w:t>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Administrative Agent’s reasonable satisfaction prior to the extension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L/C Lender shall not permit any such extension if</w:t>
      </w:r>
    </w:p>
    <w:p>
      <w:pPr>
        <w:spacing w:after="0" w:line="3" w:lineRule="exact"/>
        <w:rPr>
          <w:sz w:val="20"/>
          <w:szCs w:val="20"/>
          <w:color w:val="auto"/>
        </w:rPr>
      </w:pPr>
    </w:p>
    <w:p>
      <w:pPr>
        <w:jc w:val="both"/>
        <w:ind w:firstLine="8"/>
        <w:spacing w:after="0" w:line="268" w:lineRule="auto"/>
        <w:tabs>
          <w:tab w:leader="none" w:pos="29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the L/C Lender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or otherwise), or (B) it has received notice (which may be by telephone or in writing) on or before the day that is seven Business Days before the Non-Extension Notice Date (1) from Administrative Agent that the Required Lenders have elected not to permit such extension or (2) from Administrative Agent, any Lender or Borrower that one or more of the applicable conditions specified in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 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79" w:lineRule="exact"/>
        <w:rPr>
          <w:rFonts w:ascii="Arial" w:cs="Arial" w:eastAsia="Arial" w:hAnsi="Arial"/>
          <w:sz w:val="17"/>
          <w:szCs w:val="17"/>
          <w:color w:val="auto"/>
        </w:rPr>
      </w:pPr>
    </w:p>
    <w:p>
      <w:pPr>
        <w:jc w:val="both"/>
        <w:ind w:firstLine="656"/>
        <w:spacing w:after="0" w:line="268" w:lineRule="auto"/>
        <w:tabs>
          <w:tab w:leader="none" w:pos="1082" w:val="left"/>
        </w:tabs>
        <w:numPr>
          <w:ilvl w:val="1"/>
          <w:numId w:val="265"/>
        </w:numPr>
        <w:rPr>
          <w:rFonts w:ascii="Arial" w:cs="Arial" w:eastAsia="Arial" w:hAnsi="Arial"/>
          <w:sz w:val="17"/>
          <w:szCs w:val="17"/>
          <w:color w:val="auto"/>
        </w:rPr>
      </w:pPr>
      <w:r>
        <w:rPr>
          <w:rFonts w:ascii="Arial" w:cs="Arial" w:eastAsia="Arial" w:hAnsi="Arial"/>
          <w:sz w:val="17"/>
          <w:szCs w:val="17"/>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81" w:lineRule="exact"/>
        <w:rPr>
          <w:rFonts w:ascii="Arial" w:cs="Arial" w:eastAsia="Arial" w:hAnsi="Arial"/>
          <w:sz w:val="17"/>
          <w:szCs w:val="17"/>
          <w:color w:val="auto"/>
        </w:rPr>
      </w:pPr>
    </w:p>
    <w:p>
      <w:pPr>
        <w:jc w:val="both"/>
        <w:ind w:firstLine="656"/>
        <w:spacing w:after="0" w:line="261" w:lineRule="auto"/>
        <w:tabs>
          <w:tab w:leader="none" w:pos="105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 the event that any L/C Lender has determined to honor a drawing under a Letter of Credit, such L/C Lender shall promptly notify (the “</w:t>
      </w:r>
      <w:r>
        <w:rPr>
          <w:rFonts w:ascii="Arial" w:cs="Arial" w:eastAsia="Arial" w:hAnsi="Arial"/>
          <w:sz w:val="18"/>
          <w:szCs w:val="18"/>
          <w:b w:val="1"/>
          <w:bCs w:val="1"/>
          <w:color w:val="auto"/>
        </w:rPr>
        <w:t>L/C</w:t>
      </w:r>
      <w:r>
        <w:rPr>
          <w:rFonts w:ascii="Arial" w:cs="Arial" w:eastAsia="Arial" w:hAnsi="Arial"/>
          <w:sz w:val="18"/>
          <w:szCs w:val="18"/>
          <w:color w:val="auto"/>
        </w:rPr>
        <w:t xml:space="preserve"> </w:t>
      </w:r>
      <w:r>
        <w:rPr>
          <w:rFonts w:ascii="Arial" w:cs="Arial" w:eastAsia="Arial" w:hAnsi="Arial"/>
          <w:sz w:val="18"/>
          <w:szCs w:val="18"/>
          <w:b w:val="1"/>
          <w:bCs w:val="1"/>
          <w:color w:val="auto"/>
        </w:rPr>
        <w:t>Payment Notice</w:t>
      </w:r>
      <w:r>
        <w:rPr>
          <w:rFonts w:ascii="Arial" w:cs="Arial" w:eastAsia="Arial" w:hAnsi="Arial"/>
          <w:sz w:val="18"/>
          <w:szCs w:val="18"/>
          <w:color w:val="auto"/>
        </w:rPr>
        <w:t>”) Administrative Agent and Borrower of the amount paid by such L/C Lender and the date on which payment is to be made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In the case of a Letter of Credit denominated in an Alternate Currency, Borrower shall reimburse the L/C Lender that issued such Letter of Credit in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5" w:right="239" w:bottom="1440" w:gutter="0" w:footer="0" w:header="0"/>
        </w:sectPr>
      </w:pPr>
    </w:p>
    <w:bookmarkStart w:id="279" w:name="page280"/>
    <w:bookmarkEnd w:id="279"/>
    <w:p>
      <w:pPr>
        <w:jc w:val="both"/>
        <w:spacing w:after="0" w:line="269" w:lineRule="auto"/>
        <w:rPr>
          <w:sz w:val="20"/>
          <w:szCs w:val="20"/>
          <w:color w:val="auto"/>
        </w:rPr>
      </w:pPr>
      <w:r>
        <w:rPr>
          <w:rFonts w:ascii="Arial" w:cs="Arial" w:eastAsia="Arial" w:hAnsi="Arial"/>
          <w:sz w:val="17"/>
          <w:szCs w:val="17"/>
          <w:color w:val="auto"/>
        </w:rPr>
        <w:t xml:space="preserve">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Borrower hereby unconditionally agrees to pay and reimburse such L/C Lender, through Administrative Agent, for the amount of payment under such Letter of Credit in Dollars, together with interest thereon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w:t>
      </w:r>
      <w:r>
        <w:rPr>
          <w:rFonts w:ascii="Arial" w:cs="Arial" w:eastAsia="Arial" w:hAnsi="Arial"/>
          <w:sz w:val="17"/>
          <w:szCs w:val="17"/>
          <w:u w:val="single" w:color="auto"/>
          <w:color w:val="auto"/>
        </w:rPr>
        <w:t>Section 3.02(b)</w:t>
      </w:r>
      <w:r>
        <w:rPr>
          <w:rFonts w:ascii="Arial" w:cs="Arial" w:eastAsia="Arial" w:hAnsi="Arial"/>
          <w:sz w:val="17"/>
          <w:szCs w:val="17"/>
          <w:color w:val="auto"/>
        </w:rPr>
        <w:t xml:space="preserve">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180" w:lineRule="exact"/>
        <w:rPr>
          <w:sz w:val="20"/>
          <w:szCs w:val="20"/>
          <w:color w:val="auto"/>
        </w:rPr>
      </w:pPr>
    </w:p>
    <w:p>
      <w:pPr>
        <w:jc w:val="both"/>
        <w:ind w:firstLine="656"/>
        <w:spacing w:after="0" w:line="268" w:lineRule="auto"/>
        <w:tabs>
          <w:tab w:leader="none" w:pos="1122" w:val="left"/>
        </w:tabs>
        <w:numPr>
          <w:ilvl w:val="1"/>
          <w:numId w:val="266"/>
        </w:numPr>
        <w:rPr>
          <w:rFonts w:ascii="Arial" w:cs="Arial" w:eastAsia="Arial" w:hAnsi="Arial"/>
          <w:sz w:val="17"/>
          <w:szCs w:val="17"/>
          <w:color w:val="auto"/>
        </w:rPr>
      </w:pPr>
      <w:r>
        <w:rPr>
          <w:rFonts w:ascii="Arial" w:cs="Arial" w:eastAsia="Arial" w:hAnsi="Arial"/>
          <w:sz w:val="17"/>
          <w:szCs w:val="17"/>
          <w:color w:val="auto"/>
        </w:rPr>
        <w:t xml:space="preserve">Promptly upon its receipt of a L/C Payment Notice referred to in </w:t>
      </w:r>
      <w:r>
        <w:rPr>
          <w:rFonts w:ascii="Arial" w:cs="Arial" w:eastAsia="Arial" w:hAnsi="Arial"/>
          <w:sz w:val="17"/>
          <w:szCs w:val="17"/>
          <w:u w:val="single" w:color="auto"/>
          <w:color w:val="auto"/>
        </w:rPr>
        <w:t>Section 2.03(d)</w:t>
      </w:r>
      <w:r>
        <w:rPr>
          <w:rFonts w:ascii="Arial" w:cs="Arial" w:eastAsia="Arial" w:hAnsi="Arial"/>
          <w:sz w:val="17"/>
          <w:szCs w:val="17"/>
          <w:color w:val="auto"/>
        </w:rPr>
        <w:t xml:space="preserve">,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w:t>
      </w:r>
      <w:r>
        <w:rPr>
          <w:rFonts w:ascii="Arial" w:cs="Arial" w:eastAsia="Arial" w:hAnsi="Arial"/>
          <w:sz w:val="17"/>
          <w:szCs w:val="17"/>
          <w:u w:val="single" w:color="auto"/>
          <w:color w:val="auto"/>
        </w:rPr>
        <w:t>Section 4.05</w:t>
      </w:r>
      <w:r>
        <w:rPr>
          <w:rFonts w:ascii="Arial" w:cs="Arial" w:eastAsia="Arial" w:hAnsi="Arial"/>
          <w:sz w:val="17"/>
          <w:szCs w:val="17"/>
          <w:color w:val="auto"/>
        </w:rPr>
        <w:t>. In the event that Borrower fails to reimburse any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 (expressed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Arial" w:cs="Arial" w:eastAsia="Arial" w:hAnsi="Arial"/>
          <w:sz w:val="17"/>
          <w:szCs w:val="17"/>
          <w:b w:val="1"/>
          <w:bCs w:val="1"/>
          <w:color w:val="auto"/>
        </w:rPr>
        <w:t>Unreimbursed Amount</w:t>
      </w:r>
      <w:r>
        <w:rPr>
          <w:rFonts w:ascii="Arial" w:cs="Arial" w:eastAsia="Arial" w:hAnsi="Arial"/>
          <w:sz w:val="17"/>
          <w:szCs w:val="17"/>
          <w:color w:val="auto"/>
        </w:rPr>
        <w:t>”), specifying such Lender’s R/C Percentage thereof and requesting payment of such amount.</w:t>
      </w:r>
    </w:p>
    <w:p>
      <w:pPr>
        <w:spacing w:after="0" w:line="185" w:lineRule="exact"/>
        <w:rPr>
          <w:rFonts w:ascii="Arial" w:cs="Arial" w:eastAsia="Arial" w:hAnsi="Arial"/>
          <w:sz w:val="17"/>
          <w:szCs w:val="17"/>
          <w:color w:val="auto"/>
        </w:rPr>
      </w:pPr>
    </w:p>
    <w:p>
      <w:pPr>
        <w:jc w:val="both"/>
        <w:ind w:firstLine="656"/>
        <w:spacing w:after="0" w:line="284" w:lineRule="auto"/>
        <w:tabs>
          <w:tab w:leader="none" w:pos="103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w:t>
      </w:r>
      <w:r>
        <w:rPr>
          <w:rFonts w:ascii="Arial" w:cs="Arial" w:eastAsia="Arial" w:hAnsi="Arial"/>
          <w:sz w:val="16"/>
          <w:szCs w:val="16"/>
          <w:u w:val="single" w:color="auto"/>
          <w:color w:val="auto"/>
        </w:rPr>
        <w:t>Section 2.03(f)</w:t>
      </w:r>
      <w:r>
        <w:rPr>
          <w:rFonts w:ascii="Arial" w:cs="Arial" w:eastAsia="Arial" w:hAnsi="Arial"/>
          <w:sz w:val="16"/>
          <w:szCs w:val="16"/>
          <w:color w:val="auto"/>
        </w:rPr>
        <w:t xml:space="preserve">, and the applicable L/C Lender’s right to receive the same, shall be absolute and unconditional and shall not be affected by any circumstance whatsoever, including (i) the failure of any other Revolving Lender to make its payment under this </w:t>
      </w:r>
      <w:r>
        <w:rPr>
          <w:rFonts w:ascii="Arial" w:cs="Arial" w:eastAsia="Arial" w:hAnsi="Arial"/>
          <w:sz w:val="16"/>
          <w:szCs w:val="16"/>
          <w:u w:val="single" w:color="auto"/>
          <w:color w:val="auto"/>
        </w:rPr>
        <w:t>Section 2.03(f)</w:t>
      </w:r>
      <w:r>
        <w:rPr>
          <w:rFonts w:ascii="Arial" w:cs="Arial" w:eastAsia="Arial" w:hAnsi="Arial"/>
          <w:sz w:val="16"/>
          <w:szCs w:val="16"/>
          <w:color w:val="auto"/>
        </w:rPr>
        <w:t>, (ii) the financial condition of Borrower or the existence of any Default or</w:t>
      </w:r>
    </w:p>
    <w:p>
      <w:pPr>
        <w:spacing w:after="0" w:line="2" w:lineRule="exact"/>
        <w:rPr>
          <w:rFonts w:ascii="Arial" w:cs="Arial" w:eastAsia="Arial" w:hAnsi="Arial"/>
          <w:sz w:val="16"/>
          <w:szCs w:val="16"/>
          <w:color w:val="auto"/>
        </w:rPr>
      </w:pPr>
    </w:p>
    <w:p>
      <w:pPr>
        <w:ind w:firstLine="8"/>
        <w:spacing w:after="0" w:line="261" w:lineRule="auto"/>
        <w:tabs>
          <w:tab w:leader="none" w:pos="3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termination of the Commitments. Each such payment to any L/C Lender shall be made without any offset, abatement, withholding or reduction whatsoever.</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10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Upon the making of each payment by a Revolving Lender, through Administrative Agent, to an L/C Lender pursuant to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5" w:right="239" w:bottom="1440" w:gutter="0" w:footer="0" w:header="0"/>
        </w:sectPr>
      </w:pPr>
    </w:p>
    <w:bookmarkStart w:id="280" w:name="page281"/>
    <w:bookmarkEnd w:id="280"/>
    <w:p>
      <w:pPr>
        <w:jc w:val="both"/>
        <w:spacing w:after="0" w:line="271" w:lineRule="auto"/>
        <w:rPr>
          <w:sz w:val="20"/>
          <w:szCs w:val="20"/>
          <w:color w:val="auto"/>
        </w:rPr>
      </w:pPr>
      <w:r>
        <w:rPr>
          <w:rFonts w:ascii="Arial" w:cs="Arial" w:eastAsia="Arial" w:hAnsi="Arial"/>
          <w:sz w:val="17"/>
          <w:szCs w:val="17"/>
          <w:color w:val="auto"/>
        </w:rPr>
        <w:t xml:space="preserve">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w:t>
      </w:r>
      <w:r>
        <w:rPr>
          <w:rFonts w:ascii="Arial" w:cs="Arial" w:eastAsia="Arial" w:hAnsi="Arial"/>
          <w:sz w:val="17"/>
          <w:szCs w:val="17"/>
          <w:u w:val="single" w:color="auto"/>
          <w:color w:val="auto"/>
        </w:rPr>
        <w:t>Section 2.03(f)</w:t>
      </w:r>
      <w:r>
        <w:rPr>
          <w:rFonts w:ascii="Arial" w:cs="Arial" w:eastAsia="Arial" w:hAnsi="Arial"/>
          <w:sz w:val="17"/>
          <w:szCs w:val="17"/>
          <w:color w:val="auto"/>
        </w:rPr>
        <w:t xml:space="preserve">,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w:t>
      </w:r>
      <w:r>
        <w:rPr>
          <w:rFonts w:ascii="Arial" w:cs="Arial" w:eastAsia="Arial" w:hAnsi="Arial"/>
          <w:sz w:val="17"/>
          <w:szCs w:val="17"/>
          <w:u w:val="single" w:color="auto"/>
          <w:color w:val="auto"/>
        </w:rPr>
        <w:t>Section 2.03(j)</w:t>
      </w:r>
      <w:r>
        <w:rPr>
          <w:rFonts w:ascii="Arial" w:cs="Arial" w:eastAsia="Arial" w:hAnsi="Arial"/>
          <w:sz w:val="17"/>
          <w:szCs w:val="17"/>
          <w:color w:val="auto"/>
        </w:rPr>
        <w:t>.</w:t>
      </w:r>
    </w:p>
    <w:p>
      <w:pPr>
        <w:spacing w:after="0" w:line="179" w:lineRule="exact"/>
        <w:rPr>
          <w:sz w:val="20"/>
          <w:szCs w:val="20"/>
          <w:color w:val="auto"/>
        </w:rPr>
      </w:pPr>
    </w:p>
    <w:p>
      <w:pPr>
        <w:jc w:val="both"/>
        <w:ind w:firstLine="656"/>
        <w:spacing w:after="0" w:line="267" w:lineRule="auto"/>
        <w:tabs>
          <w:tab w:leader="none" w:pos="1146"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Margin for Revolving Loans of such Tranche made by such Revolving Lender that are LIBOR Loans in effect from time to time, multiplied by (y) the daily Dollar Equivalent of the Stated Amount of such Letter of Credit allocable to such Revolving Lender’s Revolving Commitments of such Tranche (such Dollar Equivalent to be determined in accordance with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 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192" w:lineRule="exact"/>
        <w:rPr>
          <w:rFonts w:ascii="Arial" w:cs="Arial" w:eastAsia="Arial" w:hAnsi="Arial"/>
          <w:sz w:val="17"/>
          <w:szCs w:val="17"/>
          <w:color w:val="auto"/>
        </w:rPr>
      </w:pPr>
    </w:p>
    <w:p>
      <w:pPr>
        <w:jc w:val="both"/>
        <w:ind w:firstLine="656"/>
        <w:spacing w:after="0" w:line="297" w:lineRule="auto"/>
        <w:tabs>
          <w:tab w:leader="none" w:pos="103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spacing w:after="0" w:line="158" w:lineRule="exact"/>
        <w:rPr>
          <w:rFonts w:ascii="Arial" w:cs="Arial" w:eastAsia="Arial" w:hAnsi="Arial"/>
          <w:sz w:val="16"/>
          <w:szCs w:val="16"/>
          <w:color w:val="auto"/>
        </w:rPr>
      </w:pPr>
    </w:p>
    <w:p>
      <w:pPr>
        <w:jc w:val="both"/>
        <w:ind w:firstLine="656"/>
        <w:spacing w:after="0" w:line="254" w:lineRule="auto"/>
        <w:tabs>
          <w:tab w:leader="none" w:pos="101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If and to the extent that any Revolving Lender fails to pay an amount required to be paid pursuant to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2.03(g)</w:t>
      </w:r>
      <w:r>
        <w:rPr>
          <w:rFonts w:ascii="Arial" w:cs="Arial" w:eastAsia="Arial" w:hAnsi="Arial"/>
          <w:sz w:val="18"/>
          <w:szCs w:val="18"/>
          <w:color w:val="auto"/>
        </w:rPr>
        <w:t xml:space="preserve">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Federal Funds Effective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2.03(g)</w:t>
      </w:r>
      <w:r>
        <w:rPr>
          <w:rFonts w:ascii="Arial" w:cs="Arial" w:eastAsia="Arial" w:hAnsi="Arial"/>
          <w:sz w:val="18"/>
          <w:szCs w:val="18"/>
          <w:color w:val="auto"/>
        </w:rPr>
        <w:t>, such partial payment shall be allocated pro rata to each Tranche based on the amount of Revolving Commitments of each Tranche held by such Revolving Lender.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281" w:name="page282"/>
    <w:bookmarkEnd w:id="281"/>
    <w:p>
      <w:pPr>
        <w:jc w:val="both"/>
        <w:ind w:firstLine="656"/>
        <w:spacing w:after="0" w:line="255" w:lineRule="auto"/>
        <w:tabs>
          <w:tab w:leader="none" w:pos="109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The issuance by any L/C Lender of any amendment or modification to any Letter of Credit hereunder that would extend the expiry date or increase the Stated Amount thereof shall be subject to the same conditions applicable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w:t>
      </w:r>
      <w:r>
        <w:rPr>
          <w:rFonts w:ascii="Arial" w:cs="Arial" w:eastAsia="Arial" w:hAnsi="Arial"/>
          <w:sz w:val="18"/>
          <w:szCs w:val="18"/>
          <w:u w:val="single" w:color="auto"/>
          <w:color w:val="auto"/>
        </w:rPr>
        <w:t>Section 13.04</w:t>
      </w:r>
      <w:r>
        <w:rPr>
          <w:rFonts w:ascii="Arial" w:cs="Arial" w:eastAsia="Arial" w:hAnsi="Arial"/>
          <w:sz w:val="18"/>
          <w:szCs w:val="18"/>
          <w:color w:val="auto"/>
        </w:rPr>
        <w:t>) shall have consented thereto or (ii) if the beneficiary of the Letter of Credit does not accept the proposed terms of the Letter of Credit.</w:t>
      </w:r>
    </w:p>
    <w:p>
      <w:pPr>
        <w:spacing w:after="0" w:line="193" w:lineRule="exact"/>
        <w:rPr>
          <w:rFonts w:ascii="Arial" w:cs="Arial" w:eastAsia="Arial" w:hAnsi="Arial"/>
          <w:sz w:val="18"/>
          <w:szCs w:val="18"/>
          <w:color w:val="auto"/>
        </w:rPr>
      </w:pPr>
    </w:p>
    <w:p>
      <w:pPr>
        <w:jc w:val="both"/>
        <w:ind w:firstLine="656"/>
        <w:spacing w:after="0" w:line="271" w:lineRule="auto"/>
        <w:tabs>
          <w:tab w:leader="none" w:pos="101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78" w:lineRule="exact"/>
        <w:rPr>
          <w:rFonts w:ascii="Arial" w:cs="Arial" w:eastAsia="Arial" w:hAnsi="Arial"/>
          <w:sz w:val="17"/>
          <w:szCs w:val="17"/>
          <w:color w:val="auto"/>
        </w:rPr>
      </w:pPr>
    </w:p>
    <w:p>
      <w:pPr>
        <w:jc w:val="both"/>
        <w:ind w:right="20" w:firstLine="656"/>
        <w:spacing w:after="0" w:line="286" w:lineRule="auto"/>
        <w:tabs>
          <w:tab w:leader="none" w:pos="116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165" w:lineRule="exact"/>
        <w:rPr>
          <w:rFonts w:ascii="Arial" w:cs="Arial" w:eastAsia="Arial" w:hAnsi="Arial"/>
          <w:sz w:val="17"/>
          <w:szCs w:val="17"/>
          <w:color w:val="auto"/>
        </w:rPr>
      </w:pPr>
    </w:p>
    <w:p>
      <w:pPr>
        <w:ind w:left="1660" w:hanging="355"/>
        <w:spacing w:after="0"/>
        <w:tabs>
          <w:tab w:leader="none" w:pos="166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Credit Document or any L/C Document;</w:t>
      </w:r>
    </w:p>
    <w:p>
      <w:pPr>
        <w:spacing w:after="0" w:line="225" w:lineRule="exact"/>
        <w:rPr>
          <w:rFonts w:ascii="Arial" w:cs="Arial" w:eastAsia="Arial" w:hAnsi="Arial"/>
          <w:sz w:val="18"/>
          <w:szCs w:val="18"/>
          <w:color w:val="auto"/>
        </w:rPr>
      </w:pPr>
    </w:p>
    <w:p>
      <w:pPr>
        <w:jc w:val="both"/>
        <w:ind w:left="660" w:firstLine="645"/>
        <w:spacing w:after="0" w:line="312" w:lineRule="auto"/>
        <w:tabs>
          <w:tab w:leader="none" w:pos="1722" w:val="left"/>
        </w:tabs>
        <w:numPr>
          <w:ilvl w:val="1"/>
          <w:numId w:val="269"/>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46" w:lineRule="exact"/>
        <w:rPr>
          <w:rFonts w:ascii="Arial" w:cs="Arial" w:eastAsia="Arial" w:hAnsi="Arial"/>
          <w:sz w:val="16"/>
          <w:szCs w:val="16"/>
          <w:color w:val="auto"/>
        </w:rPr>
      </w:pPr>
    </w:p>
    <w:p>
      <w:pPr>
        <w:jc w:val="both"/>
        <w:ind w:left="660" w:firstLine="645"/>
        <w:spacing w:after="0" w:line="302" w:lineRule="auto"/>
        <w:tabs>
          <w:tab w:leader="none" w:pos="1826"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154" w:lineRule="exact"/>
        <w:rPr>
          <w:rFonts w:ascii="Arial" w:cs="Arial" w:eastAsia="Arial" w:hAnsi="Arial"/>
          <w:sz w:val="16"/>
          <w:szCs w:val="16"/>
          <w:color w:val="auto"/>
        </w:rPr>
      </w:pPr>
    </w:p>
    <w:p>
      <w:pPr>
        <w:ind w:left="660" w:firstLine="645"/>
        <w:spacing w:after="0" w:line="277" w:lineRule="auto"/>
        <w:tabs>
          <w:tab w:leader="none" w:pos="180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waiver by a L/C Lender of any requirement that exists for the L/C Lender’s protection and not the protection of Borrower or any waiver by the L/C Lender which does not in fact materially prejudice Borrower;</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269"/>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248" w:lineRule="exact"/>
        <w:rPr>
          <w:rFonts w:ascii="Arial" w:cs="Arial" w:eastAsia="Arial" w:hAnsi="Arial"/>
          <w:sz w:val="16"/>
          <w:szCs w:val="16"/>
          <w:color w:val="auto"/>
        </w:rPr>
      </w:pPr>
    </w:p>
    <w:p>
      <w:pPr>
        <w:jc w:val="both"/>
        <w:ind w:left="660" w:firstLine="645"/>
        <w:spacing w:after="0" w:line="264" w:lineRule="auto"/>
        <w:tabs>
          <w:tab w:leader="none" w:pos="174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39"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282" w:name="page283"/>
    <w:bookmarkEnd w:id="282"/>
    <w:p>
      <w:pPr>
        <w:ind w:left="660"/>
        <w:spacing w:after="0" w:line="277" w:lineRule="auto"/>
        <w:rPr>
          <w:sz w:val="20"/>
          <w:szCs w:val="20"/>
          <w:color w:val="auto"/>
        </w:rPr>
      </w:pPr>
      <w:r>
        <w:rPr>
          <w:rFonts w:ascii="Arial" w:cs="Arial" w:eastAsia="Arial" w:hAnsi="Arial"/>
          <w:sz w:val="18"/>
          <w:szCs w:val="18"/>
          <w:color w:val="auto"/>
        </w:rPr>
        <w:t>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0" w:lineRule="exact"/>
        <w:rPr>
          <w:sz w:val="20"/>
          <w:szCs w:val="20"/>
          <w:color w:val="auto"/>
        </w:rPr>
      </w:pPr>
    </w:p>
    <w:p>
      <w:pPr>
        <w:ind w:left="660" w:firstLine="645"/>
        <w:spacing w:after="0" w:line="277" w:lineRule="auto"/>
        <w:tabs>
          <w:tab w:leader="none" w:pos="187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 xml:space="preserve">To the extent that any provision of any L/C Document is inconsistent with the provisions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shall control.</w:t>
      </w:r>
    </w:p>
    <w:p>
      <w:pPr>
        <w:spacing w:after="0" w:line="170" w:lineRule="exact"/>
        <w:rPr>
          <w:sz w:val="20"/>
          <w:szCs w:val="20"/>
          <w:color w:val="auto"/>
        </w:rPr>
      </w:pPr>
    </w:p>
    <w:p>
      <w:pPr>
        <w:jc w:val="both"/>
        <w:ind w:firstLine="656"/>
        <w:spacing w:after="0" w:line="287" w:lineRule="auto"/>
        <w:tabs>
          <w:tab w:leader="none" w:pos="105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w:t>
      </w:r>
      <w:r>
        <w:rPr>
          <w:rFonts w:ascii="Arial" w:cs="Arial" w:eastAsia="Arial" w:hAnsi="Arial"/>
          <w:sz w:val="16"/>
          <w:szCs w:val="16"/>
          <w:u w:val="single" w:color="auto"/>
          <w:color w:val="auto"/>
        </w:rPr>
        <w:t>Section 2.03(n)</w:t>
      </w:r>
      <w:r>
        <w:rPr>
          <w:rFonts w:ascii="Arial" w:cs="Arial" w:eastAsia="Arial" w:hAnsi="Arial"/>
          <w:sz w:val="16"/>
          <w:szCs w:val="16"/>
          <w:color w:val="auto"/>
        </w:rPr>
        <w:t>,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 commercial documentary Letters of Credit for the previous week for such Letters of Credit issued in Dollars and for such Letters of Credit issued in an Alternate Currency.</w:t>
      </w:r>
    </w:p>
    <w:p>
      <w:pPr>
        <w:spacing w:after="0" w:line="172" w:lineRule="exact"/>
        <w:rPr>
          <w:rFonts w:ascii="Arial" w:cs="Arial" w:eastAsia="Arial" w:hAnsi="Arial"/>
          <w:sz w:val="16"/>
          <w:szCs w:val="16"/>
          <w:color w:val="auto"/>
        </w:rPr>
      </w:pPr>
    </w:p>
    <w:p>
      <w:pPr>
        <w:jc w:val="both"/>
        <w:ind w:firstLine="656"/>
        <w:spacing w:after="0" w:line="285" w:lineRule="auto"/>
        <w:tabs>
          <w:tab w:leader="none" w:pos="110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assumption is not intended to, and shall not, preclude Borrower’s pursuing such rights and remedies as it may have against the beneficiary or transferee at law or under any other agreement. None of the L/C Lenders, Administrative Agent, any of their respective Affiliates, directors, officers, employees, agents and advisors nor any correspondent, participant or assignee of the L/C Lenders shall be liable or responsible for any of the matters described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2.03(m)</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anything in such clauses to the contrary notwithstanding, Borrower may have a claim against a L/C Lender, and a L/C Lender may be</w:t>
      </w:r>
      <w:r>
        <w:rPr>
          <w:rFonts w:ascii="Arial" w:cs="Arial" w:eastAsia="Arial" w:hAnsi="Arial"/>
          <w:sz w:val="16"/>
          <w:szCs w:val="16"/>
          <w:i w:val="1"/>
          <w:iCs w:val="1"/>
          <w:color w:val="auto"/>
        </w:rPr>
        <w:t xml:space="preserve"> </w:t>
      </w:r>
      <w:r>
        <w:rPr>
          <w:rFonts w:ascii="Arial" w:cs="Arial" w:eastAsia="Arial" w:hAnsi="Arial"/>
          <w:sz w:val="16"/>
          <w:szCs w:val="16"/>
          <w:color w:val="auto"/>
        </w:rPr>
        <w:t>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Arial" w:cs="Arial" w:eastAsia="Arial" w:hAnsi="Arial"/>
          <w:sz w:val="16"/>
          <w:szCs w:val="16"/>
          <w:b w:val="1"/>
          <w:bCs w:val="1"/>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5" w:right="239" w:bottom="1440" w:gutter="0" w:footer="0" w:header="0"/>
        </w:sectPr>
      </w:pPr>
    </w:p>
    <w:bookmarkStart w:id="283" w:name="page284"/>
    <w:bookmarkEnd w:id="283"/>
    <w:p>
      <w:pPr>
        <w:jc w:val="both"/>
        <w:ind w:firstLine="656"/>
        <w:spacing w:after="0" w:line="271" w:lineRule="auto"/>
        <w:tabs>
          <w:tab w:leader="none" w:pos="103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8" w:lineRule="exact"/>
        <w:rPr>
          <w:rFonts w:ascii="Arial" w:cs="Arial" w:eastAsia="Arial" w:hAnsi="Arial"/>
          <w:sz w:val="17"/>
          <w:szCs w:val="17"/>
          <w:color w:val="auto"/>
        </w:rPr>
      </w:pPr>
    </w:p>
    <w:p>
      <w:pPr>
        <w:jc w:val="both"/>
        <w:ind w:right="20" w:firstLine="656"/>
        <w:spacing w:after="0" w:line="259" w:lineRule="auto"/>
        <w:tabs>
          <w:tab w:leader="none" w:pos="1038"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6" w:lineRule="exact"/>
        <w:rPr>
          <w:rFonts w:ascii="Arial" w:cs="Arial" w:eastAsia="Arial" w:hAnsi="Arial"/>
          <w:sz w:val="18"/>
          <w:szCs w:val="18"/>
          <w:color w:val="auto"/>
        </w:rPr>
      </w:pPr>
    </w:p>
    <w:p>
      <w:pPr>
        <w:jc w:val="both"/>
        <w:ind w:firstLine="656"/>
        <w:spacing w:after="0" w:line="312" w:lineRule="auto"/>
        <w:tabs>
          <w:tab w:leader="none" w:pos="107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Revolving Lender may become an additional L/C Lender hereunder with the approval of Administrative Agent (such approval not to be unreasonably withheld or delayed), Borrower and such Revolving Lender, pursuant to an agreement with, and in form and substance reasonably satisfactory to, Administrative Agent, Borrower and such Revolving Lender. Administrative Agent shall notify the Revolving Lenders of any such additional L/C Lender.</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16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Borrower, Administrative Agent, and Revolving Lenders hereby agree that, as of the Closing Date, each letter of credit identified on </w:t>
      </w:r>
      <w:r>
        <w:rPr>
          <w:rFonts w:ascii="Arial" w:cs="Arial" w:eastAsia="Arial" w:hAnsi="Arial"/>
          <w:sz w:val="18"/>
          <w:szCs w:val="18"/>
          <w:u w:val="single" w:color="auto"/>
          <w:color w:val="auto"/>
        </w:rPr>
        <w:t>Schedule 2.03(s)</w:t>
      </w:r>
      <w:r>
        <w:rPr>
          <w:rFonts w:ascii="Arial" w:cs="Arial" w:eastAsia="Arial" w:hAnsi="Arial"/>
          <w:sz w:val="18"/>
          <w:szCs w:val="18"/>
          <w:color w:val="auto"/>
        </w:rPr>
        <w:t xml:space="preserve"> (each, an “</w:t>
      </w:r>
      <w:r>
        <w:rPr>
          <w:rFonts w:ascii="Arial" w:cs="Arial" w:eastAsia="Arial" w:hAnsi="Arial"/>
          <w:sz w:val="18"/>
          <w:szCs w:val="18"/>
          <w:b w:val="1"/>
          <w:bCs w:val="1"/>
          <w:color w:val="auto"/>
        </w:rPr>
        <w:t>Existing Letter of Credit</w:t>
      </w:r>
      <w:r>
        <w:rPr>
          <w:rFonts w:ascii="Arial" w:cs="Arial" w:eastAsia="Arial" w:hAnsi="Arial"/>
          <w:sz w:val="18"/>
          <w:szCs w:val="18"/>
          <w:color w:val="auto"/>
        </w:rPr>
        <w:t xml:space="preserve">”) shall be a Letter of Credit as if originally issued under this Agreement by each relevant L/C Lender as set forth on </w:t>
      </w:r>
      <w:r>
        <w:rPr>
          <w:rFonts w:ascii="Arial" w:cs="Arial" w:eastAsia="Arial" w:hAnsi="Arial"/>
          <w:sz w:val="18"/>
          <w:szCs w:val="18"/>
          <w:u w:val="single" w:color="auto"/>
          <w:color w:val="auto"/>
        </w:rPr>
        <w:t>Schedule 2.03(s)</w:t>
      </w:r>
      <w:r>
        <w:rPr>
          <w:rFonts w:ascii="Arial" w:cs="Arial" w:eastAsia="Arial" w:hAnsi="Arial"/>
          <w:sz w:val="18"/>
          <w:szCs w:val="18"/>
          <w:color w:val="auto"/>
        </w:rPr>
        <w:t xml:space="preserve">, and that the fees and other provisions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shall be applicable to each Existing Letter of Credit as of the Closing Date.</w:t>
      </w:r>
    </w:p>
    <w:p>
      <w:pPr>
        <w:spacing w:after="0" w:line="18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Termination and Reductions of Commitment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8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(i) In addition to any other mandatory commitment reductions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the aggregate amount of the Term A Facility Commitments shall be automatically and permanently reduced to zero at 5:00 p.m., New York City time, on the Closing Date (after giving effect to the making of the Term A Facility Loans on such date).</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76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 xml:space="preserve">In addition to any other mandatory commitment reductions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the aggregate amount of any Incremental Term Loan Commitments of any Tranche shall be automatically and permanently reduced by the amount of Incremental Term Loans of such Tranche made in respect thereof from time to time.</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769"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14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Borrower shall have the right at any time or from time to time (without premium or penalty except breakage costs (if any)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pro rata among the Revolving Lenders), and (iii) so long as the remaining Total Revolving Commitments will equal or exceed the aggregate amount of outstanding Revolving Loans and L/C Liabilities, to reduce the aggregate amount of the Revolving Commitments (which shall be pro rata among the Revolving Lenders); provided, however, that (x) Borrower shall give notice of each such termination or reduction as provided in </w:t>
      </w:r>
      <w:r>
        <w:rPr>
          <w:rFonts w:ascii="Arial" w:cs="Arial" w:eastAsia="Arial" w:hAnsi="Arial"/>
          <w:sz w:val="18"/>
          <w:szCs w:val="18"/>
          <w:u w:val="single" w:color="auto"/>
          <w:color w:val="auto"/>
        </w:rPr>
        <w:t>Section 4.05</w:t>
      </w:r>
      <w:r>
        <w:rPr>
          <w:rFonts w:ascii="Arial" w:cs="Arial" w:eastAsia="Arial" w:hAnsi="Arial"/>
          <w:sz w:val="18"/>
          <w:szCs w:val="18"/>
          <w:color w:val="auto"/>
        </w:rPr>
        <w:t>, and (y) each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284" w:name="page285"/>
    <w:bookmarkEnd w:id="284"/>
    <w:p>
      <w:pPr>
        <w:spacing w:after="0" w:line="277" w:lineRule="auto"/>
        <w:rPr>
          <w:sz w:val="20"/>
          <w:szCs w:val="20"/>
          <w:color w:val="auto"/>
        </w:rPr>
      </w:pPr>
      <w:r>
        <w:rPr>
          <w:rFonts w:ascii="Arial" w:cs="Arial" w:eastAsia="Arial" w:hAnsi="Arial"/>
          <w:sz w:val="18"/>
          <w:szCs w:val="18"/>
          <w:color w:val="auto"/>
        </w:rPr>
        <w:t>partial reduction shall be in an aggregate amount at least equal to $5.0 million (or any whole multiple of $1.0 million in excess thereof) or, if less, the remaining Unutilized R/C Commitments.</w:t>
      </w:r>
    </w:p>
    <w:p>
      <w:pPr>
        <w:spacing w:after="0" w:line="170" w:lineRule="exact"/>
        <w:rPr>
          <w:sz w:val="20"/>
          <w:szCs w:val="20"/>
          <w:color w:val="auto"/>
        </w:rPr>
      </w:pPr>
    </w:p>
    <w:p>
      <w:pPr>
        <w:ind w:left="1040" w:hanging="384"/>
        <w:spacing w:after="0"/>
        <w:tabs>
          <w:tab w:leader="none" w:pos="10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Commitment once terminated or reduced may not be reinstated.</w:t>
      </w:r>
    </w:p>
    <w:p>
      <w:pPr>
        <w:spacing w:after="0" w:line="225" w:lineRule="exact"/>
        <w:rPr>
          <w:rFonts w:ascii="Arial" w:cs="Arial" w:eastAsia="Arial" w:hAnsi="Arial"/>
          <w:sz w:val="18"/>
          <w:szCs w:val="18"/>
          <w:color w:val="auto"/>
        </w:rPr>
      </w:pPr>
    </w:p>
    <w:p>
      <w:pPr>
        <w:ind w:firstLine="656"/>
        <w:spacing w:after="0" w:line="277" w:lineRule="auto"/>
        <w:tabs>
          <w:tab w:leader="none" w:pos="110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Each reduction or termination of any of the Commitments applicable to any Tranche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shall be applied ratably among the Lenders with such a Commitment, as the case may be, in accordance with their respective Commitment, as applicable.</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29" w:lineRule="exact"/>
        <w:rPr>
          <w:sz w:val="20"/>
          <w:szCs w:val="20"/>
          <w:color w:val="auto"/>
        </w:rPr>
      </w:pPr>
    </w:p>
    <w:p>
      <w:pPr>
        <w:jc w:val="both"/>
        <w:ind w:firstLine="656"/>
        <w:spacing w:after="0" w:line="269" w:lineRule="auto"/>
        <w:tabs>
          <w:tab w:leader="none" w:pos="106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(other than a Defaulting Lender), with respect to such Revolving Lender’s Revolving Commitments of each Tranche, a commitment fee for the period from and including the Closing Date (or following the conversion of any such Revolving Commitment into another Tranche, the applicable Extension Date) to but not including the earlier of (i) the date such Revolving Commitment is terminated or expires (or is modified to constitute another Tranche) and (ii) the R/C Maturity Date applicable to such Revolving Commitment, computed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Fee Percentage in respect of such Tranche in effect from time to time during such period on the actual daily amount of such Revolving Lender’s Unutilized R/C Commitment in respect of such Tranche.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in respect of any Revolving Commitment shall be payable in arrears on each Quarterly Date and on the earlier of (i) the date the applicable Revolving Commitment is modified to constitute another Tranche and (ii) the R/C Maturity Date applicable to such Revolving Commitment.</w:t>
      </w:r>
    </w:p>
    <w:p>
      <w:pPr>
        <w:spacing w:after="0" w:line="182" w:lineRule="exact"/>
        <w:rPr>
          <w:rFonts w:ascii="Arial" w:cs="Arial" w:eastAsia="Arial" w:hAnsi="Arial"/>
          <w:sz w:val="17"/>
          <w:szCs w:val="17"/>
          <w:color w:val="auto"/>
        </w:rPr>
      </w:pPr>
    </w:p>
    <w:p>
      <w:pPr>
        <w:ind w:left="1100" w:hanging="444"/>
        <w:spacing w:after="0"/>
        <w:tabs>
          <w:tab w:leader="none" w:pos="110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Borrower shall pay to Administrative Agent for its own account the administrative fee separately agreed between Administrative Agent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right="20" w:firstLine="656"/>
        <w:spacing w:after="0" w:line="277" w:lineRule="auto"/>
        <w:tabs>
          <w:tab w:leader="none" w:pos="109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Borrower shall pay to Auction Manager for its own account, in connection with any Borrower Loan Purchase, such fees as may be agreed between Borrower and Auction Manager.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2.06. Lending Offices</w:t>
      </w:r>
      <w:r>
        <w:rPr>
          <w:rFonts w:ascii="Arial" w:cs="Arial" w:eastAsia="Arial" w:hAnsi="Arial"/>
          <w:sz w:val="17"/>
          <w:szCs w:val="17"/>
          <w:color w:val="auto"/>
        </w:rPr>
        <w:t>. The Loans of each Type made by each Lender shall be made and maintained at such Lender’s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Lending Office for Loans of such Type. Each Lender may, at its option but subject to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as if such branch or Affiliate was deemed a “Lender” thereunder for purposes of documentation delivered to Administrative Agent and payments required to be made to Borrower thereunder,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in any manner the obligation of Borrower to repay such Loan in accordance with the terms of this Agreement.</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2.07. Several Obligations of Lenders</w:t>
      </w:r>
      <w:r>
        <w:rPr>
          <w:rFonts w:ascii="Arial" w:cs="Arial" w:eastAsia="Arial" w:hAnsi="Arial"/>
          <w:sz w:val="18"/>
          <w:szCs w:val="18"/>
          <w:color w:val="auto"/>
        </w:rPr>
        <w:t>. The failure of any Lender to make any Loan to be made by it on the date specified therefor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color w:val="auto"/>
        </w:rPr>
        <w:t>Notes; Register</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20" w:lineRule="exact"/>
        <w:tabs>
          <w:tab w:leader="none" w:pos="10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Arial" w:cs="Arial" w:eastAsia="Arial" w:hAnsi="Arial"/>
          <w:sz w:val="18"/>
          <w:szCs w:val="18"/>
          <w:u w:val="single" w:color="auto"/>
          <w:color w:val="auto"/>
        </w:rPr>
        <w:t>Exhibits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such Lender’s Revolving Loans and Term A Facility Loans, respectively;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promissory notes issued in respect of New Term Loans, Other Term Loans, Extended Term Loans, New Revolving Loans, Other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5" w:right="2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t>Revolving Loans, or Extended Revolving Loans shall be in such form as mutually agreed by Borrower and Administrative Agent.</w:t>
      </w:r>
    </w:p>
    <w:p>
      <w:pPr>
        <w:spacing w:after="0" w:line="225" w:lineRule="exact"/>
        <w:rPr>
          <w:sz w:val="20"/>
          <w:szCs w:val="20"/>
          <w:color w:val="auto"/>
        </w:rPr>
      </w:pPr>
    </w:p>
    <w:p>
      <w:pPr>
        <w:jc w:val="both"/>
        <w:ind w:firstLine="656"/>
        <w:spacing w:after="0" w:line="297" w:lineRule="auto"/>
        <w:tabs>
          <w:tab w:leader="none" w:pos="109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8" w:lineRule="exact"/>
        <w:rPr>
          <w:rFonts w:ascii="Arial" w:cs="Arial" w:eastAsia="Arial" w:hAnsi="Arial"/>
          <w:sz w:val="16"/>
          <w:szCs w:val="16"/>
          <w:color w:val="auto"/>
        </w:rPr>
      </w:pPr>
    </w:p>
    <w:p>
      <w:pPr>
        <w:jc w:val="both"/>
        <w:ind w:firstLine="656"/>
        <w:spacing w:after="0" w:line="289" w:lineRule="auto"/>
        <w:tabs>
          <w:tab w:leader="none" w:pos="108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Borrower hereby designates Administrative Agent to serve as its nonfiduciary agent, solely for purposes of this </w:t>
      </w:r>
      <w:r>
        <w:rPr>
          <w:rFonts w:ascii="Arial" w:cs="Arial" w:eastAsia="Arial" w:hAnsi="Arial"/>
          <w:sz w:val="16"/>
          <w:szCs w:val="16"/>
          <w:u w:val="single" w:color="auto"/>
          <w:color w:val="auto"/>
        </w:rPr>
        <w:t>Section 2.08</w:t>
      </w:r>
      <w:r>
        <w:rPr>
          <w:rFonts w:ascii="Arial" w:cs="Arial" w:eastAsia="Arial" w:hAnsi="Arial"/>
          <w:sz w:val="16"/>
          <w:szCs w:val="16"/>
          <w:color w:val="auto"/>
        </w:rPr>
        <w:t>, to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(with respect to such Lender’s interest only) at any reasonable time and from time to time upon reasonable prior notice. No assignment shall be effective unless recorded in the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Administrative Agent agrees to record in the Register any assignment entered into pursuant to the term hereof promptly after the effectiveness of such assignment.</w:t>
      </w:r>
    </w:p>
    <w:p>
      <w:pPr>
        <w:spacing w:after="0" w:line="16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Optional Prepayments and Conversions or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082"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upon the date specified in any such notice of prepayment, the amount to be prepaid shall become due and payable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If LIBOR Loans are prepaid or converted other than on the last day of an Interest Period therefor, Borrower shall at such time pay all expenses and costs required by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Notwithstanding the foregoing, and without limiting the rights and remedies of the Lenders under </w:t>
      </w:r>
      <w:r>
        <w:rPr>
          <w:rFonts w:ascii="Arial" w:cs="Arial" w:eastAsia="Arial" w:hAnsi="Arial"/>
          <w:sz w:val="17"/>
          <w:szCs w:val="17"/>
          <w:u w:val="single" w:color="auto"/>
          <w:color w:val="auto"/>
        </w:rPr>
        <w:t>Article XI</w:t>
      </w:r>
      <w:r>
        <w:rPr>
          <w:rFonts w:ascii="Arial" w:cs="Arial" w:eastAsia="Arial" w:hAnsi="Arial"/>
          <w:sz w:val="17"/>
          <w:szCs w:val="17"/>
          <w:color w:val="auto"/>
        </w:rPr>
        <w:t>,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 which event all Loans shall be converted (on the last day(s) of the respective Interest Periods therefor) or continued, as the case may be, as ABR Loans.</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5"/>
        <w:spacing w:after="0" w:line="277" w:lineRule="auto"/>
        <w:tabs>
          <w:tab w:leader="none" w:pos="176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The amount of any optional prepayments described in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shall be applied to prepay Loans outstanding in order of amortization, in amounts and to Tranches, all as determined by Borrower.</w:t>
      </w:r>
    </w:p>
    <w:p>
      <w:pPr>
        <w:spacing w:after="0" w:line="170" w:lineRule="exact"/>
        <w:rPr>
          <w:rFonts w:ascii="Arial" w:cs="Arial" w:eastAsia="Arial" w:hAnsi="Arial"/>
          <w:sz w:val="18"/>
          <w:szCs w:val="18"/>
          <w:color w:val="auto"/>
        </w:rPr>
      </w:pPr>
    </w:p>
    <w:p>
      <w:pPr>
        <w:jc w:val="both"/>
        <w:ind w:left="660" w:firstLine="645"/>
        <w:spacing w:after="0" w:line="293" w:lineRule="auto"/>
        <w:tabs>
          <w:tab w:leader="none" w:pos="176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In addition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be in compliance on a Pro Forma Basis with the Financial Maintenance Covenant (whether or not then in effect) (calculated assuming all amounts offered pursuant to this clause</w:t>
      </w:r>
      <w:r>
        <w:rPr>
          <w:rFonts w:ascii="Arial" w:cs="Arial" w:eastAsia="Arial" w:hAnsi="Arial"/>
          <w:sz w:val="16"/>
          <w:szCs w:val="16"/>
          <w:u w:val="single" w:color="auto"/>
          <w:color w:val="auto"/>
        </w:rPr>
        <w:t>(b)(ii)</w:t>
      </w:r>
      <w:r>
        <w:rPr>
          <w:rFonts w:ascii="Arial" w:cs="Arial" w:eastAsia="Arial" w:hAnsi="Arial"/>
          <w:sz w:val="16"/>
          <w:szCs w:val="16"/>
          <w:color w:val="auto"/>
        </w:rPr>
        <w:t xml:space="preserve"> were accepted as prepayment for the Loans and applied thereto) as of the most recent Calculation Date, Borrower shall have the right to elect to offer to prepay at par the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Term A Facility Loans, the New Term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10.09</w:t>
      </w:r>
      <w:r>
        <w:rPr>
          <w:rFonts w:ascii="Arial" w:cs="Arial" w:eastAsia="Arial" w:hAnsi="Arial"/>
          <w:sz w:val="16"/>
          <w:szCs w:val="16"/>
          <w:color w:val="auto"/>
        </w:rPr>
        <w:t>, respectively. If Borrower makes such an election, it shall provide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286" w:name="page287"/>
    <w:bookmarkEnd w:id="286"/>
    <w:p>
      <w:pPr>
        <w:jc w:val="both"/>
        <w:ind w:left="660"/>
        <w:spacing w:after="0" w:line="285" w:lineRule="auto"/>
        <w:rPr>
          <w:sz w:val="20"/>
          <w:szCs w:val="20"/>
          <w:color w:val="auto"/>
        </w:rPr>
      </w:pPr>
      <w:r>
        <w:rPr>
          <w:rFonts w:ascii="Arial" w:cs="Arial" w:eastAsia="Arial" w:hAnsi="Arial"/>
          <w:sz w:val="16"/>
          <w:szCs w:val="16"/>
          <w:color w:val="auto"/>
        </w:rPr>
        <w:t xml:space="preserve">notice thereof to Administrative Agent, who shall promptly, and in any event within one Business Day of receipt, provide such notice to the holders of the Term Loans. Any such notice shall specify the aggregate amount offered to prepay the Term Loans. Each holder of a Term A Facility Loan, a New Term Loan, an Other Term Loan, or an Extended Term Loan may elect, in its sole discretion, to reject such prepayment offer with respect to an amount equal to or less than (w) with respect to holders of Term A Facility Loans, an amount equal to the aggregate amount so offered to prepay Term A Facility Loans times a fraction, the numerator of which is the principal amount of Term A Facility Loans owed to such holder and the denominator of which is the principal amount of Term A Facility Loans outstanding, (w) with respect to holders of (x) New Term Loans, an amount equal to the aggregate amount so offered to prepay New Term Loans times a fraction, the numerator of which is the principal amount of New Term Loans owed to such holder and the denominator of which is the principal amount of New Term Loans outstanding, (y)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(z)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 or make Restricted Payments notwithstanding any then applicable limitations set forth in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10.09</w:t>
      </w:r>
      <w:r>
        <w:rPr>
          <w:rFonts w:ascii="Arial" w:cs="Arial" w:eastAsia="Arial" w:hAnsi="Arial"/>
          <w:sz w:val="16"/>
          <w:szCs w:val="16"/>
          <w:color w:val="auto"/>
        </w:rPr>
        <w:t>, respectively.</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0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Borrower shall prepay the Loans as follows (each such prepayment to be effected in each case in the manner, order and to the extent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below):</w:t>
      </w:r>
    </w:p>
    <w:p>
      <w:pPr>
        <w:spacing w:after="0" w:line="166" w:lineRule="exact"/>
        <w:rPr>
          <w:rFonts w:ascii="Arial" w:cs="Arial" w:eastAsia="Arial" w:hAnsi="Arial"/>
          <w:sz w:val="18"/>
          <w:szCs w:val="18"/>
          <w:color w:val="auto"/>
        </w:rPr>
      </w:pPr>
    </w:p>
    <w:p>
      <w:pPr>
        <w:jc w:val="both"/>
        <w:ind w:left="660" w:firstLine="645"/>
        <w:spacing w:after="0" w:line="261" w:lineRule="auto"/>
        <w:tabs>
          <w:tab w:leader="none" w:pos="1726" w:val="left"/>
        </w:tabs>
        <w:numPr>
          <w:ilvl w:val="1"/>
          <w:numId w:val="279"/>
        </w:numPr>
        <w:rPr>
          <w:rFonts w:ascii="Arial" w:cs="Arial" w:eastAsia="Arial" w:hAnsi="Arial"/>
          <w:sz w:val="18"/>
          <w:szCs w:val="18"/>
          <w:color w:val="auto"/>
        </w:rPr>
      </w:pPr>
      <w:r>
        <w:rPr>
          <w:rFonts w:ascii="Arial" w:cs="Arial" w:eastAsia="Arial" w:hAnsi="Arial"/>
          <w:sz w:val="18"/>
          <w:szCs w:val="18"/>
          <w:b w:val="1"/>
          <w:bCs w:val="1"/>
          <w:color w:val="auto"/>
        </w:rPr>
        <w:t>Casualty Events</w:t>
      </w:r>
      <w:r>
        <w:rPr>
          <w:rFonts w:ascii="Arial" w:cs="Arial" w:eastAsia="Arial" w:hAnsi="Arial"/>
          <w:sz w:val="18"/>
          <w:szCs w:val="18"/>
          <w:color w:val="auto"/>
        </w:rPr>
        <w:t>. Within five (5) Business Days after Borrower or any Restricted Subsidiary receives any Net Available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any Casualty Event or any disposition pursuant to </w:t>
      </w:r>
      <w:r>
        <w:rPr>
          <w:rFonts w:ascii="Arial" w:cs="Arial" w:eastAsia="Arial" w:hAnsi="Arial"/>
          <w:sz w:val="18"/>
          <w:szCs w:val="18"/>
          <w:u w:val="single" w:color="auto"/>
          <w:color w:val="auto"/>
        </w:rPr>
        <w:t>Section 10.05(l)</w:t>
      </w:r>
      <w:r>
        <w:rPr>
          <w:rFonts w:ascii="Arial" w:cs="Arial" w:eastAsia="Arial" w:hAnsi="Arial"/>
          <w:sz w:val="18"/>
          <w:szCs w:val="18"/>
          <w:color w:val="auto"/>
        </w:rPr>
        <w:t xml:space="preserve"> (or notice of collection by Administrative Agent of the same), in an aggregate principal amount equal to such Net Available Proceeds (it being understood that applications pursuant to this </w:t>
      </w:r>
      <w:r>
        <w:rPr>
          <w:rFonts w:ascii="Arial" w:cs="Arial" w:eastAsia="Arial" w:hAnsi="Arial"/>
          <w:sz w:val="18"/>
          <w:szCs w:val="18"/>
          <w:u w:val="single" w:color="auto"/>
          <w:color w:val="auto"/>
        </w:rPr>
        <w:t>Section 2.10(a)(i)</w:t>
      </w:r>
      <w:r>
        <w:rPr>
          <w:rFonts w:ascii="Arial" w:cs="Arial" w:eastAsia="Arial" w:hAnsi="Arial"/>
          <w:sz w:val="18"/>
          <w:szCs w:val="18"/>
          <w:color w:val="auto"/>
        </w:rPr>
        <w:t xml:space="preserve"> shall not be duplicative of </w:t>
      </w:r>
      <w:r>
        <w:rPr>
          <w:rFonts w:ascii="Arial" w:cs="Arial" w:eastAsia="Arial" w:hAnsi="Arial"/>
          <w:sz w:val="18"/>
          <w:szCs w:val="18"/>
          <w:u w:val="single" w:color="auto"/>
          <w:color w:val="auto"/>
        </w:rPr>
        <w:t>Section 2.10(a)(iii)</w:t>
      </w:r>
      <w:r>
        <w:rPr>
          <w:rFonts w:ascii="Arial" w:cs="Arial" w:eastAsia="Arial" w:hAnsi="Arial"/>
          <w:sz w:val="18"/>
          <w:szCs w:val="18"/>
          <w:color w:val="auto"/>
        </w:rPr>
        <w:t xml:space="preserve">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jc w:val="both"/>
        <w:ind w:left="1300" w:firstLine="653"/>
        <w:spacing w:after="0" w:line="285" w:lineRule="auto"/>
        <w:tabs>
          <w:tab w:leader="none" w:pos="2359" w:val="left"/>
        </w:tabs>
        <w:numPr>
          <w:ilvl w:val="2"/>
          <w:numId w:val="279"/>
        </w:numPr>
        <w:rPr>
          <w:rFonts w:ascii="Arial" w:cs="Arial" w:eastAsia="Arial" w:hAnsi="Arial"/>
          <w:sz w:val="16"/>
          <w:szCs w:val="16"/>
          <w:color w:val="auto"/>
        </w:rPr>
      </w:pPr>
      <w:r>
        <w:rPr>
          <w:rFonts w:ascii="Arial" w:cs="Arial" w:eastAsia="Arial" w:hAnsi="Arial"/>
          <w:sz w:val="16"/>
          <w:szCs w:val="16"/>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 if such Casualty Event relates to any Credit Party, any Credit Party or (B) if such Casualty Event relates to any other Company, any Company, or repair, replace, or restore the Property or other Property used or usable in the business (A) if such Casualty Event relates to any Credit Party, any Credit Party or</w:t>
      </w:r>
    </w:p>
    <w:p>
      <w:pPr>
        <w:spacing w:after="0" w:line="2" w:lineRule="exact"/>
        <w:rPr>
          <w:rFonts w:ascii="Arial" w:cs="Arial" w:eastAsia="Arial" w:hAnsi="Arial"/>
          <w:sz w:val="16"/>
          <w:szCs w:val="16"/>
          <w:color w:val="auto"/>
        </w:rPr>
      </w:pPr>
    </w:p>
    <w:p>
      <w:pPr>
        <w:jc w:val="both"/>
        <w:ind w:left="1300"/>
        <w:spacing w:after="0" w:line="268" w:lineRule="auto"/>
        <w:rPr>
          <w:rFonts w:ascii="Arial" w:cs="Arial" w:eastAsia="Arial" w:hAnsi="Arial"/>
          <w:sz w:val="16"/>
          <w:szCs w:val="16"/>
          <w:color w:val="auto"/>
        </w:rPr>
      </w:pPr>
      <w:r>
        <w:rPr>
          <w:rFonts w:ascii="Arial" w:cs="Arial" w:eastAsia="Arial" w:hAnsi="Arial"/>
          <w:sz w:val="17"/>
          <w:szCs w:val="17"/>
          <w:color w:val="auto"/>
        </w:rPr>
        <w:t>(B) if such Casualty Event relates to any other Company, any Company (in accordance with the provisions of the applicable Security Document in respect of which such Casualty Event has occurred, to the extent applicable), in each case within (A) eighteen (18) months following receipt of such Net Available Proceeds or (B) if Borrower or the relevant Restricted Subsidiary enters into a legally binding commitment to reinvest such Net Available Proceeds within eighteen (18) months following receipt thereof, within the later of (1) six (6) months days following the date of such legally binding commitment and (2) eighteen (18) months following receipt of such Net Available Proceeds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elect to deem expenditures that otherwise would be permissible reinvestments that occur prior to receipt of the proceeds of a Casualty Event to have been reinvested in accordance with the provisions hereof, so long as such deemed expenditure shall have been made no earlier than the applicable Casualty Event),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5" w:right="239" w:bottom="1440" w:gutter="0" w:footer="0" w:header="0"/>
        </w:sectPr>
      </w:pPr>
    </w:p>
    <w:bookmarkStart w:id="287" w:name="page288"/>
    <w:bookmarkEnd w:id="287"/>
    <w:p>
      <w:pPr>
        <w:jc w:val="both"/>
        <w:ind w:left="640" w:firstLine="653"/>
        <w:spacing w:after="0" w:line="264" w:lineRule="auto"/>
        <w:tabs>
          <w:tab w:leader="none" w:pos="17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if all or any portion of such Net Available Proceeds not required to be applied to the prepayment of Loans pursuant to this </w:t>
      </w:r>
      <w:r>
        <w:rPr>
          <w:rFonts w:ascii="Arial" w:cs="Arial" w:eastAsia="Arial" w:hAnsi="Arial"/>
          <w:sz w:val="18"/>
          <w:szCs w:val="18"/>
          <w:u w:val="single" w:color="auto"/>
          <w:color w:val="auto"/>
        </w:rPr>
        <w:t>Section 2.10(a)(i)</w:t>
      </w:r>
      <w:r>
        <w:rPr>
          <w:rFonts w:ascii="Arial" w:cs="Arial" w:eastAsia="Arial" w:hAnsi="Arial"/>
          <w:sz w:val="18"/>
          <w:szCs w:val="18"/>
          <w:color w:val="auto"/>
        </w:rPr>
        <w:t xml:space="preserve"> is not so used within the period specified by clause (x) above, such remaining portion shall be applied on the last day of such period as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or otherwise, no mandatory prepayment shall be required pursuant to this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in any fiscal year until the date on which the Net Available Proceeds required to be applied as mandatory prepayments pursuant to this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in such fiscal year shall exceed $15.0 million (and thereafter only Net Available Proceeds in excess of such amount shall be required to be applied as mandatory prepayments pursuant to this </w:t>
      </w:r>
      <w:r>
        <w:rPr>
          <w:rFonts w:ascii="Arial" w:cs="Arial" w:eastAsia="Arial" w:hAnsi="Arial"/>
          <w:sz w:val="17"/>
          <w:szCs w:val="17"/>
          <w:u w:val="single" w:color="auto"/>
          <w:color w:val="auto"/>
        </w:rPr>
        <w:t>Section 2.10(a)(i)</w:t>
      </w:r>
      <w:r>
        <w:rPr>
          <w:rFonts w:ascii="Arial" w:cs="Arial" w:eastAsia="Arial" w:hAnsi="Arial"/>
          <w:sz w:val="17"/>
          <w:szCs w:val="17"/>
          <w:color w:val="auto"/>
        </w:rPr>
        <w:t>).</w:t>
      </w:r>
    </w:p>
    <w:p>
      <w:pPr>
        <w:spacing w:after="0" w:line="167" w:lineRule="exact"/>
        <w:rPr>
          <w:sz w:val="20"/>
          <w:szCs w:val="20"/>
          <w:color w:val="auto"/>
        </w:rPr>
      </w:pPr>
    </w:p>
    <w:p>
      <w:pPr>
        <w:ind w:firstLine="645"/>
        <w:spacing w:after="0" w:line="282" w:lineRule="auto"/>
        <w:tabs>
          <w:tab w:leader="none" w:pos="1062"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Debt Issuance</w:t>
      </w:r>
      <w:r>
        <w:rPr>
          <w:rFonts w:ascii="Arial" w:cs="Arial" w:eastAsia="Arial" w:hAnsi="Arial"/>
          <w:sz w:val="18"/>
          <w:szCs w:val="18"/>
          <w:color w:val="auto"/>
        </w:rPr>
        <w:t>. Within five (5) Business Days after any Debt Issuance on or after the Closing Date, in an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100% of the Net Available Proceeds of such Debt Issuance.</w:t>
      </w:r>
    </w:p>
    <w:p>
      <w:pPr>
        <w:spacing w:after="0" w:line="161" w:lineRule="exact"/>
        <w:rPr>
          <w:rFonts w:ascii="Arial" w:cs="Arial" w:eastAsia="Arial" w:hAnsi="Arial"/>
          <w:sz w:val="18"/>
          <w:szCs w:val="18"/>
          <w:color w:val="auto"/>
        </w:rPr>
      </w:pPr>
    </w:p>
    <w:p>
      <w:pPr>
        <w:jc w:val="both"/>
        <w:ind w:firstLine="645"/>
        <w:spacing w:after="0" w:line="261" w:lineRule="auto"/>
        <w:tabs>
          <w:tab w:leader="none" w:pos="1179"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Asset Sales</w:t>
      </w:r>
      <w:r>
        <w:rPr>
          <w:rFonts w:ascii="Arial" w:cs="Arial" w:eastAsia="Arial" w:hAnsi="Arial"/>
          <w:sz w:val="18"/>
          <w:szCs w:val="18"/>
          <w:color w:val="auto"/>
        </w:rPr>
        <w:t>. Within five (5) Business Days after receipt by Borrower or any of its Restricted Subsidiaries of any Net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Proceeds from any Asset Sale pursuant to </w:t>
      </w:r>
      <w:r>
        <w:rPr>
          <w:rFonts w:ascii="Arial" w:cs="Arial" w:eastAsia="Arial" w:hAnsi="Arial"/>
          <w:sz w:val="18"/>
          <w:szCs w:val="18"/>
          <w:u w:val="single" w:color="auto"/>
          <w:color w:val="auto"/>
        </w:rPr>
        <w:t>Section 10.05(c)</w:t>
      </w:r>
      <w:r>
        <w:rPr>
          <w:rFonts w:ascii="Arial" w:cs="Arial" w:eastAsia="Arial" w:hAnsi="Arial"/>
          <w:sz w:val="18"/>
          <w:szCs w:val="18"/>
          <w:color w:val="auto"/>
        </w:rPr>
        <w:t xml:space="preserve">, in an aggregate principal amount equal to the Net Available Proceeds from such Asset Sale (it being understood that applications pursuant to this </w:t>
      </w:r>
      <w:r>
        <w:rPr>
          <w:rFonts w:ascii="Arial" w:cs="Arial" w:eastAsia="Arial" w:hAnsi="Arial"/>
          <w:sz w:val="18"/>
          <w:szCs w:val="18"/>
          <w:u w:val="single" w:color="auto"/>
          <w:color w:val="auto"/>
        </w:rPr>
        <w:t>Section 2.10(a)(iii)</w:t>
      </w:r>
      <w:r>
        <w:rPr>
          <w:rFonts w:ascii="Arial" w:cs="Arial" w:eastAsia="Arial" w:hAnsi="Arial"/>
          <w:sz w:val="18"/>
          <w:szCs w:val="18"/>
          <w:color w:val="auto"/>
        </w:rPr>
        <w:t xml:space="preserve"> shall not be duplicative of </w:t>
      </w:r>
      <w:r>
        <w:rPr>
          <w:rFonts w:ascii="Arial" w:cs="Arial" w:eastAsia="Arial" w:hAnsi="Arial"/>
          <w:sz w:val="18"/>
          <w:szCs w:val="18"/>
          <w:u w:val="single" w:color="auto"/>
          <w:color w:val="auto"/>
        </w:rPr>
        <w:t>Section 2.10(a)(i)</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jc w:val="both"/>
        <w:ind w:left="640" w:firstLine="653"/>
        <w:spacing w:after="0" w:line="270" w:lineRule="auto"/>
        <w:tabs>
          <w:tab w:leader="none" w:pos="1708"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an amount equal to the Net Available Proceeds from any Asset Sale pursuant to </w:t>
      </w:r>
      <w:r>
        <w:rPr>
          <w:rFonts w:ascii="Arial" w:cs="Arial" w:eastAsia="Arial" w:hAnsi="Arial"/>
          <w:sz w:val="17"/>
          <w:szCs w:val="17"/>
          <w:u w:val="single" w:color="auto"/>
          <w:color w:val="auto"/>
        </w:rPr>
        <w:t>Section 10.05(c)</w:t>
      </w:r>
      <w:r>
        <w:rPr>
          <w:rFonts w:ascii="Arial" w:cs="Arial" w:eastAsia="Arial" w:hAnsi="Arial"/>
          <w:sz w:val="17"/>
          <w:szCs w:val="17"/>
          <w:color w:val="auto"/>
        </w:rPr>
        <w:t xml:space="preserve">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 Sale was effected by any other Company, any Company, in each case within (x) eighteen (18) months following receipt of such Net Available Proceeds or (y) if Borrower or the relevant Restricted Subsidiary enters into a legally binding commitment to reinvest such Net Available Proceeds within eighteen (18) months following receipt thereof, within the later of (A) six (6) months following the date of such legally binding commitment and (B) eighteen (18) months following receipt of such Net Available Proceeds (which certificate shall set forth the estimates of the proceeds to be so expended); and</w:t>
      </w:r>
    </w:p>
    <w:p>
      <w:pPr>
        <w:spacing w:after="0" w:line="177" w:lineRule="exact"/>
        <w:rPr>
          <w:rFonts w:ascii="Arial" w:cs="Arial" w:eastAsia="Arial" w:hAnsi="Arial"/>
          <w:sz w:val="17"/>
          <w:szCs w:val="17"/>
          <w:color w:val="auto"/>
        </w:rPr>
      </w:pPr>
    </w:p>
    <w:p>
      <w:pPr>
        <w:jc w:val="both"/>
        <w:ind w:left="640" w:firstLine="653"/>
        <w:spacing w:after="0" w:line="264" w:lineRule="auto"/>
        <w:tabs>
          <w:tab w:leader="none" w:pos="173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xml:space="preserve">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or otherwise, no mandatory prepayment shall be required pursuant to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in any fiscal year until the date on which the Net Available Proceeds required to be applied as mandatory prepayments pursuant to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in such fiscal year shall exceed $15.0 million (and thereafter only Net Available Proceeds in excess of such amount shall be required be applied as mandatory prepayments pursuant to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w:t>
      </w:r>
    </w:p>
    <w:p>
      <w:pPr>
        <w:spacing w:after="0" w:line="167" w:lineRule="exact"/>
        <w:rPr>
          <w:sz w:val="20"/>
          <w:szCs w:val="20"/>
          <w:color w:val="auto"/>
        </w:rPr>
      </w:pPr>
    </w:p>
    <w:p>
      <w:pPr>
        <w:jc w:val="both"/>
        <w:ind w:firstLine="645"/>
        <w:spacing w:after="0" w:line="295" w:lineRule="auto"/>
        <w:tabs>
          <w:tab w:leader="none" w:pos="1142" w:val="left"/>
        </w:tabs>
        <w:numPr>
          <w:ilvl w:val="0"/>
          <w:numId w:val="282"/>
        </w:numPr>
        <w:rPr>
          <w:rFonts w:ascii="Arial" w:cs="Arial" w:eastAsia="Arial" w:hAnsi="Arial"/>
          <w:sz w:val="16"/>
          <w:szCs w:val="16"/>
          <w:color w:val="auto"/>
        </w:rPr>
      </w:pPr>
      <w:r>
        <w:rPr>
          <w:rFonts w:ascii="Arial" w:cs="Arial" w:eastAsia="Arial" w:hAnsi="Arial"/>
          <w:sz w:val="16"/>
          <w:szCs w:val="16"/>
          <w:b w:val="1"/>
          <w:bCs w:val="1"/>
          <w:color w:val="auto"/>
        </w:rPr>
        <w:t>Prepayments Not Required</w:t>
      </w:r>
      <w:r>
        <w:rPr>
          <w:rFonts w:ascii="Arial" w:cs="Arial" w:eastAsia="Arial" w:hAnsi="Arial"/>
          <w:sz w:val="16"/>
          <w:szCs w:val="16"/>
          <w:color w:val="auto"/>
        </w:rPr>
        <w:t>. Notwithstanding any other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2.10(a)</w:t>
      </w:r>
      <w:r>
        <w:rPr>
          <w:rFonts w:ascii="Arial" w:cs="Arial" w:eastAsia="Arial" w:hAnsi="Arial"/>
          <w:sz w:val="16"/>
          <w:szCs w:val="16"/>
          <w:color w:val="auto"/>
        </w:rPr>
        <w:t>, to the extent that any of or all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Proceeds of any Asset Sale or Casualty Event with respect to any property or assets of Foreign Subsidiaries are prohibited or delayed by applicable local law from being repatriated to the United States, an amount equal to the portion of such Net Available Proceeds so affected will not be required to be applied to repay Loans at the times provided in this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760"/>
          </w:cols>
          <w:pgMar w:left="900" w:top="584" w:right="239" w:bottom="1440" w:gutter="0" w:footer="0" w:header="0"/>
        </w:sectPr>
      </w:pPr>
    </w:p>
    <w:bookmarkStart w:id="288" w:name="page289"/>
    <w:bookmarkEnd w:id="288"/>
    <w:p>
      <w:pPr>
        <w:jc w:val="both"/>
        <w:ind w:left="660"/>
        <w:spacing w:after="0" w:line="291" w:lineRule="auto"/>
        <w:rPr>
          <w:sz w:val="20"/>
          <w:szCs w:val="20"/>
          <w:color w:val="auto"/>
        </w:rPr>
      </w:pPr>
      <w:r>
        <w:rPr>
          <w:rFonts w:ascii="Arial" w:cs="Arial" w:eastAsia="Arial" w:hAnsi="Arial"/>
          <w:sz w:val="16"/>
          <w:szCs w:val="16"/>
          <w:color w:val="auto"/>
        </w:rPr>
        <w:t xml:space="preserve">is permitted under the applicable local law, an amount equal to such Net Available Proceeds shall be reinvested pursuant to </w:t>
      </w:r>
      <w:r>
        <w:rPr>
          <w:rFonts w:ascii="Arial" w:cs="Arial" w:eastAsia="Arial" w:hAnsi="Arial"/>
          <w:sz w:val="16"/>
          <w:szCs w:val="16"/>
          <w:u w:val="single" w:color="auto"/>
          <w:color w:val="auto"/>
        </w:rPr>
        <w:t>Section 2.10(a)(i)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2.10(a)(iii)</w:t>
      </w:r>
      <w:r>
        <w:rPr>
          <w:rFonts w:ascii="Arial" w:cs="Arial" w:eastAsia="Arial" w:hAnsi="Arial"/>
          <w:sz w:val="16"/>
          <w:szCs w:val="16"/>
          <w:color w:val="auto"/>
        </w:rPr>
        <w:t xml:space="preserve">, as applicable, or applied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To the extent Borrower determines in good faith that repatriation of any of or all the Net Available Proceeds of any Asset Sale or Casualty Event with respect to any property or assets of Foreign Subsidiaries would result in a material Tax liability to Borrower or any of its Subsidiaries (including any material withholding Tax), the applicable mandatory prepayment shall be reduced by the Net Available Proceeds so affected (the “</w:t>
      </w:r>
      <w:r>
        <w:rPr>
          <w:rFonts w:ascii="Arial" w:cs="Arial" w:eastAsia="Arial" w:hAnsi="Arial"/>
          <w:sz w:val="16"/>
          <w:szCs w:val="16"/>
          <w:b w:val="1"/>
          <w:bCs w:val="1"/>
          <w:color w:val="auto"/>
        </w:rPr>
        <w:t>Restricted Amount</w:t>
      </w:r>
      <w:r>
        <w:rPr>
          <w:rFonts w:ascii="Arial" w:cs="Arial" w:eastAsia="Arial" w:hAnsi="Arial"/>
          <w:sz w:val="16"/>
          <w:szCs w:val="16"/>
          <w:color w:val="auto"/>
        </w:rPr>
        <w:t xml:space="preserve">”) until such time as Borrower determines in good faith that repatriation of the Restricted Amount may occur without incurring such material Tax liability, at which time an amount equal to any such Net Available Proceeds shall be reinvested pursuant to </w:t>
      </w:r>
      <w:r>
        <w:rPr>
          <w:rFonts w:ascii="Arial" w:cs="Arial" w:eastAsia="Arial" w:hAnsi="Arial"/>
          <w:sz w:val="16"/>
          <w:szCs w:val="16"/>
          <w:u w:val="single" w:color="auto"/>
          <w:color w:val="auto"/>
        </w:rPr>
        <w:t>Section 2.10(a)(i)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2.10(a)(iii)</w:t>
      </w:r>
      <w:r>
        <w:rPr>
          <w:rFonts w:ascii="Arial" w:cs="Arial" w:eastAsia="Arial" w:hAnsi="Arial"/>
          <w:sz w:val="16"/>
          <w:szCs w:val="16"/>
          <w:color w:val="auto"/>
        </w:rPr>
        <w:t xml:space="preserve">, as applicable, or applied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w:t>
      </w:r>
    </w:p>
    <w:p>
      <w:pPr>
        <w:spacing w:after="0" w:line="163" w:lineRule="exact"/>
        <w:rPr>
          <w:sz w:val="20"/>
          <w:szCs w:val="20"/>
          <w:color w:val="auto"/>
        </w:rPr>
      </w:pPr>
    </w:p>
    <w:p>
      <w:pPr>
        <w:jc w:val="both"/>
        <w:ind w:left="660" w:firstLine="645"/>
        <w:spacing w:after="0" w:line="287" w:lineRule="auto"/>
        <w:tabs>
          <w:tab w:leader="none" w:pos="1833" w:val="left"/>
        </w:tabs>
        <w:numPr>
          <w:ilvl w:val="1"/>
          <w:numId w:val="283"/>
        </w:numPr>
        <w:rPr>
          <w:rFonts w:ascii="Arial" w:cs="Arial" w:eastAsia="Arial" w:hAnsi="Arial"/>
          <w:sz w:val="16"/>
          <w:szCs w:val="16"/>
          <w:color w:val="auto"/>
        </w:rPr>
      </w:pPr>
      <w:r>
        <w:rPr>
          <w:rFonts w:ascii="Arial" w:cs="Arial" w:eastAsia="Arial" w:hAnsi="Arial"/>
          <w:sz w:val="16"/>
          <w:szCs w:val="16"/>
          <w:b w:val="1"/>
          <w:bCs w:val="1"/>
          <w:color w:val="auto"/>
        </w:rPr>
        <w:t xml:space="preserve">Prepayments of Other First Lien Indebtedness. </w:t>
      </w:r>
      <w:r>
        <w:rPr>
          <w:rFonts w:ascii="Arial" w:cs="Arial" w:eastAsia="Arial" w:hAnsi="Arial"/>
          <w:sz w:val="16"/>
          <w:szCs w:val="16"/>
          <w:color w:val="auto"/>
        </w:rPr>
        <w:t>Notwithstanding the foregoing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2.10(a)(i)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(determined on the basis of the aggregate outstanding principal amount of Term Loans and Other First Lien Indebtedness at such time) of such Net Available Proceeds relative to Lenders, in which case such Net Available Proceeds may only be applied to prepay the principal amount of Other First Lien Indebtedness on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with outstanding Term Loans. To the extent the holders of Other First Lien Indebtedness decline to have such indebtedness repurchased,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64" w:lineRule="exact"/>
        <w:rPr>
          <w:rFonts w:ascii="Arial" w:cs="Arial" w:eastAsia="Arial" w:hAnsi="Arial"/>
          <w:sz w:val="16"/>
          <w:szCs w:val="16"/>
          <w:color w:val="auto"/>
        </w:rPr>
      </w:pPr>
    </w:p>
    <w:p>
      <w:pPr>
        <w:ind w:left="1040" w:hanging="384"/>
        <w:spacing w:after="0"/>
        <w:tabs>
          <w:tab w:leader="none" w:pos="1040" w:val="left"/>
        </w:tabs>
        <w:numPr>
          <w:ilvl w:val="0"/>
          <w:numId w:val="284"/>
        </w:numPr>
        <w:rPr>
          <w:rFonts w:ascii="Arial" w:cs="Arial" w:eastAsia="Arial" w:hAnsi="Arial"/>
          <w:sz w:val="17"/>
          <w:szCs w:val="17"/>
          <w:color w:val="auto"/>
        </w:rPr>
      </w:pPr>
      <w:r>
        <w:rPr>
          <w:rFonts w:ascii="Arial" w:cs="Arial" w:eastAsia="Arial" w:hAnsi="Arial"/>
          <w:sz w:val="17"/>
          <w:szCs w:val="17"/>
          <w:b w:val="1"/>
          <w:bCs w:val="1"/>
          <w:color w:val="auto"/>
        </w:rPr>
        <w:t>Application</w:t>
      </w:r>
      <w:r>
        <w:rPr>
          <w:rFonts w:ascii="Arial" w:cs="Arial" w:eastAsia="Arial" w:hAnsi="Arial"/>
          <w:sz w:val="17"/>
          <w:szCs w:val="17"/>
          <w:color w:val="auto"/>
        </w:rPr>
        <w:t>. The amount of any mandatory prepayments described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2.10(a)</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applied to prepay Loans as follows:</w:t>
      </w:r>
    </w:p>
    <w:p>
      <w:pPr>
        <w:spacing w:after="0" w:line="240" w:lineRule="exact"/>
        <w:rPr>
          <w:rFonts w:ascii="Arial" w:cs="Arial" w:eastAsia="Arial" w:hAnsi="Arial"/>
          <w:sz w:val="17"/>
          <w:szCs w:val="17"/>
          <w:color w:val="auto"/>
        </w:rPr>
      </w:pPr>
    </w:p>
    <w:p>
      <w:pPr>
        <w:jc w:val="both"/>
        <w:ind w:left="660" w:firstLine="645"/>
        <w:spacing w:after="0" w:line="264" w:lineRule="auto"/>
        <w:tabs>
          <w:tab w:leader="none" w:pos="1685" w:val="left"/>
        </w:tabs>
        <w:numPr>
          <w:ilvl w:val="1"/>
          <w:numId w:val="28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outstanding Term Loans in order of amortization, in amounts and to Tranches, all as directed by Borrower;</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mandatory prepayments may not be directed to a later maturing Class of Term Loans without at least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repayment of any related earlier maturing Class of Term Loans;</w:t>
      </w:r>
    </w:p>
    <w:p>
      <w:pPr>
        <w:spacing w:after="0" w:line="181" w:lineRule="exact"/>
        <w:rPr>
          <w:sz w:val="20"/>
          <w:szCs w:val="20"/>
          <w:color w:val="auto"/>
        </w:rPr>
      </w:pPr>
    </w:p>
    <w:p>
      <w:pPr>
        <w:ind w:left="660" w:right="20" w:firstLine="645"/>
        <w:spacing w:after="0" w:line="277" w:lineRule="auto"/>
        <w:tabs>
          <w:tab w:leader="none" w:pos="1735"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after such time as no Term Loans or Permitted First Priority Refinancing Debt remain outstanding, to prepay all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Loans (in each case, without any reduction in Revolving Commitments);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85"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after application of prepayments in accordance with clauses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i w:val="1"/>
          <w:iCs w:val="1"/>
          <w:color w:val="auto"/>
        </w:rPr>
        <w:t xml:space="preserve"> </w:t>
      </w:r>
      <w:r>
        <w:rPr>
          <w:rFonts w:ascii="Arial" w:cs="Arial" w:eastAsia="Arial" w:hAnsi="Arial"/>
          <w:sz w:val="18"/>
          <w:szCs w:val="18"/>
          <w:color w:val="auto"/>
        </w:rPr>
        <w:t>above, Borrower shall be permitted to retain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excess.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the foregoing, any Lender holding Term Loans may elect, by written notice to Administrative Agent at least one (1) Business Day prior to the prepayment date, to decline all or any portion of any prepayment of its Term Loans,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Any such amounts rejected by such Lenders shall be retained by Borrower (any such retained amounts, “</w:t>
      </w:r>
      <w:r>
        <w:rPr>
          <w:rFonts w:ascii="Arial" w:cs="Arial" w:eastAsia="Arial" w:hAnsi="Arial"/>
          <w:sz w:val="18"/>
          <w:szCs w:val="18"/>
          <w:b w:val="1"/>
          <w:bCs w:val="1"/>
          <w:color w:val="auto"/>
        </w:rPr>
        <w:t>Declined Amounts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Notwithstanding the foregoing, if the amount of any prepayment of Loans required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4" w:right="23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color w:val="auto"/>
        </w:rPr>
        <w:t xml:space="preserve">all interest accruing thereon for the account of Borrower) or (ii) prepaid immediately, together with any amounts owing to the Lenders under </w:t>
      </w:r>
      <w:r>
        <w:rPr>
          <w:rFonts w:ascii="Arial" w:cs="Arial" w:eastAsia="Arial" w:hAnsi="Arial"/>
          <w:sz w:val="16"/>
          <w:szCs w:val="16"/>
          <w:u w:val="single" w:color="auto"/>
          <w:color w:val="auto"/>
        </w:rPr>
        <w:t>Section 5.05</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such deposit in the Collateral Account, interest shall continue to accrue on such Loans until prepayment.</w:t>
      </w:r>
    </w:p>
    <w:p>
      <w:pPr>
        <w:spacing w:after="0" w:line="207" w:lineRule="exact"/>
        <w:rPr>
          <w:sz w:val="20"/>
          <w:szCs w:val="20"/>
          <w:color w:val="auto"/>
        </w:rPr>
      </w:pPr>
    </w:p>
    <w:p>
      <w:pPr>
        <w:jc w:val="both"/>
        <w:ind w:firstLine="656"/>
        <w:spacing w:after="0" w:line="255" w:lineRule="auto"/>
        <w:tabs>
          <w:tab w:leader="none" w:pos="1136" w:val="left"/>
        </w:tabs>
        <w:numPr>
          <w:ilvl w:val="1"/>
          <w:numId w:val="286"/>
        </w:numPr>
        <w:rPr>
          <w:rFonts w:ascii="Arial" w:cs="Arial" w:eastAsia="Arial" w:hAnsi="Arial"/>
          <w:sz w:val="18"/>
          <w:szCs w:val="18"/>
          <w:color w:val="auto"/>
        </w:rPr>
      </w:pPr>
      <w:r>
        <w:rPr>
          <w:rFonts w:ascii="Arial" w:cs="Arial" w:eastAsia="Arial" w:hAnsi="Arial"/>
          <w:sz w:val="18"/>
          <w:szCs w:val="18"/>
          <w:b w:val="1"/>
          <w:bCs w:val="1"/>
          <w:color w:val="auto"/>
        </w:rPr>
        <w:t>Revolving Credit Extension Reductions</w:t>
      </w:r>
      <w:r>
        <w:rPr>
          <w:rFonts w:ascii="Arial" w:cs="Arial" w:eastAsia="Arial" w:hAnsi="Arial"/>
          <w:sz w:val="18"/>
          <w:szCs w:val="18"/>
          <w:color w:val="auto"/>
        </w:rPr>
        <w:t>. Until the final R/C Maturity Date, Borrower shall from time to time immediately prepay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Loans (and/or provide Cash Collateral in an amount equal to the Minimum Collateral Amount for, or otherwise backstop (with a letter of credit on customary terms reasonably acceptable to the applicable L/C Lender and Administrative Agent), outstanding L/C Liabilities) in such amounts as shall be necessary (I) so that at all times (a) the aggregate outstanding amount of the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L/C Liabilities under such Tranche shall not exceed the aggregate Revolving Commitments of such Tranche as in effect at such time and (II) to comply with </w:t>
      </w:r>
      <w:r>
        <w:rPr>
          <w:rFonts w:ascii="Arial" w:cs="Arial" w:eastAsia="Arial" w:hAnsi="Arial"/>
          <w:sz w:val="18"/>
          <w:szCs w:val="18"/>
          <w:u w:val="single" w:color="auto"/>
          <w:color w:val="auto"/>
        </w:rPr>
        <w:t>Section 7.02(a)(iii)</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656"/>
        <w:spacing w:after="0" w:line="283" w:lineRule="auto"/>
        <w:tabs>
          <w:tab w:leader="none" w:pos="1065" w:val="left"/>
        </w:tabs>
        <w:numPr>
          <w:ilvl w:val="1"/>
          <w:numId w:val="286"/>
        </w:numPr>
        <w:rPr>
          <w:rFonts w:ascii="Arial" w:cs="Arial" w:eastAsia="Arial" w:hAnsi="Arial"/>
          <w:sz w:val="16"/>
          <w:szCs w:val="16"/>
          <w:color w:val="auto"/>
        </w:rPr>
      </w:pPr>
      <w:r>
        <w:rPr>
          <w:rFonts w:ascii="Arial" w:cs="Arial" w:eastAsia="Arial" w:hAnsi="Arial"/>
          <w:sz w:val="16"/>
          <w:szCs w:val="16"/>
          <w:b w:val="1"/>
          <w:bCs w:val="1"/>
          <w:color w:val="auto"/>
        </w:rPr>
        <w:t>Outstanding Letters of Credit</w:t>
      </w:r>
      <w:r>
        <w:rPr>
          <w:rFonts w:ascii="Arial" w:cs="Arial" w:eastAsia="Arial" w:hAnsi="Arial"/>
          <w:sz w:val="16"/>
          <w:szCs w:val="16"/>
          <w:color w:val="auto"/>
        </w:rPr>
        <w:t>. If any Letter of Credit is outstanding on the 30th day prior to the next succeeding R/C Maturity Date which</w:t>
      </w:r>
      <w:r>
        <w:rPr>
          <w:rFonts w:ascii="Arial" w:cs="Arial" w:eastAsia="Arial" w:hAnsi="Arial"/>
          <w:sz w:val="16"/>
          <w:szCs w:val="16"/>
          <w:b w:val="1"/>
          <w:bCs w:val="1"/>
          <w:color w:val="auto"/>
        </w:rPr>
        <w:t xml:space="preserve"> </w:t>
      </w:r>
      <w:r>
        <w:rPr>
          <w:rFonts w:ascii="Arial" w:cs="Arial" w:eastAsia="Arial" w:hAnsi="Arial"/>
          <w:sz w:val="16"/>
          <w:szCs w:val="16"/>
          <w:color w:val="auto"/>
        </w:rPr>
        <w:t>has 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 (i) 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w:t>
      </w:r>
    </w:p>
    <w:p>
      <w:pPr>
        <w:spacing w:after="0" w:line="7" w:lineRule="exact"/>
        <w:rPr>
          <w:rFonts w:ascii="Arial" w:cs="Arial" w:eastAsia="Arial" w:hAnsi="Arial"/>
          <w:sz w:val="16"/>
          <w:szCs w:val="16"/>
          <w:color w:val="auto"/>
        </w:rPr>
      </w:pPr>
    </w:p>
    <w:p>
      <w:pPr>
        <w:jc w:val="both"/>
        <w:ind w:firstLine="8"/>
        <w:spacing w:after="0" w:line="269" w:lineRule="auto"/>
        <w:tabs>
          <w:tab w:leader="none" w:pos="262" w:val="left"/>
        </w:tabs>
        <w:numPr>
          <w:ilvl w:val="0"/>
          <w:numId w:val="287"/>
        </w:numPr>
        <w:rPr>
          <w:rFonts w:ascii="Arial" w:cs="Arial" w:eastAsia="Arial" w:hAnsi="Arial"/>
          <w:sz w:val="17"/>
          <w:szCs w:val="17"/>
          <w:color w:val="auto"/>
        </w:rPr>
      </w:pPr>
      <w:r>
        <w:rPr>
          <w:rFonts w:ascii="Arial" w:cs="Arial" w:eastAsia="Arial" w:hAnsi="Arial"/>
          <w:sz w:val="17"/>
          <w:szCs w:val="17"/>
          <w:color w:val="auto"/>
        </w:rPr>
        <w:t>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7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1" w:lineRule="auto"/>
        <w:tabs>
          <w:tab w:leader="none" w:pos="109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Borrower shall have the right to replace any Lender (the “</w:t>
      </w:r>
      <w:r>
        <w:rPr>
          <w:rFonts w:ascii="Arial" w:cs="Arial" w:eastAsia="Arial" w:hAnsi="Arial"/>
          <w:sz w:val="17"/>
          <w:szCs w:val="17"/>
          <w:b w:val="1"/>
          <w:bCs w:val="1"/>
          <w:color w:val="auto"/>
        </w:rPr>
        <w:t>Replaced Lender</w:t>
      </w:r>
      <w:r>
        <w:rPr>
          <w:rFonts w:ascii="Arial" w:cs="Arial" w:eastAsia="Arial" w:hAnsi="Arial"/>
          <w:sz w:val="17"/>
          <w:szCs w:val="17"/>
          <w:color w:val="auto"/>
        </w:rPr>
        <w:t>”) with one or more other Eligible Assignees (collectively, the “</w:t>
      </w:r>
      <w:r>
        <w:rPr>
          <w:rFonts w:ascii="Arial" w:cs="Arial" w:eastAsia="Arial" w:hAnsi="Arial"/>
          <w:sz w:val="17"/>
          <w:szCs w:val="17"/>
          <w:b w:val="1"/>
          <w:bCs w:val="1"/>
          <w:color w:val="auto"/>
        </w:rPr>
        <w:t>Replacement Lender</w:t>
      </w:r>
      <w:r>
        <w:rPr>
          <w:rFonts w:ascii="Arial" w:cs="Arial" w:eastAsia="Arial" w:hAnsi="Arial"/>
          <w:sz w:val="17"/>
          <w:szCs w:val="17"/>
          <w:color w:val="auto"/>
        </w:rPr>
        <w:t xml:space="preserve">”), if (x) such Lender is charging Borrower increased costs pursuant to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or requires Borrower or any other Credit Party to pay any Covered Taxes or additional amounts to such Lender or any Governmental Authority for the account of such Lender pursuant to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or such Lender becomes incapable of making LIBOR Loans as provided in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when other Lenders are generally able to do so, (y) such Lender is a Defaulting Lender, or (z) such Lender is subject to Disqualification (and such Lender is notified by Borrower and Administrative Agent in writing of such Disqualification);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at the time of any such replacement, the Replacement Lender shall enter into one or more Assignment Agreements (and with all fees payable pursuant to </w:t>
      </w:r>
      <w:r>
        <w:rPr>
          <w:rFonts w:ascii="Arial" w:cs="Arial" w:eastAsia="Arial" w:hAnsi="Arial"/>
          <w:sz w:val="17"/>
          <w:szCs w:val="17"/>
          <w:u w:val="single" w:color="auto"/>
          <w:color w:val="auto"/>
        </w:rPr>
        <w:t>Section 13.05(b)</w:t>
      </w:r>
      <w:r>
        <w:rPr>
          <w:rFonts w:ascii="Arial" w:cs="Arial" w:eastAsia="Arial" w:hAnsi="Arial"/>
          <w:sz w:val="17"/>
          <w:szCs w:val="17"/>
          <w:color w:val="auto"/>
        </w:rPr>
        <w:t xml:space="preserve">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4" w:right="239" w:bottom="1440" w:gutter="0" w:footer="0" w:header="0"/>
        </w:sectPr>
      </w:pPr>
    </w:p>
    <w:bookmarkStart w:id="290" w:name="page291"/>
    <w:bookmarkEnd w:id="290"/>
    <w:p>
      <w:pPr>
        <w:jc w:val="both"/>
        <w:ind w:right="20"/>
        <w:spacing w:after="0" w:line="291" w:lineRule="auto"/>
        <w:rPr>
          <w:sz w:val="20"/>
          <w:szCs w:val="20"/>
          <w:color w:val="auto"/>
        </w:rPr>
      </w:pPr>
      <w:r>
        <w:rPr>
          <w:rFonts w:ascii="Arial" w:cs="Arial" w:eastAsia="Arial" w:hAnsi="Arial"/>
          <w:sz w:val="16"/>
          <w:szCs w:val="16"/>
          <w:color w:val="auto"/>
        </w:rPr>
        <w:t>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w:t>
      </w:r>
    </w:p>
    <w:p>
      <w:pPr>
        <w:jc w:val="both"/>
        <w:ind w:firstLine="8"/>
        <w:spacing w:after="0" w:line="281" w:lineRule="auto"/>
        <w:tabs>
          <w:tab w:leader="none" w:pos="27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if Borrower were prepaying a LIBOR Loan), as applicable, shall be paid in full to such Replaced Lender, as applicable, concurrently with such replacement, as the case may be. Upon the execution of the respective Assignment Agreement, the payment of amounts referred to in clauses (i), (ii) and</w:t>
      </w:r>
    </w:p>
    <w:p>
      <w:pPr>
        <w:spacing w:after="0" w:line="6" w:lineRule="exact"/>
        <w:rPr>
          <w:rFonts w:ascii="Arial" w:cs="Arial" w:eastAsia="Arial" w:hAnsi="Arial"/>
          <w:sz w:val="16"/>
          <w:szCs w:val="16"/>
          <w:color w:val="auto"/>
        </w:rPr>
      </w:pPr>
    </w:p>
    <w:p>
      <w:pPr>
        <w:jc w:val="both"/>
        <w:ind w:firstLine="8"/>
        <w:spacing w:after="0" w:line="288" w:lineRule="auto"/>
        <w:tabs>
          <w:tab w:leader="none" w:pos="35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above, as applicable, and the receipt of any consents that would be required for an assignment of the subject Loans and Commitments to such Replacement Lender in accordance with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(or such shorter period as is acceptable to Administrative Agent) after Borrower’s request, execution of such Assignment Agreement by the Replaced Lender shall not be required to effect such assignment.</w:t>
      </w:r>
    </w:p>
    <w:p>
      <w:pPr>
        <w:spacing w:after="0" w:line="168" w:lineRule="exact"/>
        <w:rPr>
          <w:rFonts w:ascii="Arial" w:cs="Arial" w:eastAsia="Arial" w:hAnsi="Arial"/>
          <w:sz w:val="16"/>
          <w:szCs w:val="16"/>
          <w:color w:val="auto"/>
        </w:rPr>
      </w:pPr>
    </w:p>
    <w:p>
      <w:pPr>
        <w:jc w:val="both"/>
        <w:ind w:firstLine="656"/>
        <w:spacing w:after="0" w:line="283" w:lineRule="auto"/>
        <w:tabs>
          <w:tab w:leader="none" w:pos="1173"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If any Lender is subject to a Disqualification (and such Lender is notified by Borrower and Administrative Agent in writing of such Disqualification), Borrower shall have the right to replace such Lender with a Replacement Lender in accordance with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prepay the Loans held by such Lender, in each case, in accordance with any applicable provisions of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even if a Default or an Event of Default exists (notwithstanding anything contained in such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to the contrary). Any such prepayment shall be deemed an optional prepayment, as set forth in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and shall not be required to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subject to a Disqualification, commencing on the date the Gaming Authority provides the notice of Disqualification upon to Borrower, to the extent prohibited by law:</w:t>
      </w:r>
    </w:p>
    <w:p>
      <w:pPr>
        <w:spacing w:after="0" w:line="4" w:lineRule="exact"/>
        <w:rPr>
          <w:rFonts w:ascii="Arial" w:cs="Arial" w:eastAsia="Arial" w:hAnsi="Arial"/>
          <w:sz w:val="16"/>
          <w:szCs w:val="16"/>
          <w:color w:val="auto"/>
        </w:rPr>
      </w:pPr>
    </w:p>
    <w:p>
      <w:pPr>
        <w:jc w:val="both"/>
        <w:ind w:firstLine="8"/>
        <w:spacing w:after="0" w:line="255" w:lineRule="auto"/>
        <w:tabs>
          <w:tab w:leader="none" w:pos="22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8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Incremental Loan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6" w:lineRule="auto"/>
        <w:tabs>
          <w:tab w:leader="none" w:pos="1068"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Borrower Request</w:t>
      </w:r>
      <w:r>
        <w:rPr>
          <w:rFonts w:ascii="Arial" w:cs="Arial" w:eastAsia="Arial" w:hAnsi="Arial"/>
          <w:sz w:val="18"/>
          <w:szCs w:val="18"/>
          <w:color w:val="auto"/>
        </w:rPr>
        <w:t>. Borrower may, at any time, by written notice to Administrative Agent, request (i) the establishment of one or more new</w:t>
      </w:r>
      <w:r>
        <w:rPr>
          <w:rFonts w:ascii="Arial" w:cs="Arial" w:eastAsia="Arial" w:hAnsi="Arial"/>
          <w:sz w:val="18"/>
          <w:szCs w:val="18"/>
          <w:b w:val="1"/>
          <w:bCs w:val="1"/>
          <w:color w:val="auto"/>
        </w:rPr>
        <w:t xml:space="preserve"> </w:t>
      </w:r>
      <w:r>
        <w:rPr>
          <w:rFonts w:ascii="Arial" w:cs="Arial" w:eastAsia="Arial" w:hAnsi="Arial"/>
          <w:sz w:val="18"/>
          <w:szCs w:val="18"/>
          <w:color w:val="auto"/>
        </w:rPr>
        <w:t>Tranches of Revolving Commitments (“</w:t>
      </w:r>
      <w:r>
        <w:rPr>
          <w:rFonts w:ascii="Arial" w:cs="Arial" w:eastAsia="Arial" w:hAnsi="Arial"/>
          <w:sz w:val="18"/>
          <w:szCs w:val="18"/>
          <w:b w:val="1"/>
          <w:bCs w:val="1"/>
          <w:color w:val="auto"/>
        </w:rPr>
        <w:t>New Revolving Commitments</w:t>
      </w:r>
      <w:r>
        <w:rPr>
          <w:rFonts w:ascii="Arial" w:cs="Arial" w:eastAsia="Arial" w:hAnsi="Arial"/>
          <w:sz w:val="18"/>
          <w:szCs w:val="18"/>
          <w:color w:val="auto"/>
        </w:rPr>
        <w:t>” and the related Revolving Loans, “</w:t>
      </w:r>
      <w:r>
        <w:rPr>
          <w:rFonts w:ascii="Arial" w:cs="Arial" w:eastAsia="Arial" w:hAnsi="Arial"/>
          <w:sz w:val="18"/>
          <w:szCs w:val="18"/>
          <w:b w:val="1"/>
          <w:bCs w:val="1"/>
          <w:color w:val="auto"/>
        </w:rPr>
        <w:t>New Revolving Loans</w:t>
      </w:r>
      <w:r>
        <w:rPr>
          <w:rFonts w:ascii="Arial" w:cs="Arial" w:eastAsia="Arial" w:hAnsi="Arial"/>
          <w:sz w:val="18"/>
          <w:szCs w:val="18"/>
          <w:color w:val="auto"/>
        </w:rPr>
        <w:t>”), (ii) an increase to any then-existing Tranche of Revolving Commitments (including the Closing Date Revolving Commitments) (“</w:t>
      </w:r>
      <w:r>
        <w:rPr>
          <w:rFonts w:ascii="Arial" w:cs="Arial" w:eastAsia="Arial" w:hAnsi="Arial"/>
          <w:sz w:val="18"/>
          <w:szCs w:val="18"/>
          <w:b w:val="1"/>
          <w:bCs w:val="1"/>
          <w:color w:val="auto"/>
        </w:rPr>
        <w:t>Incremental Existing Tranche Revolving</w:t>
      </w:r>
      <w:r>
        <w:rPr>
          <w:rFonts w:ascii="Arial" w:cs="Arial" w:eastAsia="Arial" w:hAnsi="Arial"/>
          <w:sz w:val="18"/>
          <w:szCs w:val="18"/>
          <w:color w:val="auto"/>
        </w:rPr>
        <w:t xml:space="preserve"> </w:t>
      </w:r>
      <w:r>
        <w:rPr>
          <w:rFonts w:ascii="Arial" w:cs="Arial" w:eastAsia="Arial" w:hAnsi="Arial"/>
          <w:sz w:val="18"/>
          <w:szCs w:val="18"/>
          <w:b w:val="1"/>
          <w:bCs w:val="1"/>
          <w:color w:val="auto"/>
        </w:rPr>
        <w:t>Commitments</w:t>
      </w:r>
      <w:r>
        <w:rPr>
          <w:rFonts w:ascii="Arial" w:cs="Arial" w:eastAsia="Arial" w:hAnsi="Arial"/>
          <w:sz w:val="18"/>
          <w:szCs w:val="18"/>
          <w:color w:val="auto"/>
        </w:rPr>
        <w:t>”), (iii) the establishment of additional Term A Facility Loans with terms and conditions identical to the terms and conditions of existing Term</w:t>
      </w:r>
      <w:r>
        <w:rPr>
          <w:rFonts w:ascii="Arial" w:cs="Arial" w:eastAsia="Arial" w:hAnsi="Arial"/>
          <w:sz w:val="18"/>
          <w:szCs w:val="18"/>
          <w:b w:val="1"/>
          <w:bCs w:val="1"/>
          <w:color w:val="auto"/>
        </w:rPr>
        <w:t xml:space="preserve"> </w:t>
      </w:r>
      <w:r>
        <w:rPr>
          <w:rFonts w:ascii="Arial" w:cs="Arial" w:eastAsia="Arial" w:hAnsi="Arial"/>
          <w:sz w:val="18"/>
          <w:szCs w:val="18"/>
          <w:color w:val="auto"/>
        </w:rPr>
        <w:t>A Facility Loans hereunder (“</w:t>
      </w:r>
      <w:r>
        <w:rPr>
          <w:rFonts w:ascii="Arial" w:cs="Arial" w:eastAsia="Arial" w:hAnsi="Arial"/>
          <w:sz w:val="18"/>
          <w:szCs w:val="18"/>
          <w:b w:val="1"/>
          <w:bCs w:val="1"/>
          <w:color w:val="auto"/>
        </w:rPr>
        <w:t>Incremental Term A Loans</w:t>
      </w:r>
      <w:r>
        <w:rPr>
          <w:rFonts w:ascii="Arial" w:cs="Arial" w:eastAsia="Arial" w:hAnsi="Arial"/>
          <w:sz w:val="18"/>
          <w:szCs w:val="18"/>
          <w:color w:val="auto"/>
        </w:rPr>
        <w:t>” and the related commitments, “</w:t>
      </w:r>
      <w:r>
        <w:rPr>
          <w:rFonts w:ascii="Arial" w:cs="Arial" w:eastAsia="Arial" w:hAnsi="Arial"/>
          <w:sz w:val="18"/>
          <w:szCs w:val="18"/>
          <w:b w:val="1"/>
          <w:bCs w:val="1"/>
          <w:color w:val="auto"/>
        </w:rPr>
        <w:t>Incremental Term A Loan Commitments</w:t>
      </w:r>
      <w:r>
        <w:rPr>
          <w:rFonts w:ascii="Arial" w:cs="Arial" w:eastAsia="Arial" w:hAnsi="Arial"/>
          <w:sz w:val="18"/>
          <w:szCs w:val="18"/>
          <w:color w:val="auto"/>
        </w:rPr>
        <w:t>”), and/or (iv) the establishment of one or more new Tranches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291" w:name="page292"/>
    <w:bookmarkEnd w:id="291"/>
    <w:p>
      <w:pPr>
        <w:jc w:val="both"/>
        <w:spacing w:after="0" w:line="254" w:lineRule="auto"/>
        <w:rPr>
          <w:sz w:val="20"/>
          <w:szCs w:val="20"/>
          <w:color w:val="auto"/>
        </w:rPr>
      </w:pPr>
      <w:r>
        <w:rPr>
          <w:rFonts w:ascii="Arial" w:cs="Arial" w:eastAsia="Arial" w:hAnsi="Arial"/>
          <w:sz w:val="18"/>
          <w:szCs w:val="18"/>
          <w:color w:val="auto"/>
        </w:rPr>
        <w:t>of term loans (“</w:t>
      </w:r>
      <w:r>
        <w:rPr>
          <w:rFonts w:ascii="Arial" w:cs="Arial" w:eastAsia="Arial" w:hAnsi="Arial"/>
          <w:sz w:val="18"/>
          <w:szCs w:val="18"/>
          <w:b w:val="1"/>
          <w:bCs w:val="1"/>
          <w:color w:val="auto"/>
        </w:rPr>
        <w:t>New Term Loans</w:t>
      </w:r>
      <w:r>
        <w:rPr>
          <w:rFonts w:ascii="Arial" w:cs="Arial" w:eastAsia="Arial" w:hAnsi="Arial"/>
          <w:sz w:val="18"/>
          <w:szCs w:val="18"/>
          <w:color w:val="auto"/>
        </w:rPr>
        <w:t>” and the related commitments, “</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(x) the aggregate amount of New Revolving Commitments, Incremental Existing Tranche Revolving Commitments, New Term Loans and Incremental Term A Loans incurred on such date shall not exceed the Incremental Loan Amount as of such date and (y) any such request for Incremental Commitments shall be in a minimum amount of $25.0 million and integral multiples of $1.0 million above such amount. Borrower may request Incremental Commitments from existing Lenders and from Eligible Assignees;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any existing Lender approached to provide all or a portion of the Incremental Commitments may elect or decline, in its sole discretion, to provide all or any portion of such Incremental Commitments offered to it and (B) any potential Lender that is not an existing Lender and agrees to make available an Incremental Commitment shall be required to be an Eligible Assignee and shall require approval by Administrative Agent to the extent such approval would be required for an assignment to such Eligible Assignee under </w:t>
      </w:r>
      <w:r>
        <w:rPr>
          <w:rFonts w:ascii="Arial" w:cs="Arial" w:eastAsia="Arial" w:hAnsi="Arial"/>
          <w:sz w:val="18"/>
          <w:szCs w:val="18"/>
          <w:u w:val="single" w:color="auto"/>
          <w:color w:val="auto"/>
        </w:rPr>
        <w:t>Section 13.05</w:t>
      </w:r>
      <w:r>
        <w:rPr>
          <w:rFonts w:ascii="Arial" w:cs="Arial" w:eastAsia="Arial" w:hAnsi="Arial"/>
          <w:sz w:val="18"/>
          <w:szCs w:val="18"/>
          <w:color w:val="auto"/>
        </w:rPr>
        <w:t xml:space="preserve"> (such approval not to be unreasonably withheld or delayed).</w:t>
      </w:r>
    </w:p>
    <w:p>
      <w:pPr>
        <w:spacing w:after="0" w:line="189" w:lineRule="exact"/>
        <w:rPr>
          <w:sz w:val="20"/>
          <w:szCs w:val="20"/>
          <w:color w:val="auto"/>
        </w:rPr>
      </w:pPr>
    </w:p>
    <w:p>
      <w:pPr>
        <w:jc w:val="both"/>
        <w:ind w:firstLine="656"/>
        <w:spacing w:after="0" w:line="272" w:lineRule="auto"/>
        <w:tabs>
          <w:tab w:leader="none" w:pos="1092" w:val="left"/>
        </w:tabs>
        <w:numPr>
          <w:ilvl w:val="0"/>
          <w:numId w:val="292"/>
        </w:numPr>
        <w:rPr>
          <w:rFonts w:ascii="Arial" w:cs="Arial" w:eastAsia="Arial" w:hAnsi="Arial"/>
          <w:sz w:val="17"/>
          <w:szCs w:val="17"/>
          <w:color w:val="auto"/>
        </w:rPr>
      </w:pPr>
      <w:r>
        <w:rPr>
          <w:rFonts w:ascii="Arial" w:cs="Arial" w:eastAsia="Arial" w:hAnsi="Arial"/>
          <w:sz w:val="17"/>
          <w:szCs w:val="17"/>
          <w:b w:val="1"/>
          <w:bCs w:val="1"/>
          <w:color w:val="auto"/>
        </w:rPr>
        <w:t>Incremental Effective Date</w:t>
      </w:r>
      <w:r>
        <w:rPr>
          <w:rFonts w:ascii="Arial" w:cs="Arial" w:eastAsia="Arial" w:hAnsi="Arial"/>
          <w:sz w:val="17"/>
          <w:szCs w:val="17"/>
          <w:color w:val="auto"/>
        </w:rPr>
        <w:t>. The Incremental Commitments shall be effected by a joinder agreement to this Agreement (the “</w:t>
      </w:r>
      <w:r>
        <w:rPr>
          <w:rFonts w:ascii="Arial" w:cs="Arial" w:eastAsia="Arial" w:hAnsi="Arial"/>
          <w:sz w:val="17"/>
          <w:szCs w:val="17"/>
          <w:b w:val="1"/>
          <w:bCs w:val="1"/>
          <w:color w:val="auto"/>
        </w:rPr>
        <w:t>Incremental Joinder Agreement</w:t>
      </w:r>
      <w:r>
        <w:rPr>
          <w:rFonts w:ascii="Arial" w:cs="Arial" w:eastAsia="Arial" w:hAnsi="Arial"/>
          <w:sz w:val="17"/>
          <w:szCs w:val="17"/>
          <w:color w:val="auto"/>
        </w:rPr>
        <w:t>”) executed by Borrower and each Lender making or providing such Incremental Commitment, in form and substance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satisfactory to each of them, and delivered to Administrative Agent, subject, however, to the satisfaction of the conditions precedent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Incremental Joinder Agreement may, without the consent of any other Lenders, effect such amendments to this Agreement and the other Credit Documents as may be necessary or appropriate, in the opinion of Administrative Agent, to effect the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Administrative Agent and Borrower shall determine the effective date (each, an “</w:t>
      </w:r>
      <w:r>
        <w:rPr>
          <w:rFonts w:ascii="Arial" w:cs="Arial" w:eastAsia="Arial" w:hAnsi="Arial"/>
          <w:sz w:val="17"/>
          <w:szCs w:val="17"/>
          <w:b w:val="1"/>
          <w:bCs w:val="1"/>
          <w:color w:val="auto"/>
        </w:rPr>
        <w:t>Incremental Effective Date</w:t>
      </w:r>
      <w:r>
        <w:rPr>
          <w:rFonts w:ascii="Arial" w:cs="Arial" w:eastAsia="Arial" w:hAnsi="Arial"/>
          <w:sz w:val="17"/>
          <w:szCs w:val="17"/>
          <w:color w:val="auto"/>
        </w:rPr>
        <w:t>”) of any Incremental Commitments and the final allocation of such Incremental Commitments. The effectiveness of any such Incremental Commitments shall be subject solely to the satisfaction of the following conditions to the reasonable satisfaction of Administrative Agent:</w:t>
      </w:r>
    </w:p>
    <w:p>
      <w:pPr>
        <w:spacing w:after="0" w:line="176" w:lineRule="exact"/>
        <w:rPr>
          <w:rFonts w:ascii="Arial" w:cs="Arial" w:eastAsia="Arial" w:hAnsi="Arial"/>
          <w:sz w:val="17"/>
          <w:szCs w:val="17"/>
          <w:color w:val="auto"/>
        </w:rPr>
      </w:pPr>
    </w:p>
    <w:p>
      <w:pPr>
        <w:ind w:left="720" w:firstLine="652"/>
        <w:spacing w:after="0" w:line="277" w:lineRule="auto"/>
        <w:tabs>
          <w:tab w:leader="none" w:pos="173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Borrower shall deliver or cause to be delivered any legal opinions or other documents reasonably requested by Administrative Agent in connection with any such Incremental Commitments;</w:t>
      </w:r>
    </w:p>
    <w:p>
      <w:pPr>
        <w:spacing w:after="0" w:line="170" w:lineRule="exact"/>
        <w:rPr>
          <w:rFonts w:ascii="Arial" w:cs="Arial" w:eastAsia="Arial" w:hAnsi="Arial"/>
          <w:sz w:val="18"/>
          <w:szCs w:val="18"/>
          <w:color w:val="auto"/>
        </w:rPr>
      </w:pPr>
    </w:p>
    <w:p>
      <w:pPr>
        <w:ind w:left="720" w:firstLine="652"/>
        <w:spacing w:after="0" w:line="277" w:lineRule="auto"/>
        <w:tabs>
          <w:tab w:leader="none" w:pos="178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 Incremental Joinder Agreement shall have been duly executed and delivered by Borrower, Administrative Agent and each Lender making or providing such Incremental Commitment;</w:t>
      </w:r>
    </w:p>
    <w:p>
      <w:pPr>
        <w:spacing w:after="0" w:line="170" w:lineRule="exact"/>
        <w:rPr>
          <w:rFonts w:ascii="Arial" w:cs="Arial" w:eastAsia="Arial" w:hAnsi="Arial"/>
          <w:sz w:val="18"/>
          <w:szCs w:val="18"/>
          <w:color w:val="auto"/>
        </w:rPr>
      </w:pPr>
    </w:p>
    <w:p>
      <w:pPr>
        <w:jc w:val="both"/>
        <w:ind w:left="720" w:firstLine="652"/>
        <w:spacing w:after="0" w:line="257" w:lineRule="auto"/>
        <w:tabs>
          <w:tab w:leader="none" w:pos="192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have occurred and be continuing or would exist immediately after giving effect to such Incremental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proceeds of such Incremental Commitments are used primarily to fund a Limited Condition Transaction substantially concurrently upon the receipt thereof, the Lenders providing such Incremental Commitments may waive such condition (other than an Event of Default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11.01(c)</w:t>
      </w:r>
      <w:r>
        <w:rPr>
          <w:rFonts w:ascii="Arial" w:cs="Arial" w:eastAsia="Arial" w:hAnsi="Arial"/>
          <w:sz w:val="18"/>
          <w:szCs w:val="18"/>
          <w:color w:val="auto"/>
        </w:rPr>
        <w:t xml:space="preserve"> or an Event of Default specified in </w:t>
      </w:r>
      <w:r>
        <w:rPr>
          <w:rFonts w:ascii="Arial" w:cs="Arial" w:eastAsia="Arial" w:hAnsi="Arial"/>
          <w:sz w:val="18"/>
          <w:szCs w:val="18"/>
          <w:u w:val="single" w:color="auto"/>
          <w:color w:val="auto"/>
        </w:rPr>
        <w:t>Section 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xml:space="preserve"> with respect to Borrower);</w:t>
      </w:r>
    </w:p>
    <w:p>
      <w:pPr>
        <w:spacing w:after="0" w:line="188" w:lineRule="exact"/>
        <w:rPr>
          <w:rFonts w:ascii="Arial" w:cs="Arial" w:eastAsia="Arial" w:hAnsi="Arial"/>
          <w:sz w:val="18"/>
          <w:szCs w:val="18"/>
          <w:color w:val="auto"/>
        </w:rPr>
      </w:pPr>
    </w:p>
    <w:p>
      <w:pPr>
        <w:jc w:val="both"/>
        <w:ind w:left="720" w:firstLine="652"/>
        <w:spacing w:after="0" w:line="287" w:lineRule="auto"/>
        <w:tabs>
          <w:tab w:leader="none" w:pos="1808"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set forth herein and in the other Credit Documents shall be true and correct in all material respects on and as of such Incremental Effective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representation and warranty that is qualified as to “materiality,” “Material Adverse Effect” or similar language shall be true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correct in all respects on such dates;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with respect to any Incremental Commitments the proceeds of which are being used in connection with a Limited Condition Transaction substantially concurrently upon the receipt thereof, the only representations and warranties the making of which shall be a condition to the effectiveness of such Incremental Commitments and the funding thereof shall be (except as otherwise agreed by Borrower and the Lenders providing such Incremental Commitments) (x) the Specified Representations and (y) if applicable, the representations and warranties contained in the acquisition agreement relating to such Permitted Acquisition or other Acquisition as are material to the interests of the Lenders, but only to the extent that Borrower or any of its Affiliates have the right to terminate its or their obligations under such acquisition agreement as a result of a breach of such representations and warranties in such acquisition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1" w:right="239" w:bottom="1440" w:gutter="0" w:footer="0" w:header="0"/>
        </w:sectPr>
      </w:pPr>
    </w:p>
    <w:bookmarkStart w:id="292" w:name="page293"/>
    <w:bookmarkEnd w:id="292"/>
    <w:p>
      <w:pPr>
        <w:jc w:val="both"/>
        <w:ind w:left="-480" w:firstLine="652"/>
        <w:spacing w:after="0" w:line="264" w:lineRule="auto"/>
        <w:tabs>
          <w:tab w:leader="none" w:pos="62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without the written consent of the Required Tranche Lenders with respect to the Closing Date Revolving Facility, the final stated maturity of any New Revolving Commitments shall not be earlier than the then-existing Final Maturity Date with respect to the Closing Date Revolving Facility;</w:t>
      </w:r>
    </w:p>
    <w:p>
      <w:pPr>
        <w:spacing w:after="0" w:line="181" w:lineRule="exact"/>
        <w:rPr>
          <w:rFonts w:ascii="Arial" w:cs="Arial" w:eastAsia="Arial" w:hAnsi="Arial"/>
          <w:sz w:val="18"/>
          <w:szCs w:val="18"/>
          <w:color w:val="auto"/>
        </w:rPr>
      </w:pPr>
    </w:p>
    <w:p>
      <w:pPr>
        <w:jc w:val="both"/>
        <w:ind w:left="-480" w:firstLine="652"/>
        <w:spacing w:after="0" w:line="272" w:lineRule="auto"/>
        <w:tabs>
          <w:tab w:leader="none" w:pos="67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other than customary “bridge” facilities (so long as the long term debt into which any such customary “bridge” facility is to be converted satisfies the requirements of this clause </w:t>
      </w:r>
      <w:r>
        <w:rPr>
          <w:rFonts w:ascii="Arial" w:cs="Arial" w:eastAsia="Arial" w:hAnsi="Arial"/>
          <w:sz w:val="17"/>
          <w:szCs w:val="17"/>
          <w:u w:val="single" w:color="auto"/>
          <w:color w:val="auto"/>
        </w:rPr>
        <w:t>(vi)</w:t>
      </w:r>
      <w:r>
        <w:rPr>
          <w:rFonts w:ascii="Arial" w:cs="Arial" w:eastAsia="Arial" w:hAnsi="Arial"/>
          <w:sz w:val="17"/>
          <w:szCs w:val="17"/>
          <w:color w:val="auto"/>
        </w:rPr>
        <w:t>), without the written consent of the Required Tranche Lenders with respect to the Term A Facility Loans, (x) the final stated maturity of any New Term Loans shall not be earlier than the then-existing Final Maturity Date with respect to the Term A Facility Loans, and (y) the Weighted Average Life to Maturity of any New Term Loans shall be no shorter than the Weighted Average Life to Maturity of the Term A Facility Loans (without giving effect to the effect of prepayments made under any existing Tranche of Term Loans on amortization); it being understood that, subject to the foregoing, the amortization schedule applicable to such New Term Loans shall be determined by Borrower and the lenders of such New Term Loans and set forth in the applicable Incremental Joinder Agreement;</w:t>
      </w:r>
    </w:p>
    <w:p>
      <w:pPr>
        <w:spacing w:after="0" w:line="177" w:lineRule="exact"/>
        <w:rPr>
          <w:rFonts w:ascii="Arial" w:cs="Arial" w:eastAsia="Arial" w:hAnsi="Arial"/>
          <w:sz w:val="17"/>
          <w:szCs w:val="17"/>
          <w:color w:val="auto"/>
        </w:rPr>
      </w:pPr>
    </w:p>
    <w:p>
      <w:pPr>
        <w:ind w:left="-480" w:firstLine="652"/>
        <w:spacing w:after="0" w:line="342" w:lineRule="auto"/>
        <w:tabs>
          <w:tab w:leader="none" w:pos="71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the yields and interest rate margins and, except as set forth in clauses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2.12(b)</w:t>
      </w:r>
      <w:r>
        <w:rPr>
          <w:rFonts w:ascii="Arial" w:cs="Arial" w:eastAsia="Arial" w:hAnsi="Arial"/>
          <w:sz w:val="16"/>
          <w:szCs w:val="16"/>
          <w:color w:val="auto"/>
        </w:rPr>
        <w:t>, amortization schedule, applicable to any New Revolving Commitments and New Term Loans shall be as determined by Borrower and the holders of such Indebtedness;</w:t>
      </w:r>
    </w:p>
    <w:p>
      <w:pPr>
        <w:spacing w:after="0" w:line="123" w:lineRule="exact"/>
        <w:rPr>
          <w:rFonts w:ascii="Arial" w:cs="Arial" w:eastAsia="Arial" w:hAnsi="Arial"/>
          <w:sz w:val="16"/>
          <w:szCs w:val="16"/>
          <w:color w:val="auto"/>
        </w:rPr>
      </w:pPr>
    </w:p>
    <w:p>
      <w:pPr>
        <w:jc w:val="both"/>
        <w:ind w:left="-480" w:firstLine="652"/>
        <w:spacing w:after="0" w:line="284" w:lineRule="auto"/>
        <w:tabs>
          <w:tab w:leader="none" w:pos="735"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and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the terms (excluding maturity, amortization, pricing, fees, rate floors, premiums, optional prepayment or optional redemption provisions) of any New Revolving Commitments or New Term Loans shall be (as determined by Borrower in good faith) substantially similar to the terms of the Revolving Commitments or the Term A Facility Loans, as applicable, as existing on the date of incurrence of such New Revolving Commitments or New Term Loans except, to the extent such terms (x) at the option of Borrower (1) reflect market terms and conditions (taken as a whole) at the time of incurrence or issuance (as determined by Borrower in good faith) or (2) are not materially more restrictive to Borrower (as determined by Borrower in good faith), when taken as a whole, than the terms of the Term A Facility Loans or the Revolving Facility, as the case may be (except for covenants or other provisions applicable only to periods after the Final Maturity Date applicable to the Term A Facility Loans or the Revolving Facility, as applicable) (it being understood that any New Revolving Commitments or New Term Loans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New Revolving Commitments or New Term Loans with the proceeds of permitted refinancing Indebtedness), or (y) are (1) added to the Term A Facility Loans or Revolving Facility, as applicable, (2) applicable only after the Final Maturity Date (in the case of term Indebtedness) or the latest R/C Maturity Date (in the case of revolving Indebtedness), or (3) otherwise reasonably satisfactory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of clauses (x) and (y) of this </w:t>
      </w:r>
      <w:r>
        <w:rPr>
          <w:rFonts w:ascii="Arial" w:cs="Arial" w:eastAsia="Arial" w:hAnsi="Arial"/>
          <w:sz w:val="16"/>
          <w:szCs w:val="16"/>
          <w:u w:val="single" w:color="auto"/>
          <w:color w:val="auto"/>
        </w:rPr>
        <w:t>Section 2.12(b)(viii)</w:t>
      </w:r>
      <w:r>
        <w:rPr>
          <w:rFonts w:ascii="Arial" w:cs="Arial" w:eastAsia="Arial" w:hAnsi="Arial"/>
          <w:sz w:val="16"/>
          <w:szCs w:val="16"/>
          <w:color w:val="auto"/>
        </w:rPr>
        <w:t>, if any financial maintenance covenant is added for the benefit of any New Term Loans or New Revolving Commitments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New Revolving Commitments or New Term Loans, no consent shall be required from Administrative Agent or any of the Lenders to the extent that such financial maintenance covenant (together with any related “equity cure” provisions) or other provision is also added for the benefit of any corresponding existing facility);</w:t>
      </w:r>
    </w:p>
    <w:p>
      <w:pPr>
        <w:spacing w:after="0" w:line="180" w:lineRule="exact"/>
        <w:rPr>
          <w:rFonts w:ascii="Arial" w:cs="Arial" w:eastAsia="Arial" w:hAnsi="Arial"/>
          <w:sz w:val="16"/>
          <w:szCs w:val="16"/>
          <w:color w:val="auto"/>
        </w:rPr>
      </w:pPr>
    </w:p>
    <w:p>
      <w:pPr>
        <w:jc w:val="both"/>
        <w:ind w:left="-480" w:firstLine="652"/>
        <w:spacing w:after="0" w:line="286" w:lineRule="auto"/>
        <w:tabs>
          <w:tab w:leader="none" w:pos="68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 xml:space="preserve">any Incremental Term A Loans (and the corresponding Incremental Term A Loan Commitments) shall have terms substantially similar to the terms of the existing Term A Facility Loans (and the existing Term Loan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upfront fees or original issue discount may be paid to Lenders providing such Incremental Term A Loans as agreed by such Lenders and Borrower, and</w:t>
      </w: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220"/>
          </w:cols>
          <w:pgMar w:left="1440" w:top="584" w:right="239" w:bottom="1440" w:gutter="0" w:footer="0" w:header="0"/>
        </w:sectPr>
      </w:pPr>
    </w:p>
    <w:bookmarkStart w:id="293" w:name="page294"/>
    <w:bookmarkEnd w:id="293"/>
    <w:p>
      <w:pPr>
        <w:jc w:val="both"/>
        <w:ind w:left="720"/>
        <w:spacing w:after="0" w:line="279" w:lineRule="auto"/>
        <w:rPr>
          <w:sz w:val="20"/>
          <w:szCs w:val="20"/>
          <w:color w:val="auto"/>
        </w:rPr>
      </w:pPr>
      <w:r>
        <w:rPr>
          <w:rFonts w:ascii="Arial" w:cs="Arial" w:eastAsia="Arial" w:hAnsi="Arial"/>
          <w:sz w:val="17"/>
          <w:szCs w:val="17"/>
          <w:color w:val="auto"/>
        </w:rPr>
        <w:t xml:space="preserve">the conditions applicable to the incurrence of such Incremental Term A Loans (and the corresponding Incremental Term A Loan Commitments) shall be as provided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applicable Incremental Joinder Agreement shall make appropriate adjustments to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to address such Incremental Term A Loans, as applicable, including such adjustments as are necessary to provide for the “fungibility” of such Incremental Term A Loans with the existing Term A Facility Loans; and</w:t>
      </w:r>
    </w:p>
    <w:p>
      <w:pPr>
        <w:spacing w:after="0" w:line="171" w:lineRule="exact"/>
        <w:rPr>
          <w:sz w:val="20"/>
          <w:szCs w:val="20"/>
          <w:color w:val="auto"/>
        </w:rPr>
      </w:pPr>
    </w:p>
    <w:p>
      <w:pPr>
        <w:jc w:val="both"/>
        <w:ind w:left="720" w:firstLine="652"/>
        <w:spacing w:after="0" w:line="259" w:lineRule="auto"/>
        <w:tabs>
          <w:tab w:leader="none" w:pos="186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any Incremental Existing Tranche Revolving Commitments shall have terms substantially identical to the terms of the existing Revolving Commitments of the relevant Tranche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upfront fees may be paid to Lenders providing such Incremental Existing Tranche Revolving Commitments as agreed by such Lenders and Borrower, and the conditions applicable to the incurrence of such Incremental Existing Tranche Revolving Commitments shall be as provided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Upon the effectiveness of any Incremental Commitment pursuant to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any Person providing an Incremental Commitment that was not a Lender hereunder immediately prior to such time shall become a Lender hereunder. Administrative Agent shall promptly notify each Lender as to the effectiveness of any Incremental Commitments, and (i) in the case of Incremental Revolving Commitments, the Total Revolving Commitments under, and for all purpose of this Agreement, shall be increased by the aggregate amount of such Incremental Revolving Commitments, (ii) any New Revolving Loans shall be deemed to be additional Revolving Loans hereunder, (iii) any Revolving Loans made under Incremental Existing Tranche Revolving Commitments shall be deemed to be Revolving Loans of the relevant Tranche hereunder, (iv) any Incremental Term A Loans (to the extent funded) shall be deemed to be Term A Facility Loans hereunder and (v) any New Term Loans shall be deemed to be additional Term Loans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Such amendments may include provisions allowing any Incremental Term A Loans or New Term Loans to be treated on the same basis as Term A Facility Loans in connection with declining prepayments. In connection with the incurrence of any Incremental Term A Loans, Borrower shall be permitted to terminate any Interest Period applicable to Term A Facility Loans on the date such Incremental Term A Loans are incurred without the payment of any amounts under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or to include such Incremental Term A Loans ratably in each outstanding Borrowing of LIBOR Loans under the Term A Facility. In connection with the incurrence of any Incremental Existing Tranche Revolving Commitments and related Revolving Loans, Borrower shall be permitted to terminate any Interest Period applicable to Revolving Loans under the applicable existing Tranche of Revolving Commitments without the payment of any amounts under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or to include such Revolving Loans ratably in each outstanding Borrowing of LIBOR Loans under such Tranche of Revolving Commitments on the date such Revolving Loans are first incurred under such Incremental Existing Tranche Revolving Commitments.</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this Agreement, if the proceeds of any Incremental Commitments are being used to finance a Limited Condition Transaction or similar Investment permitted hereunder and the Incremental Lenders providing such Incremental Commitments so agree, the availability thereof shall be subject to customary “SunGard” or “certain funds” conditionality; </w:t>
      </w:r>
      <w:r>
        <w:rPr>
          <w:rFonts w:ascii="Arial" w:cs="Arial" w:eastAsia="Arial" w:hAnsi="Arial"/>
          <w:sz w:val="17"/>
          <w:szCs w:val="17"/>
          <w:i w:val="1"/>
          <w:iCs w:val="1"/>
          <w:color w:val="auto"/>
        </w:rPr>
        <w:t>provided</w:t>
      </w:r>
      <w:r>
        <w:rPr>
          <w:rFonts w:ascii="Arial" w:cs="Arial" w:eastAsia="Arial" w:hAnsi="Arial"/>
          <w:sz w:val="17"/>
          <w:szCs w:val="17"/>
          <w:color w:val="auto"/>
        </w:rPr>
        <w:t>, that the amount of any Incremental Commitments under the Incremental Incurrence-Based Amount determined at the time of signing of definitive documentation with respect to, or giving of notice with respect to, a Limited Condition Transaction may be recalculated, at the option of Borrower, at the time of funding.</w:t>
      </w:r>
    </w:p>
    <w:p>
      <w:pPr>
        <w:spacing w:after="0" w:line="169" w:lineRule="exact"/>
        <w:rPr>
          <w:sz w:val="20"/>
          <w:szCs w:val="20"/>
          <w:color w:val="auto"/>
        </w:rPr>
      </w:pPr>
    </w:p>
    <w:p>
      <w:pPr>
        <w:jc w:val="both"/>
        <w:ind w:firstLine="656"/>
        <w:spacing w:after="0" w:line="266" w:lineRule="auto"/>
        <w:tabs>
          <w:tab w:leader="none" w:pos="1082"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Terms of Incremental Commitments and Loans</w:t>
      </w:r>
      <w:r>
        <w:rPr>
          <w:rFonts w:ascii="Arial" w:cs="Arial" w:eastAsia="Arial" w:hAnsi="Arial"/>
          <w:sz w:val="18"/>
          <w:szCs w:val="18"/>
          <w:color w:val="auto"/>
        </w:rPr>
        <w:t>. The yield applicable to the Incremental Revolving Commitments (and related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Loans) and Incremental Term Loans shall be determined by Borrower and the applicable new Lenders and shall be set forth in each applicable Incremental Joinder Agreement.</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092"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Adjustment of Revolving Loans</w:t>
      </w:r>
      <w:r>
        <w:rPr>
          <w:rFonts w:ascii="Arial" w:cs="Arial" w:eastAsia="Arial" w:hAnsi="Arial"/>
          <w:sz w:val="18"/>
          <w:szCs w:val="18"/>
          <w:color w:val="auto"/>
        </w:rPr>
        <w:t>. To the extent the Revolving Commitments of a Tranche are being increased on the relevant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through Incremental Existing Tranche Revolving Commitments, then each of the Revolving Lenders having a Revolving Commitment under such Tranche prior to such Incremental Effective Date (such Revolving Lenders the “</w:t>
      </w:r>
      <w:r>
        <w:rPr>
          <w:rFonts w:ascii="Arial" w:cs="Arial" w:eastAsia="Arial" w:hAnsi="Arial"/>
          <w:sz w:val="18"/>
          <w:szCs w:val="18"/>
          <w:b w:val="1"/>
          <w:bCs w:val="1"/>
          <w:color w:val="auto"/>
        </w:rPr>
        <w:t>Pre-Increase Revolving Lenders</w:t>
      </w:r>
      <w:r>
        <w:rPr>
          <w:rFonts w:ascii="Arial" w:cs="Arial" w:eastAsia="Arial" w:hAnsi="Arial"/>
          <w:sz w:val="18"/>
          <w:szCs w:val="18"/>
          <w:color w:val="auto"/>
        </w:rPr>
        <w:t>”) shall assign or transfer to any Revolving Lender which is acquiring a new or additional Revolving Commitment under such Tranche on the Incremental Effective Date (the “</w:t>
      </w:r>
      <w:r>
        <w:rPr>
          <w:rFonts w:ascii="Arial" w:cs="Arial" w:eastAsia="Arial" w:hAnsi="Arial"/>
          <w:sz w:val="18"/>
          <w:szCs w:val="18"/>
          <w:b w:val="1"/>
          <w:bCs w:val="1"/>
          <w:color w:val="auto"/>
        </w:rPr>
        <w:t>Post-Increase</w:t>
      </w:r>
      <w:r>
        <w:rPr>
          <w:rFonts w:ascii="Arial" w:cs="Arial" w:eastAsia="Arial" w:hAnsi="Arial"/>
          <w:sz w:val="18"/>
          <w:szCs w:val="18"/>
          <w:color w:val="auto"/>
        </w:rPr>
        <w:t xml:space="preserve"> </w:t>
      </w:r>
      <w:r>
        <w:rPr>
          <w:rFonts w:ascii="Arial" w:cs="Arial" w:eastAsia="Arial" w:hAnsi="Arial"/>
          <w:sz w:val="18"/>
          <w:szCs w:val="18"/>
          <w:b w:val="1"/>
          <w:bCs w:val="1"/>
          <w:color w:val="auto"/>
        </w:rPr>
        <w:t>Revolving Lenders</w:t>
      </w:r>
      <w:r>
        <w:rPr>
          <w:rFonts w:ascii="Arial" w:cs="Arial" w:eastAsia="Arial" w:hAnsi="Arial"/>
          <w:sz w:val="18"/>
          <w:szCs w:val="18"/>
          <w:color w:val="auto"/>
        </w:rPr>
        <w:t>”), and such Post-Increase Revolving Lenders shall purchase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5" w:right="239" w:bottom="1440" w:gutter="0" w:footer="0" w:header="0"/>
        </w:sectPr>
      </w:pPr>
    </w:p>
    <w:bookmarkStart w:id="294" w:name="page295"/>
    <w:bookmarkEnd w:id="294"/>
    <w:p>
      <w:pPr>
        <w:jc w:val="both"/>
        <w:spacing w:after="0" w:line="286" w:lineRule="auto"/>
        <w:rPr>
          <w:sz w:val="20"/>
          <w:szCs w:val="20"/>
          <w:color w:val="auto"/>
        </w:rPr>
      </w:pPr>
      <w:r>
        <w:rPr>
          <w:rFonts w:ascii="Arial" w:cs="Arial" w:eastAsia="Arial" w:hAnsi="Arial"/>
          <w:sz w:val="16"/>
          <w:szCs w:val="16"/>
          <w:color w:val="auto"/>
        </w:rPr>
        <w:t xml:space="preserve">from each such Pre-Increase Revolving Lender, at the principal amount thereof, such interests in the Revolving Loans of such Tranche and participation interests in L/C Liabilities of such Tranche (but not, for the avoidance of doubt, the related Revolving Commitments) outstanding on such Incremental Effective Date as shall be necessary in order that, after giving effect to all such assignments or transfers and purchases, such Revolving Loans of such Tranche and participation interests in L/C Liabilities of such Tranche will be held by Pre-Increase Revolving Lenders and Post-Increase Revolving Lenders ratably in accordance with their Revolving Commitments of such Tranche after giving effect to such Incremental Revolving Commitments (and after giving effect to any Revolving Loans of such Tranche made on the relevant Incremental Effective Date). Such assignments or transfers and purchases shall be made pursuant to such procedures as may be designated by Administrative Agent and shall not be required to be effectuated in accordance with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For the avoidance of doubt, Revolving Loans and participation interests in L/C Liabilities assigned or transferred and purchased (or re-allocated) pursuant to this </w:t>
      </w:r>
      <w:r>
        <w:rPr>
          <w:rFonts w:ascii="Arial" w:cs="Arial" w:eastAsia="Arial" w:hAnsi="Arial"/>
          <w:sz w:val="16"/>
          <w:szCs w:val="16"/>
          <w:u w:val="single" w:color="auto"/>
          <w:color w:val="auto"/>
        </w:rPr>
        <w:t>Section 2.12(d)</w:t>
      </w:r>
      <w:r>
        <w:rPr>
          <w:rFonts w:ascii="Arial" w:cs="Arial" w:eastAsia="Arial" w:hAnsi="Arial"/>
          <w:sz w:val="16"/>
          <w:szCs w:val="16"/>
          <w:color w:val="auto"/>
        </w:rPr>
        <w:t xml:space="preserve"> shall, upon receipt thereof by the relevant Post-Increase Revolving Lenders, be deemed to be Revolving Loans and participation interests in L/C Liabilities in respect of the relevant new or additional Revolving Commitments of such Tranche acquired by such Post-Increase Revolving Lenders on the relevant Incremental Effective Date and the terms of such Revolving Loans and participation interests (including, without limitation, the interest rate and maturity applicable thereto) shall be adjusted accordingly. In addition, the L/C Sublimit may be increased by an amount not to exceed the amount of any increase in Revolving Commitments with the consent of the applicable L/C Lenders that agreed to provide Letters of Credit under such increase in the L/C Sublimit and the holders of Incremental Revolving Commitments providing such increase in Revolving Commitments.</w:t>
      </w:r>
    </w:p>
    <w:p>
      <w:pPr>
        <w:spacing w:after="0" w:line="168" w:lineRule="exact"/>
        <w:rPr>
          <w:sz w:val="20"/>
          <w:szCs w:val="20"/>
          <w:color w:val="auto"/>
        </w:rPr>
      </w:pPr>
    </w:p>
    <w:p>
      <w:pPr>
        <w:jc w:val="both"/>
        <w:ind w:firstLine="656"/>
        <w:spacing w:after="0" w:line="253" w:lineRule="auto"/>
        <w:tabs>
          <w:tab w:leader="none" w:pos="1028"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Equal and Ratable Benefit</w:t>
      </w:r>
      <w:r>
        <w:rPr>
          <w:rFonts w:ascii="Arial" w:cs="Arial" w:eastAsia="Arial" w:hAnsi="Arial"/>
          <w:sz w:val="18"/>
          <w:szCs w:val="18"/>
          <w:color w:val="auto"/>
        </w:rPr>
        <w:t>. Except in the case of any New Term Loans and New Revolving Commitments that are designated by Borrower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secured on a junior lien basis to the Obligations or unsecured, which shall be established pursuant to separate facilities, the Loans and Commitments established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(i) constitute Loans and Commitments under, and shall be entitled to all the benefits afforded by, this Agreement and the other Credit Documents, (ii) without limiting the foregoing, benefit equally and ratably from the Guarantees and security interests created by the Security Documents, (iii)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and/or with respect to security with the then-existing Tranches of Term Loans and then-existing Tranches of Revolving Loans, (iv) not be secured by any assets other than the Collateral; and (v) not be guaranteed by any person other than a Guarantor.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establishment of any Incremental Commitments or the funding of Loans thereunder. In the case of any New Term Loans and New Revolving Commitments that are designated by Borrower as secured on a junior lien basis to the Obligations, Borrower shall deliver a Second Lien Intercreditor Agreement executed by the administrative agent, collateral agent, or other representative of the lenders under such New Term Loans or New Revolving Commitments.</w:t>
      </w:r>
    </w:p>
    <w:p>
      <w:pPr>
        <w:spacing w:after="0" w:line="190" w:lineRule="exact"/>
        <w:rPr>
          <w:rFonts w:ascii="Arial" w:cs="Arial" w:eastAsia="Arial" w:hAnsi="Arial"/>
          <w:sz w:val="18"/>
          <w:szCs w:val="18"/>
          <w:color w:val="auto"/>
        </w:rPr>
      </w:pPr>
    </w:p>
    <w:p>
      <w:pPr>
        <w:jc w:val="both"/>
        <w:ind w:firstLine="656"/>
        <w:spacing w:after="0" w:line="273" w:lineRule="auto"/>
        <w:tabs>
          <w:tab w:leader="none" w:pos="1103" w:val="left"/>
        </w:tabs>
        <w:numPr>
          <w:ilvl w:val="0"/>
          <w:numId w:val="296"/>
        </w:numPr>
        <w:rPr>
          <w:rFonts w:ascii="Arial" w:cs="Arial" w:eastAsia="Arial" w:hAnsi="Arial"/>
          <w:sz w:val="17"/>
          <w:szCs w:val="17"/>
          <w:color w:val="auto"/>
        </w:rPr>
      </w:pPr>
      <w:r>
        <w:rPr>
          <w:rFonts w:ascii="Arial" w:cs="Arial" w:eastAsia="Arial" w:hAnsi="Arial"/>
          <w:sz w:val="17"/>
          <w:szCs w:val="17"/>
          <w:b w:val="1"/>
          <w:bCs w:val="1"/>
          <w:color w:val="auto"/>
        </w:rPr>
        <w:t>Incremental Joinder Agreements</w:t>
      </w:r>
      <w:r>
        <w:rPr>
          <w:rFonts w:ascii="Arial" w:cs="Arial" w:eastAsia="Arial" w:hAnsi="Arial"/>
          <w:sz w:val="17"/>
          <w:szCs w:val="17"/>
          <w:color w:val="auto"/>
        </w:rPr>
        <w:t>. An Incremental Joinder Agreement may,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2.12(b)</w:t>
      </w:r>
      <w:r>
        <w:rPr>
          <w:rFonts w:ascii="Arial" w:cs="Arial" w:eastAsia="Arial" w:hAnsi="Arial"/>
          <w:sz w:val="17"/>
          <w:szCs w:val="17"/>
          <w:color w:val="auto"/>
        </w:rPr>
        <w:t>, without the consent of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effect such amendments to this Agreement and the other Credit Documents as may be necessary or advisable, in the reasonable opinion of Administrative Agent and Borrower, to effect the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(including, without limitation, (A) amendments to </w:t>
      </w:r>
      <w:r>
        <w:rPr>
          <w:rFonts w:ascii="Arial" w:cs="Arial" w:eastAsia="Arial" w:hAnsi="Arial"/>
          <w:sz w:val="17"/>
          <w:szCs w:val="17"/>
          <w:u w:val="single" w:color="auto"/>
          <w:color w:val="auto"/>
        </w:rPr>
        <w:t>Sections 2.04(b)(ii)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2.09(b)(i)</w:t>
      </w:r>
      <w:r>
        <w:rPr>
          <w:rFonts w:ascii="Arial" w:cs="Arial" w:eastAsia="Arial" w:hAnsi="Arial"/>
          <w:sz w:val="17"/>
          <w:szCs w:val="17"/>
          <w:color w:val="auto"/>
        </w:rPr>
        <w:t xml:space="preserve"> to permit reductions of Tranches of Revolving Commitments (and prepayments of the related Revolving Loans) with an R/C Maturity Date prior to the R/C Maturity Date applicable to another Tranche of Revolving Commitments without a concurrent reduction of such other Tranche of Revolving Commitments and (B) such other technical amendments as may be necessary or advisable, in the reasonable opinion of Administrative Agent and Borrower, to give effect to the terms and provisions of any Incremental Commitments (and any Loans made in respect thereof)).</w:t>
      </w:r>
    </w:p>
    <w:p>
      <w:pPr>
        <w:spacing w:after="0" w:line="172" w:lineRule="exact"/>
        <w:rPr>
          <w:rFonts w:ascii="Arial" w:cs="Arial" w:eastAsia="Arial" w:hAnsi="Arial"/>
          <w:sz w:val="17"/>
          <w:szCs w:val="17"/>
          <w:color w:val="auto"/>
        </w:rPr>
      </w:pPr>
    </w:p>
    <w:p>
      <w:pPr>
        <w:ind w:left="1040" w:hanging="384"/>
        <w:spacing w:after="0"/>
        <w:tabs>
          <w:tab w:leader="none" w:pos="1040" w:val="left"/>
        </w:tabs>
        <w:numPr>
          <w:ilvl w:val="0"/>
          <w:numId w:val="296"/>
        </w:numPr>
        <w:rPr>
          <w:rFonts w:ascii="Arial" w:cs="Arial" w:eastAsia="Arial" w:hAnsi="Arial"/>
          <w:sz w:val="18"/>
          <w:szCs w:val="18"/>
          <w:color w:val="auto"/>
        </w:rPr>
      </w:pPr>
      <w:r>
        <w:rPr>
          <w:rFonts w:ascii="Arial" w:cs="Arial" w:eastAsia="Arial" w:hAnsi="Arial"/>
          <w:sz w:val="18"/>
          <w:szCs w:val="18"/>
          <w:b w:val="1"/>
          <w:bCs w:val="1"/>
          <w:color w:val="auto"/>
        </w:rPr>
        <w:t>Supersede</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supersede any provisions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13.04</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contrary.</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5"/>
          <w:szCs w:val="15"/>
          <w:b w:val="1"/>
          <w:bCs w:val="1"/>
          <w:color w:val="auto"/>
        </w:rPr>
        <w:t>Extensions of Loans and Commitments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6" w:lineRule="auto"/>
        <w:tabs>
          <w:tab w:leader="none" w:pos="104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Borrower may, at any time request that all or a portion of the Term Loans of any Tranche (an “</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 be modified to constitute another Tranche of Term Loans in order to extend the scheduled final maturity date thereof (any such Term Loans which have been so modified, “</w:t>
      </w:r>
      <w:r>
        <w:rPr>
          <w:rFonts w:ascii="Arial" w:cs="Arial" w:eastAsia="Arial" w:hAnsi="Arial"/>
          <w:sz w:val="18"/>
          <w:szCs w:val="18"/>
          <w:b w:val="1"/>
          <w:bCs w:val="1"/>
          <w:color w:val="auto"/>
        </w:rPr>
        <w:t>Extended Term Loans</w:t>
      </w:r>
      <w:r>
        <w:rPr>
          <w:rFonts w:ascii="Arial" w:cs="Arial" w:eastAsia="Arial" w:hAnsi="Arial"/>
          <w:sz w:val="18"/>
          <w:szCs w:val="18"/>
          <w:color w:val="auto"/>
        </w:rPr>
        <w:t>”) and to provide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4" w:right="239" w:bottom="1440" w:gutter="0" w:footer="0" w:header="0"/>
        </w:sectPr>
      </w:pPr>
    </w:p>
    <w:bookmarkStart w:id="295" w:name="page296"/>
    <w:bookmarkEnd w:id="295"/>
    <w:p>
      <w:pPr>
        <w:jc w:val="both"/>
        <w:spacing w:after="0" w:line="284" w:lineRule="auto"/>
        <w:rPr>
          <w:sz w:val="20"/>
          <w:szCs w:val="20"/>
          <w:color w:val="auto"/>
        </w:rPr>
      </w:pPr>
      <w:r>
        <w:rPr>
          <w:rFonts w:ascii="Arial" w:cs="Arial" w:eastAsia="Arial" w:hAnsi="Arial"/>
          <w:sz w:val="16"/>
          <w:szCs w:val="16"/>
          <w:color w:val="auto"/>
        </w:rPr>
        <w:t xml:space="preserve">for other terms consistent with this </w:t>
      </w:r>
      <w:r>
        <w:rPr>
          <w:rFonts w:ascii="Arial" w:cs="Arial" w:eastAsia="Arial" w:hAnsi="Arial"/>
          <w:sz w:val="16"/>
          <w:szCs w:val="16"/>
          <w:u w:val="single" w:color="auto"/>
          <w:color w:val="auto"/>
        </w:rPr>
        <w:t>Section 2.13</w:t>
      </w:r>
      <w:r>
        <w:rPr>
          <w:rFonts w:ascii="Arial" w:cs="Arial" w:eastAsia="Arial" w:hAnsi="Arial"/>
          <w:sz w:val="16"/>
          <w:szCs w:val="16"/>
          <w:color w:val="auto"/>
        </w:rPr>
        <w:t>. In order to establish any Extended Term Loans, Borrower shall provide a notice to Administrative Agent (who shall provide a copy of such notice to each of the Lenders of the applicable Existing Term Loan Tranche)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xml:space="preserve">”) setting forth the proposed terms of the Extended Term Loans to be established, which terms shall be substantially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or reduced fees (including prepayment or termination premiums) may be payable to the Lenders providing such Extended Term Loans in addition to or in lieu of any increased or decreased Applicable Margins contemplated by the preceding clause (A), in each case, to the extent provided in the applicable Extension Amendment, (iii) any Extended Term Loans may participate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 less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 greater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any optional prepayments of Term Loans hereunder and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 less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(but not greater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any mandatory prepayments of Term Loans hereunder in each case as specified in the respective Term Loan 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Weighted Average Life to Maturity of such Extended Term Loans shall be no shorter than the Weighted Average Life to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Term Loans of such Existing Term Loan Tranche, and (v) the covenant set forth in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13.04</w:t>
      </w:r>
      <w:r>
        <w:rPr>
          <w:rFonts w:ascii="Arial" w:cs="Arial" w:eastAsia="Arial" w:hAnsi="Arial"/>
          <w:sz w:val="16"/>
          <w:szCs w:val="16"/>
          <w:color w:val="auto"/>
        </w:rPr>
        <w:t xml:space="preserve">). Except as provided above, each Lender holding Extended Term Loans shall be entitled to all the benefits afforded by this Agreement (including, without limitation, the provisions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2.10(b)</w:t>
      </w:r>
      <w:r>
        <w:rPr>
          <w:rFonts w:ascii="Arial" w:cs="Arial" w:eastAsia="Arial" w:hAnsi="Arial"/>
          <w:sz w:val="16"/>
          <w:szCs w:val="16"/>
          <w:color w:val="auto"/>
        </w:rPr>
        <w:t xml:space="preserve">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No Lender shall have any obligation to agree to have any of its Term Loans of any Existing Term Loan Tranche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386" w:lineRule="exact"/>
        <w:rPr>
          <w:sz w:val="20"/>
          <w:szCs w:val="20"/>
          <w:color w:val="auto"/>
        </w:rPr>
      </w:pPr>
    </w:p>
    <w:p>
      <w:pPr>
        <w:jc w:val="both"/>
        <w:ind w:firstLine="656"/>
        <w:spacing w:after="0" w:line="268" w:lineRule="auto"/>
        <w:tabs>
          <w:tab w:leader="none" w:pos="1052" w:val="left"/>
        </w:tabs>
        <w:numPr>
          <w:ilvl w:val="0"/>
          <w:numId w:val="298"/>
        </w:numPr>
        <w:rPr>
          <w:rFonts w:ascii="Arial" w:cs="Arial" w:eastAsia="Arial" w:hAnsi="Arial"/>
          <w:sz w:val="17"/>
          <w:szCs w:val="17"/>
          <w:color w:val="auto"/>
        </w:rPr>
      </w:pPr>
      <w:r>
        <w:rPr>
          <w:rFonts w:ascii="Arial" w:cs="Arial" w:eastAsia="Arial" w:hAnsi="Arial"/>
          <w:sz w:val="17"/>
          <w:szCs w:val="17"/>
          <w:color w:val="auto"/>
        </w:rPr>
        <w:t>Borrower may, at any time request that all or a portion of the Revolving Commitments of any Tranche (an “</w:t>
      </w:r>
      <w:r>
        <w:rPr>
          <w:rFonts w:ascii="Arial" w:cs="Arial" w:eastAsia="Arial" w:hAnsi="Arial"/>
          <w:sz w:val="17"/>
          <w:szCs w:val="17"/>
          <w:b w:val="1"/>
          <w:bCs w:val="1"/>
          <w:color w:val="auto"/>
        </w:rPr>
        <w:t>Existing Revolving Tranche</w:t>
      </w:r>
      <w:r>
        <w:rPr>
          <w:rFonts w:ascii="Arial" w:cs="Arial" w:eastAsia="Arial" w:hAnsi="Arial"/>
          <w:sz w:val="17"/>
          <w:szCs w:val="17"/>
          <w:color w:val="auto"/>
        </w:rPr>
        <w:t>” and any related Revolving Loans thereunder, “</w:t>
      </w:r>
      <w:r>
        <w:rPr>
          <w:rFonts w:ascii="Arial" w:cs="Arial" w:eastAsia="Arial" w:hAnsi="Arial"/>
          <w:sz w:val="17"/>
          <w:szCs w:val="17"/>
          <w:b w:val="1"/>
          <w:bCs w:val="1"/>
          <w:color w:val="auto"/>
        </w:rPr>
        <w:t>Existing Revolving Loans</w:t>
      </w:r>
      <w:r>
        <w:rPr>
          <w:rFonts w:ascii="Arial" w:cs="Arial" w:eastAsia="Arial" w:hAnsi="Arial"/>
          <w:sz w:val="17"/>
          <w:szCs w:val="17"/>
          <w:color w:val="auto"/>
        </w:rPr>
        <w:t>”) be modified to constitute another Tranche of Revolving Commitments in order to extend the termination date thereof (any such Revolving Commitments which have been so modified, “</w:t>
      </w:r>
      <w:r>
        <w:rPr>
          <w:rFonts w:ascii="Arial" w:cs="Arial" w:eastAsia="Arial" w:hAnsi="Arial"/>
          <w:sz w:val="17"/>
          <w:szCs w:val="17"/>
          <w:b w:val="1"/>
          <w:bCs w:val="1"/>
          <w:color w:val="auto"/>
        </w:rPr>
        <w:t>Extended Revolving Commitments</w:t>
      </w:r>
      <w:r>
        <w:rPr>
          <w:rFonts w:ascii="Arial" w:cs="Arial" w:eastAsia="Arial" w:hAnsi="Arial"/>
          <w:sz w:val="17"/>
          <w:szCs w:val="17"/>
          <w:color w:val="auto"/>
        </w:rPr>
        <w:t>” and any related Revolving Loans, “</w:t>
      </w:r>
      <w:r>
        <w:rPr>
          <w:rFonts w:ascii="Arial" w:cs="Arial" w:eastAsia="Arial" w:hAnsi="Arial"/>
          <w:sz w:val="17"/>
          <w:szCs w:val="17"/>
          <w:b w:val="1"/>
          <w:bCs w:val="1"/>
          <w:color w:val="auto"/>
        </w:rPr>
        <w:t>Extended Revolving Loans</w:t>
      </w:r>
      <w:r>
        <w:rPr>
          <w:rFonts w:ascii="Arial" w:cs="Arial" w:eastAsia="Arial" w:hAnsi="Arial"/>
          <w:sz w:val="17"/>
          <w:szCs w:val="17"/>
          <w:color w:val="auto"/>
        </w:rPr>
        <w:t xml:space="preserve">”) and to provide for other terms consistent with this </w:t>
      </w:r>
      <w:r>
        <w:rPr>
          <w:rFonts w:ascii="Arial" w:cs="Arial" w:eastAsia="Arial" w:hAnsi="Arial"/>
          <w:sz w:val="17"/>
          <w:szCs w:val="17"/>
          <w:u w:val="single" w:color="auto"/>
          <w:color w:val="auto"/>
        </w:rPr>
        <w:t>Section 2.13</w:t>
      </w:r>
      <w:r>
        <w:rPr>
          <w:rFonts w:ascii="Arial" w:cs="Arial" w:eastAsia="Arial" w:hAnsi="Arial"/>
          <w:sz w:val="17"/>
          <w:szCs w:val="17"/>
          <w:color w:val="auto"/>
        </w:rPr>
        <w:t>. In order to establish any Extended Revolving Commitments, Borrower shall provide a notice to Administrative Agent (who shall provide a copy of such notice to each of the Lenders of the applicable Existing Revolving Tranche) (a “</w:t>
      </w:r>
      <w:r>
        <w:rPr>
          <w:rFonts w:ascii="Arial" w:cs="Arial" w:eastAsia="Arial" w:hAnsi="Arial"/>
          <w:sz w:val="17"/>
          <w:szCs w:val="17"/>
          <w:b w:val="1"/>
          <w:bCs w:val="1"/>
          <w:color w:val="auto"/>
        </w:rPr>
        <w:t>Revolving Extension Request</w:t>
      </w:r>
      <w:r>
        <w:rPr>
          <w:rFonts w:ascii="Arial" w:cs="Arial" w:eastAsia="Arial" w:hAnsi="Arial"/>
          <w:sz w:val="17"/>
          <w:szCs w:val="17"/>
          <w:color w:val="auto"/>
        </w:rPr>
        <w:t>”) setting forth the proposed terms of the Extended Revolving Commitments to be established, which terms shall be substantially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 the date set forth in the applicable Extension Amendment, (ii) (A) the Applicable Margins with respect to the Extended Revolving Loans may be higher or lower than the Applicable Margins for the Revolving Loans of such Existing Revolving Tranche and/or (B) additional or reduced fees may be payable to the Lenders providing such Extended Revolving Commitments in addition to or in lieu of any increased or decreased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(iv) the covenant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4" w:right="239" w:bottom="1440" w:gutter="0" w:footer="0" w:header="0"/>
        </w:sectPr>
      </w:pPr>
    </w:p>
    <w:bookmarkStart w:id="296" w:name="page297"/>
    <w:bookmarkEnd w:id="296"/>
    <w:p>
      <w:pPr>
        <w:jc w:val="both"/>
        <w:spacing w:after="0" w:line="267" w:lineRule="auto"/>
        <w:rPr>
          <w:sz w:val="20"/>
          <w:szCs w:val="20"/>
          <w:color w:val="auto"/>
        </w:rPr>
      </w:pPr>
      <w:r>
        <w:rPr>
          <w:rFonts w:ascii="Arial" w:cs="Arial" w:eastAsia="Arial" w:hAnsi="Arial"/>
          <w:sz w:val="17"/>
          <w:szCs w:val="17"/>
          <w:color w:val="auto"/>
        </w:rPr>
        <w:t xml:space="preserve">set forth in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and (v) the L/C Commitments of any L/C Lender that is providing such Extended Revolving Commitments may be extended and the L/C Sublimit may be increased, subject to clause (d) below (it being understood that each Lender providing Extended Revolving Commitments, by executing an Extension Amendment, agrees to be bound by such provisions and waives any inconsistent provisions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4.07(b)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13.04</w:t>
      </w:r>
      <w:r>
        <w:rPr>
          <w:rFonts w:ascii="Arial" w:cs="Arial" w:eastAsia="Arial" w:hAnsi="Arial"/>
          <w:sz w:val="17"/>
          <w:szCs w:val="17"/>
          <w:color w:val="auto"/>
        </w:rPr>
        <w:t xml:space="preserve">). Except as provided above, each Lender holding Extended Revolving Commitments shall be entitled to all the benefits afforded by this Agreement (including, without limitation, the provisions set forth in </w:t>
      </w:r>
      <w:r>
        <w:rPr>
          <w:rFonts w:ascii="Arial" w:cs="Arial" w:eastAsia="Arial" w:hAnsi="Arial"/>
          <w:sz w:val="17"/>
          <w:szCs w:val="17"/>
          <w:u w:val="single" w:color="auto"/>
          <w:color w:val="auto"/>
        </w:rPr>
        <w:t>Sections 2.09(b)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2.10(b)</w:t>
      </w:r>
      <w:r>
        <w:rPr>
          <w:rFonts w:ascii="Arial" w:cs="Arial" w:eastAsia="Arial" w:hAnsi="Arial"/>
          <w:sz w:val="17"/>
          <w:szCs w:val="17"/>
          <w:color w:val="auto"/>
        </w:rPr>
        <w:t xml:space="preserve">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 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spacing w:after="0" w:line="193" w:lineRule="exact"/>
        <w:rPr>
          <w:sz w:val="20"/>
          <w:szCs w:val="20"/>
          <w:color w:val="auto"/>
        </w:rPr>
      </w:pPr>
    </w:p>
    <w:p>
      <w:pPr>
        <w:jc w:val="both"/>
        <w:ind w:firstLine="656"/>
        <w:spacing w:after="0" w:line="287" w:lineRule="auto"/>
        <w:tabs>
          <w:tab w:leader="none" w:pos="1041" w:val="left"/>
        </w:tabs>
        <w:numPr>
          <w:ilvl w:val="0"/>
          <w:numId w:val="299"/>
        </w:numPr>
        <w:rPr>
          <w:rFonts w:ascii="Arial" w:cs="Arial" w:eastAsia="Arial" w:hAnsi="Arial"/>
          <w:sz w:val="16"/>
          <w:szCs w:val="16"/>
          <w:color w:val="auto"/>
        </w:rPr>
      </w:pPr>
      <w:r>
        <w:rPr>
          <w:rFonts w:ascii="Arial" w:cs="Arial" w:eastAsia="Arial" w:hAnsi="Arial"/>
          <w:sz w:val="16"/>
          <w:szCs w:val="16"/>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Arial" w:cs="Arial" w:eastAsia="Arial" w:hAnsi="Arial"/>
          <w:sz w:val="16"/>
          <w:szCs w:val="16"/>
          <w:b w:val="1"/>
          <w:bCs w:val="1"/>
          <w:color w:val="auto"/>
        </w:rPr>
        <w:t>Extending Lender</w:t>
      </w:r>
      <w:r>
        <w:rPr>
          <w:rFonts w:ascii="Arial" w:cs="Arial" w:eastAsia="Arial" w:hAnsi="Arial"/>
          <w:sz w:val="16"/>
          <w:szCs w:val="16"/>
          <w:color w:val="auto"/>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Arial" w:cs="Arial" w:eastAsia="Arial" w:hAnsi="Arial"/>
          <w:sz w:val="16"/>
          <w:szCs w:val="16"/>
          <w:b w:val="1"/>
          <w:bCs w:val="1"/>
          <w:color w:val="auto"/>
        </w:rPr>
        <w:t>Extension Election</w:t>
      </w:r>
      <w:r>
        <w:rPr>
          <w:rFonts w:ascii="Arial" w:cs="Arial" w:eastAsia="Arial" w:hAnsi="Arial"/>
          <w:sz w:val="16"/>
          <w:szCs w:val="16"/>
          <w:color w:val="auto"/>
        </w:rPr>
        <w:t xml:space="preserve">”)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 Extended Revolving Commitments, as applicable,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spacing w:after="0" w:line="164" w:lineRule="exact"/>
        <w:rPr>
          <w:rFonts w:ascii="Arial" w:cs="Arial" w:eastAsia="Arial" w:hAnsi="Arial"/>
          <w:sz w:val="16"/>
          <w:szCs w:val="16"/>
          <w:color w:val="auto"/>
        </w:rPr>
      </w:pPr>
    </w:p>
    <w:p>
      <w:pPr>
        <w:jc w:val="both"/>
        <w:ind w:firstLine="656"/>
        <w:spacing w:after="0" w:line="270" w:lineRule="auto"/>
        <w:tabs>
          <w:tab w:leader="none" w:pos="110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Extended Term Loans or Extended Revolving Commitments, as applicable, shall be established pursuant to an amendment (an “</w:t>
      </w:r>
      <w:r>
        <w:rPr>
          <w:rFonts w:ascii="Arial" w:cs="Arial" w:eastAsia="Arial" w:hAnsi="Arial"/>
          <w:sz w:val="17"/>
          <w:szCs w:val="17"/>
          <w:b w:val="1"/>
          <w:bCs w:val="1"/>
          <w:color w:val="auto"/>
        </w:rPr>
        <w:t>Extension</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w:t>
      </w:r>
      <w:r>
        <w:rPr>
          <w:rFonts w:ascii="Arial" w:cs="Arial" w:eastAsia="Arial" w:hAnsi="Arial"/>
          <w:sz w:val="17"/>
          <w:szCs w:val="17"/>
          <w:color w:val="auto"/>
        </w:rPr>
        <w:t>”) to this Agreement (which shall be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P</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Q</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Agreement, as applicable, or, in each case,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w:t>
      </w:r>
      <w:r>
        <w:rPr>
          <w:rFonts w:ascii="Arial" w:cs="Arial" w:eastAsia="Arial" w:hAnsi="Arial"/>
          <w:sz w:val="17"/>
          <w:szCs w:val="17"/>
          <w:u w:val="single" w:color="auto"/>
          <w:color w:val="auto"/>
        </w:rPr>
        <w:t>Sections 2.13(a)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without the consent of any other Lenders, effect such amendments to this Agreement and the other Credit Documents as may be necessary or advisable, in the reasonable opinion of Administrative Agent and Borrower, to effect the provisions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(including, without limitation, (A) amendments to </w:t>
      </w:r>
      <w:r>
        <w:rPr>
          <w:rFonts w:ascii="Arial" w:cs="Arial" w:eastAsia="Arial" w:hAnsi="Arial"/>
          <w:sz w:val="17"/>
          <w:szCs w:val="17"/>
          <w:u w:val="single" w:color="auto"/>
          <w:color w:val="auto"/>
        </w:rPr>
        <w:t>Section 2.04(b)(ii)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2.09(b)(i)</w:t>
      </w:r>
      <w:r>
        <w:rPr>
          <w:rFonts w:ascii="Arial" w:cs="Arial" w:eastAsia="Arial" w:hAnsi="Arial"/>
          <w:sz w:val="17"/>
          <w:szCs w:val="17"/>
          <w:color w:val="auto"/>
        </w:rPr>
        <w:t xml:space="preserve"> to permit reductions of Tranches of Revolving Commitments (and prepayments of the related Revolving Loans) with an R/C Maturity Date prior to the R/C Maturity Date applicable to a Tranche of Extended Revolving Commitments without a concurrent reduction of such Tranche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5" w:right="239" w:bottom="1440" w:gutter="0" w:footer="0" w:header="0"/>
        </w:sectPr>
      </w:pPr>
    </w:p>
    <w:bookmarkStart w:id="297" w:name="page298"/>
    <w:bookmarkEnd w:id="297"/>
    <w:p>
      <w:pPr>
        <w:spacing w:after="0" w:line="342" w:lineRule="auto"/>
        <w:rPr>
          <w:sz w:val="20"/>
          <w:szCs w:val="20"/>
          <w:color w:val="auto"/>
        </w:rPr>
      </w:pPr>
      <w:r>
        <w:rPr>
          <w:rFonts w:ascii="Arial" w:cs="Arial" w:eastAsia="Arial" w:hAnsi="Arial"/>
          <w:sz w:val="16"/>
          <w:szCs w:val="16"/>
          <w:color w:val="auto"/>
        </w:rPr>
        <w:t>Extended Revolving Commitments and (B) such other technical amendments as may be necessary or advisable, in the reasonable opinion of Administrative Agent and Borrower, to give effect to the terms and provisions of any Extended Term Loans or Extended Revolving Commitments, as applicable).</w:t>
      </w:r>
    </w:p>
    <w:p>
      <w:pPr>
        <w:spacing w:after="0" w:line="12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color w:val="auto"/>
        </w:rPr>
        <w:t>Defaulting Lender Provisions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06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Lender becomes, and during the period it remains, a Defaulting Lender, the following provisions shall apply:</w:t>
      </w:r>
    </w:p>
    <w:p>
      <w:pPr>
        <w:spacing w:after="0" w:line="170" w:lineRule="exact"/>
        <w:rPr>
          <w:rFonts w:ascii="Arial" w:cs="Arial" w:eastAsia="Arial" w:hAnsi="Arial"/>
          <w:sz w:val="18"/>
          <w:szCs w:val="18"/>
          <w:color w:val="auto"/>
        </w:rPr>
      </w:pPr>
    </w:p>
    <w:p>
      <w:pPr>
        <w:jc w:val="both"/>
        <w:ind w:left="660" w:firstLine="645"/>
        <w:spacing w:after="0" w:line="253" w:lineRule="auto"/>
        <w:tabs>
          <w:tab w:leader="none" w:pos="1726"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Revolving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sum of each Non-Defaulting Lender’s total Revolving Exposure may not in any event exceed the Revolving Commitment of such Non-Defaulting Lender as in effect at the time of such reallocation, (ii) subject to </w:t>
      </w:r>
      <w:r>
        <w:rPr>
          <w:rFonts w:ascii="Arial" w:cs="Arial" w:eastAsia="Arial" w:hAnsi="Arial"/>
          <w:sz w:val="18"/>
          <w:szCs w:val="18"/>
          <w:u w:val="single" w:color="auto"/>
          <w:color w:val="auto"/>
        </w:rPr>
        <w:t>Section 13.21</w:t>
      </w:r>
      <w:r>
        <w:rPr>
          <w:rFonts w:ascii="Arial" w:cs="Arial" w:eastAsia="Arial" w:hAnsi="Arial"/>
          <w:sz w:val="18"/>
          <w:szCs w:val="18"/>
          <w:color w:val="auto"/>
        </w:rPr>
        <w:t>,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 notified Administrative Agent at such time, Borrower shall be deemed to have represented and warranted that no Event of Default exists and is continuing at such time);</w:t>
      </w:r>
    </w:p>
    <w:p>
      <w:pPr>
        <w:spacing w:after="0" w:line="193" w:lineRule="exact"/>
        <w:rPr>
          <w:rFonts w:ascii="Arial" w:cs="Arial" w:eastAsia="Arial" w:hAnsi="Arial"/>
          <w:sz w:val="18"/>
          <w:szCs w:val="18"/>
          <w:color w:val="auto"/>
        </w:rPr>
      </w:pPr>
    </w:p>
    <w:p>
      <w:pPr>
        <w:jc w:val="both"/>
        <w:ind w:left="660" w:firstLine="645"/>
        <w:spacing w:after="0" w:line="256" w:lineRule="auto"/>
        <w:tabs>
          <w:tab w:leader="none" w:pos="1789"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b w:val="1"/>
          <w:bCs w:val="1"/>
          <w:color w:val="auto"/>
        </w:rPr>
        <w:t>un-reallocated portion</w:t>
      </w:r>
      <w:r>
        <w:rPr>
          <w:rFonts w:ascii="Arial" w:cs="Arial" w:eastAsia="Arial" w:hAnsi="Arial"/>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91" w:lineRule="exact"/>
        <w:rPr>
          <w:rFonts w:ascii="Arial" w:cs="Arial" w:eastAsia="Arial" w:hAnsi="Arial"/>
          <w:sz w:val="18"/>
          <w:szCs w:val="18"/>
          <w:color w:val="auto"/>
        </w:rPr>
      </w:pPr>
    </w:p>
    <w:p>
      <w:pPr>
        <w:ind w:left="1760" w:hanging="455"/>
        <w:spacing w:after="0"/>
        <w:tabs>
          <w:tab w:leader="none" w:pos="17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 xml:space="preserve">Borrower shall not be required to pay any fees to such Defaulting Lender under </w:t>
      </w:r>
      <w:r>
        <w:rPr>
          <w:rFonts w:ascii="Arial" w:cs="Arial" w:eastAsia="Arial" w:hAnsi="Arial"/>
          <w:sz w:val="18"/>
          <w:szCs w:val="18"/>
          <w:u w:val="single" w:color="auto"/>
          <w:color w:val="auto"/>
        </w:rPr>
        <w:t>Section 2.05(a)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660" w:firstLine="645"/>
        <w:spacing w:after="0" w:line="285" w:lineRule="auto"/>
        <w:tabs>
          <w:tab w:leader="none" w:pos="174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shall be applied at such time or times as may be determined by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of any amounts owing by such Defaulting Lender to any L/C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Administrative Agent and Borrower, to be held in a non-interest bearing deposit account and released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order to satisfy such Defaulting Lender’s potential future funding obligations with respect to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the L/C Lender as a result of any judgment of a court of competent jurisdiction obtained by any Lender or any L/C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or L/C Liabilities in respect of which such Defaulting Lender has not fully funded its appropriate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4" w:right="239" w:bottom="1440" w:gutter="0" w:footer="0" w:header="0"/>
        </w:sectPr>
      </w:pPr>
    </w:p>
    <w:bookmarkStart w:id="298" w:name="page299"/>
    <w:bookmarkEnd w:id="298"/>
    <w:p>
      <w:pPr>
        <w:jc w:val="both"/>
        <w:ind w:left="660"/>
        <w:spacing w:after="0" w:line="297" w:lineRule="auto"/>
        <w:rPr>
          <w:sz w:val="20"/>
          <w:szCs w:val="20"/>
          <w:color w:val="auto"/>
        </w:rPr>
      </w:pPr>
      <w:r>
        <w:rPr>
          <w:rFonts w:ascii="Arial" w:cs="Arial" w:eastAsia="Arial" w:hAnsi="Arial"/>
          <w:sz w:val="16"/>
          <w:szCs w:val="16"/>
          <w:color w:val="auto"/>
        </w:rPr>
        <w:t xml:space="preserve">share, and (y) such Loans were made or the related Letters of Credit were issued at a time when the conditions set forth in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were satisfied or waived, such payment shall be applied solely to pay the Loans of, and L/C Liabilities owed to,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2.14(a)(iv)</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54" w:lineRule="exact"/>
        <w:rPr>
          <w:sz w:val="20"/>
          <w:szCs w:val="20"/>
          <w:color w:val="auto"/>
        </w:rPr>
      </w:pPr>
    </w:p>
    <w:p>
      <w:pPr>
        <w:jc w:val="both"/>
        <w:ind w:firstLine="656"/>
        <w:spacing w:after="0" w:line="289" w:lineRule="auto"/>
        <w:tabs>
          <w:tab w:leader="none" w:pos="1052" w:val="left"/>
        </w:tabs>
        <w:numPr>
          <w:ilvl w:val="0"/>
          <w:numId w:val="301"/>
        </w:numPr>
        <w:rPr>
          <w:rFonts w:ascii="Arial" w:cs="Arial" w:eastAsia="Arial" w:hAnsi="Arial"/>
          <w:sz w:val="16"/>
          <w:szCs w:val="16"/>
          <w:color w:val="auto"/>
        </w:rPr>
      </w:pPr>
      <w:r>
        <w:rPr>
          <w:rFonts w:ascii="Arial" w:cs="Arial" w:eastAsia="Arial" w:hAnsi="Arial"/>
          <w:sz w:val="16"/>
          <w:szCs w:val="16"/>
          <w:b w:val="1"/>
          <w:bCs w:val="1"/>
          <w:color w:val="auto"/>
        </w:rPr>
        <w:t>Cure</w:t>
      </w:r>
      <w:r>
        <w:rPr>
          <w:rFonts w:ascii="Arial" w:cs="Arial" w:eastAsia="Arial" w:hAnsi="Arial"/>
          <w:sz w:val="16"/>
          <w:szCs w:val="16"/>
          <w:color w:val="auto"/>
        </w:rPr>
        <w:t>. If Borrower, Administrative Agent, each L/C Lender agree in writing in their discretion that a Lender is no longer a Defaulting Lender,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Administrative Agent will so notify the parties hereto, whereupon as of the effective date specified in such notice and subject to any conditions set forth therein (which may include arrangements with respect to any amounts then held in the segregated account referred to in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change hereunder from Defaulting Lender to Non-Defaulting Lender will constitute a waiver or release of any claim of any party hereunder arising from such Lender’s having been a Defaulting Lender, and (y) all Cash Collateral provided pursuant to </w:t>
      </w:r>
      <w:r>
        <w:rPr>
          <w:rFonts w:ascii="Arial" w:cs="Arial" w:eastAsia="Arial" w:hAnsi="Arial"/>
          <w:sz w:val="16"/>
          <w:szCs w:val="16"/>
          <w:u w:val="single" w:color="auto"/>
          <w:color w:val="auto"/>
        </w:rPr>
        <w:t>Section 2.14(a)(ii)</w:t>
      </w:r>
      <w:r>
        <w:rPr>
          <w:rFonts w:ascii="Arial" w:cs="Arial" w:eastAsia="Arial" w:hAnsi="Arial"/>
          <w:sz w:val="16"/>
          <w:szCs w:val="16"/>
          <w:color w:val="auto"/>
        </w:rPr>
        <w:t xml:space="preserve"> shall thereafter be promptly returned to Borrower.</w:t>
      </w:r>
    </w:p>
    <w:p>
      <w:pPr>
        <w:spacing w:after="0" w:line="161" w:lineRule="exact"/>
        <w:rPr>
          <w:rFonts w:ascii="Arial" w:cs="Arial" w:eastAsia="Arial" w:hAnsi="Arial"/>
          <w:sz w:val="16"/>
          <w:szCs w:val="16"/>
          <w:color w:val="auto"/>
        </w:rPr>
      </w:pPr>
    </w:p>
    <w:p>
      <w:pPr>
        <w:jc w:val="both"/>
        <w:ind w:firstLine="656"/>
        <w:spacing w:after="0" w:line="255" w:lineRule="auto"/>
        <w:tabs>
          <w:tab w:leader="none" w:pos="1041" w:val="left"/>
        </w:tabs>
        <w:numPr>
          <w:ilvl w:val="0"/>
          <w:numId w:val="301"/>
        </w:numPr>
        <w:rPr>
          <w:rFonts w:ascii="Arial" w:cs="Arial" w:eastAsia="Arial" w:hAnsi="Arial"/>
          <w:sz w:val="18"/>
          <w:szCs w:val="18"/>
          <w:color w:val="auto"/>
        </w:rPr>
      </w:pPr>
      <w:r>
        <w:rPr>
          <w:rFonts w:ascii="Arial" w:cs="Arial" w:eastAsia="Arial" w:hAnsi="Arial"/>
          <w:sz w:val="18"/>
          <w:szCs w:val="18"/>
          <w:b w:val="1"/>
          <w:bCs w:val="1"/>
          <w:color w:val="auto"/>
        </w:rPr>
        <w:t xml:space="preserve">Certain Fees. </w:t>
      </w:r>
      <w:r>
        <w:rPr>
          <w:rFonts w:ascii="Arial" w:cs="Arial" w:eastAsia="Arial" w:hAnsi="Arial"/>
          <w:sz w:val="18"/>
          <w:szCs w:val="18"/>
          <w:color w:val="auto"/>
        </w:rPr>
        <w:t>Anything herein to the contrary notwithstanding, during such period as a Lender is a Defaulting Lender, such Defaulting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not be entitled to any fees accruing during such period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2.03(h)</w:t>
      </w:r>
      <w:r>
        <w:rPr>
          <w:rFonts w:ascii="Arial" w:cs="Arial" w:eastAsia="Arial" w:hAnsi="Arial"/>
          <w:sz w:val="18"/>
          <w:szCs w:val="18"/>
          <w:color w:val="auto"/>
        </w:rPr>
        <w:t xml:space="preserve"> (without prejudice to the rights of the Non-Defaulting Lenders in respect of such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 the extent that all or a portion of the L/C Liability of such Defaulting Lender is reallocated to the Non-Defaulting Lenders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such fees that would have accrued for the benefit of such Defaulting Lender will instead accrue for the benefit of and be payable to such Non-Defaulting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payment provisions of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will automatically be deemed adjusted to reflect the provisions of this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Refinancing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06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Incremental Term Loans, Extended Term Loans, Other Revolving Loans, Extended Revolving Loans, or Incremental Revolving Loans, or Other Revolving Commitments), in the form of Other Term Loans, Other Term Loan Commitments, Other Revolving Loans, or Other Revolving Commitments pursuant to a Refinancing Amendment. Each issuance of Credit Agreement Refinancing Indebtedness under this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shall be in an aggregate principal amount that is (x) not less than $5.0 million and (y) an integral multiple of $1.0 million in excess thereof.</w:t>
      </w:r>
    </w:p>
    <w:p>
      <w:pPr>
        <w:spacing w:after="0" w:line="189" w:lineRule="exact"/>
        <w:rPr>
          <w:rFonts w:ascii="Arial" w:cs="Arial" w:eastAsia="Arial" w:hAnsi="Arial"/>
          <w:sz w:val="18"/>
          <w:szCs w:val="18"/>
          <w:color w:val="auto"/>
        </w:rPr>
      </w:pPr>
    </w:p>
    <w:p>
      <w:pPr>
        <w:jc w:val="both"/>
        <w:ind w:firstLine="656"/>
        <w:spacing w:after="0" w:line="293" w:lineRule="auto"/>
        <w:tabs>
          <w:tab w:leader="none" w:pos="1038"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The effectiveness of any such Credit Agreement Refinancing Indebtedness shall, subject to the consent required pursuant to </w:t>
      </w:r>
      <w:r>
        <w:rPr>
          <w:rFonts w:ascii="Arial" w:cs="Arial" w:eastAsia="Arial" w:hAnsi="Arial"/>
          <w:sz w:val="16"/>
          <w:szCs w:val="16"/>
          <w:u w:val="single" w:color="auto"/>
          <w:color w:val="auto"/>
        </w:rPr>
        <w:t>Section 2.15(d)</w:t>
      </w:r>
      <w:r>
        <w:rPr>
          <w:rFonts w:ascii="Arial" w:cs="Arial" w:eastAsia="Arial" w:hAnsi="Arial"/>
          <w:sz w:val="16"/>
          <w:szCs w:val="16"/>
          <w:color w:val="auto"/>
        </w:rPr>
        <w:t>,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any amortization or prepayments of Term Loans being refinanced)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5" w:right="239" w:bottom="1440" w:gutter="0" w:footer="0" w:header="0"/>
        </w:sectPr>
      </w:pPr>
    </w:p>
    <w:bookmarkStart w:id="299" w:name="page300"/>
    <w:bookmarkEnd w:id="299"/>
    <w:p>
      <w:pPr>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this clause (ii) shall not apply to unsecured bridge facilities allowing extensions on customary terms to a date that is no earlier than the applicable maturity date and (B) the stated maturity or Weighted Average Life to Maturity may be shorter if the stated maturity is not earlier than the earlier of</w:t>
      </w:r>
    </w:p>
    <w:p>
      <w:pPr>
        <w:jc w:val="both"/>
        <w:ind w:firstLine="8"/>
        <w:spacing w:after="0" w:line="252" w:lineRule="auto"/>
        <w:tabs>
          <w:tab w:leader="none" w:pos="26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stated maturity of such Indebtedness in effect prior to such refinancing or (2) 91 days after the Final Maturity Date in effect at the time of issuance); (iii) the aggregate principal amount of any Credit Agreement Refinancing Indebtedness shall not exceed the principal amount so refinanced,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interest,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premium or other payment required to be paid in connection with such refinancing,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of reasonable and customary fees and expenses of Borrower or any of its Restricted Subsidiaries incurred in connection with such refinancing, </w:t>
      </w:r>
      <w:r>
        <w:rPr>
          <w:rFonts w:ascii="Arial" w:cs="Arial" w:eastAsia="Arial" w:hAnsi="Arial"/>
          <w:sz w:val="18"/>
          <w:szCs w:val="18"/>
          <w:i w:val="1"/>
          <w:iCs w:val="1"/>
          <w:color w:val="auto"/>
        </w:rPr>
        <w:t>plus</w:t>
      </w:r>
      <w:r>
        <w:rPr>
          <w:rFonts w:ascii="Arial" w:cs="Arial" w:eastAsia="Arial" w:hAnsi="Arial"/>
          <w:sz w:val="18"/>
          <w:szCs w:val="18"/>
          <w:color w:val="auto"/>
        </w:rPr>
        <w:t>, any unutilized commitments thereunder; (iv) to the extent reasonably requested by Administrative Agent, receipt by Administrative Agent and the Lenders of customary legal opinions and other documents; and (v) execution and delivery of a Refinancing Amendment by the Credit Parties and the Lenders providing such Credit Agreement Refinancing Indebtedness to Administrative Agent.</w:t>
      </w:r>
    </w:p>
    <w:p>
      <w:pPr>
        <w:spacing w:after="0" w:line="193" w:lineRule="exact"/>
        <w:rPr>
          <w:rFonts w:ascii="Arial" w:cs="Arial" w:eastAsia="Arial" w:hAnsi="Arial"/>
          <w:sz w:val="18"/>
          <w:szCs w:val="18"/>
          <w:color w:val="auto"/>
        </w:rPr>
      </w:pPr>
    </w:p>
    <w:p>
      <w:pPr>
        <w:jc w:val="both"/>
        <w:ind w:firstLine="656"/>
        <w:spacing w:after="0" w:line="276" w:lineRule="auto"/>
        <w:tabs>
          <w:tab w:leader="none" w:pos="1041" w:val="left"/>
        </w:tabs>
        <w:numPr>
          <w:ilvl w:val="1"/>
          <w:numId w:val="303"/>
        </w:numPr>
        <w:rPr>
          <w:rFonts w:ascii="Arial" w:cs="Arial" w:eastAsia="Arial" w:hAnsi="Arial"/>
          <w:sz w:val="17"/>
          <w:szCs w:val="17"/>
          <w:color w:val="auto"/>
        </w:rPr>
      </w:pPr>
      <w:r>
        <w:rPr>
          <w:rFonts w:ascii="Arial" w:cs="Arial" w:eastAsia="Arial" w:hAnsi="Arial"/>
          <w:sz w:val="17"/>
          <w:szCs w:val="17"/>
          <w:color w:val="auto"/>
        </w:rPr>
        <w:t xml:space="preserve">The Loans and Commitments established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72" w:lineRule="exact"/>
        <w:rPr>
          <w:rFonts w:ascii="Arial" w:cs="Arial" w:eastAsia="Arial" w:hAnsi="Arial"/>
          <w:sz w:val="17"/>
          <w:szCs w:val="17"/>
          <w:color w:val="auto"/>
        </w:rPr>
      </w:pPr>
    </w:p>
    <w:p>
      <w:pPr>
        <w:jc w:val="both"/>
        <w:ind w:firstLine="656"/>
        <w:spacing w:after="0" w:line="268" w:lineRule="auto"/>
        <w:tabs>
          <w:tab w:leader="none" w:pos="1187" w:val="left"/>
        </w:tabs>
        <w:numPr>
          <w:ilvl w:val="1"/>
          <w:numId w:val="303"/>
        </w:numPr>
        <w:rPr>
          <w:rFonts w:ascii="Arial" w:cs="Arial" w:eastAsia="Arial" w:hAnsi="Arial"/>
          <w:sz w:val="17"/>
          <w:szCs w:val="17"/>
          <w:color w:val="auto"/>
        </w:rPr>
      </w:pPr>
      <w:r>
        <w:rPr>
          <w:rFonts w:ascii="Arial" w:cs="Arial" w:eastAsia="Arial" w:hAnsi="Arial"/>
          <w:sz w:val="17"/>
          <w:szCs w:val="17"/>
          <w:color w:val="auto"/>
        </w:rPr>
        <w:t xml:space="preserve">Upon the effectiveness of any Refinancing Amendment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any Person providing the corresponding Credit Agreement Refinancing Indebtedness that was not a Lender hereunder immediately prior to such time shall, subject to consent of each L/C Lender to the extent such consent would be required for an assignment to such Person pursuant to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(such consent not to be unreasonably withheld)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Such amendments may include provisions allowing any Other Term Loans to be treated on the same basis as Term A Facility Loans in connection with declining prepayments.</w:t>
      </w:r>
    </w:p>
    <w:p>
      <w:pPr>
        <w:spacing w:after="0" w:line="185" w:lineRule="exact"/>
        <w:rPr>
          <w:rFonts w:ascii="Arial" w:cs="Arial" w:eastAsia="Arial" w:hAnsi="Arial"/>
          <w:sz w:val="17"/>
          <w:szCs w:val="17"/>
          <w:color w:val="auto"/>
        </w:rPr>
      </w:pPr>
    </w:p>
    <w:p>
      <w:pPr>
        <w:jc w:val="both"/>
        <w:ind w:firstLine="656"/>
        <w:spacing w:after="0" w:line="293" w:lineRule="auto"/>
        <w:tabs>
          <w:tab w:leader="none" w:pos="1028" w:val="left"/>
        </w:tabs>
        <w:numPr>
          <w:ilvl w:val="1"/>
          <w:numId w:val="303"/>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13.04</w:t>
      </w:r>
      <w:r>
        <w:rPr>
          <w:rFonts w:ascii="Arial" w:cs="Arial" w:eastAsia="Arial" w:hAnsi="Arial"/>
          <w:sz w:val="16"/>
          <w:szCs w:val="16"/>
          <w:color w:val="auto"/>
        </w:rPr>
        <w:t xml:space="preserve"> to the contrary.</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312" w:lineRule="auto"/>
        <w:tabs>
          <w:tab w:leader="none" w:pos="1068" w:val="left"/>
        </w:tabs>
        <w:numPr>
          <w:ilvl w:val="0"/>
          <w:numId w:val="304"/>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or (ii) Borrower shall be required to provide Cash Collateral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4" w:right="239" w:bottom="1440" w:gutter="0" w:footer="0" w:header="0"/>
        </w:sectPr>
      </w:pPr>
    </w:p>
    <w:bookmarkStart w:id="300" w:name="page301"/>
    <w:bookmarkEnd w:id="300"/>
    <w:p>
      <w:pPr>
        <w:jc w:val="both"/>
        <w:spacing w:after="0" w:line="264"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Borrower shall, within one (1) Business Day (in the case of clause (i) above) or immediately (in the case of clause (ii) above) following any request by Administrative Agent or the applicable L/C Lender, provide Cash Collateral in an amount not less than the applicable Minimum Collateral Amount.</w:t>
      </w:r>
    </w:p>
    <w:p>
      <w:pPr>
        <w:spacing w:after="0" w:line="181" w:lineRule="exact"/>
        <w:rPr>
          <w:sz w:val="20"/>
          <w:szCs w:val="20"/>
          <w:color w:val="auto"/>
        </w:rPr>
      </w:pPr>
    </w:p>
    <w:p>
      <w:pPr>
        <w:jc w:val="both"/>
        <w:ind w:firstLine="656"/>
        <w:spacing w:after="0" w:line="269" w:lineRule="auto"/>
        <w:tabs>
          <w:tab w:leader="none" w:pos="1119"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Borrower, and to the extent provided by any Defaulting Lender, such Defaulting Lender, hereby grants to (and subjects to the control of) Administrative Agent, for the benefit of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2.10(d)</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2.10(d)</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w:t>
      </w:r>
      <w:r>
        <w:rPr>
          <w:rFonts w:ascii="Arial" w:cs="Arial" w:eastAsia="Arial" w:hAnsi="Arial"/>
          <w:sz w:val="17"/>
          <w:szCs w:val="17"/>
          <w:color w:val="auto"/>
        </w:rPr>
        <w:t xml:space="preserve">) may be applied pursuant to </w:t>
      </w:r>
      <w:r>
        <w:rPr>
          <w:rFonts w:ascii="Arial" w:cs="Arial" w:eastAsia="Arial" w:hAnsi="Arial"/>
          <w:sz w:val="17"/>
          <w:szCs w:val="17"/>
          <w:u w:val="single" w:color="auto"/>
          <w:color w:val="auto"/>
        </w:rPr>
        <w:t>Section 2.16(c)</w:t>
      </w:r>
      <w:r>
        <w:rPr>
          <w:rFonts w:ascii="Arial" w:cs="Arial" w:eastAsia="Arial" w:hAnsi="Arial"/>
          <w:sz w:val="17"/>
          <w:szCs w:val="17"/>
          <w:color w:val="auto"/>
        </w:rPr>
        <w:t>. If at any time Administrative Agent determines that Cash Collateral is subject to any right or claim of any Person prior to the right or claim of Administrative Agent or the L/C Lenders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Administrative Agent or as otherwise agreed to by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spacing w:after="0" w:line="179" w:lineRule="exact"/>
        <w:rPr>
          <w:rFonts w:ascii="Arial" w:cs="Arial" w:eastAsia="Arial" w:hAnsi="Arial"/>
          <w:sz w:val="17"/>
          <w:szCs w:val="17"/>
          <w:color w:val="auto"/>
        </w:rPr>
      </w:pPr>
    </w:p>
    <w:p>
      <w:pPr>
        <w:jc w:val="both"/>
        <w:ind w:firstLine="656"/>
        <w:spacing w:after="0" w:line="279" w:lineRule="auto"/>
        <w:tabs>
          <w:tab w:leader="none" w:pos="1041"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any of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2.10(d)</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2.10(d)</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w:t>
      </w:r>
      <w:r>
        <w:rPr>
          <w:rFonts w:ascii="Arial" w:cs="Arial" w:eastAsia="Arial" w:hAnsi="Arial"/>
          <w:sz w:val="17"/>
          <w:szCs w:val="17"/>
          <w:color w:val="auto"/>
        </w:rPr>
        <w:t xml:space="preserve">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jc w:val="both"/>
        <w:ind w:firstLine="656"/>
        <w:spacing w:after="0" w:line="290" w:lineRule="auto"/>
        <w:tabs>
          <w:tab w:leader="none" w:pos="1065"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Administrative Agent and the L/C Lenders that there exists excess Cash Collateral (which, in any event, shall exist at any time that the aggregate amount of Cash Collateral exceeds the Minimum Collateral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16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OF PRINCIPAL AND INTEREST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6" w:lineRule="auto"/>
        <w:tabs>
          <w:tab w:leader="none" w:pos="1028"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Revolving Loans</w:t>
      </w:r>
      <w:r>
        <w:rPr>
          <w:rFonts w:ascii="Arial" w:cs="Arial" w:eastAsia="Arial" w:hAnsi="Arial"/>
          <w:sz w:val="18"/>
          <w:szCs w:val="18"/>
          <w:color w:val="auto"/>
        </w:rPr>
        <w:t>. Borrower hereby promises to pay to Administrative Agent for the account of each applicable Revolving Lender on each R/C</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6" w:lineRule="exact"/>
        <w:rPr>
          <w:rFonts w:ascii="Arial" w:cs="Arial" w:eastAsia="Arial" w:hAnsi="Arial"/>
          <w:sz w:val="18"/>
          <w:szCs w:val="18"/>
          <w:color w:val="auto"/>
        </w:rPr>
      </w:pPr>
    </w:p>
    <w:p>
      <w:pPr>
        <w:jc w:val="both"/>
        <w:ind w:firstLine="656"/>
        <w:spacing w:after="0" w:line="266" w:lineRule="auto"/>
        <w:tabs>
          <w:tab w:leader="none" w:pos="1052"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Term A Facility Loans</w:t>
      </w:r>
      <w:r>
        <w:rPr>
          <w:rFonts w:ascii="Arial" w:cs="Arial" w:eastAsia="Arial" w:hAnsi="Arial"/>
          <w:sz w:val="18"/>
          <w:szCs w:val="18"/>
          <w:color w:val="auto"/>
        </w:rPr>
        <w:t>. Borrower hereby promises to pay to Administrative Agent for the account of the Lenders with Term A Facility Loans</w:t>
      </w:r>
      <w:r>
        <w:rPr>
          <w:rFonts w:ascii="Arial" w:cs="Arial" w:eastAsia="Arial" w:hAnsi="Arial"/>
          <w:sz w:val="18"/>
          <w:szCs w:val="18"/>
          <w:b w:val="1"/>
          <w:bCs w:val="1"/>
          <w:color w:val="auto"/>
        </w:rPr>
        <w:t xml:space="preserve"> </w:t>
      </w:r>
      <w:r>
        <w:rPr>
          <w:rFonts w:ascii="Arial" w:cs="Arial" w:eastAsia="Arial" w:hAnsi="Arial"/>
          <w:sz w:val="18"/>
          <w:szCs w:val="18"/>
          <w:color w:val="auto"/>
        </w:rPr>
        <w:t>in repayment of the principal of such Term A Facility Loans, (i) on the last Business Day of each fiscal quarter (commencing with the first full fiscal quarter following the Closing Date), 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5" w:right="239" w:bottom="1440" w:gutter="0" w:footer="0" w:header="0"/>
        </w:sectPr>
      </w:pPr>
    </w:p>
    <w:bookmarkStart w:id="301" w:name="page302"/>
    <w:bookmarkEnd w:id="301"/>
    <w:p>
      <w:pPr>
        <w:jc w:val="both"/>
        <w:spacing w:after="0" w:line="264" w:lineRule="auto"/>
        <w:rPr>
          <w:sz w:val="20"/>
          <w:szCs w:val="20"/>
          <w:color w:val="auto"/>
        </w:rPr>
      </w:pPr>
      <w:r>
        <w:rPr>
          <w:rFonts w:ascii="Arial" w:cs="Arial" w:eastAsia="Arial" w:hAnsi="Arial"/>
          <w:sz w:val="18"/>
          <w:szCs w:val="18"/>
          <w:color w:val="auto"/>
        </w:rPr>
        <w:t xml:space="preserve">aggregate amount equal to 1.25% of the aggregate principal amount of all Term A Facility Loans outstanding on the Closing Date (subject to adjustment for any prepayments made under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13.04(b)(B)</w:t>
      </w:r>
      <w:r>
        <w:rPr>
          <w:rFonts w:ascii="Arial" w:cs="Arial" w:eastAsia="Arial" w:hAnsi="Arial"/>
          <w:sz w:val="18"/>
          <w:szCs w:val="18"/>
          <w:color w:val="auto"/>
        </w:rPr>
        <w:t xml:space="preserve"> or as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2.15</w:t>
      </w:r>
      <w:r>
        <w:rPr>
          <w:rFonts w:ascii="Arial" w:cs="Arial" w:eastAsia="Arial" w:hAnsi="Arial"/>
          <w:sz w:val="18"/>
          <w:szCs w:val="18"/>
          <w:color w:val="auto"/>
        </w:rPr>
        <w:t>), and (ii) the remaining principal amount of Term A Facility Loans on the Term A Facility Maturity Date.</w:t>
      </w:r>
    </w:p>
    <w:p>
      <w:pPr>
        <w:spacing w:after="0" w:line="177" w:lineRule="exact"/>
        <w:rPr>
          <w:sz w:val="20"/>
          <w:szCs w:val="20"/>
          <w:color w:val="auto"/>
        </w:rPr>
      </w:pPr>
    </w:p>
    <w:p>
      <w:pPr>
        <w:jc w:val="both"/>
        <w:ind w:firstLine="656"/>
        <w:spacing w:after="0" w:line="258" w:lineRule="auto"/>
        <w:tabs>
          <w:tab w:leader="none" w:pos="1095"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New Term Loans; Extended Term Loans; Other Term Loans</w:t>
      </w:r>
      <w:r>
        <w:rPr>
          <w:rFonts w:ascii="Arial" w:cs="Arial" w:eastAsia="Arial" w:hAnsi="Arial"/>
          <w:sz w:val="18"/>
          <w:szCs w:val="18"/>
          <w:color w:val="auto"/>
        </w:rPr>
        <w:t>. New Term Loans shall mature in installments as specified in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Incremental Joinder Agreement pursuant to which such New Term Loans were made, subject, however,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Extended Term Loans shall mature in installments as specified in the applicable Extension Amendment pursuant to which such Extended Term Loans were established, subject, however,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Other Term Loans shall mature in installments as specified in the applicable Refinancing Amendment pursuant to which such Other Term Loans were established, subject, however, to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2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77" w:lineRule="auto"/>
        <w:tabs>
          <w:tab w:leader="none" w:pos="165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an ABR Loan, the Alternate Base Rate (as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49"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 LIBOR Loan, for each Interest Period relating thereto, the LIBO Rate for such Loan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To the extent permitted by Law,</w:t>
      </w:r>
    </w:p>
    <w:p>
      <w:pPr>
        <w:spacing w:after="0" w:line="225" w:lineRule="exact"/>
        <w:rPr>
          <w:rFonts w:ascii="Arial" w:cs="Arial" w:eastAsia="Arial" w:hAnsi="Arial"/>
          <w:sz w:val="18"/>
          <w:szCs w:val="18"/>
          <w:color w:val="auto"/>
        </w:rPr>
      </w:pPr>
    </w:p>
    <w:p>
      <w:pPr>
        <w:ind w:left="660" w:firstLine="645"/>
        <w:spacing w:after="0" w:line="277" w:lineRule="auto"/>
        <w:tabs>
          <w:tab w:leader="none" w:pos="172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 Event of Default under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all Obligations shall automatically and without any action by any Person, bear interest at the Default Rate;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749" w:val="left"/>
        </w:tabs>
        <w:numPr>
          <w:ilvl w:val="1"/>
          <w:numId w:val="308"/>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other Event of Default, at the written direction of the Required Lenders, all Obligations shall bear interest at the Default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which accrues under this paragraph shall be payable on demand.</w:t>
      </w:r>
    </w:p>
    <w:p>
      <w:pPr>
        <w:spacing w:after="0" w:line="225" w:lineRule="exact"/>
        <w:rPr>
          <w:sz w:val="20"/>
          <w:szCs w:val="20"/>
          <w:color w:val="auto"/>
        </w:rPr>
      </w:pPr>
    </w:p>
    <w:p>
      <w:pPr>
        <w:jc w:val="both"/>
        <w:ind w:firstLine="656"/>
        <w:spacing w:after="0" w:line="254" w:lineRule="auto"/>
        <w:tabs>
          <w:tab w:leader="none" w:pos="106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 (z) 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9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COMPUTATIONS;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5"/>
          <w:szCs w:val="15"/>
          <w:b w:val="1"/>
          <w:bCs w:val="1"/>
          <w:color w:val="auto"/>
        </w:rPr>
        <w:t>Payments</w:t>
      </w:r>
      <w:r>
        <w:rPr>
          <w:rFonts w:ascii="Arial" w:cs="Arial" w:eastAsia="Arial" w:hAnsi="Arial"/>
          <w:sz w:val="15"/>
          <w:szCs w:val="15"/>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585" w:right="239" w:bottom="1440" w:gutter="0" w:footer="0" w:header="0"/>
        </w:sectPr>
      </w:pPr>
    </w:p>
    <w:bookmarkStart w:id="302" w:name="page303"/>
    <w:bookmarkEnd w:id="302"/>
    <w:p>
      <w:pPr>
        <w:jc w:val="both"/>
        <w:ind w:firstLine="656"/>
        <w:spacing w:after="0" w:line="273" w:lineRule="auto"/>
        <w:tabs>
          <w:tab w:leader="none" w:pos="109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6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Borrower shall, at the time of making each payment under this Agreement or any Note for the account of any Lender, specify (in accordance with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w:t>
      </w:r>
      <w:r>
        <w:rPr>
          <w:rFonts w:ascii="Arial" w:cs="Arial" w:eastAsia="Arial" w:hAnsi="Arial"/>
          <w:sz w:val="18"/>
          <w:szCs w:val="18"/>
          <w:color w:val="auto"/>
        </w:rPr>
        <w:t>, if applicable) to Administrative Agent (which shall so notify the intended recipient(s) thereof) the Class and Type of Loans, Reimbursement Obligations or other amounts payable by Borrower hereunder to which such payment is to be applied.</w:t>
      </w:r>
    </w:p>
    <w:p>
      <w:pPr>
        <w:spacing w:after="0" w:line="181" w:lineRule="exact"/>
        <w:rPr>
          <w:rFonts w:ascii="Arial" w:cs="Arial" w:eastAsia="Arial" w:hAnsi="Arial"/>
          <w:sz w:val="18"/>
          <w:szCs w:val="18"/>
          <w:color w:val="auto"/>
        </w:rPr>
      </w:pPr>
    </w:p>
    <w:p>
      <w:pPr>
        <w:jc w:val="both"/>
        <w:ind w:firstLine="656"/>
        <w:spacing w:after="0" w:line="288" w:lineRule="auto"/>
        <w:tabs>
          <w:tab w:leader="none" w:pos="102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Except to the extent otherwise provided in the third sentence of </w:t>
      </w:r>
      <w:r>
        <w:rPr>
          <w:rFonts w:ascii="Arial" w:cs="Arial" w:eastAsia="Arial" w:hAnsi="Arial"/>
          <w:sz w:val="16"/>
          <w:szCs w:val="16"/>
          <w:u w:val="single" w:color="auto"/>
          <w:color w:val="auto"/>
        </w:rPr>
        <w:t>Section 2.03(h)</w:t>
      </w:r>
      <w:r>
        <w:rPr>
          <w:rFonts w:ascii="Arial" w:cs="Arial" w:eastAsia="Arial" w:hAnsi="Arial"/>
          <w:sz w:val="16"/>
          <w:szCs w:val="16"/>
          <w:color w:val="auto"/>
        </w:rPr>
        <w:t>,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Effective Rate from the date such amount was required to be paid to such Lender pursuant to the foregoing clauses until the date Administrative Agent or such L/C Lender (through Administrative Agent), as applicable, pays such Lender the full amount).</w:t>
      </w:r>
    </w:p>
    <w:p>
      <w:pPr>
        <w:spacing w:after="0" w:line="169" w:lineRule="exact"/>
        <w:rPr>
          <w:rFonts w:ascii="Arial" w:cs="Arial" w:eastAsia="Arial" w:hAnsi="Arial"/>
          <w:sz w:val="16"/>
          <w:szCs w:val="16"/>
          <w:color w:val="auto"/>
        </w:rPr>
      </w:pPr>
    </w:p>
    <w:p>
      <w:pPr>
        <w:jc w:val="both"/>
        <w:ind w:firstLine="656"/>
        <w:spacing w:after="0" w:line="264" w:lineRule="auto"/>
        <w:tabs>
          <w:tab w:leader="none" w:pos="106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4.02. Pro Rata Treatment</w:t>
      </w:r>
      <w:r>
        <w:rPr>
          <w:rFonts w:ascii="Arial" w:cs="Arial" w:eastAsia="Arial" w:hAnsi="Arial"/>
          <w:sz w:val="17"/>
          <w:szCs w:val="17"/>
          <w:color w:val="auto"/>
        </w:rPr>
        <w:t>. Except to the extent otherwise provided herein: (a) each borrowing of Loans of a particular Class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under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shall be made from the relevant Lenders, each payment of commitment fees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in respect of Commitments of a particular Class shall be made for the account of the relevant Lenders, and each termination or reduction of the amount of the Commitments of a particular Class under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shall be applied to the respective Commitments of such Class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according to the amounts of their respective Commitments of such Class; (b) except as otherwise provided in </w:t>
      </w:r>
      <w:r>
        <w:rPr>
          <w:rFonts w:ascii="Arial" w:cs="Arial" w:eastAsia="Arial" w:hAnsi="Arial"/>
          <w:sz w:val="17"/>
          <w:szCs w:val="17"/>
          <w:u w:val="single" w:color="auto"/>
          <w:color w:val="auto"/>
        </w:rPr>
        <w:t>Section 5.04</w:t>
      </w:r>
      <w:r>
        <w:rPr>
          <w:rFonts w:ascii="Arial" w:cs="Arial" w:eastAsia="Arial" w:hAnsi="Arial"/>
          <w:sz w:val="17"/>
          <w:szCs w:val="17"/>
          <w:color w:val="auto"/>
        </w:rPr>
        <w:t xml:space="preserve">, LIBOR Loans of any Class having the same Interest Period shall be allocated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relevant Lenders according to the amounts of their respective Revolving Commitments and Term Loan Commitments (in the case of the making of Loans) or their respective Revolving Loans and Term Loans (in the case of conversions and continuations of Loans); (c) except as otherwise provided in </w:t>
      </w:r>
      <w:r>
        <w:rPr>
          <w:rFonts w:ascii="Arial" w:cs="Arial" w:eastAsia="Arial" w:hAnsi="Arial"/>
          <w:sz w:val="17"/>
          <w:szCs w:val="17"/>
          <w:u w:val="single" w:color="auto"/>
          <w:color w:val="auto"/>
        </w:rPr>
        <w:t>Section 2.09(b)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13.05(d)</w:t>
      </w:r>
      <w:r>
        <w:rPr>
          <w:rFonts w:ascii="Arial" w:cs="Arial" w:eastAsia="Arial" w:hAnsi="Arial"/>
          <w:sz w:val="17"/>
          <w:szCs w:val="17"/>
          <w:color w:val="auto"/>
        </w:rPr>
        <w:t xml:space="preserve">, each payment or prepayment of principal of any Class of Revolving Loans or of any particular Class of Term Loans shall be made for the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respective unpaid outstanding principal amounts of the Loans of such Class held by them; and (d) except as otherwise provided in </w:t>
      </w:r>
      <w:r>
        <w:rPr>
          <w:rFonts w:ascii="Arial" w:cs="Arial" w:eastAsia="Arial" w:hAnsi="Arial"/>
          <w:sz w:val="17"/>
          <w:szCs w:val="17"/>
          <w:u w:val="single" w:color="auto"/>
          <w:color w:val="auto"/>
        </w:rPr>
        <w:t>Section 2.09(b)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13.05(d)</w:t>
      </w:r>
      <w:r>
        <w:rPr>
          <w:rFonts w:ascii="Arial" w:cs="Arial" w:eastAsia="Arial" w:hAnsi="Arial"/>
          <w:sz w:val="17"/>
          <w:szCs w:val="17"/>
          <w:color w:val="auto"/>
        </w:rPr>
        <w:t xml:space="preserve">, each payment of interest on Revolving Loans and Term Loans shall be made for the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amounts of interest on such Loans then due and payable to the respective Lenders.</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4.03. Computations</w:t>
      </w:r>
      <w:r>
        <w:rPr>
          <w:rFonts w:ascii="Arial" w:cs="Arial" w:eastAsia="Arial" w:hAnsi="Arial"/>
          <w:sz w:val="18"/>
          <w:szCs w:val="18"/>
          <w:color w:val="auto"/>
        </w:rPr>
        <w:t>. Interest on LIBOR Loans, commitment fees and Letter of Credit fees shall be computed on the basis of a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360 days and actual days elapsed (including the first day but excluding the last day) occurring in the period for which such amounts are payable and interest on ABR Loans and Reimbursement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4" w:right="239" w:bottom="1440" w:gutter="0" w:footer="0" w:header="0"/>
        </w:sectPr>
      </w:pPr>
    </w:p>
    <w:bookmarkStart w:id="303" w:name="page304"/>
    <w:bookmarkEnd w:id="303"/>
    <w:p>
      <w:pPr>
        <w:jc w:val="both"/>
        <w:spacing w:after="0" w:line="277" w:lineRule="auto"/>
        <w:rPr>
          <w:sz w:val="20"/>
          <w:szCs w:val="20"/>
          <w:color w:val="auto"/>
        </w:rPr>
      </w:pPr>
      <w:r>
        <w:rPr>
          <w:rFonts w:ascii="Arial" w:cs="Arial" w:eastAsia="Arial" w:hAnsi="Arial"/>
          <w:sz w:val="18"/>
          <w:szCs w:val="18"/>
          <w:color w:val="auto"/>
        </w:rPr>
        <w:t>Obligations shall be computed on the basis of a year of 365 or 366 days, as the case may be, and actual days elapsed (including the first day but excluding the last day) occurring in the period for which such amounts are payable.</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4.04. Minimum Amounts</w:t>
      </w:r>
      <w:r>
        <w:rPr>
          <w:rFonts w:ascii="Arial" w:cs="Arial" w:eastAsia="Arial" w:hAnsi="Arial"/>
          <w:sz w:val="16"/>
          <w:szCs w:val="16"/>
          <w:color w:val="auto"/>
        </w:rPr>
        <w:t>. Except for mandatory prepayments made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b w:val="1"/>
          <w:bCs w:val="1"/>
          <w:color w:val="auto"/>
        </w:rPr>
        <w:t xml:space="preserve"> </w:t>
      </w:r>
      <w:r>
        <w:rPr>
          <w:rFonts w:ascii="Arial" w:cs="Arial" w:eastAsia="Arial" w:hAnsi="Arial"/>
          <w:sz w:val="16"/>
          <w:szCs w:val="16"/>
          <w:color w:val="auto"/>
        </w:rPr>
        <w:t>and conversions or prepayments made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5.04</w:t>
      </w:r>
      <w:r>
        <w:rPr>
          <w:rFonts w:ascii="Arial" w:cs="Arial" w:eastAsia="Arial" w:hAnsi="Arial"/>
          <w:sz w:val="16"/>
          <w:szCs w:val="16"/>
          <w:color w:val="auto"/>
        </w:rPr>
        <w:t>, and Borrowings made to pay Reimbursement Obligations, each Borrowing, conversion and partial prepayment of principal of Loans shall be in an amount at least equal to (a) in the case of Term Loans, $5.0 million and in multiples of $100,000 in excess thereof or, if less, the remaining Term Loans and (b) in the case of Revolving Loans, $1.0 million and in multiples of $100,000 in excess thereof (borrowings, conversions, or prepayments of or into Loans of different Types or, in the case of LIBOR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LIBOR Loans having the same Interest Period shall be in an amount at least equal to $1.0 million and in multiples of $100,000 in excess thereof and, if any LIBOR Loans or portions thereof would otherwise be in a lesser principal amount for any period, such Loans or portions, as the case may be, shall be ABR Loans during such period.</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4.05. Certain Notices</w:t>
      </w:r>
      <w:r>
        <w:rPr>
          <w:rFonts w:ascii="Arial" w:cs="Arial" w:eastAsia="Arial" w:hAnsi="Arial"/>
          <w:sz w:val="18"/>
          <w:szCs w:val="18"/>
          <w:color w:val="auto"/>
        </w:rPr>
        <w:t>. Notices by Borrower to Administrative Agent of terminations or reductions of the Commitments,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Borrowings, 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may make any such notice conditional upon the occurrence of a Person’s acquisition or sale or any incurrence of indebtedness or issuance of Equity Interests.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ind w:left="4980"/>
              <w:spacing w:after="0"/>
              <w:rPr>
                <w:sz w:val="20"/>
                <w:szCs w:val="20"/>
                <w:color w:val="auto"/>
              </w:rPr>
            </w:pPr>
            <w:r>
              <w:rPr>
                <w:rFonts w:ascii="Arial" w:cs="Arial" w:eastAsia="Arial" w:hAnsi="Arial"/>
                <w:sz w:val="18"/>
                <w:szCs w:val="18"/>
                <w:color w:val="auto"/>
              </w:rPr>
              <w:t>NOTICE PERIODS</w:t>
            </w:r>
          </w:p>
        </w:tc>
        <w:tc>
          <w:tcPr>
            <w:tcW w:w="2540" w:type="dxa"/>
            <w:vAlign w:val="bottom"/>
          </w:tcPr>
          <w:p>
            <w:pPr>
              <w:spacing w:after="0"/>
              <w:rPr>
                <w:sz w:val="20"/>
                <w:szCs w:val="20"/>
                <w:color w:val="auto"/>
              </w:rPr>
            </w:pPr>
          </w:p>
        </w:tc>
      </w:tr>
      <w:tr>
        <w:trPr>
          <w:trHeight w:val="580"/>
        </w:trPr>
        <w:tc>
          <w:tcPr>
            <w:tcW w:w="8880" w:type="dxa"/>
            <w:vAlign w:val="bottom"/>
          </w:tcPr>
          <w:p>
            <w:pPr>
              <w:ind w:left="40"/>
              <w:spacing w:after="0"/>
              <w:rPr>
                <w:sz w:val="20"/>
                <w:szCs w:val="20"/>
                <w:color w:val="auto"/>
              </w:rPr>
            </w:pPr>
            <w:r>
              <w:rPr>
                <w:rFonts w:ascii="Arial" w:cs="Arial" w:eastAsia="Arial" w:hAnsi="Arial"/>
                <w:sz w:val="18"/>
                <w:szCs w:val="18"/>
                <w:color w:val="auto"/>
              </w:rPr>
              <w:t>Notice</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2"/>
              </w:rPr>
              <w:t>Number of</w:t>
            </w:r>
          </w:p>
        </w:tc>
      </w:tr>
      <w:tr>
        <w:trPr>
          <w:trHeight w:val="230"/>
        </w:trPr>
        <w:tc>
          <w:tcPr>
            <w:tcW w:w="888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Business Days Prior</w:t>
            </w:r>
          </w:p>
        </w:tc>
      </w:tr>
      <w:tr>
        <w:trPr>
          <w:trHeight w:val="432"/>
        </w:trPr>
        <w:tc>
          <w:tcPr>
            <w:tcW w:w="8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r>
        <w:trPr>
          <w:trHeight w:val="237"/>
        </w:trPr>
        <w:tc>
          <w:tcPr>
            <w:tcW w:w="8880" w:type="dxa"/>
            <w:vAlign w:val="bottom"/>
          </w:tcPr>
          <w:p>
            <w:pPr>
              <w:ind w:left="40"/>
              <w:spacing w:after="0"/>
              <w:rPr>
                <w:sz w:val="20"/>
                <w:szCs w:val="20"/>
                <w:color w:val="auto"/>
              </w:rPr>
            </w:pPr>
            <w:r>
              <w:rPr>
                <w:rFonts w:ascii="Arial" w:cs="Arial" w:eastAsia="Arial" w:hAnsi="Arial"/>
                <w:sz w:val="18"/>
                <w:szCs w:val="18"/>
                <w:color w:val="auto"/>
              </w:rPr>
              <w:t>Termination or reduction of Commitments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675"/>
        </w:trPr>
        <w:tc>
          <w:tcPr>
            <w:tcW w:w="8880" w:type="dxa"/>
            <w:vAlign w:val="bottom"/>
          </w:tcPr>
          <w:p>
            <w:pPr>
              <w:ind w:left="40"/>
              <w:spacing w:after="0"/>
              <w:rPr>
                <w:sz w:val="20"/>
                <w:szCs w:val="20"/>
                <w:color w:val="auto"/>
              </w:rPr>
            </w:pPr>
            <w:r>
              <w:rPr>
                <w:rFonts w:ascii="Arial" w:cs="Arial" w:eastAsia="Arial" w:hAnsi="Arial"/>
                <w:sz w:val="18"/>
                <w:szCs w:val="18"/>
                <w:color w:val="auto"/>
              </w:rPr>
              <w:t>Optional prepayment of, or conversions into,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661"/>
        </w:trPr>
        <w:tc>
          <w:tcPr>
            <w:tcW w:w="8880" w:type="dxa"/>
            <w:vAlign w:val="bottom"/>
          </w:tcPr>
          <w:p>
            <w:pPr>
              <w:ind w:left="40"/>
              <w:spacing w:after="0"/>
              <w:rPr>
                <w:sz w:val="20"/>
                <w:szCs w:val="20"/>
                <w:color w:val="auto"/>
              </w:rPr>
            </w:pPr>
            <w:r>
              <w:rPr>
                <w:rFonts w:ascii="Arial" w:cs="Arial" w:eastAsia="Arial" w:hAnsi="Arial"/>
                <w:sz w:val="18"/>
                <w:szCs w:val="18"/>
                <w:color w:val="auto"/>
                <w:w w:val="97"/>
              </w:rPr>
              <w:t>Borrowing or optional prepayment of, conversions into, continuations as, or duration of Interest Periods for, LIBOR</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8880" w:type="dxa"/>
            <w:vAlign w:val="bottom"/>
          </w:tcPr>
          <w:p>
            <w:pPr>
              <w:ind w:left="40"/>
              <w:spacing w:after="0"/>
              <w:rPr>
                <w:sz w:val="20"/>
                <w:szCs w:val="20"/>
                <w:color w:val="auto"/>
              </w:rPr>
            </w:pPr>
            <w:r>
              <w:rPr>
                <w:rFonts w:ascii="Arial" w:cs="Arial" w:eastAsia="Arial" w:hAnsi="Arial"/>
                <w:sz w:val="18"/>
                <w:szCs w:val="18"/>
                <w:color w:val="auto"/>
              </w:rPr>
              <w:t>Loans</w:t>
            </w:r>
          </w:p>
        </w:tc>
        <w:tc>
          <w:tcPr>
            <w:tcW w:w="2540" w:type="dxa"/>
            <w:vAlign w:val="bottom"/>
          </w:tcPr>
          <w:p>
            <w:pPr>
              <w:spacing w:after="0"/>
              <w:rPr>
                <w:sz w:val="20"/>
                <w:szCs w:val="20"/>
                <w:color w:val="auto"/>
              </w:rPr>
            </w:pPr>
          </w:p>
        </w:tc>
      </w:tr>
      <w:tr>
        <w:trPr>
          <w:trHeight w:val="675"/>
        </w:trPr>
        <w:tc>
          <w:tcPr>
            <w:tcW w:w="8880" w:type="dxa"/>
            <w:vAlign w:val="bottom"/>
          </w:tcPr>
          <w:p>
            <w:pPr>
              <w:ind w:left="40"/>
              <w:spacing w:after="0"/>
              <w:rPr>
                <w:sz w:val="20"/>
                <w:szCs w:val="20"/>
                <w:color w:val="auto"/>
              </w:rPr>
            </w:pPr>
            <w:r>
              <w:rPr>
                <w:rFonts w:ascii="Arial" w:cs="Arial" w:eastAsia="Arial" w:hAnsi="Arial"/>
                <w:sz w:val="18"/>
                <w:szCs w:val="18"/>
                <w:color w:val="auto"/>
              </w:rPr>
              <w:t>Borrowing of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same day</w:t>
            </w: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w:t>
      </w:r>
      <w:r>
        <w:rPr>
          <w:rFonts w:ascii="Arial" w:cs="Arial" w:eastAsia="Arial" w:hAnsi="Arial"/>
          <w:sz w:val="18"/>
          <w:szCs w:val="18"/>
          <w:u w:val="single" w:color="auto"/>
          <w:color w:val="auto"/>
        </w:rPr>
        <w:t>Section 4.05</w:t>
      </w:r>
      <w:r>
        <w:rPr>
          <w:rFonts w:ascii="Arial" w:cs="Arial" w:eastAsia="Arial" w:hAnsi="Arial"/>
          <w:sz w:val="18"/>
          <w:szCs w:val="18"/>
          <w:color w:val="auto"/>
        </w:rPr>
        <w:t>, such LIBOR Loan shall have an Interest Period of one month.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85" w:right="239" w:bottom="1440" w:gutter="0" w:footer="0" w:header="0"/>
        </w:sectPr>
      </w:pPr>
    </w:p>
    <w:bookmarkStart w:id="304" w:name="page305"/>
    <w:bookmarkEnd w:id="304"/>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4.06.</w:t>
      </w:r>
      <w:r>
        <w:rPr>
          <w:sz w:val="20"/>
          <w:szCs w:val="20"/>
          <w:color w:val="auto"/>
        </w:rPr>
        <w:tab/>
      </w:r>
      <w:r>
        <w:rPr>
          <w:rFonts w:ascii="Arial" w:cs="Arial" w:eastAsia="Arial" w:hAnsi="Arial"/>
          <w:sz w:val="16"/>
          <w:szCs w:val="16"/>
          <w:b w:val="1"/>
          <w:bCs w:val="1"/>
          <w:color w:val="auto"/>
        </w:rPr>
        <w:t>Non-Receipt of Funds by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8" w:lineRule="auto"/>
        <w:tabs>
          <w:tab w:leader="none" w:pos="102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Unless Administrative Agent shall have received notice from a Lender prior to the proposed date of any Borrowing of LIBOR Loans (or, in the case of any Borrowing of ABR Loans, prior to 12:00 noon on the date of such Borrowing) that such Lender will not make available to Administrative Agent such Lender’s share of such Borrowing,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ABR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Borrower a corresponding amount. In such event, if a Lender has not in fact made its share of the applicable Borrowing available to Administrative Agent, then the applicable Lender and Borrower severally agree to pay to Administrative Agent forthwith on demand such corresponding amount in immediately available funds with interest thereon, for each day from and including the date such amount is made available to Borrower to but excluding the date of payment to Administrative Agent, at (A) in the case of a payment to be made by such Lender, the Federal Funds Effective Rate, plus any administrative, processing or similar fees customarily charged by Administrative Agent in connection with the foregoing, and (B) in the case of a payment to be made by Borrower, the interest rate applicable to ABR Loans. If Borrower and such Lender shall pay such interest to Administrative Agent for the same or an overlapping period, Administrative Agent shall promptly remit to Borrower the amount of such interest paid by Borrower for such period. If such Lender pays its share of the applicable Borrowing to Administrative Agent, then the amount so paid shall constitute such Lender’s Loan included in such Borrowing. Any payment by Borrower shall be without prejudice to any claim Borrower may have against a Lender that shall have failed to make such payment to Administrative Agent.</w:t>
      </w:r>
    </w:p>
    <w:p>
      <w:pPr>
        <w:spacing w:after="0" w:line="185" w:lineRule="exact"/>
        <w:rPr>
          <w:rFonts w:ascii="Arial" w:cs="Arial" w:eastAsia="Arial" w:hAnsi="Arial"/>
          <w:sz w:val="17"/>
          <w:szCs w:val="17"/>
          <w:color w:val="auto"/>
        </w:rPr>
      </w:pPr>
    </w:p>
    <w:p>
      <w:pPr>
        <w:jc w:val="both"/>
        <w:ind w:firstLine="656"/>
        <w:spacing w:after="0" w:line="271" w:lineRule="auto"/>
        <w:tabs>
          <w:tab w:leader="none" w:pos="1052"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Unless Administrative Agent shall have received notice from Borrower prior to the date on which any payment is due to Administrative Agent for the account of the Lenders or the L/C Lenders hereunder that Borrower will not make such payment,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Administrative Agent forthwith on demand the amount so distributed to such Lender or L/C Lender, in immediately available funds with interest thereon, for each day from and including the date such amount is distributed to it to but excluding the date of payment to Administrative Agent, at the Federal Funds Effective Rate. A notice of Administrative Agent to any Lender or Borrower with respect to any amount owing under this subsection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shall be conclusive, absent manifest error.</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color w:val="auto"/>
        </w:rPr>
        <w:t>Right of Setoff, Sharing of Payments; Etc</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0" w:lineRule="auto"/>
        <w:tabs>
          <w:tab w:leader="none" w:pos="102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Lender’s failure to give such notice shall not affect the validity thereof;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such right of setoff, banker’s lien or counterclaim shall apply to any funds held for further distribution to any Governmental Authority.</w:t>
      </w:r>
    </w:p>
    <w:p>
      <w:pPr>
        <w:spacing w:after="0" w:line="166" w:lineRule="exact"/>
        <w:rPr>
          <w:rFonts w:ascii="Arial" w:cs="Arial" w:eastAsia="Arial" w:hAnsi="Arial"/>
          <w:sz w:val="16"/>
          <w:szCs w:val="16"/>
          <w:color w:val="auto"/>
        </w:rPr>
      </w:pPr>
    </w:p>
    <w:p>
      <w:pPr>
        <w:jc w:val="both"/>
        <w:ind w:firstLine="656"/>
        <w:spacing w:after="0" w:line="255" w:lineRule="auto"/>
        <w:tabs>
          <w:tab w:leader="none" w:pos="1133"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Each of the Lenders agrees that, if it should receive (other than pursuant to </w:t>
      </w:r>
      <w:r>
        <w:rPr>
          <w:rFonts w:ascii="Arial" w:cs="Arial" w:eastAsia="Arial" w:hAnsi="Arial"/>
          <w:sz w:val="18"/>
          <w:szCs w:val="18"/>
          <w:u w:val="single" w:color="auto"/>
          <w:color w:val="auto"/>
        </w:rPr>
        <w:t>Section 2.09(b)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13.05(d)</w:t>
      </w:r>
      <w:r>
        <w:rPr>
          <w:rFonts w:ascii="Arial" w:cs="Arial" w:eastAsia="Arial" w:hAnsi="Arial"/>
          <w:sz w:val="18"/>
          <w:szCs w:val="18"/>
          <w:color w:val="auto"/>
        </w:rPr>
        <w:t xml:space="preserve"> or as otherwise specifically provided herein or in the Commitment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0" w:right="239" w:bottom="1440" w:gutter="0" w:footer="0" w:header="0"/>
        </w:sectPr>
      </w:pPr>
    </w:p>
    <w:bookmarkStart w:id="305" w:name="page306"/>
    <w:bookmarkEnd w:id="305"/>
    <w:p>
      <w:pPr>
        <w:jc w:val="both"/>
        <w:spacing w:after="0" w:line="302" w:lineRule="auto"/>
        <w:rPr>
          <w:sz w:val="20"/>
          <w:szCs w:val="20"/>
          <w:color w:val="auto"/>
        </w:rPr>
      </w:pPr>
      <w:r>
        <w:rPr>
          <w:rFonts w:ascii="Arial" w:cs="Arial" w:eastAsia="Arial" w:hAnsi="Arial"/>
          <w:sz w:val="16"/>
          <w:szCs w:val="16"/>
          <w:color w:val="auto"/>
        </w:rPr>
        <w:t xml:space="preserve">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154" w:lineRule="exact"/>
        <w:rPr>
          <w:sz w:val="20"/>
          <w:szCs w:val="20"/>
          <w:color w:val="auto"/>
        </w:rPr>
      </w:pPr>
    </w:p>
    <w:p>
      <w:pPr>
        <w:jc w:val="both"/>
        <w:ind w:firstLine="656"/>
        <w:spacing w:after="0" w:line="264" w:lineRule="auto"/>
        <w:tabs>
          <w:tab w:leader="none" w:pos="1041" w:val="left"/>
        </w:tabs>
        <w:numPr>
          <w:ilvl w:val="1"/>
          <w:numId w:val="313"/>
        </w:numPr>
        <w:rPr>
          <w:rFonts w:ascii="Arial" w:cs="Arial" w:eastAsia="Arial" w:hAnsi="Arial"/>
          <w:sz w:val="18"/>
          <w:szCs w:val="18"/>
          <w:color w:val="auto"/>
        </w:rPr>
      </w:pPr>
      <w:r>
        <w:rPr>
          <w:rFonts w:ascii="Arial" w:cs="Arial" w:eastAsia="Arial" w:hAnsi="Arial"/>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65" w:val="left"/>
        </w:tabs>
        <w:numPr>
          <w:ilvl w:val="1"/>
          <w:numId w:val="313"/>
        </w:numPr>
        <w:rPr>
          <w:rFonts w:ascii="Arial" w:cs="Arial" w:eastAsia="Arial" w:hAnsi="Arial"/>
          <w:sz w:val="18"/>
          <w:szCs w:val="18"/>
          <w:color w:val="auto"/>
        </w:rPr>
      </w:pPr>
      <w:r>
        <w:rPr>
          <w:rFonts w:ascii="Arial" w:cs="Arial" w:eastAsia="Arial" w:hAnsi="Arial"/>
          <w:sz w:val="18"/>
          <w:szCs w:val="18"/>
          <w:color w:val="auto"/>
        </w:rPr>
        <w:t xml:space="preserve">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applies, such Lender shall, to the extent practicable, exercise its rights in respect of such secured claim in a manner consistent with the rights of the Lenders entitled under this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to share in the benefits of any recovery on such secured claim.</w:t>
      </w:r>
    </w:p>
    <w:p>
      <w:pPr>
        <w:spacing w:after="0" w:line="188" w:lineRule="exact"/>
        <w:rPr>
          <w:rFonts w:ascii="Arial" w:cs="Arial" w:eastAsia="Arial" w:hAnsi="Arial"/>
          <w:sz w:val="18"/>
          <w:szCs w:val="18"/>
          <w:color w:val="auto"/>
        </w:rPr>
      </w:pPr>
    </w:p>
    <w:p>
      <w:pPr>
        <w:ind w:left="1060" w:hanging="404"/>
        <w:spacing w:after="0"/>
        <w:tabs>
          <w:tab w:leader="none" w:pos="106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4.07</w:t>
      </w:r>
      <w:r>
        <w:rPr>
          <w:rFonts w:ascii="Arial" w:cs="Arial" w:eastAsia="Arial" w:hAnsi="Arial"/>
          <w:sz w:val="16"/>
          <w:szCs w:val="16"/>
          <w:color w:val="auto"/>
        </w:rPr>
        <w:t>, in the event that any Defaulting Lender exercises any right of setoff,</w:t>
      </w:r>
    </w:p>
    <w:p>
      <w:pPr>
        <w:spacing w:after="0" w:line="46" w:lineRule="exact"/>
        <w:rPr>
          <w:rFonts w:ascii="Arial" w:cs="Arial" w:eastAsia="Arial" w:hAnsi="Arial"/>
          <w:sz w:val="16"/>
          <w:szCs w:val="16"/>
          <w:color w:val="auto"/>
        </w:rPr>
      </w:pPr>
    </w:p>
    <w:p>
      <w:pPr>
        <w:jc w:val="both"/>
        <w:ind w:firstLine="8"/>
        <w:spacing w:after="0" w:line="254" w:lineRule="auto"/>
        <w:tabs>
          <w:tab w:leader="none" w:pos="21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all amounts so set off will be paid over immediately to Administrative Agent for further application in accordance with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YIELD PROTECTION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5"/>
          <w:szCs w:val="15"/>
          <w:b w:val="1"/>
          <w:bCs w:val="1"/>
          <w:color w:val="auto"/>
        </w:rPr>
        <w:t>Increased Costs</w:t>
      </w:r>
      <w:r>
        <w:rPr>
          <w:rFonts w:ascii="Arial" w:cs="Arial" w:eastAsia="Arial" w:hAnsi="Arial"/>
          <w:sz w:val="15"/>
          <w:szCs w:val="15"/>
          <w:color w:val="auto"/>
        </w:rPr>
        <w:t>.</w:t>
      </w:r>
    </w:p>
    <w:p>
      <w:pPr>
        <w:spacing w:after="0" w:line="229" w:lineRule="exact"/>
        <w:rPr>
          <w:sz w:val="20"/>
          <w:szCs w:val="20"/>
          <w:color w:val="auto"/>
        </w:rPr>
      </w:pPr>
    </w:p>
    <w:p>
      <w:pPr>
        <w:ind w:left="1040" w:hanging="384"/>
        <w:spacing w:after="0"/>
        <w:tabs>
          <w:tab w:leader="none" w:pos="10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jc w:val="both"/>
        <w:ind w:left="720" w:firstLine="895"/>
        <w:spacing w:after="0" w:line="264" w:lineRule="auto"/>
        <w:tabs>
          <w:tab w:leader="none" w:pos="1961"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subject any Lender to any Tax with respect to this Agreement, any Note, any Letter of Credit or any Lender’s participation therein, any L/C Document or any Loan made by it, or any deposits, reserves, other liabilities or capital attributable thereto (except for any Covered Taxes or Excluded Taxes);</w:t>
      </w:r>
    </w:p>
    <w:p>
      <w:pPr>
        <w:spacing w:after="0" w:line="181" w:lineRule="exact"/>
        <w:rPr>
          <w:rFonts w:ascii="Arial" w:cs="Arial" w:eastAsia="Arial" w:hAnsi="Arial"/>
          <w:sz w:val="18"/>
          <w:szCs w:val="18"/>
          <w:color w:val="auto"/>
        </w:rPr>
      </w:pPr>
    </w:p>
    <w:p>
      <w:pPr>
        <w:jc w:val="both"/>
        <w:ind w:left="720" w:firstLine="895"/>
        <w:spacing w:after="0" w:line="312" w:lineRule="auto"/>
        <w:tabs>
          <w:tab w:leader="none" w:pos="202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in each case, that is not otherwise included in the determination of the LIBO Rate hereunder; or</w:t>
      </w:r>
    </w:p>
    <w:p>
      <w:pPr>
        <w:spacing w:after="0" w:line="146" w:lineRule="exact"/>
        <w:rPr>
          <w:rFonts w:ascii="Arial" w:cs="Arial" w:eastAsia="Arial" w:hAnsi="Arial"/>
          <w:sz w:val="16"/>
          <w:szCs w:val="16"/>
          <w:color w:val="auto"/>
        </w:rPr>
      </w:pPr>
    </w:p>
    <w:p>
      <w:pPr>
        <w:ind w:left="720" w:firstLine="895"/>
        <w:spacing w:after="0" w:line="277" w:lineRule="auto"/>
        <w:tabs>
          <w:tab w:leader="none" w:pos="2129"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LIBOR Loans made by such Lender or any Letter of Credit or participation therein;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and the result of any of the foregoing is to materially increase the cost to such Lender or L/C Lender of making, converting into, continuing or maintaining LIBOR Loans (or of maintaining its obligation to make any LIBOR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requests for additional compensation due to increased costs shall be limited to circumstances generally affecting the banking market and for which it is the general policy or practice of such requesting Lender to demand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4" w:right="239" w:bottom="1440" w:gutter="0" w:footer="0" w:header="0"/>
        </w:sectPr>
      </w:pPr>
    </w:p>
    <w:bookmarkStart w:id="306" w:name="page307"/>
    <w:bookmarkEnd w:id="306"/>
    <w:p>
      <w:pPr>
        <w:jc w:val="both"/>
        <w:spacing w:after="0" w:line="264" w:lineRule="auto"/>
        <w:rPr>
          <w:sz w:val="20"/>
          <w:szCs w:val="20"/>
          <w:color w:val="auto"/>
        </w:rPr>
      </w:pPr>
      <w:r>
        <w:rPr>
          <w:rFonts w:ascii="Arial" w:cs="Arial" w:eastAsia="Arial" w:hAnsi="Arial"/>
          <w:sz w:val="18"/>
          <w:szCs w:val="18"/>
          <w:color w:val="auto"/>
        </w:rPr>
        <w:t>such compensation in similar circumstances under comparable provisions of other similar agreements. If any Lender or L/C Lender becomes entitled to claim any additional amounts pursuant to this subsection, it shall promptly notify Borrower, through Administrative Agent, of the event by reason of which it has become so entitled.</w:t>
      </w:r>
    </w:p>
    <w:p>
      <w:pPr>
        <w:spacing w:after="0" w:line="181" w:lineRule="exact"/>
        <w:rPr>
          <w:sz w:val="20"/>
          <w:szCs w:val="20"/>
          <w:color w:val="auto"/>
        </w:rPr>
      </w:pPr>
    </w:p>
    <w:p>
      <w:pPr>
        <w:jc w:val="both"/>
        <w:ind w:firstLine="656"/>
        <w:spacing w:after="0" w:line="259" w:lineRule="auto"/>
        <w:tabs>
          <w:tab w:leader="none" w:pos="107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A certificate as to any additional amounts setting forth the calculation of such additional amounts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submitted by such Lender or L/C Lender, through Administrative Agent, to Borrower shall be conclusive in the absence of clearly demonstrable error. Without limiting the survival of any other covenant hereunder,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survive the termination of this Agreement and the payment of the Notes and all other Obligations payable hereunder.</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04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requests for additional compensation due to increased costs shall be limited to circumstances generally affecting the banking market and for which it is the general policy or practice of such requesting Lender to demand such compensation in similar circumstances under comparable provisions of other similar agreements.</w:t>
      </w:r>
    </w:p>
    <w:p>
      <w:pPr>
        <w:spacing w:after="0" w:line="169" w:lineRule="exact"/>
        <w:rPr>
          <w:rFonts w:ascii="Arial" w:cs="Arial" w:eastAsia="Arial" w:hAnsi="Arial"/>
          <w:sz w:val="16"/>
          <w:szCs w:val="16"/>
          <w:color w:val="auto"/>
        </w:rPr>
      </w:pPr>
    </w:p>
    <w:p>
      <w:pPr>
        <w:jc w:val="both"/>
        <w:ind w:firstLine="656"/>
        <w:spacing w:after="0" w:line="255" w:lineRule="auto"/>
        <w:tabs>
          <w:tab w:leader="none" w:pos="105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color w:val="auto"/>
        </w:rPr>
        <w:t>Inability To Determine Interest Rate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8" w:lineRule="auto"/>
        <w:tabs>
          <w:tab w:leader="none" w:pos="116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If prior to the first day of any Interest Period: (i) Administrative Agent shall have determined in good faith (which determination shall be conclusive and binding upon Borrower) that, by reason of circumstances affecting the relevant market, adequate and reasonable means do not exist for ascertaining the LIBO Base Rate for such Interest Period, (ii) Administrative Agent shall have received notice from the Required Lenders that Dollar deposits are not available in the relevant amount and for the relevant Interest Period available to the Required Lenders in the London interbank market, or (iii) the Required Lenders determine in good faith that the LIBO Rate for any requested Interest Period with respect to a proposed LIBOR Loan does not adequately and fairly reflect the cost to such Lenders of funding such LIBOR Loans (in each case, “</w:t>
      </w:r>
      <w:r>
        <w:rPr>
          <w:rFonts w:ascii="Arial" w:cs="Arial" w:eastAsia="Arial" w:hAnsi="Arial"/>
          <w:sz w:val="17"/>
          <w:szCs w:val="17"/>
          <w:b w:val="1"/>
          <w:bCs w:val="1"/>
          <w:color w:val="auto"/>
        </w:rPr>
        <w:t>Impacted Loans</w:t>
      </w:r>
      <w:r>
        <w:rPr>
          <w:rFonts w:ascii="Arial" w:cs="Arial" w:eastAsia="Arial" w:hAnsi="Arial"/>
          <w:sz w:val="17"/>
          <w:szCs w:val="17"/>
          <w:color w:val="auto"/>
        </w:rPr>
        <w:t>”), Administrative Agent shall give electronic mail or telephonic notice thereof to Borrower and the Lenders as soon as practicable thereof. If such notice is given, Borrower may revoke any pending request for a Borrowing of, conversion to, or continuation of LIBOR Loans, or if Borrower does not make such revocation,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Administrative Agent agrees to do if the circumstances giving rise to such notice cease to exist), no further LIBOR Loans shall be made, or continued as such, nor shall Borrower have the right to convert Loans to, LIBOR Loans.</w:t>
      </w:r>
    </w:p>
    <w:p>
      <w:pPr>
        <w:spacing w:after="0" w:line="187" w:lineRule="exact"/>
        <w:rPr>
          <w:rFonts w:ascii="Arial" w:cs="Arial" w:eastAsia="Arial" w:hAnsi="Arial"/>
          <w:sz w:val="17"/>
          <w:szCs w:val="17"/>
          <w:color w:val="auto"/>
        </w:rPr>
      </w:pPr>
    </w:p>
    <w:p>
      <w:pPr>
        <w:jc w:val="both"/>
        <w:ind w:firstLine="656"/>
        <w:spacing w:after="0" w:line="264" w:lineRule="auto"/>
        <w:tabs>
          <w:tab w:leader="none" w:pos="108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Notwithstanding the foregoing, if there are Impacted Loans as provided above, Administrative Agent, in consultation with Borrower and the affected Lenders, may establish an alternative interest rate for the Impacted Loans, in which case, such alternative rate of interest shall apply with respect to the Impacted Loans (to the extent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5" w:right="239" w:bottom="1440" w:gutter="0" w:footer="0" w:header="0"/>
        </w:sectPr>
      </w:pPr>
    </w:p>
    <w:bookmarkStart w:id="307" w:name="page308"/>
    <w:bookmarkEnd w:id="307"/>
    <w:p>
      <w:pPr>
        <w:jc w:val="both"/>
        <w:spacing w:after="0" w:line="272" w:lineRule="auto"/>
        <w:rPr>
          <w:sz w:val="20"/>
          <w:szCs w:val="20"/>
          <w:color w:val="auto"/>
        </w:rPr>
      </w:pPr>
      <w:r>
        <w:rPr>
          <w:rFonts w:ascii="Arial" w:cs="Arial" w:eastAsia="Arial" w:hAnsi="Arial"/>
          <w:sz w:val="17"/>
          <w:szCs w:val="17"/>
          <w:color w:val="auto"/>
        </w:rPr>
        <w:t>Borrower does not elect to maintain such Impacted Loans as ABR Loans) until (1) Administrative Agent revokes the notice delivered with respect to the Impacted Loans (which Administrative Agent agrees to do if the circumstances giving rise to Impacted Loans cease to exist), (2) Administrative Agent or the Required Lenders notify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Administrative Agent and Borrower written notice thereof.</w:t>
      </w:r>
    </w:p>
    <w:p>
      <w:pPr>
        <w:spacing w:after="0" w:line="178" w:lineRule="exact"/>
        <w:rPr>
          <w:sz w:val="20"/>
          <w:szCs w:val="20"/>
          <w:color w:val="auto"/>
        </w:rPr>
      </w:pPr>
    </w:p>
    <w:p>
      <w:pPr>
        <w:jc w:val="both"/>
        <w:ind w:firstLine="656"/>
        <w:spacing w:after="0" w:line="285" w:lineRule="auto"/>
        <w:tabs>
          <w:tab w:leader="none" w:pos="1051"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If prior to the commencement of any Interest Period for LIBOR Loans, (A) Borrower and Administrative Agent reasonably determine in good faith that adequate and reasonable means do not exist for ascertaining the LIBO Base Rate or LIBOR, as applicable, for such Interest Period and that (i) such circumstances are unlikely to be temporary or (ii) such circumstances have not arisen but the supervisor for the administrator of LIBOR or a Governmental Authority having jurisdiction over Administrative Agent has made a public statement identifying a specific date after which LIBOR shall no longer be used for determining interest rates for loans or (B) syndicated loans currently being executed, or that include language similar to that contained in this </w:t>
      </w:r>
      <w:r>
        <w:rPr>
          <w:rFonts w:ascii="Arial" w:cs="Arial" w:eastAsia="Arial" w:hAnsi="Arial"/>
          <w:sz w:val="16"/>
          <w:szCs w:val="16"/>
          <w:u w:val="single" w:color="auto"/>
          <w:color w:val="auto"/>
        </w:rPr>
        <w:t>Section 5.02(c)</w:t>
      </w:r>
      <w:r>
        <w:rPr>
          <w:rFonts w:ascii="Arial" w:cs="Arial" w:eastAsia="Arial" w:hAnsi="Arial"/>
          <w:sz w:val="16"/>
          <w:szCs w:val="16"/>
          <w:color w:val="auto"/>
        </w:rPr>
        <w:t xml:space="preserve">, are being executed or amended (as applicable) to incorporate or adopt a new benchmark interest rate to replace LIBOR, then Administrative Agent and Borrower shall endeavor to establish an alternate rate of interest to LIBOR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(but for the avoidance of doubt, such related changes shall not include a reduction of the Applicable Margin) to this Agreement as may be applicable which shall include the spread or method for determining a spread or other adjustments or modifications that are generally accepted as the then prevailing market convention for determining such spread, method, adjustment, or modification. Notwithstanding anything to the contrary in Section 13.04, such amendment shall become effective without any further action or consent of any other party to this Agreement so long as Administrative Agent shall not have received, within five Business Days of the date that such amendment is provided to the Lenders, a written notice from the Required Lenders stating that such Required Lenders object to such amendment. Until an alternate rate of interest shall be determined in accordance with this clause (c), (x) any Notice of Borrowing that requests the conversion of any Borrowing as, a LIBOR Loan shall be ineffective and (y) if any Notice of Borrowing requests a LIBOR Loan, such Borrowing shall be made as an ABR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alternate rate of interest shall be less than zero, such rate shall be deemed to be zero for the purposes of this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5.03. Illegality</w:t>
      </w:r>
      <w:r>
        <w:rPr>
          <w:rFonts w:ascii="Arial" w:cs="Arial" w:eastAsia="Arial" w:hAnsi="Arial"/>
          <w:sz w:val="18"/>
          <w:szCs w:val="18"/>
          <w:color w:val="auto"/>
        </w:rPr>
        <w:t>. Notwithstanding any other provision of this Agreement, in the event that any change after the date hereof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Requirement of Law or in the interpretation or application thereof shall make it unlawful for any Lender or its Applicable Lending Office to honor its obligation to make or maintain LIBOR Loans or issue Letters of Credit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or issue Letters of Credit shall be suspended until such time as such Lender or L/C Lender may again make and maintain LIBOR Loans or issue Letters of Credit (in which case the provisions of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shall be applicable).</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5.04. Treatment of Affected Loans</w:t>
      </w:r>
      <w:r>
        <w:rPr>
          <w:rFonts w:ascii="Arial" w:cs="Arial" w:eastAsia="Arial" w:hAnsi="Arial"/>
          <w:sz w:val="18"/>
          <w:szCs w:val="18"/>
          <w:color w:val="auto"/>
        </w:rPr>
        <w:t>. If the obligation of any Lender to make LIBOR Loans or to continue, or to convert ABR Loans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into, LIBOR Loans shall be suspended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which gave rise to such conversion no longer exist:</w:t>
      </w:r>
    </w:p>
    <w:p>
      <w:pPr>
        <w:spacing w:after="0" w:line="188" w:lineRule="exact"/>
        <w:rPr>
          <w:sz w:val="20"/>
          <w:szCs w:val="20"/>
          <w:color w:val="auto"/>
        </w:rPr>
      </w:pPr>
    </w:p>
    <w:p>
      <w:pPr>
        <w:ind w:left="720" w:firstLine="895"/>
        <w:spacing w:after="0" w:line="277" w:lineRule="auto"/>
        <w:tabs>
          <w:tab w:leader="none" w:pos="200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584" w:right="239" w:bottom="1440" w:gutter="0" w:footer="0" w:header="0"/>
        </w:sectPr>
      </w:pPr>
    </w:p>
    <w:bookmarkStart w:id="308" w:name="page309"/>
    <w:bookmarkEnd w:id="308"/>
    <w:p>
      <w:pPr>
        <w:ind w:left="720" w:firstLine="895"/>
        <w:spacing w:after="0" w:line="308" w:lineRule="auto"/>
        <w:tabs>
          <w:tab w:leader="none" w:pos="2052"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such Lender gives notice to Borrower with a copy to Administrative Agent that the circumstances specified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which gave rise to the conversion of such Lender’s LIBOR Loans pursuant to this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to principal amounts, Types and Interest Periods) in accordance with their respective Commitments.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5"/>
          <w:szCs w:val="15"/>
          <w:b w:val="1"/>
          <w:bCs w:val="1"/>
          <w:color w:val="auto"/>
        </w:rPr>
        <w:t>Compensation</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0" w:lineRule="auto"/>
        <w:tabs>
          <w:tab w:leader="none" w:pos="102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as a result of an acceleration of Loans pursuant to Section 11.01 or as a result of the replacement of a Lender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13.04(b)</w:t>
      </w:r>
      <w:r>
        <w:rPr>
          <w:rFonts w:ascii="Arial" w:cs="Arial" w:eastAsia="Arial" w:hAnsi="Arial"/>
          <w:sz w:val="17"/>
          <w:szCs w:val="17"/>
          <w:color w:val="auto"/>
        </w:rPr>
        <w:t xml:space="preserve">)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amounts under this </w:t>
      </w:r>
      <w:r>
        <w:rPr>
          <w:rFonts w:ascii="Arial" w:cs="Arial" w:eastAsia="Arial" w:hAnsi="Arial"/>
          <w:sz w:val="17"/>
          <w:szCs w:val="17"/>
          <w:u w:val="single" w:color="auto"/>
          <w:color w:val="auto"/>
        </w:rPr>
        <w:t>Section 5.05(a)</w:t>
      </w:r>
      <w:r>
        <w:rPr>
          <w:rFonts w:ascii="Arial" w:cs="Arial" w:eastAsia="Arial" w:hAnsi="Arial"/>
          <w:sz w:val="17"/>
          <w:szCs w:val="17"/>
          <w:color w:val="auto"/>
        </w:rPr>
        <w:t xml:space="preserve"> shall be payable by Borrower in connection with any termination in accordance with </w:t>
      </w:r>
      <w:r>
        <w:rPr>
          <w:rFonts w:ascii="Arial" w:cs="Arial" w:eastAsia="Arial" w:hAnsi="Arial"/>
          <w:sz w:val="17"/>
          <w:szCs w:val="17"/>
          <w:u w:val="single" w:color="auto"/>
          <w:color w:val="auto"/>
        </w:rPr>
        <w:t>Section 2.12(b)</w:t>
      </w:r>
      <w:r>
        <w:rPr>
          <w:rFonts w:ascii="Arial" w:cs="Arial" w:eastAsia="Arial" w:hAnsi="Arial"/>
          <w:sz w:val="17"/>
          <w:szCs w:val="17"/>
          <w:color w:val="auto"/>
        </w:rPr>
        <w:t xml:space="preserve"> of any Interest Period of one month or shorter.</w:t>
      </w:r>
    </w:p>
    <w:p>
      <w:pPr>
        <w:spacing w:after="0" w:line="177" w:lineRule="exact"/>
        <w:rPr>
          <w:rFonts w:ascii="Arial" w:cs="Arial" w:eastAsia="Arial" w:hAnsi="Arial"/>
          <w:sz w:val="17"/>
          <w:szCs w:val="17"/>
          <w:color w:val="auto"/>
        </w:rPr>
      </w:pPr>
    </w:p>
    <w:p>
      <w:pPr>
        <w:jc w:val="both"/>
        <w:ind w:firstLine="656"/>
        <w:spacing w:after="0" w:line="272" w:lineRule="auto"/>
        <w:tabs>
          <w:tab w:leader="none" w:pos="1052"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For the purpose of calculation of all amounts payable to a Lender under this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Lender may fund each of its LIBOR Loans in any manner it sees fit, and the foregoing assumption shall be utilized only for the calculation of amounts payable under this subsection. Any Lender requesting compensation pursuant to this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7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5"/>
          <w:szCs w:val="15"/>
          <w:b w:val="1"/>
          <w:bCs w:val="1"/>
          <w:color w:val="auto"/>
        </w:rPr>
        <w:t>Net 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9" w:lineRule="auto"/>
        <w:tabs>
          <w:tab w:leader="none" w:pos="114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All payments by or on account of any obligation of any Credit Party under any Credit Document shall be made without deduction or withholding of any Taxes, except as required by applicable Laws. If any applicable Laws require the deduction or withholding of any Tax in respect of any such payment by Administrative Agent, a Credit Party or any other applicable withholding agent, then (i) the applicable withholding agent shall withhold or make such deductions as are determined by the applicable withholding agent to be required, (ii) the applicable withholding agent shall timely pay the full amount withheld or deducted to the relevant Governmental Authority in accordance with applicable Law, and (iii) to the extent that the withholding or deduction is made on account of Covered Taxes, the sum payable by the applicable Credit Party shall be increased as necessary so that after any required withholding or deductions are made (including withholding or deductions applicable to additional sums payable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the applicable Lender (or, in the case of payments made to Administrative Agent for its own account, Administrative Agent) receives an amount equal to the sum it would have received had no such withholding or deduction been made. Borrower shall furnish to Administrative Agent within 45 days after the date the payment of any Taxes by a Credit Party pursuant to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documentation reasonably satisfactory to Administrative Agent evidencing such payment by the applicable Credit Party. The Credit Parties shall jointly and severally indemnify and hold harmless Administrative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84" w:right="239" w:bottom="1440" w:gutter="0" w:footer="0" w:header="0"/>
        </w:sectPr>
      </w:pPr>
    </w:p>
    <w:bookmarkStart w:id="309" w:name="page310"/>
    <w:bookmarkEnd w:id="309"/>
    <w:p>
      <w:pPr>
        <w:jc w:val="both"/>
        <w:spacing w:after="0" w:line="273" w:lineRule="auto"/>
        <w:rPr>
          <w:sz w:val="20"/>
          <w:szCs w:val="20"/>
          <w:color w:val="auto"/>
        </w:rPr>
      </w:pPr>
      <w:r>
        <w:rPr>
          <w:rFonts w:ascii="Arial" w:cs="Arial" w:eastAsia="Arial" w:hAnsi="Arial"/>
          <w:sz w:val="17"/>
          <w:szCs w:val="17"/>
          <w:color w:val="auto"/>
        </w:rPr>
        <w:t xml:space="preserve">Agent and each Lender, and reimburse Administrative Agent or such Lender (as applicable) upon its written request, for the amount of any Covered Taxes payable or paid by such Lender or Administrative Agent (including Covered Taxes imposed or asserted on amounts payable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and for any other reasonable expenses arising therefrom or with respect thereto,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of such Lender or Administrative Agent setting forth in reasonable detail the basis of such request and such certificate, absent manifest error, shall be conclusive.</w:t>
      </w:r>
    </w:p>
    <w:p>
      <w:pPr>
        <w:spacing w:after="0" w:line="178" w:lineRule="exact"/>
        <w:rPr>
          <w:sz w:val="20"/>
          <w:szCs w:val="20"/>
          <w:color w:val="auto"/>
        </w:rPr>
      </w:pPr>
    </w:p>
    <w:p>
      <w:pPr>
        <w:jc w:val="both"/>
        <w:ind w:firstLine="656"/>
        <w:spacing w:after="0" w:line="302" w:lineRule="auto"/>
        <w:tabs>
          <w:tab w:leader="none" w:pos="1052"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In addition, Borrower agrees to (and shall timely) pay all present or future stamp, court or documentary, intangible, recording, filing or similar Taxes which arise from any payment made under or from the execution, delivery, performance, enforcement filing, recordation or registration of, receipt or perfection of a security interest under, or otherwise with respect to, any Credit Document, except any such Taxes that are Other Connection Taxes imposed with respect to an assignment (other than an assignee pursuant to a request by Borrower under </w:t>
      </w:r>
      <w:r>
        <w:rPr>
          <w:rFonts w:ascii="Arial" w:cs="Arial" w:eastAsia="Arial" w:hAnsi="Arial"/>
          <w:sz w:val="16"/>
          <w:szCs w:val="16"/>
          <w:u w:val="single" w:color="auto"/>
          <w:color w:val="auto"/>
        </w:rPr>
        <w:t>Section 2.11(a)</w:t>
      </w:r>
      <w:r>
        <w:rPr>
          <w:rFonts w:ascii="Arial" w:cs="Arial" w:eastAsia="Arial" w:hAnsi="Arial"/>
          <w:sz w:val="16"/>
          <w:szCs w:val="16"/>
          <w:color w:val="auto"/>
        </w:rPr>
        <w:t>) (hereinafter referred to as “</w:t>
      </w:r>
      <w:r>
        <w:rPr>
          <w:rFonts w:ascii="Arial" w:cs="Arial" w:eastAsia="Arial" w:hAnsi="Arial"/>
          <w:sz w:val="16"/>
          <w:szCs w:val="16"/>
          <w:b w:val="1"/>
          <w:bCs w:val="1"/>
          <w:color w:val="auto"/>
        </w:rPr>
        <w:t>Other Taxes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firstLine="656"/>
        <w:spacing w:after="0" w:line="288" w:lineRule="auto"/>
        <w:tabs>
          <w:tab w:leader="none" w:pos="1082" w:val="left"/>
        </w:tabs>
        <w:numPr>
          <w:ilvl w:val="0"/>
          <w:numId w:val="323"/>
        </w:numPr>
        <w:rPr>
          <w:rFonts w:ascii="Arial" w:cs="Arial" w:eastAsia="Arial" w:hAnsi="Arial"/>
          <w:sz w:val="16"/>
          <w:szCs w:val="16"/>
          <w:color w:val="auto"/>
        </w:rPr>
      </w:pPr>
      <w:r>
        <w:rPr>
          <w:rFonts w:ascii="Arial" w:cs="Arial" w:eastAsia="Arial" w:hAnsi="Arial"/>
          <w:sz w:val="16"/>
          <w:szCs w:val="16"/>
          <w:color w:val="auto"/>
        </w:rPr>
        <w:t>(%4) Any Lender that is entitled to an exemption from or reduction of withholding Tax with respect to payments made under any Credit Document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5.06(c)(ii) and (c)(iv)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5.06(c), no Lender shall be required to provide any documentation that such Lender is not legally eligible to deliver.</w:t>
      </w:r>
    </w:p>
    <w:p>
      <w:pPr>
        <w:spacing w:after="0" w:line="165" w:lineRule="exact"/>
        <w:rPr>
          <w:rFonts w:ascii="Arial" w:cs="Arial" w:eastAsia="Arial" w:hAnsi="Arial"/>
          <w:sz w:val="16"/>
          <w:szCs w:val="16"/>
          <w:color w:val="auto"/>
        </w:rPr>
      </w:pPr>
    </w:p>
    <w:p>
      <w:pPr>
        <w:jc w:val="both"/>
        <w:ind w:left="660" w:firstLine="888"/>
        <w:spacing w:after="0" w:line="284" w:lineRule="auto"/>
        <w:tabs>
          <w:tab w:leader="none" w:pos="2032" w:val="left"/>
        </w:tabs>
        <w:numPr>
          <w:ilvl w:val="1"/>
          <w:numId w:val="323"/>
        </w:numPr>
        <w:rPr>
          <w:rFonts w:ascii="Arial" w:cs="Arial" w:eastAsia="Arial" w:hAnsi="Arial"/>
          <w:sz w:val="16"/>
          <w:szCs w:val="16"/>
          <w:color w:val="auto"/>
        </w:rPr>
      </w:pPr>
      <w:r>
        <w:rPr>
          <w:rFonts w:ascii="Arial" w:cs="Arial" w:eastAsia="Arial" w:hAnsi="Arial"/>
          <w:sz w:val="16"/>
          <w:szCs w:val="16"/>
          <w:color w:val="auto"/>
        </w:rPr>
        <w:t>Each Lender that is not a U.S. Person (a “</w:t>
      </w:r>
      <w:r>
        <w:rPr>
          <w:rFonts w:ascii="Arial" w:cs="Arial" w:eastAsia="Arial" w:hAnsi="Arial"/>
          <w:sz w:val="16"/>
          <w:szCs w:val="16"/>
          <w:b w:val="1"/>
          <w:bCs w:val="1"/>
          <w:color w:val="auto"/>
        </w:rPr>
        <w:t>Non-U.S. Lender</w:t>
      </w:r>
      <w:r>
        <w:rPr>
          <w:rFonts w:ascii="Arial" w:cs="Arial" w:eastAsia="Arial" w:hAnsi="Arial"/>
          <w:sz w:val="16"/>
          <w:szCs w:val="16"/>
          <w:color w:val="auto"/>
        </w:rPr>
        <w:t xml:space="preserve">”) agrees to the extent it is legally eligible to do so to deliver to Borrower and Administrative Agent on or prior to the date it becomes a party to this Agreement, and from time to time upon the reasonable request of Borrower or Administrative Agent, whichever of the following is applicable: (1) in the case of a Non-U.S. Lender claiming the benefits of an income tax treaty to which the United States is a party, two executed original copies of IRS Form W-8BEN or IRS Form W-8BEN-E establishing an exemption from, or reduction of, U.S. federal withholding Tax; (2) two executed original copies of IRS Form W-8ECI; (3) in the case of a Non-U.S. Lender claiming the benefits of the exemption for portfolio interest under Section 881(c) or 871(h) of the Code, (x) a certificate substantially in the form of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to the effect that such Non-U.S. Lender is not a “bank” within the meaning of Section 881(c)(3)(A) of the Code, a “10 percent shareholder” of Borrower within the meaning of Section 871(h)(3)(B) of the Code, or a CFC related to Borrower as described in Section 881(c)(3)</w:t>
      </w:r>
    </w:p>
    <w:p>
      <w:pPr>
        <w:spacing w:after="0" w:line="5" w:lineRule="exact"/>
        <w:rPr>
          <w:rFonts w:ascii="Arial" w:cs="Arial" w:eastAsia="Arial" w:hAnsi="Arial"/>
          <w:sz w:val="16"/>
          <w:szCs w:val="16"/>
          <w:color w:val="auto"/>
        </w:rPr>
      </w:pPr>
    </w:p>
    <w:p>
      <w:pPr>
        <w:jc w:val="both"/>
        <w:ind w:left="660"/>
        <w:spacing w:after="0" w:line="251" w:lineRule="auto"/>
        <w:rPr>
          <w:rFonts w:ascii="Arial" w:cs="Arial" w:eastAsia="Arial" w:hAnsi="Arial"/>
          <w:sz w:val="16"/>
          <w:szCs w:val="16"/>
          <w:color w:val="auto"/>
        </w:rPr>
      </w:pPr>
      <w:r>
        <w:rPr>
          <w:rFonts w:ascii="Arial" w:cs="Arial" w:eastAsia="Arial" w:hAnsi="Arial"/>
          <w:sz w:val="18"/>
          <w:szCs w:val="18"/>
          <w:color w:val="auto"/>
        </w:rPr>
        <w:t>(C) of the Code and that no interest payments in connection with any Credit Documents are effectively connected with the Non-U.S. Lender’s conduct of a U.S. trade or business (a “</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xml:space="preserve">”) and (y) two executed original copies of IRS Form W-8BEN or IRS Form W-8BEN-E; or (4) to the extent a Non-U.S. Lender is not the beneficial owner (for example, where such Foreign Lender is a partnership or a participating Lender), two executed original copies of IRS Form W-8IMY, accompanied by IRS Form W-8ECI, IRS Form W-8BEN, IRS Form W-8BEN-E, a U.S. Tax Compliance Certificate substantially in the form of </w:t>
      </w:r>
      <w:r>
        <w:rPr>
          <w:rFonts w:ascii="Arial" w:cs="Arial" w:eastAsia="Arial" w:hAnsi="Arial"/>
          <w:sz w:val="18"/>
          <w:szCs w:val="18"/>
          <w:u w:val="single" w:color="auto"/>
          <w:color w:val="auto"/>
        </w:rPr>
        <w:t>Exhibit D-2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D-3</w:t>
      </w:r>
      <w:r>
        <w:rPr>
          <w:rFonts w:ascii="Arial" w:cs="Arial" w:eastAsia="Arial" w:hAnsi="Arial"/>
          <w:sz w:val="18"/>
          <w:szCs w:val="18"/>
          <w:color w:val="auto"/>
        </w:rPr>
        <w:t xml:space="preserve">, IRS Form W-9, and/or other certification documents from each beneficial owner, as applicable; provided that if the Non-U.S. Lender is a partnership (and not a participating Lender) and one or more direct or indirect partners of such Non-U.S. Lender are claiming the portfolio interest exemption, such Non-U.S. Lender may provide a U.S. Tax Compliance Certificate substantially in the form of </w:t>
      </w:r>
      <w:r>
        <w:rPr>
          <w:rFonts w:ascii="Arial" w:cs="Arial" w:eastAsia="Arial" w:hAnsi="Arial"/>
          <w:sz w:val="18"/>
          <w:szCs w:val="18"/>
          <w:u w:val="single" w:color="auto"/>
          <w:color w:val="auto"/>
        </w:rPr>
        <w:t>Exhibit D-4</w:t>
      </w:r>
      <w:r>
        <w:rPr>
          <w:rFonts w:ascii="Arial" w:cs="Arial" w:eastAsia="Arial" w:hAnsi="Arial"/>
          <w:sz w:val="18"/>
          <w:szCs w:val="18"/>
          <w:color w:val="auto"/>
        </w:rPr>
        <w:t xml:space="preserve"> on behalf of such direct and indirect partner(s). Any Non-U.S. Lender shall, to the extent it is legally eligible to do so, deliver to Borrower and Administrative Agent (in such number of copies as shall be requested by the recipient) on or about the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4" w:right="239" w:bottom="1440" w:gutter="0" w:footer="0" w:header="0"/>
        </w:sectPr>
      </w:pPr>
    </w:p>
    <w:bookmarkStart w:id="310" w:name="page311"/>
    <w:bookmarkEnd w:id="310"/>
    <w:p>
      <w:pPr>
        <w:jc w:val="both"/>
        <w:ind w:left="660"/>
        <w:spacing w:after="0" w:line="279" w:lineRule="auto"/>
        <w:rPr>
          <w:sz w:val="20"/>
          <w:szCs w:val="20"/>
          <w:color w:val="auto"/>
        </w:rPr>
      </w:pPr>
      <w:r>
        <w:rPr>
          <w:rFonts w:ascii="Arial" w:cs="Arial" w:eastAsia="Arial" w:hAnsi="Arial"/>
          <w:sz w:val="17"/>
          <w:szCs w:val="17"/>
          <w:color w:val="auto"/>
        </w:rPr>
        <w:t>on which such Non-U.S. Lender becomes a Lender under this Agreement (and from time to time thereafter upon the reasonable request of Borrower or Administrative Agent), executed copies of any other documentation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if any.</w:t>
      </w:r>
    </w:p>
    <w:p>
      <w:pPr>
        <w:spacing w:after="0" w:line="171" w:lineRule="exact"/>
        <w:rPr>
          <w:sz w:val="20"/>
          <w:szCs w:val="20"/>
          <w:color w:val="auto"/>
        </w:rPr>
      </w:pPr>
    </w:p>
    <w:p>
      <w:pPr>
        <w:jc w:val="both"/>
        <w:ind w:left="660" w:right="20" w:firstLine="888"/>
        <w:spacing w:after="0" w:line="286" w:lineRule="auto"/>
        <w:tabs>
          <w:tab w:leader="none" w:pos="2001" w:val="left"/>
        </w:tabs>
        <w:numPr>
          <w:ilvl w:val="1"/>
          <w:numId w:val="324"/>
        </w:numPr>
        <w:rPr>
          <w:rFonts w:ascii="Arial" w:cs="Arial" w:eastAsia="Arial" w:hAnsi="Arial"/>
          <w:sz w:val="17"/>
          <w:szCs w:val="17"/>
          <w:color w:val="auto"/>
        </w:rPr>
      </w:pPr>
      <w:r>
        <w:rPr>
          <w:rFonts w:ascii="Arial" w:cs="Arial" w:eastAsia="Arial" w:hAnsi="Arial"/>
          <w:sz w:val="17"/>
          <w:szCs w:val="17"/>
          <w:color w:val="auto"/>
        </w:rPr>
        <w:t>Each Lender that is a U.S. Person shall deliver to Borrower and Administrative Agent, on or prior to the date it becomes a party to this Agreement, and from time to time upon the reasonable request of Borrower or Administrative Agent, a properly completed and duly executed IRS Form W-9, or any successor form, certifying that such Person is exempt from United States federal backup withholding.</w:t>
      </w:r>
    </w:p>
    <w:p>
      <w:pPr>
        <w:spacing w:after="0" w:line="165" w:lineRule="exact"/>
        <w:rPr>
          <w:rFonts w:ascii="Arial" w:cs="Arial" w:eastAsia="Arial" w:hAnsi="Arial"/>
          <w:sz w:val="17"/>
          <w:szCs w:val="17"/>
          <w:color w:val="auto"/>
        </w:rPr>
      </w:pPr>
    </w:p>
    <w:p>
      <w:pPr>
        <w:jc w:val="both"/>
        <w:ind w:left="660" w:firstLine="888"/>
        <w:spacing w:after="0" w:line="290" w:lineRule="auto"/>
        <w:tabs>
          <w:tab w:leader="none" w:pos="2005" w:val="left"/>
        </w:tabs>
        <w:numPr>
          <w:ilvl w:val="1"/>
          <w:numId w:val="324"/>
        </w:numPr>
        <w:rPr>
          <w:rFonts w:ascii="Arial" w:cs="Arial" w:eastAsia="Arial" w:hAnsi="Arial"/>
          <w:sz w:val="16"/>
          <w:szCs w:val="16"/>
          <w:color w:val="auto"/>
        </w:rPr>
      </w:pPr>
      <w:r>
        <w:rPr>
          <w:rFonts w:ascii="Arial" w:cs="Arial" w:eastAsia="Arial" w:hAnsi="Arial"/>
          <w:sz w:val="16"/>
          <w:szCs w:val="16"/>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and to determine the amount to deduct and withhold, if any, from such payment. For purposes of this Section 5.06(c)(iv), FATCA shall include any amendments made to FATCA after the date of this Agreement.</w:t>
      </w:r>
    </w:p>
    <w:p>
      <w:pPr>
        <w:spacing w:after="0" w:line="166" w:lineRule="exact"/>
        <w:rPr>
          <w:rFonts w:ascii="Arial" w:cs="Arial" w:eastAsia="Arial" w:hAnsi="Arial"/>
          <w:sz w:val="16"/>
          <w:szCs w:val="16"/>
          <w:color w:val="auto"/>
        </w:rPr>
      </w:pPr>
    </w:p>
    <w:p>
      <w:pPr>
        <w:jc w:val="both"/>
        <w:ind w:left="660" w:firstLine="888"/>
        <w:spacing w:after="0" w:line="257" w:lineRule="auto"/>
        <w:tabs>
          <w:tab w:leader="none" w:pos="196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 xml:space="preserve">Each Lender agrees that if any documentation it previously delivered expires or becomes obsolete or inaccurate in any respect, it shall update such documentation or promptly notify Borrower and Administrative Agent in writing of its legal ineligibility to do so. Notwithstanding any other provision of this Section 5.06(c), a Lender shall not be required to deliver any documentation that such Lender is not legally eligible to deliver. Each Lender hereby authorizes Administrative Agent to deliver to the Credit Parties and to any successor Administrative Agent any documentation provided by such Lender to Administrative Agent pursuant to this </w:t>
      </w:r>
      <w:r>
        <w:rPr>
          <w:rFonts w:ascii="Arial" w:cs="Arial" w:eastAsia="Arial" w:hAnsi="Arial"/>
          <w:sz w:val="18"/>
          <w:szCs w:val="18"/>
          <w:u w:val="single" w:color="auto"/>
          <w:color w:val="auto"/>
        </w:rPr>
        <w:t>Section 5.06(c)</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53" w:lineRule="auto"/>
        <w:tabs>
          <w:tab w:leader="none" w:pos="109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On or before the date Administrative Agent becomes a party to this Agreement, if Administrative Agent is a U.S. Person, it shall deliver to Borrower two executed originals of IRS Form W-9 certifying that it is exempt from U.S. federal backup withholding. Otherwise, Administrative Agent (including any successor Administrative Agent that is not a U.S. Person) shall deliver two duly completed copies of IRS Form W-8ECI (with respect to any payments to be received on its own behalf) and IRS Form W-8IMY (for all other payments) certifying that it is a “U.S. branch” and that the payments it receives for the account of Lenders are not effectively connected with the conduct of its trade or business in the United States and that it is using such form as evidence of its agreement with the Credit Parties to be treated as a U.S. Person with respect to such payments (and the Credit Parties and Administrative Agent agree to so treat Administrative Agent as a U.S. Person with respect to such payments). Notwithstanding anything to the contrary in this Section 5.06(d), Administrative Agent shall not be required to provide any documentation that Administrative Agent is not legally eligible to deliver as a result of a Change in Law after the Closing Date.</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02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 xml:space="preserve">As soon as practicable after any payment of Taxes by a Credit Party to a Governmental Authority pursuant to this </w:t>
      </w:r>
      <w:r>
        <w:rPr>
          <w:rFonts w:ascii="Arial" w:cs="Arial" w:eastAsia="Arial" w:hAnsi="Arial"/>
          <w:sz w:val="17"/>
          <w:szCs w:val="17"/>
          <w:u w:val="single" w:color="auto"/>
          <w:color w:val="auto"/>
        </w:rPr>
        <w:t>Section 5.6</w:t>
      </w:r>
      <w:r>
        <w:rPr>
          <w:rFonts w:ascii="Arial" w:cs="Arial" w:eastAsia="Arial" w:hAnsi="Arial"/>
          <w:sz w:val="17"/>
          <w:szCs w:val="17"/>
          <w:color w:val="auto"/>
        </w:rPr>
        <w:t>, such Credit Party shall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0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Any Lender requiring Borrower or any other Credit Party to pay any Covered Taxes or additional amounts to such Lender or any Governmental Authority for the account of such Lender pursuant to this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agrees to use (at the Credit Parties’ expense) reasonable efforts, if requested by Borrower, (consistent with its internal policy and legal and regulatory restrictions) to change the jurisdiction of its Applicable Lending Office if, in the judgment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84" w:right="239" w:bottom="1440" w:gutter="0" w:footer="0" w:header="0"/>
        </w:sectPr>
      </w:pPr>
    </w:p>
    <w:bookmarkStart w:id="311" w:name="page312"/>
    <w:bookmarkEnd w:id="311"/>
    <w:p>
      <w:pPr>
        <w:ind w:right="20"/>
        <w:spacing w:after="0" w:line="277" w:lineRule="auto"/>
        <w:rPr>
          <w:sz w:val="20"/>
          <w:szCs w:val="20"/>
          <w:color w:val="auto"/>
        </w:rPr>
      </w:pPr>
      <w:r>
        <w:rPr>
          <w:rFonts w:ascii="Arial" w:cs="Arial" w:eastAsia="Arial" w:hAnsi="Arial"/>
          <w:sz w:val="18"/>
          <w:szCs w:val="18"/>
          <w:color w:val="auto"/>
        </w:rPr>
        <w:t>of such Lender, the making of such change would avoid the need for, or materially reduce the amount of, any such additional amounts that may thereafter accrue and would not be otherwise disadvantageous to such Lender.</w:t>
      </w:r>
    </w:p>
    <w:p>
      <w:pPr>
        <w:spacing w:after="0" w:line="170" w:lineRule="exact"/>
        <w:rPr>
          <w:sz w:val="20"/>
          <w:szCs w:val="20"/>
          <w:color w:val="auto"/>
        </w:rPr>
      </w:pPr>
    </w:p>
    <w:p>
      <w:pPr>
        <w:jc w:val="both"/>
        <w:ind w:firstLine="656"/>
        <w:spacing w:after="0" w:line="268" w:lineRule="auto"/>
        <w:tabs>
          <w:tab w:leader="none" w:pos="1106"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If Administrative Agent or any Lender receives a cash refund in respect of an overpayment of Taxes from a Governmental Authority with respect to, and actually resulting from, an amount of Taxes actually paid to or on behalf of Administrative Agent or such Lender by Borrower or any other Credit Party, then Administrative Agent or such Lender shall notify Borrower of such refund and forward the proceeds of such refund (or relevant portion thereof) to Borrower as reduced by any reasonable expense or liability incurred by Administrative Agent or such Lender in connection with obtaining such refund (including any Taxes imposed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Borrower, upon the request of Administrative Agent or such Lender, shall repay the amount paid over to Borrower (plus any penalties, interest or other charges imposed by the relevant Governmental Authority) to Administrative Agent or such Lender in the event Administrative Agent or such Lender is required to repay such refund to such Governmental Authority. This </w:t>
      </w:r>
      <w:r>
        <w:rPr>
          <w:rFonts w:ascii="Arial" w:cs="Arial" w:eastAsia="Arial" w:hAnsi="Arial"/>
          <w:sz w:val="17"/>
          <w:szCs w:val="17"/>
          <w:u w:val="single" w:color="auto"/>
          <w:color w:val="auto"/>
        </w:rPr>
        <w:t>Section 5.06(g)</w:t>
      </w:r>
      <w:r>
        <w:rPr>
          <w:rFonts w:ascii="Arial" w:cs="Arial" w:eastAsia="Arial" w:hAnsi="Arial"/>
          <w:sz w:val="17"/>
          <w:szCs w:val="17"/>
          <w:color w:val="auto"/>
        </w:rPr>
        <w:t xml:space="preserve"> shall not be construed to require Administrative Agent or any Lender to make available its tax returns (or any other information relating to its taxes that it deems confidential) to Borrower or any other Person. Notwithstanding anything to the contrary in this </w:t>
      </w:r>
      <w:r>
        <w:rPr>
          <w:rFonts w:ascii="Arial" w:cs="Arial" w:eastAsia="Arial" w:hAnsi="Arial"/>
          <w:sz w:val="17"/>
          <w:szCs w:val="17"/>
          <w:u w:val="single" w:color="auto"/>
          <w:color w:val="auto"/>
        </w:rPr>
        <w:t>Section 5.06(g)</w:t>
      </w:r>
      <w:r>
        <w:rPr>
          <w:rFonts w:ascii="Arial" w:cs="Arial" w:eastAsia="Arial" w:hAnsi="Arial"/>
          <w:sz w:val="17"/>
          <w:szCs w:val="17"/>
          <w:color w:val="auto"/>
        </w:rPr>
        <w:t xml:space="preserve">, in no event will Administrative Agent or any Lender be required to pay any amount to any Credit Party pursuant to this </w:t>
      </w:r>
      <w:r>
        <w:rPr>
          <w:rFonts w:ascii="Arial" w:cs="Arial" w:eastAsia="Arial" w:hAnsi="Arial"/>
          <w:sz w:val="17"/>
          <w:szCs w:val="17"/>
          <w:u w:val="single" w:color="auto"/>
          <w:color w:val="auto"/>
        </w:rPr>
        <w:t>Section 5.06(g)</w:t>
      </w:r>
      <w:r>
        <w:rPr>
          <w:rFonts w:ascii="Arial" w:cs="Arial" w:eastAsia="Arial" w:hAnsi="Arial"/>
          <w:sz w:val="17"/>
          <w:szCs w:val="17"/>
          <w:color w:val="auto"/>
        </w:rPr>
        <w:t xml:space="preserve"> the payment of which would place Administrative Agent or such Lender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7" w:lineRule="exact"/>
        <w:rPr>
          <w:rFonts w:ascii="Arial" w:cs="Arial" w:eastAsia="Arial" w:hAnsi="Arial"/>
          <w:sz w:val="17"/>
          <w:szCs w:val="17"/>
          <w:color w:val="auto"/>
        </w:rPr>
      </w:pPr>
    </w:p>
    <w:p>
      <w:pPr>
        <w:ind w:firstLine="656"/>
        <w:spacing w:after="0" w:line="277" w:lineRule="auto"/>
        <w:tabs>
          <w:tab w:leader="none" w:pos="111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5.06</w:t>
      </w:r>
      <w:r>
        <w:rPr>
          <w:rFonts w:ascii="Arial" w:cs="Arial" w:eastAsia="Arial" w:hAnsi="Arial"/>
          <w:sz w:val="18"/>
          <w:szCs w:val="18"/>
          <w:color w:val="auto"/>
        </w:rPr>
        <w:t>, the term “Lender” includes any L/C Issuer and the term “applicable Law” includes FATCA.</w:t>
      </w:r>
    </w:p>
    <w:p>
      <w:pPr>
        <w:spacing w:after="0" w:line="17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GUARANTEES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85" w:right="239" w:bottom="1440" w:gutter="0" w:footer="0" w:header="0"/>
        </w:sectPr>
      </w:pPr>
    </w:p>
    <w:bookmarkStart w:id="312" w:name="page313"/>
    <w:bookmarkEnd w:id="312"/>
    <w:p>
      <w:pPr>
        <w:jc w:val="both"/>
        <w:ind w:firstLine="648"/>
        <w:spacing w:after="0" w:line="285" w:lineRule="auto"/>
        <w:rPr>
          <w:sz w:val="20"/>
          <w:szCs w:val="20"/>
          <w:color w:val="auto"/>
        </w:rPr>
      </w:pPr>
      <w:r>
        <w:rPr>
          <w:rFonts w:ascii="Arial" w:cs="Arial" w:eastAsia="Arial" w:hAnsi="Arial"/>
          <w:sz w:val="16"/>
          <w:szCs w:val="16"/>
          <w:b w:val="1"/>
          <w:bCs w:val="1"/>
          <w:color w:val="auto"/>
        </w:rPr>
        <w:t>SECTION 6.01. The Guarantees</w:t>
      </w:r>
      <w:r>
        <w:rPr>
          <w:rFonts w:ascii="Arial" w:cs="Arial" w:eastAsia="Arial" w:hAnsi="Arial"/>
          <w:sz w:val="16"/>
          <w:szCs w:val="16"/>
          <w:color w:val="auto"/>
        </w:rPr>
        <w:t>. Each (a) Guarantor, jointly and severally with each other Guarantor, hereby guarantees as primary obligor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as surety to each Secured Party and its successors and assigns the prompt payment and performance in full when due (whether at stated maturity, by acceleration, demand or otherwise) of the principal of and interest (including any interest, fees, costs, expenses, or charges that would accrue but for the provisions of the Bankruptcy Code or other applicable Debtor Relief Law after the filing of any bankruptcy or insolvency petition)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all other Obligations (including any interest, fees, costs, expenses or charges that would accrue but for the provisions of the Bankruptcy Code or other applicable Debtor Relief Law after the filing of any bankruptcy or insolvency petition) from time to time owing to the Secured Parties by any other Credit Party under any Credit Document, any Credit Swap Contract entered into with a Swap Provider or any Secured Cash Management Agreement entered into with a Cash Management Bank, in each case now or hereinafter created, incurred or made, whether absolute or contingent, liquidated or unliquidated and strictly in accordance with the terms thereof; </w:t>
      </w:r>
      <w:r>
        <w:rPr>
          <w:rFonts w:ascii="Arial" w:cs="Arial" w:eastAsia="Arial" w:hAnsi="Arial"/>
          <w:sz w:val="16"/>
          <w:szCs w:val="16"/>
          <w:i w:val="1"/>
          <w:iCs w:val="1"/>
          <w:color w:val="auto"/>
        </w:rPr>
        <w:t>provided</w:t>
      </w:r>
      <w:r>
        <w:rPr>
          <w:rFonts w:ascii="Arial" w:cs="Arial" w:eastAsia="Arial" w:hAnsi="Arial"/>
          <w:sz w:val="16"/>
          <w:szCs w:val="16"/>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(it being understood that the Guaranteed Obligations of Borrower shall be limited to those referred to in clause (b) above and the Guaranteed Obligations of each other Guarantor shall not include any Obligations with respect to which such Guarantor is the primary obligor)).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3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6.02. Obligations Unconditional</w:t>
      </w:r>
      <w:r>
        <w:rPr>
          <w:rFonts w:ascii="Arial" w:cs="Arial" w:eastAsia="Arial" w:hAnsi="Arial"/>
          <w:sz w:val="17"/>
          <w:szCs w:val="17"/>
          <w:color w:val="auto"/>
        </w:rPr>
        <w:t>. The obligations of the Credit Parties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6.01</w:t>
      </w:r>
      <w:r>
        <w:rPr>
          <w:rFonts w:ascii="Arial" w:cs="Arial" w:eastAsia="Arial" w:hAnsi="Arial"/>
          <w:sz w:val="17"/>
          <w:szCs w:val="17"/>
          <w:b w:val="1"/>
          <w:bCs w:val="1"/>
          <w:color w:val="auto"/>
        </w:rPr>
        <w:t xml:space="preserve"> </w:t>
      </w:r>
      <w:r>
        <w:rPr>
          <w:rFonts w:ascii="Arial" w:cs="Arial" w:eastAsia="Arial" w:hAnsi="Arial"/>
          <w:sz w:val="17"/>
          <w:szCs w:val="17"/>
          <w:color w:val="auto"/>
        </w:rPr>
        <w:t>shall constitute a guaranty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176" w:lineRule="exact"/>
        <w:rPr>
          <w:sz w:val="20"/>
          <w:szCs w:val="20"/>
          <w:color w:val="auto"/>
        </w:rPr>
      </w:pPr>
    </w:p>
    <w:p>
      <w:pPr>
        <w:ind w:left="660" w:firstLine="888"/>
        <w:spacing w:after="0" w:line="277" w:lineRule="auto"/>
        <w:tabs>
          <w:tab w:leader="none" w:pos="190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70" w:lineRule="exact"/>
        <w:rPr>
          <w:rFonts w:ascii="Arial" w:cs="Arial" w:eastAsia="Arial" w:hAnsi="Arial"/>
          <w:sz w:val="18"/>
          <w:szCs w:val="18"/>
          <w:color w:val="auto"/>
        </w:rPr>
      </w:pPr>
    </w:p>
    <w:p>
      <w:pPr>
        <w:jc w:val="both"/>
        <w:ind w:left="660" w:firstLine="888"/>
        <w:spacing w:after="0" w:line="259" w:lineRule="auto"/>
        <w:tabs>
          <w:tab w:leader="none" w:pos="197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6" w:lineRule="exact"/>
        <w:rPr>
          <w:rFonts w:ascii="Arial" w:cs="Arial" w:eastAsia="Arial" w:hAnsi="Arial"/>
          <w:sz w:val="18"/>
          <w:szCs w:val="18"/>
          <w:color w:val="auto"/>
        </w:rPr>
      </w:pPr>
    </w:p>
    <w:p>
      <w:pPr>
        <w:ind w:left="2000" w:hanging="452"/>
        <w:spacing w:after="0"/>
        <w:tabs>
          <w:tab w:leader="none" w:pos="20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the release of any other Credit Party pursuant to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888"/>
        <w:spacing w:after="0" w:line="277" w:lineRule="auto"/>
        <w:tabs>
          <w:tab w:leader="none" w:pos="208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80" w:right="239" w:bottom="1440" w:gutter="0" w:footer="0" w:header="0"/>
        </w:sectPr>
      </w:pPr>
    </w:p>
    <w:bookmarkStart w:id="313" w:name="page314"/>
    <w:bookmarkEnd w:id="313"/>
    <w:p>
      <w:pPr>
        <w:jc w:val="both"/>
        <w:ind w:left="660" w:firstLine="888"/>
        <w:spacing w:after="0" w:line="279" w:lineRule="auto"/>
        <w:tabs>
          <w:tab w:leader="none" w:pos="1968"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660" w:firstLine="888"/>
        <w:spacing w:after="0" w:line="308" w:lineRule="auto"/>
        <w:tabs>
          <w:tab w:leader="none" w:pos="1991"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46" w:lineRule="exact"/>
        <w:rPr>
          <w:rFonts w:ascii="Arial" w:cs="Arial" w:eastAsia="Arial" w:hAnsi="Arial"/>
          <w:sz w:val="17"/>
          <w:szCs w:val="17"/>
          <w:color w:val="auto"/>
        </w:rPr>
      </w:pPr>
    </w:p>
    <w:p>
      <w:pPr>
        <w:ind w:left="660" w:firstLine="888"/>
        <w:spacing w:after="0" w:line="277" w:lineRule="auto"/>
        <w:tabs>
          <w:tab w:leader="none" w:pos="206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70" w:lineRule="exact"/>
        <w:rPr>
          <w:rFonts w:ascii="Arial" w:cs="Arial" w:eastAsia="Arial" w:hAnsi="Arial"/>
          <w:sz w:val="18"/>
          <w:szCs w:val="18"/>
          <w:color w:val="auto"/>
        </w:rPr>
      </w:pPr>
    </w:p>
    <w:p>
      <w:pPr>
        <w:jc w:val="both"/>
        <w:ind w:left="660" w:firstLine="888"/>
        <w:spacing w:after="0" w:line="270" w:lineRule="auto"/>
        <w:tabs>
          <w:tab w:leader="none" w:pos="2226" w:val="left"/>
        </w:tabs>
        <w:numPr>
          <w:ilvl w:val="0"/>
          <w:numId w:val="328"/>
        </w:numPr>
        <w:rPr>
          <w:rFonts w:ascii="Arial" w:cs="Arial" w:eastAsia="Arial" w:hAnsi="Arial"/>
          <w:sz w:val="17"/>
          <w:szCs w:val="17"/>
          <w:color w:val="auto"/>
        </w:rPr>
      </w:pPr>
      <w:r>
        <w:rPr>
          <w:rFonts w:ascii="Arial" w:cs="Arial" w:eastAsia="Arial" w:hAnsi="Arial"/>
          <w:sz w:val="17"/>
          <w:szCs w:val="17"/>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and without limiting the generality of the foregoing or any other provisions hereof, each Credit Party hereby expressly waives any and all benefits which might otherwise be available to such Credit Party as a surety under applicable law, including, without limitation, California Civil Code Sections 2809, 2810, 2819, 2939, 2845, 2848, 2849, 2850, 2855, 2899, and 3433, and in the event that Nevada law applies to this Agreement or any portion hereof, Guarantors, and each of them, hereby waive the provisions of Section 40.430 of the Nevada Revised Statutes; or</w:t>
      </w:r>
    </w:p>
    <w:p>
      <w:pPr>
        <w:spacing w:after="0" w:line="181" w:lineRule="exact"/>
        <w:rPr>
          <w:rFonts w:ascii="Arial" w:cs="Arial" w:eastAsia="Arial" w:hAnsi="Arial"/>
          <w:sz w:val="17"/>
          <w:szCs w:val="17"/>
          <w:color w:val="auto"/>
        </w:rPr>
      </w:pPr>
    </w:p>
    <w:p>
      <w:pPr>
        <w:jc w:val="both"/>
        <w:ind w:left="660" w:firstLine="888"/>
        <w:spacing w:after="0" w:line="276" w:lineRule="auto"/>
        <w:tabs>
          <w:tab w:leader="none" w:pos="2059"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the Notes, the Credit Swap Contracts or the Secured Cash Management Agreements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4"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t>assigns, notwithstanding that from time to time during the term of this Agreement there may be no Guaranteed Obligations outstanding.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the avoidance of doubt, nothing in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shall permit amendments to the Credit Documents or an acceleration of the Obligations other than as set forth in the Credit Documents.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584" w:right="239" w:bottom="1440" w:gutter="0" w:footer="0" w:header="0"/>
        </w:sectPr>
      </w:pPr>
    </w:p>
    <w:bookmarkStart w:id="315" w:name="page316"/>
    <w:bookmarkEnd w:id="315"/>
    <w:p>
      <w:pPr>
        <w:jc w:val="both"/>
        <w:ind w:firstLine="648"/>
        <w:spacing w:after="0" w:line="255" w:lineRule="auto"/>
        <w:rPr>
          <w:sz w:val="20"/>
          <w:szCs w:val="20"/>
          <w:color w:val="auto"/>
        </w:rPr>
      </w:pPr>
      <w:r>
        <w:rPr>
          <w:rFonts w:ascii="Arial" w:cs="Arial" w:eastAsia="Arial" w:hAnsi="Arial"/>
          <w:sz w:val="18"/>
          <w:szCs w:val="18"/>
          <w:b w:val="1"/>
          <w:bCs w:val="1"/>
          <w:color w:val="auto"/>
        </w:rPr>
        <w:t>SECTION 6.03. Reinstatement</w:t>
      </w:r>
      <w:r>
        <w:rPr>
          <w:rFonts w:ascii="Arial" w:cs="Arial" w:eastAsia="Arial" w:hAnsi="Arial"/>
          <w:sz w:val="18"/>
          <w:szCs w:val="18"/>
          <w:color w:val="auto"/>
        </w:rPr>
        <w:t>. The obligations of the Credit Parties under this Article VI shall be automatically reinstated if and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for any reason any payment by or on behalf of any Credit Party in respect of the Guaranteed Obligations is rescinded or avoided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avoidance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6.04. Subrogation; Subordination</w:t>
      </w:r>
      <w:r>
        <w:rPr>
          <w:rFonts w:ascii="Arial" w:cs="Arial" w:eastAsia="Arial" w:hAnsi="Arial"/>
          <w:sz w:val="17"/>
          <w:szCs w:val="17"/>
          <w:color w:val="auto"/>
        </w:rPr>
        <w:t>. Each Credit Party hereby agrees that until the payment and satisfaction in full in cash of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Guaranteed Obligations and the expiration and termination of the Commitments of the Lenders under this Agreement it shall not exercise any right or remedy arising by reason of any performance by it of its guarantee in </w:t>
      </w:r>
      <w:r>
        <w:rPr>
          <w:rFonts w:ascii="Arial" w:cs="Arial" w:eastAsia="Arial" w:hAnsi="Arial"/>
          <w:sz w:val="17"/>
          <w:szCs w:val="17"/>
          <w:u w:val="single" w:color="auto"/>
          <w:color w:val="auto"/>
        </w:rPr>
        <w:t>Section 6.01</w:t>
      </w:r>
      <w:r>
        <w:rPr>
          <w:rFonts w:ascii="Arial" w:cs="Arial" w:eastAsia="Arial" w:hAnsi="Arial"/>
          <w:sz w:val="17"/>
          <w:szCs w:val="17"/>
          <w:color w:val="auto"/>
        </w:rPr>
        <w:t>,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6.05. Remedies</w:t>
      </w:r>
      <w:r>
        <w:rPr>
          <w:rFonts w:ascii="Arial" w:cs="Arial" w:eastAsia="Arial" w:hAnsi="Arial"/>
          <w:sz w:val="17"/>
          <w:szCs w:val="17"/>
          <w:color w:val="auto"/>
        </w:rPr>
        <w:t>. The Credit Parties jointly and severally agree that, as between the Credit Parties and the Lenders, the obligations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Credit Party under this Agreement and the Notes may be declared to be forthwith due and payable as provided in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shall be deemed to have become automatically due and payable in the circumstances provided in said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6.06. Continuing Guarantee</w:t>
      </w:r>
      <w:r>
        <w:rPr>
          <w:rFonts w:ascii="Arial" w:cs="Arial" w:eastAsia="Arial" w:hAnsi="Arial"/>
          <w:sz w:val="18"/>
          <w:szCs w:val="18"/>
          <w:color w:val="auto"/>
        </w:rPr>
        <w:t>. The guarantee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color w:val="auto"/>
        </w:rPr>
        <w:t>is a continuing guarantee of payment and performance, and shall apply</w:t>
      </w:r>
      <w:r>
        <w:rPr>
          <w:rFonts w:ascii="Arial" w:cs="Arial" w:eastAsia="Arial" w:hAnsi="Arial"/>
          <w:sz w:val="18"/>
          <w:szCs w:val="18"/>
          <w:b w:val="1"/>
          <w:bCs w:val="1"/>
          <w:color w:val="auto"/>
        </w:rPr>
        <w:t xml:space="preserve"> </w:t>
      </w:r>
      <w:r>
        <w:rPr>
          <w:rFonts w:ascii="Arial" w:cs="Arial" w:eastAsia="Arial" w:hAnsi="Arial"/>
          <w:sz w:val="18"/>
          <w:szCs w:val="18"/>
          <w:color w:val="auto"/>
        </w:rPr>
        <w:t>to all Guaranteed Obligations whenever arising.</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6.07. General Limitation on Guarantee Obligations</w:t>
      </w:r>
      <w:r>
        <w:rPr>
          <w:rFonts w:ascii="Arial" w:cs="Arial" w:eastAsia="Arial" w:hAnsi="Arial"/>
          <w:sz w:val="17"/>
          <w:szCs w:val="17"/>
          <w:color w:val="auto"/>
        </w:rPr>
        <w:t>. In any action or proceeding involving any state corporate law, or any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or foreign bankruptcy, insolvency, reorganization or other law affecting the rights of creditors generally, if the obligations of any Credit Party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7"/>
          <w:szCs w:val="17"/>
          <w:u w:val="single" w:color="auto"/>
          <w:color w:val="auto"/>
        </w:rPr>
        <w:t>Section 6.01</w:t>
      </w:r>
      <w:r>
        <w:rPr>
          <w:rFonts w:ascii="Arial" w:cs="Arial" w:eastAsia="Arial" w:hAnsi="Arial"/>
          <w:sz w:val="17"/>
          <w:szCs w:val="17"/>
          <w:color w:val="auto"/>
        </w:rPr>
        <w:t>,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6.08. Release of Guarantors</w:t>
      </w:r>
      <w:r>
        <w:rPr>
          <w:rFonts w:ascii="Arial" w:cs="Arial" w:eastAsia="Arial" w:hAnsi="Arial"/>
          <w:sz w:val="18"/>
          <w:szCs w:val="18"/>
          <w:color w:val="auto"/>
        </w:rPr>
        <w:t>. If, in compliance with the terms and provisions of the Credit Documents, (i) the Equity Interests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are directly or indirectly sold or otherwise transferred such that such Guarantor no longer constitutes a Restricted Subsidiary (a “</w:t>
      </w:r>
      <w:r>
        <w:rPr>
          <w:rFonts w:ascii="Arial" w:cs="Arial" w:eastAsia="Arial" w:hAnsi="Arial"/>
          <w:sz w:val="18"/>
          <w:szCs w:val="18"/>
          <w:b w:val="1"/>
          <w:bCs w:val="1"/>
          <w:color w:val="auto"/>
        </w:rPr>
        <w:t>Transferred</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w:t>
      </w:r>
      <w:r>
        <w:rPr>
          <w:rFonts w:ascii="Arial" w:cs="Arial" w:eastAsia="Arial" w:hAnsi="Arial"/>
          <w:sz w:val="18"/>
          <w:szCs w:val="18"/>
          <w:color w:val="auto"/>
        </w:rPr>
        <w:t>”) to a Person or Persons, none of which is Borrower or a Restricted Subsidiary, or (ii) any Restricted Subsidiary is designated as or becomes an</w:t>
      </w:r>
      <w:r>
        <w:rPr>
          <w:rFonts w:ascii="Arial" w:cs="Arial" w:eastAsia="Arial" w:hAnsi="Arial"/>
          <w:sz w:val="18"/>
          <w:szCs w:val="18"/>
          <w:b w:val="1"/>
          <w:bCs w:val="1"/>
          <w:color w:val="auto"/>
        </w:rPr>
        <w:t xml:space="preserve"> </w:t>
      </w:r>
      <w:r>
        <w:rPr>
          <w:rFonts w:ascii="Arial" w:cs="Arial" w:eastAsia="Arial" w:hAnsi="Arial"/>
          <w:sz w:val="18"/>
          <w:szCs w:val="18"/>
          <w:color w:val="auto"/>
        </w:rPr>
        <w:t>Excluded Subsidiary, such Transferred Guarantor or Excluded Subsidiary, as applicable, upon the consummation of such sale, transfer or designation or such Person becoming an Excluded Subsidiary, as applicable, shall be automatically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80" w:right="239" w:bottom="1440" w:gutter="0" w:footer="0" w:header="0"/>
        </w:sectPr>
      </w:pPr>
    </w:p>
    <w:bookmarkStart w:id="316" w:name="page317"/>
    <w:bookmarkEnd w:id="316"/>
    <w:p>
      <w:pPr>
        <w:jc w:val="both"/>
        <w:spacing w:after="0" w:line="297" w:lineRule="auto"/>
        <w:rPr>
          <w:sz w:val="20"/>
          <w:szCs w:val="20"/>
          <w:color w:val="auto"/>
        </w:rPr>
      </w:pPr>
      <w:r>
        <w:rPr>
          <w:rFonts w:ascii="Arial" w:cs="Arial" w:eastAsia="Arial" w:hAnsi="Arial"/>
          <w:sz w:val="16"/>
          <w:szCs w:val="16"/>
          <w:color w:val="auto"/>
        </w:rPr>
        <w:t xml:space="preserve">released from its obligations under this Agreement (including under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in accordance with the relevant provisions of the Security Documents and this Agreement.</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6.09. Keepwell</w:t>
      </w:r>
      <w:r>
        <w:rPr>
          <w:rFonts w:ascii="Arial" w:cs="Arial" w:eastAsia="Arial" w:hAnsi="Arial"/>
          <w:sz w:val="17"/>
          <w:szCs w:val="17"/>
          <w:color w:val="auto"/>
        </w:rPr>
        <w:t>. Each Qualified ECP Guarantor hereby jointly and severally absolutely, unconditionally and irrevocably undertakes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such funds or other support as may be needed from time to time by each other Credit Party to honor all of its obligations under the Guarantee in respect of Swap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the Payment in Full of the Guaranteed Obligations. Each Qualified ECP Guarantor intends that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shall be deemed to constitute, a “keepwell, support, or other agreement” for the benefit of each other Credit Party for all purposes of Section 1a(18)(A)(v)(II) of the Commodity Exchange Act.</w:t>
      </w:r>
    </w:p>
    <w:p>
      <w:pPr>
        <w:spacing w:after="0" w:line="17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6.10. Right of Contribution</w:t>
      </w:r>
      <w:r>
        <w:rPr>
          <w:rFonts w:ascii="Arial" w:cs="Arial" w:eastAsia="Arial" w:hAnsi="Arial"/>
          <w:sz w:val="16"/>
          <w:szCs w:val="16"/>
          <w:color w:val="auto"/>
        </w:rPr>
        <w:t>. Each Credit Party hereby agrees that to the extent that a Credit Party (a “</w:t>
      </w:r>
      <w:r>
        <w:rPr>
          <w:rFonts w:ascii="Arial" w:cs="Arial" w:eastAsia="Arial" w:hAnsi="Arial"/>
          <w:sz w:val="16"/>
          <w:szCs w:val="16"/>
          <w:b w:val="1"/>
          <w:bCs w:val="1"/>
          <w:color w:val="auto"/>
        </w:rPr>
        <w:t>Funding Credit Party</w:t>
      </w:r>
      <w:r>
        <w:rPr>
          <w:rFonts w:ascii="Arial" w:cs="Arial" w:eastAsia="Arial" w:hAnsi="Arial"/>
          <w:sz w:val="16"/>
          <w:szCs w:val="16"/>
          <w:color w:val="auto"/>
        </w:rPr>
        <w: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shall in no respect limit the obligations and liabilities of any Credit Party to the Secured Parties, and each Credit Party shall remain liable to the Secured Parties for the full amount guaranteed by such Credit Party hereunder. “</w:t>
      </w:r>
      <w:r>
        <w:rPr>
          <w:rFonts w:ascii="Arial" w:cs="Arial" w:eastAsia="Arial" w:hAnsi="Arial"/>
          <w:sz w:val="16"/>
          <w:szCs w:val="16"/>
          <w:b w:val="1"/>
          <w:bCs w:val="1"/>
          <w:color w:val="auto"/>
        </w:rPr>
        <w:t>Fair</w:t>
      </w:r>
      <w:r>
        <w:rPr>
          <w:rFonts w:ascii="Arial" w:cs="Arial" w:eastAsia="Arial" w:hAnsi="Arial"/>
          <w:sz w:val="16"/>
          <w:szCs w:val="16"/>
          <w:color w:val="auto"/>
        </w:rPr>
        <w:t xml:space="preserve"> </w:t>
      </w:r>
      <w:r>
        <w:rPr>
          <w:rFonts w:ascii="Arial" w:cs="Arial" w:eastAsia="Arial" w:hAnsi="Arial"/>
          <w:sz w:val="16"/>
          <w:szCs w:val="16"/>
          <w:b w:val="1"/>
          <w:bCs w:val="1"/>
          <w:color w:val="auto"/>
        </w:rPr>
        <w:t>Share</w:t>
      </w:r>
      <w:r>
        <w:rPr>
          <w:rFonts w:ascii="Arial" w:cs="Arial" w:eastAsia="Arial" w:hAnsi="Arial"/>
          <w:sz w:val="16"/>
          <w:szCs w:val="16"/>
          <w:color w:val="auto"/>
        </w:rPr>
        <w:t>” means, with respect to a Credit Party as of any date of determination, an amount equal to (i) the ratio of (A) the Adjusted Maximum Amount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below) with respect to such Credit Party to (B) the aggregate of the Adjusted Maximum Amounts with respect to all Credit Parties multiplied by</w:t>
      </w:r>
    </w:p>
    <w:p>
      <w:pPr>
        <w:spacing w:after="0" w:line="2" w:lineRule="exact"/>
        <w:rPr>
          <w:sz w:val="20"/>
          <w:szCs w:val="20"/>
          <w:color w:val="auto"/>
        </w:rPr>
      </w:pPr>
    </w:p>
    <w:p>
      <w:pPr>
        <w:jc w:val="both"/>
        <w:ind w:firstLine="8"/>
        <w:spacing w:after="0" w:line="252" w:lineRule="auto"/>
        <w:tabs>
          <w:tab w:leader="none" w:pos="299"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the aggregate amount paid or distributed on or before such date by all Funding Credit Parties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 respect of the Guaranteed Obligations. “</w:t>
      </w:r>
      <w:r>
        <w:rPr>
          <w:rFonts w:ascii="Arial" w:cs="Arial" w:eastAsia="Arial" w:hAnsi="Arial"/>
          <w:sz w:val="18"/>
          <w:szCs w:val="18"/>
          <w:b w:val="1"/>
          <w:bCs w:val="1"/>
          <w:color w:val="auto"/>
        </w:rPr>
        <w:t>Adjusted Maximum Amount</w:t>
      </w:r>
      <w:r>
        <w:rPr>
          <w:rFonts w:ascii="Arial" w:cs="Arial" w:eastAsia="Arial" w:hAnsi="Arial"/>
          <w:sz w:val="18"/>
          <w:szCs w:val="18"/>
          <w:color w:val="auto"/>
        </w:rPr>
        <w:t xml:space="preserve">” means, with respect to a Credit Party as of any date of determination, the maximum aggregate amount of the obligations of such Credit Party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purposes of calculating the “Adjusted Maximum Amount” with respect to any Credit Party for purposes of this </w:t>
      </w:r>
      <w:r>
        <w:rPr>
          <w:rFonts w:ascii="Arial" w:cs="Arial" w:eastAsia="Arial" w:hAnsi="Arial"/>
          <w:sz w:val="18"/>
          <w:szCs w:val="18"/>
          <w:u w:val="single" w:color="auto"/>
          <w:color w:val="auto"/>
        </w:rPr>
        <w:t>Section 6.10</w:t>
      </w:r>
      <w:r>
        <w:rPr>
          <w:rFonts w:ascii="Arial" w:cs="Arial" w:eastAsia="Arial" w:hAnsi="Arial"/>
          <w:sz w:val="18"/>
          <w:szCs w:val="18"/>
          <w:color w:val="auto"/>
        </w:rPr>
        <w:t>, any assets or liabilities of such Credit Party arising by virtue of any rights to subrogation, reimbursement or indemnification or any rights to or obligations of contribution hereunder shall not be considered as assets or liabilities of such Credit Party. The amounts payable as contributions hereunder shall be determined as of the date on which the related payment or distribution is made by the applicable Funding Credit Party.</w:t>
      </w:r>
    </w:p>
    <w:p>
      <w:pPr>
        <w:spacing w:after="0" w:line="19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w:t>
      </w:r>
    </w:p>
    <w:p>
      <w:pPr>
        <w:spacing w:after="0" w:line="221"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SECTION 7.01. Conditions to Initial Extensions of Credit</w:t>
      </w:r>
      <w:r>
        <w:rPr>
          <w:rFonts w:ascii="Arial" w:cs="Arial" w:eastAsia="Arial" w:hAnsi="Arial"/>
          <w:sz w:val="18"/>
          <w:szCs w:val="18"/>
          <w:color w:val="auto"/>
        </w:rPr>
        <w:t>. The obligations of Lenders to enter into this Agreement on the Closing Date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satisfaction of the following:</w:t>
      </w:r>
    </w:p>
    <w:p>
      <w:pPr>
        <w:spacing w:after="0" w:line="162" w:lineRule="exact"/>
        <w:rPr>
          <w:sz w:val="20"/>
          <w:szCs w:val="20"/>
          <w:color w:val="auto"/>
        </w:rPr>
      </w:pPr>
    </w:p>
    <w:p>
      <w:pPr>
        <w:jc w:val="both"/>
        <w:ind w:firstLine="656"/>
        <w:spacing w:after="0" w:line="258" w:lineRule="auto"/>
        <w:tabs>
          <w:tab w:leader="none" w:pos="1055"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Corporate Documents</w:t>
      </w:r>
      <w:r>
        <w:rPr>
          <w:rFonts w:ascii="Arial" w:cs="Arial" w:eastAsia="Arial" w:hAnsi="Arial"/>
          <w:sz w:val="18"/>
          <w:szCs w:val="18"/>
          <w:color w:val="auto"/>
        </w:rPr>
        <w:t>. Administrative Agent shall have received copies of the Organizational Documents of each Credit Party and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5" w:right="239" w:bottom="1440" w:gutter="0" w:footer="0" w:header="0"/>
        </w:sectPr>
      </w:pPr>
    </w:p>
    <w:bookmarkStart w:id="317" w:name="page318"/>
    <w:bookmarkEnd w:id="317"/>
    <w:p>
      <w:pPr>
        <w:ind w:firstLine="656"/>
        <w:spacing w:after="0" w:line="282" w:lineRule="auto"/>
        <w:tabs>
          <w:tab w:leader="none" w:pos="1038"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Administrative Agent shall have received an Officer’s Certificate of Borrower, dated the Closing Date, certifying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set forth in </w:t>
      </w:r>
      <w:r>
        <w:rPr>
          <w:rFonts w:ascii="Arial" w:cs="Arial" w:eastAsia="Arial" w:hAnsi="Arial"/>
          <w:sz w:val="18"/>
          <w:szCs w:val="18"/>
          <w:u w:val="single" w:color="auto"/>
          <w:color w:val="auto"/>
        </w:rPr>
        <w:t>Section 7.01(o)</w:t>
      </w:r>
      <w:r>
        <w:rPr>
          <w:rFonts w:ascii="Arial" w:cs="Arial" w:eastAsia="Arial" w:hAnsi="Arial"/>
          <w:sz w:val="18"/>
          <w:szCs w:val="18"/>
          <w:color w:val="auto"/>
        </w:rPr>
        <w:t xml:space="preserve"> have been satisfied.</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82"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Administrative Agent shall have received the following opinions, each of which shall be addressed to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Collateral Agent, and the Lenders, dated the Closing Date and covering such matters as Administrative Agent shall reasonably request in a manner customary for transactions of this type:</w:t>
      </w:r>
    </w:p>
    <w:p>
      <w:pPr>
        <w:spacing w:after="0" w:line="180" w:lineRule="exact"/>
        <w:rPr>
          <w:rFonts w:ascii="Arial" w:cs="Arial" w:eastAsia="Arial" w:hAnsi="Arial"/>
          <w:sz w:val="18"/>
          <w:szCs w:val="18"/>
          <w:color w:val="auto"/>
        </w:rPr>
      </w:pPr>
    </w:p>
    <w:p>
      <w:pPr>
        <w:ind w:left="1660" w:hanging="355"/>
        <w:spacing w:after="0"/>
        <w:tabs>
          <w:tab w:leader="none" w:pos="166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 opinion of Latham &amp; Watkins LLP, special counsel to the Credit Parties;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opinions of local counsel to the Credit Parties in such jurisdictions as are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20" w:firstLine="656"/>
        <w:spacing w:after="0" w:line="282" w:lineRule="auto"/>
        <w:tabs>
          <w:tab w:leader="none" w:pos="1079"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 Administrative Agent shall have received copies of the Notes, duly completed and executed, for each Lender that requested a Note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Business Days prior to the Closing Date.</w:t>
      </w:r>
    </w:p>
    <w:p>
      <w:pPr>
        <w:spacing w:after="0" w:line="161" w:lineRule="exact"/>
        <w:rPr>
          <w:rFonts w:ascii="Arial" w:cs="Arial" w:eastAsia="Arial" w:hAnsi="Arial"/>
          <w:sz w:val="18"/>
          <w:szCs w:val="18"/>
          <w:color w:val="auto"/>
        </w:rPr>
      </w:pPr>
    </w:p>
    <w:p>
      <w:pPr>
        <w:ind w:firstLine="656"/>
        <w:spacing w:after="0" w:line="282" w:lineRule="auto"/>
        <w:tabs>
          <w:tab w:leader="none" w:pos="1055"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Administrative Agent shall have received this Agreement (a) executed and delivered by a duly authorized officer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Credit Party and (b) executed and delivered by a duly authorized officer of each Person that is a Lender on the Closing Date.</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103"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Filings and Lien Searches</w:t>
      </w:r>
      <w:r>
        <w:rPr>
          <w:rFonts w:ascii="Arial" w:cs="Arial" w:eastAsia="Arial" w:hAnsi="Arial"/>
          <w:sz w:val="18"/>
          <w:szCs w:val="18"/>
          <w:color w:val="auto"/>
        </w:rPr>
        <w:t>. Administrative Agent shall have received (i) UCC financing statements in form appropriate for filing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organization of each Credit Party, (ii) results of lien searches conducted in the jurisdictions in which Borrower and its Restricted Subsidiaries are organized and such other jurisdictions as may be requested by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83" w:lineRule="exact"/>
        <w:rPr>
          <w:rFonts w:ascii="Arial" w:cs="Arial" w:eastAsia="Arial" w:hAnsi="Arial"/>
          <w:sz w:val="18"/>
          <w:szCs w:val="18"/>
          <w:color w:val="auto"/>
        </w:rPr>
      </w:pPr>
    </w:p>
    <w:p>
      <w:pPr>
        <w:jc w:val="both"/>
        <w:ind w:firstLine="656"/>
        <w:spacing w:after="0" w:line="290" w:lineRule="auto"/>
        <w:tabs>
          <w:tab w:leader="none" w:pos="1065" w:val="left"/>
        </w:tabs>
        <w:numPr>
          <w:ilvl w:val="0"/>
          <w:numId w:val="331"/>
        </w:numPr>
        <w:rPr>
          <w:rFonts w:ascii="Arial" w:cs="Arial" w:eastAsia="Arial" w:hAnsi="Arial"/>
          <w:sz w:val="16"/>
          <w:szCs w:val="16"/>
          <w:color w:val="auto"/>
        </w:rPr>
      </w:pPr>
      <w:r>
        <w:rPr>
          <w:rFonts w:ascii="Arial" w:cs="Arial" w:eastAsia="Arial" w:hAnsi="Arial"/>
          <w:sz w:val="16"/>
          <w:szCs w:val="16"/>
          <w:b w:val="1"/>
          <w:bCs w:val="1"/>
          <w:color w:val="auto"/>
        </w:rPr>
        <w:t>Security Agreement</w:t>
      </w:r>
      <w:r>
        <w:rPr>
          <w:rFonts w:ascii="Arial" w:cs="Arial" w:eastAsia="Arial" w:hAnsi="Arial"/>
          <w:sz w:val="16"/>
          <w:szCs w:val="16"/>
          <w:color w:val="auto"/>
        </w:rPr>
        <w:t>. (i) Administrative Agent shall have received the Security Agreement and the Initial Perfection Certificate, in each case</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59" w:lineRule="exact"/>
        <w:rPr>
          <w:rFonts w:ascii="Arial" w:cs="Arial" w:eastAsia="Arial" w:hAnsi="Arial"/>
          <w:sz w:val="16"/>
          <w:szCs w:val="16"/>
          <w:color w:val="auto"/>
        </w:rPr>
      </w:pPr>
    </w:p>
    <w:p>
      <w:pPr>
        <w:jc w:val="both"/>
        <w:ind w:firstLine="656"/>
        <w:spacing w:after="0" w:line="289" w:lineRule="auto"/>
        <w:tabs>
          <w:tab w:leader="none" w:pos="1052"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Credit Documents in Full Force and Effect; Commitment Letter</w:t>
      </w:r>
      <w:r>
        <w:rPr>
          <w:rFonts w:ascii="Arial" w:cs="Arial" w:eastAsia="Arial" w:hAnsi="Arial"/>
          <w:sz w:val="17"/>
          <w:szCs w:val="17"/>
          <w:color w:val="auto"/>
        </w:rPr>
        <w:t>. The Credit Documents required to be executed and delivered on or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Closing Date shall be in full force and effect. Borrower shall have complied, or shall comply substantially concurrently with the funding of the Loans hereunder, in all respects with its payment obligations under the Commitment Letter required to be performed on the Closing Date.</w:t>
      </w:r>
    </w:p>
    <w:p>
      <w:pPr>
        <w:spacing w:after="0" w:line="158" w:lineRule="exact"/>
        <w:rPr>
          <w:rFonts w:ascii="Arial" w:cs="Arial" w:eastAsia="Arial" w:hAnsi="Arial"/>
          <w:sz w:val="17"/>
          <w:szCs w:val="17"/>
          <w:color w:val="auto"/>
        </w:rPr>
      </w:pPr>
    </w:p>
    <w:p>
      <w:pPr>
        <w:jc w:val="both"/>
        <w:ind w:firstLine="656"/>
        <w:spacing w:after="0" w:line="281" w:lineRule="auto"/>
        <w:tabs>
          <w:tab w:leader="none" w:pos="1025" w:val="left"/>
        </w:tabs>
        <w:numPr>
          <w:ilvl w:val="0"/>
          <w:numId w:val="331"/>
        </w:numPr>
        <w:rPr>
          <w:rFonts w:ascii="Arial" w:cs="Arial" w:eastAsia="Arial" w:hAnsi="Arial"/>
          <w:sz w:val="17"/>
          <w:szCs w:val="17"/>
          <w:color w:val="auto"/>
        </w:rPr>
      </w:pPr>
      <w:r>
        <w:rPr>
          <w:rFonts w:ascii="Arial" w:cs="Arial" w:eastAsia="Arial" w:hAnsi="Arial"/>
          <w:sz w:val="17"/>
          <w:szCs w:val="17"/>
          <w:b w:val="1"/>
          <w:bCs w:val="1"/>
          <w:color w:val="auto"/>
        </w:rPr>
        <w:t>Consummation of Transactions</w:t>
      </w:r>
      <w:r>
        <w:rPr>
          <w:rFonts w:ascii="Arial" w:cs="Arial" w:eastAsia="Arial" w:hAnsi="Arial"/>
          <w:sz w:val="17"/>
          <w:szCs w:val="17"/>
          <w:color w:val="auto"/>
        </w:rPr>
        <w:t>. The Transactions shall have been consummated and the consummation thereof shall be in compliance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64" w:lineRule="exact"/>
        <w:rPr>
          <w:rFonts w:ascii="Arial" w:cs="Arial" w:eastAsia="Arial" w:hAnsi="Arial"/>
          <w:sz w:val="17"/>
          <w:szCs w:val="17"/>
          <w:color w:val="auto"/>
        </w:rPr>
      </w:pPr>
    </w:p>
    <w:p>
      <w:pPr>
        <w:ind w:firstLine="656"/>
        <w:spacing w:after="0" w:line="282" w:lineRule="auto"/>
        <w:tabs>
          <w:tab w:leader="none" w:pos="1066"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Approvals</w:t>
      </w:r>
      <w:r>
        <w:rPr>
          <w:rFonts w:ascii="Arial" w:cs="Arial" w:eastAsia="Arial" w:hAnsi="Arial"/>
          <w:sz w:val="18"/>
          <w:szCs w:val="18"/>
          <w:color w:val="auto"/>
        </w:rPr>
        <w:t>. Other than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7.01(j)</w:t>
      </w:r>
      <w:r>
        <w:rPr>
          <w:rFonts w:ascii="Arial" w:cs="Arial" w:eastAsia="Arial" w:hAnsi="Arial"/>
          <w:sz w:val="18"/>
          <w:szCs w:val="18"/>
          <w:b w:val="1"/>
          <w:bCs w:val="1"/>
          <w:color w:val="auto"/>
        </w:rPr>
        <w:t xml:space="preserve"> </w:t>
      </w:r>
      <w:r>
        <w:rPr>
          <w:rFonts w:ascii="Arial" w:cs="Arial" w:eastAsia="Arial" w:hAnsi="Arial"/>
          <w:sz w:val="18"/>
          <w:szCs w:val="18"/>
          <w:color w:val="auto"/>
        </w:rPr>
        <w:t>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8.06</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8.15</w:t>
      </w:r>
      <w:r>
        <w:rPr>
          <w:rFonts w:ascii="Arial" w:cs="Arial" w:eastAsia="Arial" w:hAnsi="Arial"/>
          <w:sz w:val="18"/>
          <w:szCs w:val="18"/>
          <w:color w:val="auto"/>
        </w:rPr>
        <w:t>, all necessary Governmental Authority 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Gaming Approvals) and/or consents in connection with the Transactions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80" w:right="239" w:bottom="1440" w:gutter="0" w:footer="0" w:header="0"/>
        </w:sectPr>
      </w:pPr>
    </w:p>
    <w:bookmarkStart w:id="318" w:name="page319"/>
    <w:bookmarkEnd w:id="318"/>
    <w:p>
      <w:pPr>
        <w:jc w:val="both"/>
        <w:spacing w:after="0" w:line="264" w:lineRule="auto"/>
        <w:rPr>
          <w:sz w:val="20"/>
          <w:szCs w:val="20"/>
          <w:color w:val="auto"/>
        </w:rPr>
      </w:pPr>
      <w:r>
        <w:rPr>
          <w:rFonts w:ascii="Arial" w:cs="Arial" w:eastAsia="Arial" w:hAnsi="Arial"/>
          <w:sz w:val="18"/>
          <w:szCs w:val="18"/>
          <w:color w:val="auto"/>
        </w:rPr>
        <w:t>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77" w:lineRule="exact"/>
        <w:rPr>
          <w:sz w:val="20"/>
          <w:szCs w:val="20"/>
          <w:color w:val="auto"/>
        </w:rPr>
      </w:pPr>
    </w:p>
    <w:p>
      <w:pPr>
        <w:jc w:val="both"/>
        <w:ind w:firstLine="656"/>
        <w:spacing w:after="0" w:line="266" w:lineRule="auto"/>
        <w:tabs>
          <w:tab w:leader="none" w:pos="1038"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Administrative Agent shall have received a certificate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G</w:t>
      </w:r>
      <w:r>
        <w:rPr>
          <w:rFonts w:ascii="Arial" w:cs="Arial" w:eastAsia="Arial" w:hAnsi="Arial"/>
          <w:sz w:val="18"/>
          <w:szCs w:val="18"/>
          <w:b w:val="1"/>
          <w:bCs w:val="1"/>
          <w:color w:val="auto"/>
        </w:rPr>
        <w:t xml:space="preserve"> </w:t>
      </w:r>
      <w:r>
        <w:rPr>
          <w:rFonts w:ascii="Arial" w:cs="Arial" w:eastAsia="Arial" w:hAnsi="Arial"/>
          <w:sz w:val="18"/>
          <w:szCs w:val="18"/>
          <w:color w:val="auto"/>
        </w:rPr>
        <w:t>from a Responsible Officer of Borrower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Solvency of Borrower (on a consolidated basis with its Restricted Subsidiaries), immediately after giving effect to the consummation of the Transactions.</w:t>
      </w:r>
    </w:p>
    <w:p>
      <w:pPr>
        <w:spacing w:after="0" w:line="176" w:lineRule="exact"/>
        <w:rPr>
          <w:rFonts w:ascii="Arial" w:cs="Arial" w:eastAsia="Arial" w:hAnsi="Arial"/>
          <w:sz w:val="18"/>
          <w:szCs w:val="18"/>
          <w:color w:val="auto"/>
        </w:rPr>
      </w:pPr>
    </w:p>
    <w:p>
      <w:pPr>
        <w:jc w:val="both"/>
        <w:ind w:firstLine="656"/>
        <w:spacing w:after="0" w:line="261" w:lineRule="auto"/>
        <w:tabs>
          <w:tab w:leader="none" w:pos="1066"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 To the extent invoiced at least five (5) Business Days prior to the closing date, all reasonable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Administrative Agent, Lead Arrangers, and (in the case of fees only) the Lenders required to be paid by this Agreement, the Commitment Letter or as otherwise agreed by Borrower, in each case, payable to Administrative Agent, Lead Arrangers, and/or Lenders in respect of the Transactions, shall have been paid to the extent due.</w:t>
      </w:r>
    </w:p>
    <w:p>
      <w:pPr>
        <w:spacing w:after="0" w:line="180" w:lineRule="exact"/>
        <w:rPr>
          <w:rFonts w:ascii="Arial" w:cs="Arial" w:eastAsia="Arial" w:hAnsi="Arial"/>
          <w:sz w:val="18"/>
          <w:szCs w:val="18"/>
          <w:color w:val="auto"/>
        </w:rPr>
      </w:pPr>
    </w:p>
    <w:p>
      <w:pPr>
        <w:jc w:val="both"/>
        <w:ind w:firstLine="656"/>
        <w:spacing w:after="0" w:line="295" w:lineRule="auto"/>
        <w:tabs>
          <w:tab w:leader="none" w:pos="1115" w:val="left"/>
        </w:tabs>
        <w:numPr>
          <w:ilvl w:val="0"/>
          <w:numId w:val="332"/>
        </w:numPr>
        <w:rPr>
          <w:rFonts w:ascii="Arial" w:cs="Arial" w:eastAsia="Arial" w:hAnsi="Arial"/>
          <w:sz w:val="16"/>
          <w:szCs w:val="16"/>
          <w:color w:val="auto"/>
        </w:rPr>
      </w:pPr>
      <w:r>
        <w:rPr>
          <w:rFonts w:ascii="Arial" w:cs="Arial" w:eastAsia="Arial" w:hAnsi="Arial"/>
          <w:sz w:val="16"/>
          <w:szCs w:val="16"/>
          <w:b w:val="1"/>
          <w:bCs w:val="1"/>
          <w:color w:val="auto"/>
        </w:rPr>
        <w:t>Patriot Act; Beneficial Ownership Regulation</w:t>
      </w:r>
      <w:r>
        <w:rPr>
          <w:rFonts w:ascii="Arial" w:cs="Arial" w:eastAsia="Arial" w:hAnsi="Arial"/>
          <w:sz w:val="16"/>
          <w:szCs w:val="16"/>
          <w:color w:val="auto"/>
        </w:rPr>
        <w:t>. Administrative Agent shall have received at least five (5) days prior to the Closing Date all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 Administrative Agent shall have received at least five (5) days prior to the Closing Date, a Beneficial Ownership Certification in relation to Borrower if it qualifies as a “legal entity customer” under the Beneficial Ownership Regulation and is not subject to any exemption thereunder, to the extent requested in writing not less than ten (10) days prior to the Closing Date.</w:t>
      </w:r>
    </w:p>
    <w:p>
      <w:pPr>
        <w:spacing w:after="0" w:line="155" w:lineRule="exact"/>
        <w:rPr>
          <w:rFonts w:ascii="Arial" w:cs="Arial" w:eastAsia="Arial" w:hAnsi="Arial"/>
          <w:sz w:val="16"/>
          <w:szCs w:val="16"/>
          <w:color w:val="auto"/>
        </w:rPr>
      </w:pPr>
    </w:p>
    <w:p>
      <w:pPr>
        <w:jc w:val="both"/>
        <w:ind w:firstLine="656"/>
        <w:spacing w:after="0" w:line="261" w:lineRule="auto"/>
        <w:tabs>
          <w:tab w:leader="none" w:pos="1065"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Wynn Resorts Financials</w:t>
      </w:r>
      <w:r>
        <w:rPr>
          <w:rFonts w:ascii="Arial" w:cs="Arial" w:eastAsia="Arial" w:hAnsi="Arial"/>
          <w:sz w:val="18"/>
          <w:szCs w:val="18"/>
          <w:color w:val="auto"/>
        </w:rPr>
        <w:t>. Borrower has delivered to Administrative Agent or made publically available (i) the audited consolidated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sheets and related statements of income, equity, and cash flows for the fiscal years ended December 31, 2016, 2017, and 2018 and (ii) the unaudited interim consolidated balance sheets and related statements of income and cash flows for each fiscal quarter ending after December 31, 2018 and at least 40 days prior to the Closing Date.</w:t>
      </w:r>
    </w:p>
    <w:p>
      <w:pPr>
        <w:spacing w:after="0" w:line="180" w:lineRule="exact"/>
        <w:rPr>
          <w:rFonts w:ascii="Arial" w:cs="Arial" w:eastAsia="Arial" w:hAnsi="Arial"/>
          <w:sz w:val="18"/>
          <w:szCs w:val="18"/>
          <w:color w:val="auto"/>
        </w:rPr>
      </w:pPr>
    </w:p>
    <w:p>
      <w:pPr>
        <w:ind w:firstLine="656"/>
        <w:spacing w:after="0" w:line="313" w:lineRule="auto"/>
        <w:tabs>
          <w:tab w:leader="none" w:pos="1038" w:val="left"/>
        </w:tabs>
        <w:numPr>
          <w:ilvl w:val="0"/>
          <w:numId w:val="332"/>
        </w:numPr>
        <w:rPr>
          <w:rFonts w:ascii="Arial" w:cs="Arial" w:eastAsia="Arial" w:hAnsi="Arial"/>
          <w:sz w:val="17"/>
          <w:szCs w:val="17"/>
          <w:color w:val="auto"/>
        </w:rPr>
      </w:pPr>
      <w:r>
        <w:rPr>
          <w:rFonts w:ascii="Arial" w:cs="Arial" w:eastAsia="Arial" w:hAnsi="Arial"/>
          <w:sz w:val="17"/>
          <w:szCs w:val="17"/>
          <w:b w:val="1"/>
          <w:bCs w:val="1"/>
          <w:color w:val="auto"/>
        </w:rPr>
        <w:t>Representations and Warranties</w:t>
      </w:r>
      <w:r>
        <w:rPr>
          <w:rFonts w:ascii="Arial" w:cs="Arial" w:eastAsia="Arial" w:hAnsi="Arial"/>
          <w:sz w:val="17"/>
          <w:szCs w:val="17"/>
          <w:color w:val="auto"/>
        </w:rPr>
        <w:t>. The Specified Representations shall be true and correct in all material respects</w:t>
      </w:r>
      <w:r>
        <w:rPr>
          <w:rFonts w:ascii="Arial" w:cs="Arial" w:eastAsia="Arial" w:hAnsi="Arial"/>
          <w:sz w:val="17"/>
          <w:szCs w:val="17"/>
          <w:i w:val="1"/>
          <w:iCs w:val="1"/>
          <w:color w:val="auto"/>
        </w:rPr>
        <w:t>;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any Specified</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 that is qualified as to “materiality,” “Material Adverse Effect” or similar language shall be true and correct in all respects.</w:t>
      </w:r>
    </w:p>
    <w:p>
      <w:pPr>
        <w:spacing w:after="0" w:line="138" w:lineRule="exact"/>
        <w:rPr>
          <w:rFonts w:ascii="Arial" w:cs="Arial" w:eastAsia="Arial" w:hAnsi="Arial"/>
          <w:sz w:val="17"/>
          <w:szCs w:val="17"/>
          <w:color w:val="auto"/>
        </w:rPr>
      </w:pPr>
    </w:p>
    <w:p>
      <w:pPr>
        <w:jc w:val="both"/>
        <w:ind w:firstLine="656"/>
        <w:spacing w:after="0" w:line="270" w:lineRule="auto"/>
        <w:tabs>
          <w:tab w:leader="none" w:pos="1052" w:val="left"/>
        </w:tabs>
        <w:numPr>
          <w:ilvl w:val="0"/>
          <w:numId w:val="332"/>
        </w:numPr>
        <w:rPr>
          <w:rFonts w:ascii="Arial" w:cs="Arial" w:eastAsia="Arial" w:hAnsi="Arial"/>
          <w:sz w:val="17"/>
          <w:szCs w:val="17"/>
          <w:color w:val="auto"/>
        </w:rPr>
      </w:pPr>
      <w:r>
        <w:rPr>
          <w:rFonts w:ascii="Arial" w:cs="Arial" w:eastAsia="Arial" w:hAnsi="Arial"/>
          <w:sz w:val="17"/>
          <w:szCs w:val="17"/>
          <w:b w:val="1"/>
          <w:bCs w:val="1"/>
          <w:color w:val="auto"/>
        </w:rPr>
        <w:t>Repayment of Indebtedness</w:t>
      </w:r>
      <w:r>
        <w:rPr>
          <w:rFonts w:ascii="Arial" w:cs="Arial" w:eastAsia="Arial" w:hAnsi="Arial"/>
          <w:sz w:val="17"/>
          <w:szCs w:val="17"/>
          <w:color w:val="auto"/>
        </w:rPr>
        <w:t>. Borrower and its Restricted Subsidiaries shall have effected (or will, on the Closing Date, effect) the repayment</w:t>
      </w:r>
      <w:r>
        <w:rPr>
          <w:rFonts w:ascii="Arial" w:cs="Arial" w:eastAsia="Arial" w:hAnsi="Arial"/>
          <w:sz w:val="17"/>
          <w:szCs w:val="17"/>
          <w:b w:val="1"/>
          <w:bCs w:val="1"/>
          <w:color w:val="auto"/>
        </w:rPr>
        <w:t xml:space="preserve"> </w:t>
      </w:r>
      <w:r>
        <w:rPr>
          <w:rFonts w:ascii="Arial" w:cs="Arial" w:eastAsia="Arial" w:hAnsi="Arial"/>
          <w:sz w:val="17"/>
          <w:szCs w:val="17"/>
          <w:color w:val="auto"/>
        </w:rPr>
        <w:t>in full of all obligations and indebtedness of Borrower and its Restricted Subsidiaries in respect of the Existing Credit Agreements, including, without limitation, the termination of all outstanding commitments in effect under the Existing Credit Agreements (with the exception of obligations relating to each applicable Existing Letter of Credit issued thereunder), on customary terms and conditions and pursuant to documentation reasonably satisfactory to Administrative Agent. All Liens and guarantees in respect of such obligations shall have been terminated or released (or arrangements for such termination or release reasonably satisfactory to Administrative Agent shall have been made) (with the exception of obligations relating to each applicable Existing Letter of Credit issued thereunder), and Administrative Agent shall have received (or will, on the Closing Date, receive) evidence thereof reasonably satisfactory to Administrative Agent and a “pay-off” letter or letters reasonably satisfactory to Administrative Agent with respect to such obligations and such UCC termination statements, mortgage releases, and other instruments, in each case in proper form for recording, as Administrative Agent shall have reasonably requested to release and terminate of record the Liens securing such obligations (or arrangements for such termination or release reasonably satisfactory to Administrative Agent shall have been made).</w:t>
      </w:r>
    </w:p>
    <w:p>
      <w:pPr>
        <w:spacing w:after="0" w:line="174" w:lineRule="exact"/>
        <w:rPr>
          <w:rFonts w:ascii="Arial" w:cs="Arial" w:eastAsia="Arial" w:hAnsi="Arial"/>
          <w:sz w:val="17"/>
          <w:szCs w:val="17"/>
          <w:color w:val="auto"/>
        </w:rPr>
      </w:pPr>
    </w:p>
    <w:p>
      <w:pPr>
        <w:ind w:firstLine="656"/>
        <w:spacing w:after="0" w:line="282" w:lineRule="auto"/>
        <w:tabs>
          <w:tab w:leader="none" w:pos="1156"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Wynn Resorts Finance Notes</w:t>
      </w:r>
      <w:r>
        <w:rPr>
          <w:rFonts w:ascii="Arial" w:cs="Arial" w:eastAsia="Arial" w:hAnsi="Arial"/>
          <w:sz w:val="18"/>
          <w:szCs w:val="18"/>
          <w:color w:val="auto"/>
        </w:rPr>
        <w:t>. Substantially concurrently with the funding of the Loans hereunder, the indenture for the Wynn Resorts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Notes shall be executed and delivered by the parties thereto.</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7.02. Conditions to All Extensions of Credit</w:t>
      </w:r>
      <w:r>
        <w:rPr>
          <w:rFonts w:ascii="Arial" w:cs="Arial" w:eastAsia="Arial" w:hAnsi="Arial"/>
          <w:sz w:val="18"/>
          <w:szCs w:val="18"/>
          <w:color w:val="auto"/>
        </w:rPr>
        <w:t>. Subject to the limitations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applicable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Joinder Agreement, the obligations of the Lenders to make any Loan or otherwise extend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584" w:right="239" w:bottom="1440" w:gutter="0" w:footer="0" w:header="0"/>
        </w:sectPr>
      </w:pPr>
    </w:p>
    <w:bookmarkStart w:id="319" w:name="page320"/>
    <w:bookmarkEnd w:id="319"/>
    <w:p>
      <w:pPr>
        <w:ind w:right="20"/>
        <w:spacing w:after="0" w:line="277" w:lineRule="auto"/>
        <w:rPr>
          <w:sz w:val="20"/>
          <w:szCs w:val="20"/>
          <w:color w:val="auto"/>
        </w:rPr>
      </w:pPr>
      <w:r>
        <w:rPr>
          <w:rFonts w:ascii="Arial" w:cs="Arial" w:eastAsia="Arial" w:hAnsi="Arial"/>
          <w:sz w:val="18"/>
          <w:szCs w:val="18"/>
          <w:color w:val="auto"/>
        </w:rPr>
        <w:t>any credit to Borrower upon the occasion of each Borrowing or other extension of credit (whether by making a Loan or issuing a Letter of Credit) hereunder after the Closing Date is subject to the conditions precedent that:</w:t>
      </w:r>
    </w:p>
    <w:p>
      <w:pPr>
        <w:spacing w:after="0" w:line="166" w:lineRule="exact"/>
        <w:rPr>
          <w:sz w:val="20"/>
          <w:szCs w:val="20"/>
          <w:color w:val="auto"/>
        </w:rPr>
      </w:pPr>
    </w:p>
    <w:p>
      <w:pPr>
        <w:ind w:firstLine="656"/>
        <w:spacing w:after="0" w:line="282" w:lineRule="auto"/>
        <w:tabs>
          <w:tab w:leader="none" w:pos="1122"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No Default or Event of Default; Representations and Warranties True</w:t>
      </w:r>
      <w:r>
        <w:rPr>
          <w:rFonts w:ascii="Arial" w:cs="Arial" w:eastAsia="Arial" w:hAnsi="Arial"/>
          <w:sz w:val="18"/>
          <w:szCs w:val="18"/>
          <w:color w:val="auto"/>
        </w:rPr>
        <w:t>. Both immediately prior to the making of such Loan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of credit and also after giving effect thereto and to the intended use thereof:</w:t>
      </w:r>
    </w:p>
    <w:p>
      <w:pPr>
        <w:spacing w:after="0" w:line="165" w:lineRule="exact"/>
        <w:rPr>
          <w:rFonts w:ascii="Arial" w:cs="Arial" w:eastAsia="Arial" w:hAnsi="Arial"/>
          <w:sz w:val="18"/>
          <w:szCs w:val="18"/>
          <w:color w:val="auto"/>
        </w:rPr>
      </w:pPr>
    </w:p>
    <w:p>
      <w:pPr>
        <w:jc w:val="both"/>
        <w:ind w:left="660" w:right="20" w:firstLine="645"/>
        <w:spacing w:after="0" w:line="291" w:lineRule="auto"/>
        <w:tabs>
          <w:tab w:leader="none" w:pos="1672" w:val="left"/>
        </w:tabs>
        <w:numPr>
          <w:ilvl w:val="1"/>
          <w:numId w:val="333"/>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(i) shall not apply to any extensions of credit pursuant to (x) an Incremental Commitment to the extent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the applicable Incremental Joinder Agreement or</w:t>
      </w:r>
    </w:p>
    <w:p>
      <w:pPr>
        <w:ind w:left="660" w:right="20" w:hanging="4"/>
        <w:spacing w:after="0" w:line="261" w:lineRule="auto"/>
        <w:tabs>
          <w:tab w:leader="none" w:pos="94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Extended Term Loans and/or Extended Revolving Commitments, as applicable, to the extent provided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and the applicable Extension Amendment);</w:t>
      </w:r>
    </w:p>
    <w:p>
      <w:pPr>
        <w:spacing w:after="0" w:line="184" w:lineRule="exact"/>
        <w:rPr>
          <w:sz w:val="20"/>
          <w:szCs w:val="20"/>
          <w:color w:val="auto"/>
        </w:rPr>
      </w:pPr>
    </w:p>
    <w:p>
      <w:pPr>
        <w:jc w:val="both"/>
        <w:ind w:left="660" w:firstLine="645"/>
        <w:spacing w:after="0" w:line="290" w:lineRule="auto"/>
        <w:tabs>
          <w:tab w:leader="none" w:pos="1708"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made by the Credit Parties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shall not apply to any extensions of credit pursuant to (x) an Incremental Commitment to the extent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the applicable Incremental Joinder Agreement or (y) Extended Term Loans and/or Extended Revolving Commitments, as applicable, to the extent provided in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and the applicable Extension Amendment); and</w:t>
      </w:r>
    </w:p>
    <w:p>
      <w:pPr>
        <w:spacing w:after="0" w:line="166" w:lineRule="exact"/>
        <w:rPr>
          <w:rFonts w:ascii="Arial" w:cs="Arial" w:eastAsia="Arial" w:hAnsi="Arial"/>
          <w:sz w:val="16"/>
          <w:szCs w:val="16"/>
          <w:color w:val="auto"/>
        </w:rPr>
      </w:pPr>
    </w:p>
    <w:p>
      <w:pPr>
        <w:ind w:left="660" w:firstLine="645"/>
        <w:spacing w:after="0" w:line="277" w:lineRule="auto"/>
        <w:tabs>
          <w:tab w:leader="none" w:pos="177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the sum of the aggregate amount of the outstanding Revolving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L/C Liabilities shall not exceed the Total Revolving Commitments then in effect.</w:t>
      </w:r>
    </w:p>
    <w:p>
      <w:pPr>
        <w:spacing w:after="0" w:line="166" w:lineRule="exact"/>
        <w:rPr>
          <w:rFonts w:ascii="Arial" w:cs="Arial" w:eastAsia="Arial" w:hAnsi="Arial"/>
          <w:sz w:val="18"/>
          <w:szCs w:val="18"/>
          <w:color w:val="auto"/>
        </w:rPr>
      </w:pPr>
    </w:p>
    <w:p>
      <w:pPr>
        <w:jc w:val="both"/>
        <w:ind w:firstLine="656"/>
        <w:spacing w:after="0" w:line="258" w:lineRule="auto"/>
        <w:tabs>
          <w:tab w:leader="none" w:pos="1092"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Administrative Agent shall have received a Notice of Borrowing and/or Letter of Credit Request, as applicable, duly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completed and complying with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7.02</w:t>
      </w:r>
      <w:r>
        <w:rPr>
          <w:rFonts w:ascii="Arial" w:cs="Arial" w:eastAsia="Arial" w:hAnsi="Arial"/>
          <w:sz w:val="18"/>
          <w:szCs w:val="18"/>
          <w:color w:val="auto"/>
        </w:rPr>
        <w:t>, as the case may be, have been satisfied.</w:t>
      </w:r>
    </w:p>
    <w:p>
      <w:pPr>
        <w:spacing w:after="0" w:line="18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represents and warrants to Administrative Agent, Collateral Agent, and the Lenders that, at and as of each Funding Date, in each case immediately before and immediately after giving effect to the transactions to occur on such date (</w:t>
      </w:r>
      <w:r>
        <w:rPr>
          <w:rFonts w:ascii="Arial" w:cs="Arial" w:eastAsia="Arial" w:hAnsi="Arial"/>
          <w:sz w:val="18"/>
          <w:szCs w:val="18"/>
          <w:i w:val="1"/>
          <w:iCs w:val="1"/>
          <w:color w:val="auto"/>
        </w:rPr>
        <w:t>provided</w:t>
      </w:r>
      <w:r>
        <w:rPr>
          <w:rFonts w:ascii="Arial" w:cs="Arial" w:eastAsia="Arial" w:hAnsi="Arial"/>
          <w:sz w:val="18"/>
          <w:szCs w:val="18"/>
          <w:color w:val="auto"/>
        </w:rPr>
        <w:t>, that such representations and warranties made on the Closing Date shall be made giving effect to the Transactions):</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Corporate Existence; Compliance with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109"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Borrower and each Restricted Subsidiary (i) is a corporation, partnership, limited liability company or other entity duly organized, validly existing and in good standing under the laws of the jurisdiction of its organization, (ii)(A) has all requisite corporate or other power and authority and (B) has all governmental licenses, authorizations, consents, and approvals necessary to own its Property and carry on its business as now being conducted, and (iii) is qualified to do business and is in good standing in all jurisdictions in which the nature of the business conducted by it makes such qualification necessary; except, in the case of clauses (ii)(B) and (iii) where the failure thereof individually or in the aggregate would not reasonably be expected to have a Material Adverse Effect.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84" w:right="239" w:bottom="1440" w:gutter="0" w:footer="0" w:header="0"/>
        </w:sectPr>
      </w:pPr>
    </w:p>
    <w:bookmarkStart w:id="320" w:name="page321"/>
    <w:bookmarkEnd w:id="320"/>
    <w:p>
      <w:pPr>
        <w:jc w:val="both"/>
        <w:ind w:firstLine="656"/>
        <w:spacing w:after="0" w:line="312" w:lineRule="auto"/>
        <w:tabs>
          <w:tab w:leader="none" w:pos="1092" w:val="left"/>
        </w:tabs>
        <w:numPr>
          <w:ilvl w:val="0"/>
          <w:numId w:val="338"/>
        </w:numPr>
        <w:rPr>
          <w:rFonts w:ascii="Arial" w:cs="Arial" w:eastAsia="Arial" w:hAnsi="Arial"/>
          <w:sz w:val="16"/>
          <w:szCs w:val="16"/>
          <w:color w:val="auto"/>
        </w:rPr>
      </w:pPr>
      <w:r>
        <w:rPr>
          <w:rFonts w:ascii="Arial" w:cs="Arial" w:eastAsia="Arial" w:hAnsi="Arial"/>
          <w:sz w:val="16"/>
          <w:szCs w:val="16"/>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8.02. Material Adverse Effect</w:t>
      </w:r>
      <w:r>
        <w:rPr>
          <w:rFonts w:ascii="Arial" w:cs="Arial" w:eastAsia="Arial" w:hAnsi="Arial"/>
          <w:sz w:val="18"/>
          <w:szCs w:val="18"/>
          <w:color w:val="auto"/>
        </w:rPr>
        <w:t>. (x) On the Closing Date, with respect to the Credit Parties on the Closing Date (but prior to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Wynn Group Reorganization), since December 31, 2018, there shall not have occurred any event or circumstance that has had or would reasonably be expected to have, either individually or in the aggregate, a Material Adverse Effect and (y) after the Closing Date, since the Closing Date, there shall not have occurred any event or circumstance that has had or would reasonably be expected to have, either individually or in the aggregate, a Material Adverse Effect.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8.03. Litigation</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8.03</w:t>
      </w:r>
      <w:r>
        <w:rPr>
          <w:rFonts w:ascii="Arial" w:cs="Arial" w:eastAsia="Arial" w:hAnsi="Arial"/>
          <w:sz w:val="17"/>
          <w:szCs w:val="17"/>
          <w:color w:val="auto"/>
        </w:rPr>
        <w:t>, there is no Proceeding (other than any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qui tam</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to which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6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No Breach; No Default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4" w:lineRule="auto"/>
        <w:tabs>
          <w:tab w:leader="none" w:pos="105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w:t>
      </w:r>
      <w:r>
        <w:rPr>
          <w:rFonts w:ascii="Arial" w:cs="Arial" w:eastAsia="Arial" w:hAnsi="Arial"/>
          <w:sz w:val="18"/>
          <w:szCs w:val="18"/>
          <w:u w:val="single" w:color="auto"/>
          <w:color w:val="auto"/>
        </w:rPr>
        <w:t>Section 13.13</w:t>
      </w:r>
      <w:r>
        <w:rPr>
          <w:rFonts w:ascii="Arial" w:cs="Arial" w:eastAsia="Arial" w:hAnsi="Arial"/>
          <w:sz w:val="18"/>
          <w:szCs w:val="18"/>
          <w:color w:val="auto"/>
        </w:rPr>
        <w:t>, any applicable Requirement of Law (including, without limitation, any Gaming Law) or (z) any order, writ, injunction or decree of any Governmental Authority binding on any Credit Party or (ii) constitute (with due notice or lapse of time or both) a default under any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clauses (i)(y), (i)(z), (ii), or (iii) which would not reasonably be expected to result in a Material Adverse Effect.</w:t>
      </w:r>
    </w:p>
    <w:p>
      <w:pPr>
        <w:spacing w:after="0" w:line="192" w:lineRule="exact"/>
        <w:rPr>
          <w:rFonts w:ascii="Arial" w:cs="Arial" w:eastAsia="Arial" w:hAnsi="Arial"/>
          <w:sz w:val="18"/>
          <w:szCs w:val="18"/>
          <w:color w:val="auto"/>
        </w:rPr>
      </w:pPr>
    </w:p>
    <w:p>
      <w:pPr>
        <w:ind w:left="1040" w:hanging="384"/>
        <w:spacing w:after="0"/>
        <w:tabs>
          <w:tab w:leader="none" w:pos="10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8.05. Action</w:t>
      </w:r>
      <w:r>
        <w:rPr>
          <w:rFonts w:ascii="Arial" w:cs="Arial" w:eastAsia="Arial" w:hAnsi="Arial"/>
          <w:sz w:val="16"/>
          <w:szCs w:val="16"/>
          <w:color w:val="auto"/>
        </w:rPr>
        <w:t>. Borrower and each Restricted Subsidiary has all necessary corporate or other organizational power, authority and legal</w:t>
      </w:r>
      <w:r>
        <w:rPr>
          <w:rFonts w:ascii="Arial" w:cs="Arial" w:eastAsia="Arial" w:hAnsi="Arial"/>
          <w:sz w:val="16"/>
          <w:szCs w:val="16"/>
          <w:b w:val="1"/>
          <w:bCs w:val="1"/>
          <w:color w:val="auto"/>
        </w:rPr>
        <w:t xml:space="preserve"> </w:t>
      </w:r>
      <w:r>
        <w:rPr>
          <w:rFonts w:ascii="Arial" w:cs="Arial" w:eastAsia="Arial" w:hAnsi="Arial"/>
          <w:sz w:val="16"/>
          <w:szCs w:val="16"/>
          <w:color w:val="auto"/>
        </w:rPr>
        <w:t>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as applicable,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8.06. Approvals</w:t>
      </w:r>
      <w:r>
        <w:rPr>
          <w:rFonts w:ascii="Arial" w:cs="Arial" w:eastAsia="Arial" w:hAnsi="Arial"/>
          <w:sz w:val="17"/>
          <w:szCs w:val="17"/>
          <w:color w:val="auto"/>
        </w:rPr>
        <w:t>. No authorizations, approvals or consents of, and no filings or registrations with, any Governmental Authority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84" w:right="239" w:bottom="1440" w:gutter="0" w:footer="0" w:header="0"/>
        </w:sectPr>
      </w:pPr>
    </w:p>
    <w:bookmarkStart w:id="321" w:name="page322"/>
    <w:bookmarkEnd w:id="321"/>
    <w:p>
      <w:pPr>
        <w:jc w:val="both"/>
        <w:spacing w:after="0" w:line="290" w:lineRule="auto"/>
        <w:rPr>
          <w:sz w:val="20"/>
          <w:szCs w:val="20"/>
          <w:color w:val="auto"/>
        </w:rPr>
      </w:pPr>
      <w:r>
        <w:rPr>
          <w:rFonts w:ascii="Arial" w:cs="Arial" w:eastAsia="Arial" w:hAnsi="Arial"/>
          <w:sz w:val="16"/>
          <w:szCs w:val="16"/>
          <w:color w:val="auto"/>
        </w:rPr>
        <w:t xml:space="preserve">Documents, (iii) the delivery of executed copies of this Agreement, the Security Agreement and the Notes executed on the Closing Date to the relevant Gaming Authorities, (iv) the filings referred to in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(v) satisfaction of or waiver by the Gaming Authorities of any qualification requirement on the part of the Lenders who do not otherwise qualify, (vi) to the extent required, prior approval of the Transactions by the Gaming Authorities, which approval has been obtained on or prior to the Closing Date, (vii) consents, authorizations and filings that have been obtained or made and are in full force and effect or the failure of which to obtain would not reasonably be expected to have a Material Adverse Effect, (viii)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w:t>
      </w:r>
      <w:r>
        <w:rPr>
          <w:rFonts w:ascii="Arial" w:cs="Arial" w:eastAsia="Arial" w:hAnsi="Arial"/>
          <w:sz w:val="16"/>
          <w:szCs w:val="16"/>
          <w:u w:val="single" w:color="auto"/>
          <w:color w:val="auto"/>
        </w:rPr>
        <w:t>Section 13.13</w:t>
      </w:r>
      <w:r>
        <w:rPr>
          <w:rFonts w:ascii="Arial" w:cs="Arial" w:eastAsia="Arial" w:hAnsi="Arial"/>
          <w:sz w:val="16"/>
          <w:szCs w:val="16"/>
          <w:color w:val="auto"/>
        </w:rPr>
        <w:t>) and (ix) prior approval from the Nevada Gaming Commission of the pledge of any Pledged Nevada Gaming Interests (as defined in the Security Agreement).</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8.07. ERISA and Employee Benefit Plan Matters</w:t>
      </w:r>
      <w:r>
        <w:rPr>
          <w:rFonts w:ascii="Arial" w:cs="Arial" w:eastAsia="Arial" w:hAnsi="Arial"/>
          <w:sz w:val="16"/>
          <w:szCs w:val="16"/>
          <w:color w:val="auto"/>
        </w:rPr>
        <w:t>. No ERISA Event has occurred or is reasonably expected to occur that, when taken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all other such ERISA Events which have occurred or are reasonably expected to occur, would reasonably be expected to result in a Material Adverse Effect. Except as set forth on </w:t>
      </w:r>
      <w:r>
        <w:rPr>
          <w:rFonts w:ascii="Arial" w:cs="Arial" w:eastAsia="Arial" w:hAnsi="Arial"/>
          <w:sz w:val="16"/>
          <w:szCs w:val="16"/>
          <w:u w:val="single" w:color="auto"/>
          <w:color w:val="auto"/>
        </w:rPr>
        <w:t>Schedule 8.07</w:t>
      </w:r>
      <w:r>
        <w:rPr>
          <w:rFonts w:ascii="Arial" w:cs="Arial" w:eastAsia="Arial" w:hAnsi="Arial"/>
          <w:sz w:val="16"/>
          <w:szCs w:val="16"/>
          <w:color w:val="auto"/>
        </w:rPr>
        <w:t>, as of the Closing Date, no ERISA Entity maintains or contributes to any Pension Plan. Each ERISA Entity is in compliance with the presently applicable provisions of ERISA and the Code with respect to each Employee Benefit Plan (other than to the extent such failure(s)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8.08. Taxes</w:t>
      </w:r>
      <w:r>
        <w:rPr>
          <w:rFonts w:ascii="Arial" w:cs="Arial" w:eastAsia="Arial" w:hAnsi="Arial"/>
          <w:sz w:val="17"/>
          <w:szCs w:val="17"/>
          <w:color w:val="auto"/>
        </w:rPr>
        <w:t>. Except as would not, individually or in the aggregate, reasonably be expected to have a Material Adverse Effect, (i) all</w:t>
      </w:r>
      <w:r>
        <w:rPr>
          <w:rFonts w:ascii="Arial" w:cs="Arial" w:eastAsia="Arial" w:hAnsi="Arial"/>
          <w:sz w:val="17"/>
          <w:szCs w:val="17"/>
          <w:b w:val="1"/>
          <w:bCs w:val="1"/>
          <w:color w:val="auto"/>
        </w:rPr>
        <w:t xml:space="preserve"> </w:t>
      </w:r>
      <w:r>
        <w:rPr>
          <w:rFonts w:ascii="Arial" w:cs="Arial" w:eastAsia="Arial" w:hAnsi="Arial"/>
          <w:sz w:val="17"/>
          <w:szCs w:val="17"/>
          <w:color w:val="auto"/>
        </w:rPr>
        <w:t>Tax returns, statements, reports and forms required to be filed with any Governmental Authority by, or with respect to, Borrower and each of its Restricted Subsidiaries have been timely filed (taking into account any applicable extensions) in accordance with all applicable laws; and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8.09. Investment Company Act</w:t>
      </w:r>
      <w:r>
        <w:rPr>
          <w:rFonts w:ascii="Arial" w:cs="Arial" w:eastAsia="Arial" w:hAnsi="Arial"/>
          <w:sz w:val="18"/>
          <w:szCs w:val="18"/>
          <w:color w:val="auto"/>
        </w:rPr>
        <w:t>. Neither Borrower nor any of its Restricted Subsidiaries (excluding EBH Holdings, LLC) is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company,” or a company “controlled” by an “investment company” required to be regulated under the Investment Company Act of 1940, as amended.</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8.10. Environmental Matters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8.10</w:t>
      </w:r>
      <w:r>
        <w:rPr>
          <w:rFonts w:ascii="Arial" w:cs="Arial" w:eastAsia="Arial" w:hAnsi="Arial"/>
          <w:sz w:val="16"/>
          <w:szCs w:val="16"/>
          <w:b w:val="1"/>
          <w:bCs w:val="1"/>
          <w:color w:val="auto"/>
        </w:rPr>
        <w:t xml:space="preserve"> </w:t>
      </w:r>
      <w:r>
        <w:rPr>
          <w:rFonts w:ascii="Arial" w:cs="Arial" w:eastAsia="Arial" w:hAnsi="Arial"/>
          <w:sz w:val="16"/>
          <w:szCs w:val="16"/>
          <w:color w:val="auto"/>
        </w:rPr>
        <w:t>or as would not, individually or in the aggregate, reasonably be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to result in a Material Adverse Effect: (i) each of Borrower and its Restricted Subsidiaries and each of their businesses, operations and Real Property is in material compliance 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16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5"/>
          <w:szCs w:val="15"/>
          <w:b w:val="1"/>
          <w:bCs w:val="1"/>
          <w:color w:val="auto"/>
        </w:rPr>
        <w:t>Use of Proceeds</w:t>
      </w:r>
      <w:r>
        <w:rPr>
          <w:rFonts w:ascii="Arial" w:cs="Arial" w:eastAsia="Arial" w:hAnsi="Arial"/>
          <w:sz w:val="15"/>
          <w:szCs w:val="15"/>
          <w:color w:val="auto"/>
        </w:rPr>
        <w:t>.</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Borrower will use the proceeds 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85" w:right="239" w:bottom="1440" w:gutter="0" w:footer="0" w:header="0"/>
        </w:sectPr>
      </w:pPr>
    </w:p>
    <w:bookmarkStart w:id="322" w:name="page323"/>
    <w:bookmarkEnd w:id="322"/>
    <w:p>
      <w:pPr>
        <w:jc w:val="both"/>
        <w:ind w:left="660" w:firstLine="645"/>
        <w:spacing w:after="0" w:line="264" w:lineRule="auto"/>
        <w:tabs>
          <w:tab w:leader="none" w:pos="171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Term A Facility Loans and Revolving Loans made on the Closing Date to finance the Transactions and for working capital, capital expenditures, Permitted Acquisitions, Restricted Payments permitted by this Agreement, general corporate purposes, and for any other purposes not prohibited by this Agreement, and</w:t>
      </w:r>
    </w:p>
    <w:p>
      <w:pPr>
        <w:spacing w:after="0" w:line="181" w:lineRule="exact"/>
        <w:rPr>
          <w:rFonts w:ascii="Arial" w:cs="Arial" w:eastAsia="Arial" w:hAnsi="Arial"/>
          <w:sz w:val="18"/>
          <w:szCs w:val="18"/>
          <w:color w:val="auto"/>
        </w:rPr>
      </w:pPr>
    </w:p>
    <w:p>
      <w:pPr>
        <w:ind w:left="660" w:firstLine="645"/>
        <w:spacing w:after="0" w:line="308" w:lineRule="auto"/>
        <w:tabs>
          <w:tab w:leader="none" w:pos="1789" w:val="left"/>
        </w:tabs>
        <w:numPr>
          <w:ilvl w:val="1"/>
          <w:numId w:val="340"/>
        </w:numPr>
        <w:rPr>
          <w:rFonts w:ascii="Arial" w:cs="Arial" w:eastAsia="Arial" w:hAnsi="Arial"/>
          <w:sz w:val="17"/>
          <w:szCs w:val="17"/>
          <w:color w:val="auto"/>
        </w:rPr>
      </w:pPr>
      <w:r>
        <w:rPr>
          <w:rFonts w:ascii="Arial" w:cs="Arial" w:eastAsia="Arial" w:hAnsi="Arial"/>
          <w:sz w:val="17"/>
          <w:szCs w:val="17"/>
          <w:color w:val="auto"/>
        </w:rPr>
        <w:t>Revolving Loans and Term Loans made after the Closing Date for working capital, capital expenditures, Permitted Acquisitions, Restricted Payments permitted by this Agreement, general corporate purposes, and for any other purposes not prohibited by this Agreement.</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052" w:val="left"/>
        </w:tabs>
        <w:numPr>
          <w:ilvl w:val="0"/>
          <w:numId w:val="341"/>
        </w:numPr>
        <w:rPr>
          <w:rFonts w:ascii="Arial" w:cs="Arial" w:eastAsia="Arial" w:hAnsi="Arial"/>
          <w:sz w:val="17"/>
          <w:szCs w:val="17"/>
          <w:color w:val="auto"/>
        </w:rPr>
      </w:pPr>
      <w:r>
        <w:rPr>
          <w:rFonts w:ascii="Arial" w:cs="Arial" w:eastAsia="Arial" w:hAnsi="Arial"/>
          <w:sz w:val="17"/>
          <w:szCs w:val="17"/>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pacing w:after="0" w:line="17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8.12.</w:t>
      </w:r>
      <w:r>
        <w:rPr>
          <w:sz w:val="20"/>
          <w:szCs w:val="20"/>
          <w:color w:val="auto"/>
        </w:rPr>
        <w:tab/>
      </w:r>
      <w:r>
        <w:rPr>
          <w:rFonts w:ascii="Arial" w:cs="Arial" w:eastAsia="Arial" w:hAnsi="Arial"/>
          <w:sz w:val="15"/>
          <w:szCs w:val="15"/>
          <w:b w:val="1"/>
          <w:bCs w:val="1"/>
          <w:color w:val="auto"/>
        </w:rPr>
        <w:t>Subsidiaries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312" w:lineRule="auto"/>
        <w:tabs>
          <w:tab w:leader="none" w:pos="1041" w:val="left"/>
        </w:tabs>
        <w:numPr>
          <w:ilvl w:val="0"/>
          <w:numId w:val="342"/>
        </w:numPr>
        <w:rPr>
          <w:rFonts w:ascii="Arial" w:cs="Arial" w:eastAsia="Arial" w:hAnsi="Arial"/>
          <w:sz w:val="16"/>
          <w:szCs w:val="16"/>
          <w:color w:val="auto"/>
        </w:rPr>
      </w:pPr>
      <w:r>
        <w:rPr>
          <w:rFonts w:ascii="Arial" w:cs="Arial" w:eastAsia="Arial" w:hAnsi="Arial"/>
          <w:sz w:val="16"/>
          <w:szCs w:val="16"/>
          <w:u w:val="single" w:color="auto"/>
          <w:color w:val="auto"/>
        </w:rPr>
        <w:t>Schedule 8.12(a)</w:t>
      </w:r>
      <w:r>
        <w:rPr>
          <w:rFonts w:ascii="Arial" w:cs="Arial" w:eastAsia="Arial" w:hAnsi="Arial"/>
          <w:sz w:val="16"/>
          <w:szCs w:val="16"/>
          <w:color w:val="auto"/>
        </w:rPr>
        <w:t xml:space="preserve"> sets forth a true and complete list of the following: (i) all the Subsidiaries of Borrower (other than Unrestricted Subsidiaries)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46" w:lineRule="exact"/>
        <w:rPr>
          <w:rFonts w:ascii="Arial" w:cs="Arial" w:eastAsia="Arial" w:hAnsi="Arial"/>
          <w:sz w:val="16"/>
          <w:szCs w:val="16"/>
          <w:color w:val="auto"/>
        </w:rPr>
      </w:pPr>
    </w:p>
    <w:p>
      <w:pPr>
        <w:ind w:left="1040" w:hanging="384"/>
        <w:spacing w:after="0"/>
        <w:tabs>
          <w:tab w:leader="none" w:pos="104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Schedule 8.12(b)</w:t>
      </w:r>
      <w:r>
        <w:rPr>
          <w:rFonts w:ascii="Arial" w:cs="Arial" w:eastAsia="Arial" w:hAnsi="Arial"/>
          <w:sz w:val="18"/>
          <w:szCs w:val="18"/>
          <w:color w:val="auto"/>
        </w:rPr>
        <w:t xml:space="preserve"> sets forth a true and complete list of all the Immaterial Subsidiaries as of the Closing Date.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Schedule 8.12(c)</w:t>
      </w:r>
      <w:r>
        <w:rPr>
          <w:rFonts w:ascii="Arial" w:cs="Arial" w:eastAsia="Arial" w:hAnsi="Arial"/>
          <w:sz w:val="18"/>
          <w:szCs w:val="18"/>
          <w:color w:val="auto"/>
        </w:rPr>
        <w:t xml:space="preserve"> sets forth a true and complete list of all the Unrestricted Subsidiaries as of the Closing Date.</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8.13. Ownership of Property; Liens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8.13</w:t>
      </w:r>
      <w:r>
        <w:rPr>
          <w:rFonts w:ascii="Arial" w:cs="Arial" w:eastAsia="Arial" w:hAnsi="Arial"/>
          <w:sz w:val="17"/>
          <w:szCs w:val="17"/>
          <w:color w:val="auto"/>
        </w:rPr>
        <w:t>, (a) Borrower and each of its Restricted Subsidiaries has</w:t>
      </w:r>
      <w:r>
        <w:rPr>
          <w:rFonts w:ascii="Arial" w:cs="Arial" w:eastAsia="Arial" w:hAnsi="Arial"/>
          <w:sz w:val="17"/>
          <w:szCs w:val="17"/>
          <w:b w:val="1"/>
          <w:bCs w:val="1"/>
          <w:color w:val="auto"/>
        </w:rPr>
        <w:t xml:space="preserve"> </w:t>
      </w:r>
      <w:r>
        <w:rPr>
          <w:rFonts w:ascii="Arial" w:cs="Arial" w:eastAsia="Arial" w:hAnsi="Arial"/>
          <w:sz w:val="17"/>
          <w:szCs w:val="17"/>
          <w:color w:val="auto"/>
        </w:rPr>
        <w:t>good 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 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8.14. Security Interest; Absence of Financing Statements; Etc</w:t>
      </w:r>
      <w:r>
        <w:rPr>
          <w:rFonts w:ascii="Arial" w:cs="Arial" w:eastAsia="Arial" w:hAnsi="Arial"/>
          <w:sz w:val="16"/>
          <w:szCs w:val="16"/>
          <w:color w:val="auto"/>
        </w:rPr>
        <w:t>. The Security Documents, once executed and delivered, will create,</w:t>
      </w:r>
      <w:r>
        <w:rPr>
          <w:rFonts w:ascii="Arial" w:cs="Arial" w:eastAsia="Arial" w:hAnsi="Arial"/>
          <w:sz w:val="16"/>
          <w:szCs w:val="16"/>
          <w:b w:val="1"/>
          <w:bCs w:val="1"/>
          <w:color w:val="auto"/>
        </w:rPr>
        <w:t xml:space="preserve"> </w:t>
      </w:r>
      <w:r>
        <w:rPr>
          <w:rFonts w:ascii="Arial" w:cs="Arial" w:eastAsia="Arial" w:hAnsi="Arial"/>
          <w:sz w:val="16"/>
          <w:szCs w:val="16"/>
          <w:color w:val="auto"/>
        </w:rPr>
        <w:t>in 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herein or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84" w:right="239" w:bottom="1440" w:gutter="0" w:footer="0" w:header="0"/>
        </w:sectPr>
      </w:pPr>
    </w:p>
    <w:bookmarkStart w:id="323" w:name="page324"/>
    <w:bookmarkEnd w:id="323"/>
    <w:p>
      <w:pPr>
        <w:jc w:val="both"/>
        <w:spacing w:after="0" w:line="264" w:lineRule="auto"/>
        <w:rPr>
          <w:sz w:val="20"/>
          <w:szCs w:val="20"/>
          <w:color w:val="auto"/>
        </w:rPr>
      </w:pPr>
      <w:r>
        <w:rPr>
          <w:rFonts w:ascii="Arial" w:cs="Arial" w:eastAsia="Arial" w:hAnsi="Arial"/>
          <w:sz w:val="18"/>
          <w:szCs w:val="18"/>
          <w:color w:val="auto"/>
        </w:rPr>
        <w:t>the Collateral (subject to any applicable provisions set forth herein or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7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8.15. Licenses and Permits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8.15</w:t>
      </w:r>
      <w:r>
        <w:rPr>
          <w:rFonts w:ascii="Arial" w:cs="Arial" w:eastAsia="Arial" w:hAnsi="Arial"/>
          <w:sz w:val="18"/>
          <w:szCs w:val="18"/>
          <w:color w:val="auto"/>
        </w:rPr>
        <w:t>, Borrower and each of its Restricted Subsidiaries hold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Arial" w:cs="Arial" w:eastAsia="Arial" w:hAnsi="Arial"/>
          <w:sz w:val="18"/>
          <w:szCs w:val="18"/>
          <w:b w:val="1"/>
          <w:bCs w:val="1"/>
          <w:color w:val="auto"/>
        </w:rPr>
        <w:t>Permits</w:t>
      </w:r>
      <w:r>
        <w:rPr>
          <w:rFonts w:ascii="Arial" w:cs="Arial" w:eastAsia="Arial" w:hAnsi="Arial"/>
          <w:sz w:val="18"/>
          <w:szCs w:val="18"/>
          <w:color w:val="auto"/>
        </w:rPr>
        <w:t>”), except for Permits the failure of which to obtain would not reasonably be expected to have a Material Adverse Effect.</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8.16. Disclosure</w:t>
      </w:r>
      <w:r>
        <w:rPr>
          <w:rFonts w:ascii="Arial" w:cs="Arial" w:eastAsia="Arial" w:hAnsi="Arial"/>
          <w:sz w:val="17"/>
          <w:szCs w:val="17"/>
          <w:color w:val="auto"/>
        </w:rPr>
        <w:t>. The information, reports, financial statements, exhibits and schedules furnished in writing by or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 Party to any Secured Party prior to the Closing Date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furnished prior to the Closing Date by any Credit Party to any Secured Party in connection with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 As of the Closing Date, the information included in any Beneficial Ownership Certification is true and correct in all material respects.</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8.17. Solvency</w:t>
      </w:r>
      <w:r>
        <w:rPr>
          <w:rFonts w:ascii="Arial" w:cs="Arial" w:eastAsia="Arial" w:hAnsi="Arial"/>
          <w:sz w:val="18"/>
          <w:szCs w:val="18"/>
          <w:color w:val="auto"/>
        </w:rPr>
        <w:t>. As of the Closing Date, immediately prior to and immediately following the consummation of the Transactions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extensions of credit to occur on the Closing Date, Borrower (on a consolidated basis with its Restricted Subsidiaries) is and will be Solvent (after giving effect to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8.18. Intellectual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8.18</w:t>
      </w:r>
      <w:r>
        <w:rPr>
          <w:rFonts w:ascii="Arial" w:cs="Arial" w:eastAsia="Arial" w:hAnsi="Arial"/>
          <w:sz w:val="16"/>
          <w:szCs w:val="16"/>
          <w:color w:val="auto"/>
        </w:rPr>
        <w:t>, Borrower and each of its Restricted Subsidiaries owns or possesses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 registrations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8.19. Regulation H</w:t>
      </w:r>
      <w:r>
        <w:rPr>
          <w:rFonts w:ascii="Arial" w:cs="Arial" w:eastAsia="Arial" w:hAnsi="Arial"/>
          <w:sz w:val="17"/>
          <w:szCs w:val="17"/>
          <w:color w:val="auto"/>
        </w:rPr>
        <w:t>. Except for the Real Property listed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8.19</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as of the Closing Date, no Mortgage</w:t>
      </w:r>
      <w:r>
        <w:rPr>
          <w:rFonts w:ascii="Arial" w:cs="Arial" w:eastAsia="Arial" w:hAnsi="Arial"/>
          <w:sz w:val="17"/>
          <w:szCs w:val="17"/>
          <w:b w:val="1"/>
          <w:bCs w:val="1"/>
          <w:color w:val="auto"/>
        </w:rPr>
        <w:t xml:space="preserve"> </w:t>
      </w:r>
      <w:r>
        <w:rPr>
          <w:rFonts w:ascii="Arial" w:cs="Arial" w:eastAsia="Arial" w:hAnsi="Arial"/>
          <w:sz w:val="17"/>
          <w:szCs w:val="17"/>
          <w:color w:val="auto"/>
        </w:rPr>
        <w:t>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4" w:right="239" w:bottom="1440" w:gutter="0" w:footer="0" w:header="0"/>
        </w:sectPr>
      </w:pPr>
    </w:p>
    <w:bookmarkStart w:id="324" w:name="page325"/>
    <w:bookmarkEnd w:id="324"/>
    <w:p>
      <w:pPr>
        <w:jc w:val="both"/>
        <w:ind w:firstLine="648"/>
        <w:spacing w:after="0" w:line="277" w:lineRule="auto"/>
        <w:rPr>
          <w:sz w:val="20"/>
          <w:szCs w:val="20"/>
          <w:color w:val="auto"/>
        </w:rPr>
      </w:pPr>
      <w:r>
        <w:rPr>
          <w:rFonts w:ascii="Arial" w:cs="Arial" w:eastAsia="Arial" w:hAnsi="Arial"/>
          <w:sz w:val="17"/>
          <w:szCs w:val="17"/>
          <w:b w:val="1"/>
          <w:bCs w:val="1"/>
          <w:color w:val="auto"/>
        </w:rPr>
        <w:t>SECTION 8.20. Insurance</w:t>
      </w:r>
      <w:r>
        <w:rPr>
          <w:rFonts w:ascii="Arial" w:cs="Arial" w:eastAsia="Arial" w:hAnsi="Arial"/>
          <w:sz w:val="17"/>
          <w:szCs w:val="17"/>
          <w:color w:val="auto"/>
        </w:rPr>
        <w:t>. Borrower and each of its Restricted Subsidiaries are insured by insurers of recognized financial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6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8.21.</w:t>
      </w:r>
      <w:r>
        <w:rPr>
          <w:sz w:val="20"/>
          <w:szCs w:val="20"/>
          <w:color w:val="auto"/>
        </w:rPr>
        <w:tab/>
      </w:r>
      <w:r>
        <w:rPr>
          <w:rFonts w:ascii="Arial" w:cs="Arial" w:eastAsia="Arial" w:hAnsi="Arial"/>
          <w:sz w:val="16"/>
          <w:szCs w:val="16"/>
          <w:b w:val="1"/>
          <w:bCs w:val="1"/>
          <w:color w:val="auto"/>
        </w:rPr>
        <w:t>Real Estate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109"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Schedule 8.21(a)</w:t>
      </w:r>
      <w:r>
        <w:rPr>
          <w:rFonts w:ascii="Arial" w:cs="Arial" w:eastAsia="Arial" w:hAnsi="Arial"/>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38" w:val="left"/>
        </w:tabs>
        <w:numPr>
          <w:ilvl w:val="0"/>
          <w:numId w:val="343"/>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8.21(b)</w:t>
      </w:r>
      <w:r>
        <w:rPr>
          <w:rFonts w:ascii="Arial" w:cs="Arial" w:eastAsia="Arial" w:hAnsi="Arial"/>
          <w:sz w:val="17"/>
          <w:szCs w:val="17"/>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8.22.</w:t>
      </w:r>
      <w:r>
        <w:rPr>
          <w:sz w:val="20"/>
          <w:szCs w:val="20"/>
          <w:color w:val="auto"/>
        </w:rPr>
        <w:tab/>
      </w:r>
      <w:r>
        <w:rPr>
          <w:rFonts w:ascii="Arial" w:cs="Arial" w:eastAsia="Arial" w:hAnsi="Arial"/>
          <w:sz w:val="16"/>
          <w:szCs w:val="16"/>
          <w:b w:val="1"/>
          <w:bCs w:val="1"/>
          <w:color w:val="auto"/>
        </w:rPr>
        <w:t>Anti-Terrorism Law and Sanctions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2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656"/>
        <w:spacing w:after="0" w:line="277" w:lineRule="auto"/>
        <w:tabs>
          <w:tab w:leader="none" w:pos="103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25" w:lineRule="exact"/>
        <w:rPr>
          <w:rFonts w:ascii="Arial" w:cs="Arial" w:eastAsia="Arial" w:hAnsi="Arial"/>
          <w:sz w:val="18"/>
          <w:szCs w:val="18"/>
          <w:color w:val="auto"/>
        </w:rPr>
      </w:pPr>
    </w:p>
    <w:p>
      <w:pPr>
        <w:ind w:left="660" w:firstLine="888"/>
        <w:spacing w:after="0" w:line="277" w:lineRule="auto"/>
        <w:tabs>
          <w:tab w:leader="none" w:pos="1978"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2040" w:hanging="492"/>
        <w:spacing w:after="0"/>
        <w:tabs>
          <w:tab w:leader="none" w:pos="204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Sanctions or Anti-</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Terrorism Law;</w:t>
      </w:r>
    </w:p>
    <w:p>
      <w:pPr>
        <w:spacing w:after="0" w:line="210" w:lineRule="exact"/>
        <w:rPr>
          <w:rFonts w:ascii="Arial" w:cs="Arial" w:eastAsia="Arial" w:hAnsi="Arial"/>
          <w:sz w:val="16"/>
          <w:szCs w:val="16"/>
          <w:color w:val="auto"/>
        </w:rPr>
      </w:pPr>
    </w:p>
    <w:p>
      <w:pPr>
        <w:ind w:left="1980" w:hanging="432"/>
        <w:spacing w:after="0"/>
        <w:tabs>
          <w:tab w:leader="none" w:pos="19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25" w:lineRule="exact"/>
        <w:rPr>
          <w:rFonts w:ascii="Arial" w:cs="Arial" w:eastAsia="Arial" w:hAnsi="Arial"/>
          <w:sz w:val="18"/>
          <w:szCs w:val="18"/>
          <w:color w:val="auto"/>
        </w:rPr>
      </w:pPr>
    </w:p>
    <w:p>
      <w:pPr>
        <w:jc w:val="both"/>
        <w:ind w:left="660" w:firstLine="888"/>
        <w:spacing w:after="0" w:line="264" w:lineRule="auto"/>
        <w:tabs>
          <w:tab w:leader="none" w:pos="2076"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 or that is owned 50% or more by any such Persons; or</w:t>
      </w:r>
    </w:p>
    <w:p>
      <w:pPr>
        <w:spacing w:after="0" w:line="181" w:lineRule="exact"/>
        <w:rPr>
          <w:rFonts w:ascii="Arial" w:cs="Arial" w:eastAsia="Arial" w:hAnsi="Arial"/>
          <w:sz w:val="18"/>
          <w:szCs w:val="18"/>
          <w:color w:val="auto"/>
        </w:rPr>
      </w:pPr>
    </w:p>
    <w:p>
      <w:pPr>
        <w:ind w:left="1980" w:hanging="432"/>
        <w:spacing w:after="0"/>
        <w:tabs>
          <w:tab w:leader="none" w:pos="198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 Person that is located, organized or resident in a Designated Jurisdiction.</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9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None of Borrower, any Subsidiary or, to the knowledge of any Responsible officer of Borrower, any of their respective directors, officers, agents, employees or Affiliates is currently the subject of Sanctions, or is located, organized or resident in a country or territory that is the subject of Sanctions; and Borrower and its Subsidiaries will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0" w:right="239" w:bottom="1440" w:gutter="0" w:footer="0" w:header="0"/>
        </w:sectPr>
      </w:pPr>
    </w:p>
    <w:bookmarkStart w:id="325" w:name="page326"/>
    <w:bookmarkEnd w:id="325"/>
    <w:p>
      <w:pPr>
        <w:jc w:val="both"/>
        <w:spacing w:after="0" w:line="259" w:lineRule="auto"/>
        <w:rPr>
          <w:sz w:val="20"/>
          <w:szCs w:val="20"/>
          <w:color w:val="auto"/>
        </w:rPr>
      </w:pPr>
      <w:r>
        <w:rPr>
          <w:rFonts w:ascii="Arial" w:cs="Arial" w:eastAsia="Arial" w:hAnsi="Arial"/>
          <w:sz w:val="18"/>
          <w:szCs w:val="18"/>
          <w:color w:val="auto"/>
        </w:rPr>
        <w:t>not directly or knowingly indirectly use the proceeds of the Loans, or lend, contribute or otherwise make available such proceeds to any Subsidiary, Joint Venture or other Person, for the purpose of financing the activities of any Person subject to any Sanctions. Borrower has implemented and maintains in effect policies and procedures reasonably designed to promote material compliance by Borrower, its Subsidiaries and their respective directors, officers, agents and employees with applicable Sanctions.</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8.23. Anti-Corruption Laws/Bribery</w:t>
      </w:r>
      <w:r>
        <w:rPr>
          <w:rFonts w:ascii="Arial" w:cs="Arial" w:eastAsia="Arial" w:hAnsi="Arial"/>
          <w:sz w:val="17"/>
          <w:szCs w:val="17"/>
          <w:color w:val="auto"/>
        </w:rPr>
        <w:t>. Neither Borrower, nor any of its Subsidiaries nor, to the knowledge of any Responsible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Borrower, none of its Affiliates, directors, officers, employees, brokers, or agents acting in any capacity on behalf of Borrower or its Subsidiaries, is in violation in any material respect of any Requirement of Law relating to any anti-bribery or anti-corruption laws or regulations in any applicable jurisdiction. No Borrowing or Letter of Credit, use of proceeds or other transaction contemplated by this Agreement will violate in any material respect of any Requirement of Law relating to any anti-bribery or anti-corruption laws or regulations in any applicable jurisdiction. Borrower has implemented and maintains in effect policies and procedures reasonably designed to promote material compliance by Borrower, its Subsidiaries and their respective directors, officers, agents and employees with anti-bribery and anti-corruption laws or regulations in applicable jurisdictions.</w:t>
      </w:r>
    </w:p>
    <w:p>
      <w:pPr>
        <w:spacing w:after="0" w:line="17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8.24.</w:t>
      </w:r>
      <w:r>
        <w:rPr>
          <w:sz w:val="20"/>
          <w:szCs w:val="20"/>
          <w:color w:val="auto"/>
        </w:rPr>
        <w:tab/>
      </w:r>
      <w:r>
        <w:rPr>
          <w:rFonts w:ascii="Arial" w:cs="Arial" w:eastAsia="Arial" w:hAnsi="Arial"/>
          <w:sz w:val="16"/>
          <w:szCs w:val="16"/>
          <w:b w:val="1"/>
          <w:bCs w:val="1"/>
          <w:color w:val="auto"/>
        </w:rPr>
        <w:t>Labor Matters</w:t>
      </w:r>
      <w:r>
        <w:rPr>
          <w:rFonts w:ascii="Arial" w:cs="Arial" w:eastAsia="Arial" w:hAnsi="Arial"/>
          <w:sz w:val="16"/>
          <w:szCs w:val="16"/>
          <w:color w:val="auto"/>
        </w:rPr>
        <w:t>. Except as would not reasonably be expected, individually or in the aggregate, to have a Material Adverse Effect,</w:t>
      </w:r>
    </w:p>
    <w:p>
      <w:pPr>
        <w:spacing w:after="0" w:line="27" w:lineRule="exact"/>
        <w:rPr>
          <w:sz w:val="20"/>
          <w:szCs w:val="20"/>
          <w:color w:val="auto"/>
        </w:rPr>
      </w:pPr>
    </w:p>
    <w:p>
      <w:pPr>
        <w:ind w:left="260" w:hanging="252"/>
        <w:spacing w:after="0"/>
        <w:tabs>
          <w:tab w:leader="none" w:pos="26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there are no strikes or other labor disputes against Borrower or any of its Restricted Subsidiaries pending or, to the knowledge of Borrower, threatened and</w:t>
      </w:r>
    </w:p>
    <w:p>
      <w:pPr>
        <w:spacing w:after="0" w:line="32" w:lineRule="exact"/>
        <w:rPr>
          <w:rFonts w:ascii="Arial" w:cs="Arial" w:eastAsia="Arial" w:hAnsi="Arial"/>
          <w:sz w:val="16"/>
          <w:szCs w:val="16"/>
          <w:color w:val="auto"/>
        </w:rPr>
      </w:pPr>
    </w:p>
    <w:p>
      <w:pPr>
        <w:ind w:right="20" w:firstLine="8"/>
        <w:spacing w:after="0" w:line="261" w:lineRule="auto"/>
        <w:tabs>
          <w:tab w:leader="none" w:pos="273"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hours worked by and payments made to employees of Borrower or any of its Restricted Subsidiaries have not been in violation of the Fair Labor Standards Act or any other applicable Law dealing with such matters.</w:t>
      </w:r>
    </w:p>
    <w:p>
      <w:pPr>
        <w:spacing w:after="0" w:line="18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Existence; Business Properties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4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Borrower and each of its Restricted Subsidiaries shall do or cause to be done all things necessary to preserve, renew and keep in full force and effect its legal existence, except in a transaction permitted by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or, in the case of any Restricted Subsidiary, where the failure to perform such obligations, individually or in the aggregate, would not reasonably be expected to result in a Material Adverse Effect.</w:t>
      </w:r>
    </w:p>
    <w:p>
      <w:pPr>
        <w:spacing w:after="0" w:line="181" w:lineRule="exact"/>
        <w:rPr>
          <w:rFonts w:ascii="Arial" w:cs="Arial" w:eastAsia="Arial" w:hAnsi="Arial"/>
          <w:sz w:val="18"/>
          <w:szCs w:val="18"/>
          <w:color w:val="auto"/>
        </w:rPr>
      </w:pPr>
    </w:p>
    <w:p>
      <w:pPr>
        <w:jc w:val="both"/>
        <w:ind w:firstLine="656"/>
        <w:spacing w:after="0" w:line="269" w:lineRule="auto"/>
        <w:tabs>
          <w:tab w:leader="none" w:pos="1038"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9.01(b)</w:t>
      </w:r>
      <w:r>
        <w:rPr>
          <w:rFonts w:ascii="Arial" w:cs="Arial" w:eastAsia="Arial" w:hAnsi="Arial"/>
          <w:sz w:val="17"/>
          <w:szCs w:val="17"/>
          <w:color w:val="auto"/>
        </w:rPr>
        <w:t xml:space="preserve"> shall prevent (i) sales, conveyances, transfers or other dispositions of assets, consolidations or mergers by or involving any Company or any other transaction in accordance with </w:t>
      </w:r>
      <w:r>
        <w:rPr>
          <w:rFonts w:ascii="Arial" w:cs="Arial" w:eastAsia="Arial" w:hAnsi="Arial"/>
          <w:sz w:val="17"/>
          <w:szCs w:val="17"/>
          <w:u w:val="single" w:color="auto"/>
          <w:color w:val="auto"/>
        </w:rPr>
        <w:t>Section 10.05</w:t>
      </w:r>
      <w:r>
        <w:rPr>
          <w:rFonts w:ascii="Arial" w:cs="Arial" w:eastAsia="Arial" w:hAnsi="Arial"/>
          <w:sz w:val="17"/>
          <w:szCs w:val="17"/>
          <w:color w:val="auto"/>
        </w:rPr>
        <w:t>; (ii) the withdrawal by any Company of its qualification as a foreign corporation in any jurisdiction where such withdrawal, individually or in the aggregate, would not reasonably be expected to result in a Material Adverse Effect;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584" w:right="239" w:bottom="1440" w:gutter="0" w:footer="0" w:header="0"/>
        </w:sectPr>
      </w:pPr>
    </w:p>
    <w:bookmarkStart w:id="326" w:name="page327"/>
    <w:bookmarkEnd w:id="326"/>
    <w:p>
      <w:pPr>
        <w:ind w:right="20"/>
        <w:spacing w:after="0" w:line="277" w:lineRule="auto"/>
        <w:rPr>
          <w:sz w:val="20"/>
          <w:szCs w:val="20"/>
          <w:color w:val="auto"/>
        </w:rPr>
      </w:pPr>
      <w:r>
        <w:rPr>
          <w:rFonts w:ascii="Arial" w:cs="Arial" w:eastAsia="Arial" w:hAnsi="Arial"/>
          <w:sz w:val="18"/>
          <w:szCs w:val="18"/>
          <w:color w:val="auto"/>
        </w:rPr>
        <w:t>or (iii) the abandonment by any Company of any rights, permits, authorizations, copyrights, trademarks, trade names, franchises, licenses and patents that such Company reasonably determines are not useful to its business.</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5"/>
          <w:szCs w:val="15"/>
          <w:b w:val="1"/>
          <w:bCs w:val="1"/>
          <w:color w:val="auto"/>
        </w:rPr>
        <w:t>Insurance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53" w:lineRule="auto"/>
        <w:tabs>
          <w:tab w:leader="none" w:pos="113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and its Restricted Subsidiaries shall not be required to maintain insurance with respect to wind and flood damage on any property for any insurance coverage period unless, and to the extent, such insurance is required by an applicable Requirement of Law. Subject to </w:t>
      </w:r>
      <w:r>
        <w:rPr>
          <w:rFonts w:ascii="Arial" w:cs="Arial" w:eastAsia="Arial" w:hAnsi="Arial"/>
          <w:sz w:val="18"/>
          <w:szCs w:val="18"/>
          <w:u w:val="single" w:color="auto"/>
          <w:color w:val="auto"/>
        </w:rPr>
        <w:t>Sections 9.08</w:t>
      </w:r>
      <w:r>
        <w:rPr>
          <w:rFonts w:ascii="Arial" w:cs="Arial" w:eastAsia="Arial" w:hAnsi="Arial"/>
          <w:sz w:val="18"/>
          <w:szCs w:val="18"/>
          <w:color w:val="auto"/>
        </w:rPr>
        <w:t xml:space="preserve">, </w:t>
      </w:r>
      <w:r>
        <w:rPr>
          <w:rFonts w:ascii="Arial" w:cs="Arial" w:eastAsia="Arial" w:hAnsi="Arial"/>
          <w:sz w:val="18"/>
          <w:szCs w:val="18"/>
          <w:u w:val="single" w:color="auto"/>
          <w:color w:val="auto"/>
        </w:rPr>
        <w:t>9.11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9.16</w:t>
      </w:r>
      <w:r>
        <w:rPr>
          <w:rFonts w:ascii="Arial" w:cs="Arial" w:eastAsia="Arial" w:hAnsi="Arial"/>
          <w:sz w:val="18"/>
          <w:szCs w:val="18"/>
          <w:color w:val="auto"/>
        </w:rPr>
        <w:t>, 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spacing w:after="0" w:line="194" w:lineRule="exact"/>
        <w:rPr>
          <w:rFonts w:ascii="Arial" w:cs="Arial" w:eastAsia="Arial" w:hAnsi="Arial"/>
          <w:sz w:val="18"/>
          <w:szCs w:val="18"/>
          <w:color w:val="auto"/>
        </w:rPr>
      </w:pPr>
    </w:p>
    <w:p>
      <w:pPr>
        <w:jc w:val="both"/>
        <w:ind w:firstLine="656"/>
        <w:spacing w:after="0" w:line="293" w:lineRule="auto"/>
        <w:tabs>
          <w:tab w:leader="none" w:pos="103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6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9.03. Taxes</w:t>
      </w:r>
      <w:r>
        <w:rPr>
          <w:rFonts w:ascii="Arial" w:cs="Arial" w:eastAsia="Arial" w:hAnsi="Arial"/>
          <w:sz w:val="16"/>
          <w:szCs w:val="16"/>
          <w:color w:val="auto"/>
        </w:rPr>
        <w:t>. Borrower and each of its Restricted Subsidiaries shall timely pay and discharge before the same shall become delinquent</w:t>
      </w:r>
      <w:r>
        <w:rPr>
          <w:rFonts w:ascii="Arial" w:cs="Arial" w:eastAsia="Arial" w:hAnsi="Arial"/>
          <w:sz w:val="16"/>
          <w:szCs w:val="16"/>
          <w:b w:val="1"/>
          <w:bCs w:val="1"/>
          <w:color w:val="auto"/>
        </w:rPr>
        <w:t xml:space="preserve"> </w:t>
      </w:r>
      <w:r>
        <w:rPr>
          <w:rFonts w:ascii="Arial" w:cs="Arial" w:eastAsia="Arial" w:hAnsi="Arial"/>
          <w:sz w:val="16"/>
          <w:szCs w:val="16"/>
          <w:color w:val="auto"/>
        </w:rPr>
        <w:t>all Taxes imposed upon it or upon its income or profits or in respect of its property (including in its capacity as a withholding agent),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payment and discharge shall not be required in the event the failure to make payment and discharge would not reasonably be expected, individually or in the aggregate, to result in a Material Adverse Effect.</w:t>
      </w:r>
    </w:p>
    <w:p>
      <w:pPr>
        <w:spacing w:after="0" w:line="15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7"/>
          <w:szCs w:val="17"/>
          <w:b w:val="1"/>
          <w:bCs w:val="1"/>
          <w:color w:val="auto"/>
        </w:rPr>
        <w:t>Financial Statements, Etc</w:t>
      </w:r>
      <w:r>
        <w:rPr>
          <w:rFonts w:ascii="Arial" w:cs="Arial" w:eastAsia="Arial" w:hAnsi="Arial"/>
          <w:sz w:val="17"/>
          <w:szCs w:val="17"/>
          <w:color w:val="auto"/>
        </w:rPr>
        <w:t>. Borrower shall deliver to Administrative Agent for distribution by Administrative Agent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Lenders (unless a Lender expressly declines in writing to accept):</w:t>
      </w:r>
    </w:p>
    <w:p>
      <w:pPr>
        <w:spacing w:after="0" w:line="207" w:lineRule="exact"/>
        <w:rPr>
          <w:sz w:val="20"/>
          <w:szCs w:val="20"/>
          <w:color w:val="auto"/>
        </w:rPr>
      </w:pPr>
    </w:p>
    <w:p>
      <w:pPr>
        <w:jc w:val="both"/>
        <w:ind w:firstLine="656"/>
        <w:spacing w:after="0" w:line="290" w:lineRule="auto"/>
        <w:tabs>
          <w:tab w:leader="none" w:pos="1055" w:val="left"/>
        </w:tabs>
        <w:numPr>
          <w:ilvl w:val="0"/>
          <w:numId w:val="348"/>
        </w:numPr>
        <w:rPr>
          <w:rFonts w:ascii="Arial" w:cs="Arial" w:eastAsia="Arial" w:hAnsi="Arial"/>
          <w:sz w:val="16"/>
          <w:szCs w:val="16"/>
          <w:color w:val="auto"/>
        </w:rPr>
      </w:pPr>
      <w:r>
        <w:rPr>
          <w:rFonts w:ascii="Arial" w:cs="Arial" w:eastAsia="Arial" w:hAnsi="Arial"/>
          <w:sz w:val="16"/>
          <w:szCs w:val="16"/>
          <w:b w:val="1"/>
          <w:bCs w:val="1"/>
          <w:color w:val="auto"/>
        </w:rPr>
        <w:t>Quarterly Financials</w:t>
      </w:r>
      <w:r>
        <w:rPr>
          <w:rFonts w:ascii="Arial" w:cs="Arial" w:eastAsia="Arial" w:hAnsi="Arial"/>
          <w:sz w:val="16"/>
          <w:szCs w:val="16"/>
          <w:color w:val="auto"/>
        </w:rPr>
        <w:t>. As soon as available and in any event within 45 days (or, in the case of the fiscal quarter ending September 30, 2019,</w:t>
      </w:r>
      <w:r>
        <w:rPr>
          <w:rFonts w:ascii="Arial" w:cs="Arial" w:eastAsia="Arial" w:hAnsi="Arial"/>
          <w:sz w:val="16"/>
          <w:szCs w:val="16"/>
          <w:b w:val="1"/>
          <w:bCs w:val="1"/>
          <w:color w:val="auto"/>
        </w:rPr>
        <w:t xml:space="preserve"> </w:t>
      </w:r>
      <w:r>
        <w:rPr>
          <w:rFonts w:ascii="Arial" w:cs="Arial" w:eastAsia="Arial" w:hAnsi="Arial"/>
          <w:sz w:val="16"/>
          <w:szCs w:val="16"/>
          <w:color w:val="auto"/>
        </w:rPr>
        <w:t>within 75 days following the end of such fiscal quarter) after the end of each of the first three quarterly fiscal periods of each fiscal year beginning with the fiscal quarter ending September 30, 2019,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84" w:right="239" w:bottom="1440" w:gutter="0" w:footer="0" w:header="0"/>
        </w:sectPr>
      </w:pPr>
    </w:p>
    <w:bookmarkStart w:id="327" w:name="page328"/>
    <w:bookmarkEnd w:id="327"/>
    <w:p>
      <w:pPr>
        <w:jc w:val="both"/>
        <w:ind w:firstLine="656"/>
        <w:spacing w:after="0" w:line="285" w:lineRule="auto"/>
        <w:tabs>
          <w:tab w:leader="none" w:pos="1052" w:val="left"/>
        </w:tabs>
        <w:numPr>
          <w:ilvl w:val="1"/>
          <w:numId w:val="349"/>
        </w:numPr>
        <w:rPr>
          <w:rFonts w:ascii="Arial" w:cs="Arial" w:eastAsia="Arial" w:hAnsi="Arial"/>
          <w:sz w:val="16"/>
          <w:szCs w:val="16"/>
          <w:color w:val="auto"/>
        </w:rPr>
      </w:pPr>
      <w:r>
        <w:rPr>
          <w:rFonts w:ascii="Arial" w:cs="Arial" w:eastAsia="Arial" w:hAnsi="Arial"/>
          <w:sz w:val="16"/>
          <w:szCs w:val="16"/>
          <w:b w:val="1"/>
          <w:bCs w:val="1"/>
          <w:color w:val="auto"/>
        </w:rPr>
        <w:t>Annual Financials</w:t>
      </w:r>
      <w:r>
        <w:rPr>
          <w:rFonts w:ascii="Arial" w:cs="Arial" w:eastAsia="Arial" w:hAnsi="Arial"/>
          <w:sz w:val="16"/>
          <w:szCs w:val="16"/>
          <w:color w:val="auto"/>
        </w:rPr>
        <w:t>. As soon as available and in any event within 90 days (or, in the case of the fiscal year ending December 31, 2019, within</w:t>
      </w:r>
      <w:r>
        <w:rPr>
          <w:rFonts w:ascii="Arial" w:cs="Arial" w:eastAsia="Arial" w:hAnsi="Arial"/>
          <w:sz w:val="16"/>
          <w:szCs w:val="16"/>
          <w:b w:val="1"/>
          <w:bCs w:val="1"/>
          <w:color w:val="auto"/>
        </w:rPr>
        <w:t xml:space="preserve"> </w:t>
      </w:r>
      <w:r>
        <w:rPr>
          <w:rFonts w:ascii="Arial" w:cs="Arial" w:eastAsia="Arial" w:hAnsi="Arial"/>
          <w:sz w:val="16"/>
          <w:szCs w:val="16"/>
          <w:color w:val="auto"/>
        </w:rPr>
        <w:t>120 days following the end of such fiscal year) after the end of each fiscal year beginning with the fiscal year ending December 31, 2019,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w:t>
      </w:r>
    </w:p>
    <w:p>
      <w:pPr>
        <w:spacing w:after="0" w:line="3" w:lineRule="exact"/>
        <w:rPr>
          <w:rFonts w:ascii="Arial" w:cs="Arial" w:eastAsia="Arial" w:hAnsi="Arial"/>
          <w:sz w:val="16"/>
          <w:szCs w:val="16"/>
          <w:color w:val="auto"/>
        </w:rPr>
      </w:pPr>
    </w:p>
    <w:p>
      <w:pPr>
        <w:jc w:val="both"/>
        <w:ind w:firstLine="8"/>
        <w:spacing w:after="0" w:line="271" w:lineRule="auto"/>
        <w:tabs>
          <w:tab w:leader="none" w:pos="21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an upcoming maturity date within twelve (12) months under any Indebtedness or (ii) any prospective or actual default of any financial covenant or event of default under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or any other financial covenant with respect to the credit facilities hereunder or any other Indebtedness),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74" w:lineRule="exact"/>
        <w:rPr>
          <w:rFonts w:ascii="Arial" w:cs="Arial" w:eastAsia="Arial" w:hAnsi="Arial"/>
          <w:sz w:val="17"/>
          <w:szCs w:val="17"/>
          <w:color w:val="auto"/>
        </w:rPr>
      </w:pPr>
    </w:p>
    <w:p>
      <w:pPr>
        <w:jc w:val="both"/>
        <w:ind w:firstLine="656"/>
        <w:spacing w:after="0" w:line="273" w:lineRule="auto"/>
        <w:tabs>
          <w:tab w:leader="none" w:pos="1028" w:val="left"/>
        </w:tabs>
        <w:numPr>
          <w:ilvl w:val="1"/>
          <w:numId w:val="350"/>
        </w:numPr>
        <w:rPr>
          <w:rFonts w:ascii="Arial" w:cs="Arial" w:eastAsia="Arial" w:hAnsi="Arial"/>
          <w:sz w:val="17"/>
          <w:szCs w:val="17"/>
          <w:color w:val="auto"/>
        </w:rPr>
      </w:pPr>
      <w:r>
        <w:rPr>
          <w:rFonts w:ascii="Arial" w:cs="Arial" w:eastAsia="Arial" w:hAnsi="Arial"/>
          <w:sz w:val="17"/>
          <w:szCs w:val="17"/>
          <w:b w:val="1"/>
          <w:bCs w:val="1"/>
          <w:color w:val="auto"/>
        </w:rPr>
        <w:t>Compliance Certificate</w:t>
      </w:r>
      <w:r>
        <w:rPr>
          <w:rFonts w:ascii="Arial" w:cs="Arial" w:eastAsia="Arial" w:hAnsi="Arial"/>
          <w:sz w:val="17"/>
          <w:szCs w:val="17"/>
          <w:color w:val="auto"/>
        </w:rPr>
        <w:t>. At the time Borrower furnishes each set of financial statements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9.04(a)</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9.04(b)</w:t>
      </w:r>
      <w:r>
        <w:rPr>
          <w:rFonts w:ascii="Arial" w:cs="Arial" w:eastAsia="Arial" w:hAnsi="Arial"/>
          <w:sz w:val="17"/>
          <w:szCs w:val="17"/>
          <w:color w:val="auto"/>
        </w:rPr>
        <w:t>, a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Responsible Officer of Borrower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setting forth in reasonable detail the computations necessary to determine whether Borrower and its Restricted Subsidiaries are in compliance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of the end of the respective fiscal quarter or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certificate demonstrates an Event of Default with respect to the Financial Maintenance Covenant, Borrower may deliver, prior to or together with such certificate, a notice of intent to cure (a “</w:t>
      </w:r>
      <w:r>
        <w:rPr>
          <w:rFonts w:ascii="Arial" w:cs="Arial" w:eastAsia="Arial" w:hAnsi="Arial"/>
          <w:sz w:val="17"/>
          <w:szCs w:val="17"/>
          <w:b w:val="1"/>
          <w:bCs w:val="1"/>
          <w:color w:val="auto"/>
        </w:rPr>
        <w:t>Notice of Intent to</w:t>
      </w:r>
      <w:r>
        <w:rPr>
          <w:rFonts w:ascii="Arial" w:cs="Arial" w:eastAsia="Arial" w:hAnsi="Arial"/>
          <w:sz w:val="17"/>
          <w:szCs w:val="17"/>
          <w:color w:val="auto"/>
        </w:rPr>
        <w:t xml:space="preserve"> </w:t>
      </w:r>
      <w:r>
        <w:rPr>
          <w:rFonts w:ascii="Arial" w:cs="Arial" w:eastAsia="Arial" w:hAnsi="Arial"/>
          <w:sz w:val="17"/>
          <w:szCs w:val="17"/>
          <w:b w:val="1"/>
          <w:bCs w:val="1"/>
          <w:color w:val="auto"/>
        </w:rPr>
        <w:t>Cure</w:t>
      </w:r>
      <w:r>
        <w:rPr>
          <w:rFonts w:ascii="Arial" w:cs="Arial" w:eastAsia="Arial" w:hAnsi="Arial"/>
          <w:sz w:val="17"/>
          <w:szCs w:val="17"/>
          <w:color w:val="auto"/>
        </w:rPr>
        <w: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11.03</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permitted thereunder;</w:t>
      </w:r>
    </w:p>
    <w:p>
      <w:pPr>
        <w:spacing w:after="0" w:line="172" w:lineRule="exact"/>
        <w:rPr>
          <w:rFonts w:ascii="Arial" w:cs="Arial" w:eastAsia="Arial" w:hAnsi="Arial"/>
          <w:sz w:val="17"/>
          <w:szCs w:val="17"/>
          <w:color w:val="auto"/>
        </w:rPr>
      </w:pPr>
    </w:p>
    <w:p>
      <w:pPr>
        <w:jc w:val="both"/>
        <w:ind w:firstLine="656"/>
        <w:spacing w:after="0" w:line="266" w:lineRule="auto"/>
        <w:tabs>
          <w:tab w:leader="none" w:pos="1092"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t>Notice of Default</w:t>
      </w:r>
      <w:r>
        <w:rPr>
          <w:rFonts w:ascii="Arial" w:cs="Arial" w:eastAsia="Arial" w:hAnsi="Arial"/>
          <w:sz w:val="18"/>
          <w:szCs w:val="18"/>
          <w:color w:val="auto"/>
        </w:rPr>
        <w:t>. Promptly after any Responsible Officer of any Company knows that any Default has occurred, a notice of such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or violation describing the same in reasonable detail and a description of the action that the Companies have taken and propose to take with respect thereto;</w:t>
      </w:r>
    </w:p>
    <w:p>
      <w:pPr>
        <w:spacing w:after="0" w:line="176" w:lineRule="exact"/>
        <w:rPr>
          <w:rFonts w:ascii="Arial" w:cs="Arial" w:eastAsia="Arial" w:hAnsi="Arial"/>
          <w:sz w:val="18"/>
          <w:szCs w:val="18"/>
          <w:color w:val="auto"/>
        </w:rPr>
      </w:pPr>
    </w:p>
    <w:p>
      <w:pPr>
        <w:ind w:right="20" w:firstLine="656"/>
        <w:spacing w:after="0" w:line="313" w:lineRule="auto"/>
        <w:tabs>
          <w:tab w:leader="none" w:pos="1095" w:val="left"/>
        </w:tabs>
        <w:numPr>
          <w:ilvl w:val="1"/>
          <w:numId w:val="350"/>
        </w:numPr>
        <w:rPr>
          <w:rFonts w:ascii="Arial" w:cs="Arial" w:eastAsia="Arial" w:hAnsi="Arial"/>
          <w:sz w:val="17"/>
          <w:szCs w:val="17"/>
          <w:color w:val="auto"/>
        </w:rPr>
      </w:pPr>
      <w:r>
        <w:rPr>
          <w:rFonts w:ascii="Arial" w:cs="Arial" w:eastAsia="Arial" w:hAnsi="Arial"/>
          <w:sz w:val="17"/>
          <w:szCs w:val="17"/>
          <w:b w:val="1"/>
          <w:bCs w:val="1"/>
          <w:color w:val="auto"/>
        </w:rPr>
        <w:t>Environmental Matters</w:t>
      </w:r>
      <w:r>
        <w:rPr>
          <w:rFonts w:ascii="Arial" w:cs="Arial" w:eastAsia="Arial" w:hAnsi="Arial"/>
          <w:sz w:val="17"/>
          <w:szCs w:val="17"/>
          <w:color w:val="auto"/>
        </w:rPr>
        <w:t>. Written notice of any claim, release of Hazardous Material, condition, circumstance, occurrence or event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Environmental Law which would reasonably be expected to have, individually or in the aggregate, a Material Adverse Effect;</w:t>
      </w:r>
    </w:p>
    <w:p>
      <w:pPr>
        <w:spacing w:after="0" w:line="138" w:lineRule="exact"/>
        <w:rPr>
          <w:rFonts w:ascii="Arial" w:cs="Arial" w:eastAsia="Arial" w:hAnsi="Arial"/>
          <w:sz w:val="17"/>
          <w:szCs w:val="17"/>
          <w:color w:val="auto"/>
        </w:rPr>
      </w:pPr>
    </w:p>
    <w:p>
      <w:pPr>
        <w:jc w:val="both"/>
        <w:ind w:firstLine="656"/>
        <w:spacing w:after="0" w:line="254" w:lineRule="auto"/>
        <w:tabs>
          <w:tab w:leader="none" w:pos="1035"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t>Annual Budgets</w:t>
      </w:r>
      <w:r>
        <w:rPr>
          <w:rFonts w:ascii="Arial" w:cs="Arial" w:eastAsia="Arial" w:hAnsi="Arial"/>
          <w:sz w:val="18"/>
          <w:szCs w:val="18"/>
          <w:color w:val="auto"/>
        </w:rPr>
        <w:t>. Beginning with the fiscal year of Borrower commencing on January 1, 2020, as soon as practicable and in any event within</w:t>
      </w:r>
      <w:r>
        <w:rPr>
          <w:rFonts w:ascii="Arial" w:cs="Arial" w:eastAsia="Arial" w:hAnsi="Arial"/>
          <w:sz w:val="18"/>
          <w:szCs w:val="18"/>
          <w:b w:val="1"/>
          <w:bCs w:val="1"/>
          <w:color w:val="auto"/>
        </w:rPr>
        <w:t xml:space="preserve"> </w:t>
      </w:r>
      <w:r>
        <w:rPr>
          <w:rFonts w:ascii="Arial" w:cs="Arial" w:eastAsia="Arial" w:hAnsi="Arial"/>
          <w:sz w:val="18"/>
          <w:szCs w:val="18"/>
          <w:color w:val="auto"/>
        </w:rPr>
        <w:t>10 days after the approval thereof by the Board of Directors of Borrower (but not later than 90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89" w:lineRule="exact"/>
        <w:rPr>
          <w:rFonts w:ascii="Arial" w:cs="Arial" w:eastAsia="Arial" w:hAnsi="Arial"/>
          <w:sz w:val="18"/>
          <w:szCs w:val="18"/>
          <w:color w:val="auto"/>
        </w:rPr>
      </w:pPr>
    </w:p>
    <w:p>
      <w:pPr>
        <w:jc w:val="both"/>
        <w:ind w:firstLine="656"/>
        <w:spacing w:after="0" w:line="258" w:lineRule="auto"/>
        <w:tabs>
          <w:tab w:leader="none" w:pos="1146"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t>Auditors’ Reports</w:t>
      </w:r>
      <w:r>
        <w:rPr>
          <w:rFonts w:ascii="Arial" w:cs="Arial" w:eastAsia="Arial" w:hAnsi="Arial"/>
          <w:sz w:val="18"/>
          <w:szCs w:val="18"/>
          <w:color w:val="auto"/>
        </w:rPr>
        <w:t>. Promptly upon receipt thereof, copies of all annual, interim or special reports issued to Borrower or 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reports shall only be made available to Administrative Agent and to those Lenders who request such reports through Administrative Agent;</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350"/>
        </w:numPr>
        <w:rPr>
          <w:rFonts w:ascii="Arial" w:cs="Arial" w:eastAsia="Arial" w:hAnsi="Arial"/>
          <w:sz w:val="18"/>
          <w:szCs w:val="18"/>
          <w:color w:val="auto"/>
        </w:rPr>
      </w:pPr>
      <w:r>
        <w:rPr>
          <w:rFonts w:ascii="Arial" w:cs="Arial" w:eastAsia="Arial" w:hAnsi="Arial"/>
          <w:sz w:val="18"/>
          <w:szCs w:val="18"/>
          <w:b w:val="1"/>
          <w:bCs w:val="1"/>
          <w:color w:val="auto"/>
        </w:rPr>
        <w:t>Casualty and Damage to Collateral; Perfection Certificate Updates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80" w:right="239" w:bottom="1440" w:gutter="0" w:footer="0" w:header="0"/>
        </w:sectPr>
      </w:pPr>
    </w:p>
    <w:bookmarkStart w:id="328" w:name="page329"/>
    <w:bookmarkEnd w:id="328"/>
    <w:p>
      <w:pPr>
        <w:ind w:left="1660" w:hanging="355"/>
        <w:spacing w:after="0"/>
        <w:tabs>
          <w:tab w:leader="none" w:pos="1660" w:val="left"/>
        </w:tabs>
        <w:numPr>
          <w:ilvl w:val="1"/>
          <w:numId w:val="351"/>
        </w:numPr>
        <w:rPr>
          <w:rFonts w:ascii="Arial" w:cs="Arial" w:eastAsia="Arial" w:hAnsi="Arial"/>
          <w:sz w:val="18"/>
          <w:szCs w:val="18"/>
          <w:color w:val="auto"/>
        </w:rPr>
      </w:pPr>
      <w:r>
        <w:rPr>
          <w:rFonts w:ascii="Arial" w:cs="Arial" w:eastAsia="Arial" w:hAnsi="Arial"/>
          <w:sz w:val="18"/>
          <w:szCs w:val="18"/>
          <w:color w:val="auto"/>
        </w:rPr>
        <w:t>Prompt written notice of any Casualty Event or other insured damage to any material portion of the Collateral; and</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1708" w:val="left"/>
        </w:tabs>
        <w:numPr>
          <w:ilvl w:val="1"/>
          <w:numId w:val="351"/>
        </w:numPr>
        <w:rPr>
          <w:rFonts w:ascii="Arial" w:cs="Arial" w:eastAsia="Arial" w:hAnsi="Arial"/>
          <w:sz w:val="17"/>
          <w:szCs w:val="17"/>
          <w:color w:val="auto"/>
        </w:rPr>
      </w:pPr>
      <w:r>
        <w:rPr>
          <w:rFonts w:ascii="Arial" w:cs="Arial" w:eastAsia="Arial" w:hAnsi="Arial"/>
          <w:sz w:val="17"/>
          <w:szCs w:val="17"/>
          <w:color w:val="auto"/>
        </w:rPr>
        <w:t xml:space="preserve">Each year, at the time of delivery of annual financial statements with respect to the preceding fiscal year pursuant to </w:t>
      </w:r>
      <w:r>
        <w:rPr>
          <w:rFonts w:ascii="Arial" w:cs="Arial" w:eastAsia="Arial" w:hAnsi="Arial"/>
          <w:sz w:val="17"/>
          <w:szCs w:val="17"/>
          <w:u w:val="single" w:color="auto"/>
          <w:color w:val="auto"/>
        </w:rPr>
        <w:t>Section 9.04(b)</w:t>
      </w:r>
      <w:r>
        <w:rPr>
          <w:rFonts w:ascii="Arial" w:cs="Arial" w:eastAsia="Arial" w:hAnsi="Arial"/>
          <w:sz w:val="17"/>
          <w:szCs w:val="17"/>
          <w:color w:val="auto"/>
        </w:rPr>
        <w:t xml:space="preserve">, a certificate of a Responsible Officer of Borrower setting forth the information required pursuant to </w:t>
      </w:r>
      <w:r>
        <w:rPr>
          <w:rFonts w:ascii="Arial" w:cs="Arial" w:eastAsia="Arial" w:hAnsi="Arial"/>
          <w:sz w:val="17"/>
          <w:szCs w:val="17"/>
          <w:u w:val="single" w:color="auto"/>
          <w:color w:val="auto"/>
        </w:rPr>
        <w:t>Schedules 1(a)</w:t>
      </w:r>
      <w:r>
        <w:rPr>
          <w:rFonts w:ascii="Arial" w:cs="Arial" w:eastAsia="Arial" w:hAnsi="Arial"/>
          <w:sz w:val="17"/>
          <w:szCs w:val="17"/>
          <w:color w:val="auto"/>
        </w:rPr>
        <w:t xml:space="preserve">,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4(a)</w:t>
      </w:r>
      <w:r>
        <w:rPr>
          <w:rFonts w:ascii="Arial" w:cs="Arial" w:eastAsia="Arial" w:hAnsi="Arial"/>
          <w:sz w:val="17"/>
          <w:szCs w:val="17"/>
          <w:color w:val="auto"/>
        </w:rPr>
        <w:t xml:space="preserve">, </w:t>
      </w:r>
      <w:r>
        <w:rPr>
          <w:rFonts w:ascii="Arial" w:cs="Arial" w:eastAsia="Arial" w:hAnsi="Arial"/>
          <w:sz w:val="17"/>
          <w:szCs w:val="17"/>
          <w:u w:val="single" w:color="auto"/>
          <w:color w:val="auto"/>
        </w:rPr>
        <w:t>4(b)</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7(a)</w:t>
      </w:r>
      <w:r>
        <w:rPr>
          <w:rFonts w:ascii="Arial" w:cs="Arial" w:eastAsia="Arial" w:hAnsi="Arial"/>
          <w:sz w:val="17"/>
          <w:szCs w:val="17"/>
          <w:color w:val="auto"/>
        </w:rPr>
        <w:t xml:space="preserve">, </w:t>
      </w:r>
      <w:r>
        <w:rPr>
          <w:rFonts w:ascii="Arial" w:cs="Arial" w:eastAsia="Arial" w:hAnsi="Arial"/>
          <w:sz w:val="17"/>
          <w:szCs w:val="17"/>
          <w:u w:val="single" w:color="auto"/>
          <w:color w:val="auto"/>
        </w:rPr>
        <w:t>7(b)</w:t>
      </w:r>
      <w:r>
        <w:rPr>
          <w:rFonts w:ascii="Arial" w:cs="Arial" w:eastAsia="Arial" w:hAnsi="Arial"/>
          <w:sz w:val="17"/>
          <w:szCs w:val="17"/>
          <w:color w:val="auto"/>
        </w:rPr>
        <w:t xml:space="preserve">, </w:t>
      </w:r>
      <w:r>
        <w:rPr>
          <w:rFonts w:ascii="Arial" w:cs="Arial" w:eastAsia="Arial" w:hAnsi="Arial"/>
          <w:sz w:val="17"/>
          <w:szCs w:val="17"/>
          <w:u w:val="single" w:color="auto"/>
          <w:color w:val="auto"/>
        </w:rPr>
        <w:t>7(c)</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to the Perfection Certificate or confirming that there has been no change in such information since the date of the Initial Perfection Certificate or the date of the most recent certificate delivered pursuant to this </w:t>
      </w:r>
      <w:r>
        <w:rPr>
          <w:rFonts w:ascii="Arial" w:cs="Arial" w:eastAsia="Arial" w:hAnsi="Arial"/>
          <w:sz w:val="17"/>
          <w:szCs w:val="17"/>
          <w:u w:val="single" w:color="auto"/>
          <w:color w:val="auto"/>
        </w:rPr>
        <w:t>Section 9.04(h)(ii)</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jc w:val="both"/>
        <w:ind w:firstLine="656"/>
        <w:spacing w:after="0" w:line="266" w:lineRule="auto"/>
        <w:tabs>
          <w:tab w:leader="none" w:pos="1025"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Notice of Material Adverse Effect or Covenant Suspension Period</w:t>
      </w:r>
      <w:r>
        <w:rPr>
          <w:rFonts w:ascii="Arial" w:cs="Arial" w:eastAsia="Arial" w:hAnsi="Arial"/>
          <w:sz w:val="18"/>
          <w:szCs w:val="18"/>
          <w:color w:val="auto"/>
        </w:rPr>
        <w:t>. Written notice (i) of the occurrence of any event or occurrence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had or would reasonably be expected to have a Material Adverse Effect or (ii) Borrower’s determination of the commencement or termination of a Covenant Suspension Period;</w:t>
      </w:r>
    </w:p>
    <w:p>
      <w:pPr>
        <w:spacing w:after="0" w:line="176" w:lineRule="exact"/>
        <w:rPr>
          <w:rFonts w:ascii="Arial" w:cs="Arial" w:eastAsia="Arial" w:hAnsi="Arial"/>
          <w:sz w:val="18"/>
          <w:szCs w:val="18"/>
          <w:color w:val="auto"/>
        </w:rPr>
      </w:pPr>
    </w:p>
    <w:p>
      <w:pPr>
        <w:jc w:val="both"/>
        <w:ind w:firstLine="656"/>
        <w:spacing w:after="0" w:line="261" w:lineRule="auto"/>
        <w:tabs>
          <w:tab w:leader="none" w:pos="1093"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ERISA Information</w:t>
      </w:r>
      <w:r>
        <w:rPr>
          <w:rFonts w:ascii="Arial" w:cs="Arial" w:eastAsia="Arial" w:hAnsi="Arial"/>
          <w:sz w:val="18"/>
          <w:szCs w:val="18"/>
          <w:color w:val="auto"/>
        </w:rPr>
        <w:t>. Promptly after the occurrence of any ERISA Event that, alone or together with any other ERISA Events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w:t>
      </w:r>
    </w:p>
    <w:p>
      <w:pPr>
        <w:spacing w:after="0" w:line="180" w:lineRule="exact"/>
        <w:rPr>
          <w:rFonts w:ascii="Arial" w:cs="Arial" w:eastAsia="Arial" w:hAnsi="Arial"/>
          <w:sz w:val="18"/>
          <w:szCs w:val="18"/>
          <w:color w:val="auto"/>
        </w:rPr>
      </w:pPr>
    </w:p>
    <w:p>
      <w:pPr>
        <w:jc w:val="both"/>
        <w:ind w:firstLine="656"/>
        <w:spacing w:after="0" w:line="261" w:lineRule="auto"/>
        <w:tabs>
          <w:tab w:leader="none" w:pos="1106"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Promptly after Borrower’s knowledge thereof, notice of any change in the information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Beneficial Ownership Certification that would result in a change to the list of beneficial owners identified in such certification;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(k) shall not apply at any time unless Borrower then qualifies as a “legal entity customer” under the Beneficial Ownership Regulation and is not subject to any exemption thereunder; and</w:t>
      </w:r>
    </w:p>
    <w:p>
      <w:pPr>
        <w:spacing w:after="0" w:line="180" w:lineRule="exact"/>
        <w:rPr>
          <w:rFonts w:ascii="Arial" w:cs="Arial" w:eastAsia="Arial" w:hAnsi="Arial"/>
          <w:sz w:val="18"/>
          <w:szCs w:val="18"/>
          <w:color w:val="auto"/>
        </w:rPr>
      </w:pPr>
    </w:p>
    <w:p>
      <w:pPr>
        <w:ind w:firstLine="656"/>
        <w:spacing w:after="0" w:line="282" w:lineRule="auto"/>
        <w:tabs>
          <w:tab w:leader="none" w:pos="1133" w:val="left"/>
        </w:tabs>
        <w:numPr>
          <w:ilvl w:val="0"/>
          <w:numId w:val="35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Promptly, such financial information, reports, documents and other information with respect to Borrower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Subsidiaries as Administrative Agent or the Required Lenders may from time to time reasonably request;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nothing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9.04</w:t>
      </w:r>
      <w:r>
        <w:rPr>
          <w:rFonts w:ascii="Arial" w:cs="Arial" w:eastAsia="Arial" w:hAnsi="Arial"/>
          <w:sz w:val="18"/>
          <w:szCs w:val="18"/>
          <w:i w:val="1"/>
          <w:iCs w:val="1"/>
          <w:color w:val="auto"/>
        </w:rPr>
        <w:t xml:space="preserve"> </w:t>
      </w:r>
      <w:r>
        <w:rPr>
          <w:rFonts w:ascii="Arial" w:cs="Arial" w:eastAsia="Arial" w:hAnsi="Arial"/>
          <w:sz w:val="18"/>
          <w:szCs w:val="18"/>
          <w:color w:val="auto"/>
        </w:rPr>
        <w:t>shall require delivery of financial information, reports, documents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Reports and documents required to be delivered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w:t>
      </w:r>
      <w:r>
        <w:rPr>
          <w:rFonts w:ascii="Arial" w:cs="Arial" w:eastAsia="Arial" w:hAnsi="Arial"/>
          <w:sz w:val="16"/>
          <w:szCs w:val="16"/>
          <w:u w:val="single" w:color="auto"/>
          <w:color w:val="auto"/>
        </w:rPr>
        <w:t>Section 13.02</w:t>
      </w:r>
      <w:r>
        <w:rPr>
          <w:rFonts w:ascii="Arial" w:cs="Arial" w:eastAsia="Arial" w:hAnsi="Arial"/>
          <w:sz w:val="16"/>
          <w:szCs w:val="16"/>
          <w:color w:val="auto"/>
        </w:rPr>
        <w:t>; or</w:t>
      </w:r>
    </w:p>
    <w:p>
      <w:pPr>
        <w:jc w:val="both"/>
        <w:ind w:firstLine="8"/>
        <w:spacing w:after="0" w:line="252" w:lineRule="auto"/>
        <w:tabs>
          <w:tab w:leader="none" w:pos="307"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w:t>
      </w:r>
      <w:r>
        <w:rPr>
          <w:rFonts w:ascii="Arial" w:cs="Arial" w:eastAsia="Arial" w:hAnsi="Arial"/>
          <w:sz w:val="18"/>
          <w:szCs w:val="18"/>
          <w:u w:val="single" w:color="auto"/>
          <w:color w:val="auto"/>
        </w:rPr>
        <w:t>Section 9.04(c)(ii)</w:t>
      </w:r>
      <w:r>
        <w:rPr>
          <w:rFonts w:ascii="Arial" w:cs="Arial" w:eastAsia="Arial" w:hAnsi="Arial"/>
          <w:sz w:val="18"/>
          <w:szCs w:val="18"/>
          <w:color w:val="auto"/>
        </w:rPr>
        <w:t xml:space="preserve"> to Administrative Agent in the form of an original paper copy or a.pdf or facsimile copy of the original paper copy.</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Concurrently with the delivery of financial statements pursuant to </w:t>
      </w:r>
      <w:r>
        <w:rPr>
          <w:rFonts w:ascii="Arial" w:cs="Arial" w:eastAsia="Arial" w:hAnsi="Arial"/>
          <w:sz w:val="17"/>
          <w:szCs w:val="17"/>
          <w:u w:val="single" w:color="auto"/>
          <w:color w:val="auto"/>
        </w:rPr>
        <w:t>Sections 9.04(a)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9.04(b)</w:t>
      </w:r>
      <w:r>
        <w:rPr>
          <w:rFonts w:ascii="Arial" w:cs="Arial" w:eastAsia="Arial" w:hAnsi="Arial"/>
          <w:sz w:val="17"/>
          <w:szCs w:val="17"/>
          <w:color w:val="auto"/>
        </w:rPr>
        <w:t xml:space="preserve">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584" w:right="239" w:bottom="1440" w:gutter="0" w:footer="0" w:header="0"/>
        </w:sectPr>
      </w:pPr>
    </w:p>
    <w:bookmarkStart w:id="329" w:name="page330"/>
    <w:bookmarkEnd w:id="329"/>
    <w:p>
      <w:pPr>
        <w:jc w:val="both"/>
        <w:ind w:right="20"/>
        <w:spacing w:after="0" w:line="277" w:lineRule="auto"/>
        <w:rPr>
          <w:sz w:val="20"/>
          <w:szCs w:val="20"/>
          <w:color w:val="auto"/>
        </w:rPr>
      </w:pPr>
      <w:r>
        <w:rPr>
          <w:rFonts w:ascii="Arial" w:cs="Arial" w:eastAsia="Arial" w:hAnsi="Arial"/>
          <w:sz w:val="18"/>
          <w:szCs w:val="18"/>
          <w:color w:val="auto"/>
        </w:rPr>
        <w:t>Consolidated EBITDA to be determined for such Unrestricted Subsidiaries as if references in the definition of Consolidated EBITDA were deemed to be references to the Unrestricted Subsidiaries).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Notwithstanding anything to the contrary set forth in this Agreement or any other Credit document, for so long as Wynn Resorts reports on a consolidated basis, then such consolidated reporting by Wynn Resorts in a manner consistent with that described in </w:t>
      </w:r>
      <w:r>
        <w:rPr>
          <w:rFonts w:ascii="Arial" w:cs="Arial" w:eastAsia="Arial" w:hAnsi="Arial"/>
          <w:sz w:val="17"/>
          <w:szCs w:val="17"/>
          <w:u w:val="single" w:color="auto"/>
          <w:color w:val="auto"/>
        </w:rPr>
        <w:t>Sections 9.04(a)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9.04(b)</w:t>
      </w:r>
      <w:r>
        <w:rPr>
          <w:rFonts w:ascii="Arial" w:cs="Arial" w:eastAsia="Arial" w:hAnsi="Arial"/>
          <w:sz w:val="17"/>
          <w:szCs w:val="17"/>
          <w:color w:val="auto"/>
        </w:rPr>
        <w:t xml:space="preserve"> will satisfy the requirements of such paragraphs; provided that, such financial statements are accompanied by consolidating information (which may be unaudited) that explains in reasonable detail the differences between the information relating to Wynn Resorts and any of its Subsidiaries other than Borrower and its Restricted Subsidiaries, on the one hand, and the information relating to Borrower and its Restricted Subsidiaries on a standalone basis, on the other hand, in each case on a balance sheet, statement of operations, statement of cash flows and statement of stockholders’ equity basis, which consolidating information shall be certified by a Responsible Officer as having been fairly presented in all material respects.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Borrower hereby acknowledges that (a) Administrative Agent will make available to the Lenders and the L/C Lenders materials and/or information provided by or on behalf of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Borrower Materials on IntraLinks/IntraAgency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such Borrower Materials constitute information of the type subject to </w:t>
      </w:r>
      <w:r>
        <w:rPr>
          <w:rFonts w:ascii="Arial" w:cs="Arial" w:eastAsia="Arial" w:hAnsi="Arial"/>
          <w:sz w:val="16"/>
          <w:szCs w:val="16"/>
          <w:u w:val="single" w:color="auto"/>
          <w:color w:val="auto"/>
        </w:rPr>
        <w:t>Section 13.10</w:t>
      </w:r>
      <w:r>
        <w:rPr>
          <w:rFonts w:ascii="Arial" w:cs="Arial" w:eastAsia="Arial" w:hAnsi="Arial"/>
          <w:sz w:val="16"/>
          <w:szCs w:val="16"/>
          <w:color w:val="auto"/>
        </w:rPr>
        <w:t xml:space="preserve">, they shall be treated as set forth in </w:t>
      </w:r>
      <w:r>
        <w:rPr>
          <w:rFonts w:ascii="Arial" w:cs="Arial" w:eastAsia="Arial" w:hAnsi="Arial"/>
          <w:sz w:val="16"/>
          <w:szCs w:val="16"/>
          <w:u w:val="single" w:color="auto"/>
          <w:color w:val="auto"/>
        </w:rPr>
        <w:t>Section 13.10</w:t>
      </w:r>
      <w:r>
        <w:rPr>
          <w:rFonts w:ascii="Arial" w:cs="Arial" w:eastAsia="Arial" w:hAnsi="Arial"/>
          <w:sz w:val="16"/>
          <w:szCs w:val="16"/>
          <w:color w:val="auto"/>
        </w:rPr>
        <w:t>);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9.05. Maintaining Records; Access to Properties and Inspections</w:t>
      </w:r>
      <w:r>
        <w:rPr>
          <w:rFonts w:ascii="Arial" w:cs="Arial" w:eastAsia="Arial" w:hAnsi="Arial"/>
          <w:sz w:val="17"/>
          <w:szCs w:val="17"/>
          <w:color w:val="auto"/>
        </w:rPr>
        <w:t>. Borrower and its Restricted Subsidiaries shall keep proper books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9.06. Use of Proceeds; FCPA</w:t>
      </w:r>
      <w:r>
        <w:rPr>
          <w:rFonts w:ascii="Arial" w:cs="Arial" w:eastAsia="Arial" w:hAnsi="Arial"/>
          <w:sz w:val="18"/>
          <w:szCs w:val="18"/>
          <w:color w:val="auto"/>
        </w:rPr>
        <w:t>. Borrower shall use the proceeds of the Loans only for the purposes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8.11</w:t>
      </w:r>
      <w:r>
        <w:rPr>
          <w:rFonts w:ascii="Arial" w:cs="Arial" w:eastAsia="Arial" w:hAnsi="Arial"/>
          <w:sz w:val="18"/>
          <w:szCs w:val="18"/>
          <w:color w:val="auto"/>
        </w:rPr>
        <w:t>. No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proceeds of the Loans or Letters of Credit will be used by Borrower, directly or indirectly, and Borrower will not lend, contribute or otherwise make available such proceeds to any Subsidiary, joint venture partner or other Person, in any case for the purpose of (i) furthering an offer, payment, promise to pay, or authorization of payment of money or giving anything of value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584" w:right="239" w:bottom="1440" w:gutter="0" w:footer="0" w:header="0"/>
        </w:sectPr>
      </w:pPr>
    </w:p>
    <w:bookmarkStart w:id="330" w:name="page331"/>
    <w:bookmarkEnd w:id="330"/>
    <w:p>
      <w:pPr>
        <w:spacing w:after="0" w:line="291" w:lineRule="auto"/>
        <w:rPr>
          <w:sz w:val="20"/>
          <w:szCs w:val="20"/>
          <w:color w:val="auto"/>
        </w:rPr>
      </w:pPr>
      <w:r>
        <w:rPr>
          <w:rFonts w:ascii="Arial" w:cs="Arial" w:eastAsia="Arial" w:hAnsi="Arial"/>
          <w:sz w:val="16"/>
          <w:szCs w:val="16"/>
          <w:color w:val="auto"/>
        </w:rPr>
        <w:t>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w:t>
      </w:r>
    </w:p>
    <w:p>
      <w:pPr>
        <w:jc w:val="both"/>
        <w:ind w:firstLine="8"/>
        <w:spacing w:after="0" w:line="254" w:lineRule="auto"/>
        <w:tabs>
          <w:tab w:leader="none" w:pos="32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other use that would result in a violation of Sanctions by any Person (including any Person participating in the Loans or Letters of Credit hereunder, whether as underwriter, advisor, investor, or otherwise). Borrower has implemented and will maintain in effect policies and procedures reasonably designed to promote material compliance by Borrower, its Subsidiaries and their respective directors, officers, employees and agents with applicable Sanctions and laws related to bribery and anti-corruption.</w:t>
      </w:r>
    </w:p>
    <w:p>
      <w:pPr>
        <w:spacing w:after="0" w:line="18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SECTION 9.07. Compliance with Environmental Law</w:t>
      </w:r>
      <w:r>
        <w:rPr>
          <w:rFonts w:ascii="Arial" w:cs="Arial" w:eastAsia="Arial" w:hAnsi="Arial"/>
          <w:sz w:val="16"/>
          <w:szCs w:val="16"/>
          <w:color w:val="auto"/>
        </w:rPr>
        <w:t>. Borrower and its Restricted Subsidiaries shall (a) comply with Environmental Law,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request may be made only if</w:t>
      </w:r>
    </w:p>
    <w:p>
      <w:pPr>
        <w:spacing w:after="0" w:line="7" w:lineRule="exact"/>
        <w:rPr>
          <w:sz w:val="20"/>
          <w:szCs w:val="20"/>
          <w:color w:val="auto"/>
        </w:rPr>
      </w:pPr>
    </w:p>
    <w:p>
      <w:pPr>
        <w:jc w:val="both"/>
        <w:ind w:firstLine="8"/>
        <w:spacing w:after="0" w:line="268" w:lineRule="auto"/>
        <w:tabs>
          <w:tab w:leader="none" w:pos="256" w:val="left"/>
        </w:tabs>
        <w:numPr>
          <w:ilvl w:val="0"/>
          <w:numId w:val="355"/>
        </w:numPr>
        <w:rPr>
          <w:rFonts w:ascii="Arial" w:cs="Arial" w:eastAsia="Arial" w:hAnsi="Arial"/>
          <w:sz w:val="17"/>
          <w:szCs w:val="17"/>
          <w:color w:val="auto"/>
        </w:rPr>
      </w:pPr>
      <w:r>
        <w:rPr>
          <w:rFonts w:ascii="Arial" w:cs="Arial" w:eastAsia="Arial" w:hAnsi="Arial"/>
          <w:sz w:val="17"/>
          <w:szCs w:val="17"/>
          <w:color w:val="auto"/>
        </w:rPr>
        <w:t>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7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6"/>
          <w:szCs w:val="16"/>
          <w:b w:val="1"/>
          <w:bCs w:val="1"/>
          <w:color w:val="auto"/>
        </w:rPr>
        <w:t>Pledge of Property or Mortgage of Real Property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082" w:val="left"/>
        </w:tabs>
        <w:numPr>
          <w:ilvl w:val="0"/>
          <w:numId w:val="356"/>
        </w:numPr>
        <w:rPr>
          <w:rFonts w:ascii="Arial" w:cs="Arial" w:eastAsia="Arial" w:hAnsi="Arial"/>
          <w:sz w:val="16"/>
          <w:szCs w:val="16"/>
          <w:color w:val="auto"/>
        </w:rPr>
      </w:pPr>
      <w:r>
        <w:rPr>
          <w:rFonts w:ascii="Arial" w:cs="Arial" w:eastAsia="Arial" w:hAnsi="Arial"/>
          <w:sz w:val="16"/>
          <w:szCs w:val="16"/>
          <w:color w:val="auto"/>
        </w:rPr>
        <w:t xml:space="preserve">Subject to compliance with applicable Gaming Laws, if, after the Closing Date, any Credit Party shall acquire any Property (other than any Real Property or any Property that is subject to a Lien permitted under </w:t>
      </w:r>
      <w:r>
        <w:rPr>
          <w:rFonts w:ascii="Arial" w:cs="Arial" w:eastAsia="Arial" w:hAnsi="Arial"/>
          <w:sz w:val="16"/>
          <w:szCs w:val="16"/>
          <w:u w:val="single" w:color="auto"/>
          <w:color w:val="auto"/>
        </w:rPr>
        <w:t>Section 10.02(i)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10.02(k)</w:t>
      </w:r>
      <w:r>
        <w:rPr>
          <w:rFonts w:ascii="Arial" w:cs="Arial" w:eastAsia="Arial" w:hAnsi="Arial"/>
          <w:sz w:val="16"/>
          <w:szCs w:val="16"/>
          <w:color w:val="auto"/>
        </w:rPr>
        <w:t xml:space="preserve">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4" w:right="239" w:bottom="1440" w:gutter="0" w:footer="0" w:header="0"/>
        </w:sectPr>
      </w:pPr>
    </w:p>
    <w:bookmarkStart w:id="331" w:name="page332"/>
    <w:bookmarkEnd w:id="331"/>
    <w:p>
      <w:pPr>
        <w:spacing w:after="0" w:line="308" w:lineRule="auto"/>
        <w:rPr>
          <w:sz w:val="20"/>
          <w:szCs w:val="20"/>
          <w:color w:val="auto"/>
        </w:rPr>
      </w:pPr>
      <w:r>
        <w:rPr>
          <w:rFonts w:ascii="Arial" w:cs="Arial" w:eastAsia="Arial" w:hAnsi="Arial"/>
          <w:sz w:val="17"/>
          <w:szCs w:val="17"/>
          <w:color w:val="auto"/>
        </w:rPr>
        <w:t>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47" w:lineRule="exact"/>
        <w:rPr>
          <w:sz w:val="20"/>
          <w:szCs w:val="20"/>
          <w:color w:val="auto"/>
        </w:rPr>
      </w:pPr>
    </w:p>
    <w:p>
      <w:pPr>
        <w:jc w:val="both"/>
        <w:ind w:firstLine="656"/>
        <w:spacing w:after="0" w:line="287" w:lineRule="auto"/>
        <w:tabs>
          <w:tab w:leader="none" w:pos="1038"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If, after the Closing Date, any Credit Party (x) acquires, including, without limitation, pursuant to any Permitted Acquisition, a fee or leasehold interest in Real Property located in the United States which Real Property (or, in the case of a leasehold, such leasehold interest or estate) has a fair market value in excess of $100.0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$200.0 million, determined on an as-developed basis, in each case, with respect to which a Mortgage was not previously entered into in favor of Collateral Agent (in each case, other than to the extent such Real Property is subject to a Lien permitted under </w:t>
      </w:r>
      <w:r>
        <w:rPr>
          <w:rFonts w:ascii="Arial" w:cs="Arial" w:eastAsia="Arial" w:hAnsi="Arial"/>
          <w:sz w:val="16"/>
          <w:szCs w:val="16"/>
          <w:u w:val="single" w:color="auto"/>
          <w:color w:val="auto"/>
        </w:rPr>
        <w:t>Section 10.02(i)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10.02(k)</w:t>
      </w:r>
      <w:r>
        <w:rPr>
          <w:rFonts w:ascii="Arial" w:cs="Arial" w:eastAsia="Arial" w:hAnsi="Arial"/>
          <w:sz w:val="16"/>
          <w:szCs w:val="16"/>
          <w:color w:val="auto"/>
        </w:rPr>
        <w:t xml:space="preserve"> securing Indebtedness to the extent and for so long as the contract or other agreement in which such Lien is granted validly prohibits the creation of Liens securing the Obligations on such Real Property), such Credit Party shall, within ninety (90) days (or such longer period that is reasonably 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168" w:lineRule="exact"/>
        <w:rPr>
          <w:rFonts w:ascii="Arial" w:cs="Arial" w:eastAsia="Arial" w:hAnsi="Arial"/>
          <w:sz w:val="16"/>
          <w:szCs w:val="16"/>
          <w:color w:val="auto"/>
        </w:rPr>
      </w:pPr>
    </w:p>
    <w:p>
      <w:pPr>
        <w:jc w:val="both"/>
        <w:ind w:left="660" w:firstLine="645"/>
        <w:spacing w:after="0" w:line="257" w:lineRule="auto"/>
        <w:tabs>
          <w:tab w:leader="none" w:pos="1758"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88" w:lineRule="exact"/>
        <w:rPr>
          <w:rFonts w:ascii="Arial" w:cs="Arial" w:eastAsia="Arial" w:hAnsi="Arial"/>
          <w:sz w:val="18"/>
          <w:szCs w:val="18"/>
          <w:color w:val="auto"/>
        </w:rPr>
      </w:pPr>
    </w:p>
    <w:p>
      <w:pPr>
        <w:jc w:val="both"/>
        <w:ind w:left="660" w:firstLine="645"/>
        <w:spacing w:after="0" w:line="273" w:lineRule="auto"/>
        <w:tabs>
          <w:tab w:leader="none" w:pos="1707" w:val="left"/>
        </w:tabs>
        <w:numPr>
          <w:ilvl w:val="1"/>
          <w:numId w:val="357"/>
        </w:numPr>
        <w:rPr>
          <w:rFonts w:ascii="Arial" w:cs="Arial" w:eastAsia="Arial" w:hAnsi="Arial"/>
          <w:sz w:val="17"/>
          <w:szCs w:val="17"/>
          <w:color w:val="auto"/>
        </w:rPr>
      </w:pPr>
      <w:r>
        <w:rPr>
          <w:rFonts w:ascii="Arial" w:cs="Arial" w:eastAsia="Arial" w:hAnsi="Arial"/>
          <w:sz w:val="17"/>
          <w:szCs w:val="17"/>
          <w:color w:val="auto"/>
        </w:rPr>
        <w:t>with respect to each such Mortgaged Real Property (other than, for the avoidance of doubt, the Wynn Las Vegas Convention Center in the event of the occurrence of the Wynn Las Vegas Convention Center Acquisition) that exceeds the Title Insurance Threshold Amount,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Collateral Agent may reasonably request.</w:t>
      </w:r>
    </w:p>
    <w:p>
      <w:pPr>
        <w:spacing w:after="0" w:line="178" w:lineRule="exact"/>
        <w:rPr>
          <w:rFonts w:ascii="Arial" w:cs="Arial" w:eastAsia="Arial" w:hAnsi="Arial"/>
          <w:sz w:val="17"/>
          <w:szCs w:val="17"/>
          <w:color w:val="auto"/>
        </w:rPr>
      </w:pPr>
    </w:p>
    <w:p>
      <w:pPr>
        <w:jc w:val="both"/>
        <w:ind w:left="660" w:firstLine="645"/>
        <w:spacing w:after="0" w:line="259" w:lineRule="auto"/>
        <w:tabs>
          <w:tab w:leader="none" w:pos="1836" w:val="left"/>
        </w:tabs>
        <w:numPr>
          <w:ilvl w:val="1"/>
          <w:numId w:val="357"/>
        </w:numPr>
        <w:rPr>
          <w:rFonts w:ascii="Arial" w:cs="Arial" w:eastAsia="Arial" w:hAnsi="Arial"/>
          <w:sz w:val="18"/>
          <w:szCs w:val="18"/>
          <w:color w:val="auto"/>
        </w:rPr>
      </w:pPr>
      <w:r>
        <w:rPr>
          <w:rFonts w:ascii="Arial" w:cs="Arial" w:eastAsia="Arial" w:hAnsi="Arial"/>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6" w:lineRule="exact"/>
        <w:rPr>
          <w:rFonts w:ascii="Arial" w:cs="Arial" w:eastAsia="Arial" w:hAnsi="Arial"/>
          <w:sz w:val="18"/>
          <w:szCs w:val="18"/>
          <w:color w:val="auto"/>
        </w:rPr>
      </w:pPr>
    </w:p>
    <w:p>
      <w:pPr>
        <w:jc w:val="both"/>
        <w:ind w:left="660" w:firstLine="645"/>
        <w:spacing w:after="0" w:line="255" w:lineRule="auto"/>
        <w:tabs>
          <w:tab w:leader="none" w:pos="1714"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 survey of each Mortgaged Real Property in such form as shall (x) to the extent title insurance is being provided with respect to such Mortgaged Real Property in accordance with the terms hereof, be required by the title company to remove the standard survey exceptions from the title policy with respect to such Mortgaged Real Property and (y) other than in the case of an aerial survey reasonably acceptable to Collateral Agent (in the case of any Closing Date Mortgaged Real Property, only with respect to the Closing Date Mortgaged Real Property located in Las Vegas, Nevada), comply with the minimum detail requirements of the American Land Title Association and locate all improvements, public streets and recorded easements affecting such Mortgaged Real Property; and</w:t>
      </w:r>
    </w:p>
    <w:p>
      <w:pPr>
        <w:spacing w:after="0" w:line="193" w:lineRule="exact"/>
        <w:rPr>
          <w:rFonts w:ascii="Arial" w:cs="Arial" w:eastAsia="Arial" w:hAnsi="Arial"/>
          <w:sz w:val="18"/>
          <w:szCs w:val="18"/>
          <w:color w:val="auto"/>
        </w:rPr>
      </w:pPr>
    </w:p>
    <w:p>
      <w:pPr>
        <w:ind w:left="660" w:right="20" w:firstLine="645"/>
        <w:spacing w:after="0" w:line="277" w:lineRule="auto"/>
        <w:tabs>
          <w:tab w:leader="none" w:pos="1742" w:val="left"/>
        </w:tabs>
        <w:numPr>
          <w:ilvl w:val="1"/>
          <w:numId w:val="357"/>
        </w:numPr>
        <w:rPr>
          <w:rFonts w:ascii="Arial" w:cs="Arial" w:eastAsia="Arial" w:hAnsi="Arial"/>
          <w:sz w:val="18"/>
          <w:szCs w:val="18"/>
          <w:color w:val="auto"/>
        </w:rPr>
      </w:pPr>
      <w:r>
        <w:rPr>
          <w:rFonts w:ascii="Arial" w:cs="Arial" w:eastAsia="Arial" w:hAnsi="Arial"/>
          <w:sz w:val="18"/>
          <w:szCs w:val="18"/>
          <w:color w:val="auto"/>
        </w:rPr>
        <w:t>with respect to each Mortgage entered into pursuant to clause (1) above, opinions addressed to Administrative Agent and Collateral Agent for its benefit and for the benefit of the Secured Parties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584" w:right="239" w:bottom="1440" w:gutter="0" w:footer="0" w:header="0"/>
        </w:sectPr>
      </w:pPr>
    </w:p>
    <w:bookmarkStart w:id="332" w:name="page333"/>
    <w:bookmarkEnd w:id="332"/>
    <w:p>
      <w:pPr>
        <w:jc w:val="both"/>
        <w:ind w:left="660" w:hanging="4"/>
        <w:spacing w:after="0" w:line="259" w:lineRule="auto"/>
        <w:tabs>
          <w:tab w:leader="none" w:pos="96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local counsel for Borrower or its Restricted Subsidiaries in each jurisdiction where such Mortgaged Real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Administrative Agent;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notwithstanding the foregoing, (A) the Credit Parties shall not be required to grant a Mortgage on (x)(i) any leasehold interest in any Real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 or (y) any leasehold interest acquired or otherwise obtained from another Credit Party and (B) if any Credit Party shall be required to deliver a Mortgage on any new or additional Mortgaged Real Property pursuant to this Agreement or any other Credit Document, no such Mortgage shall be (nor be required to be) granted by the applicable Credit Party nor accepted by Collateral Agent until the later of (x) 45 days after the delivery of the information required pursuant to clause (b)(3) above and (y) receipt of confirmation from Administrative Agent that each Lender has confirmed to Administrative Agent that it has completed its flood insurance due diligence to its reasonable satisfaction.</w:t>
      </w:r>
    </w:p>
    <w:p>
      <w:pPr>
        <w:spacing w:after="0" w:line="178" w:lineRule="exact"/>
        <w:rPr>
          <w:sz w:val="20"/>
          <w:szCs w:val="20"/>
          <w:color w:val="auto"/>
        </w:rPr>
      </w:pPr>
    </w:p>
    <w:p>
      <w:pPr>
        <w:jc w:val="both"/>
        <w:ind w:firstLine="656"/>
        <w:spacing w:after="0" w:line="257" w:lineRule="auto"/>
        <w:tabs>
          <w:tab w:leader="none" w:pos="106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w:t>
      </w:r>
      <w:r>
        <w:rPr>
          <w:rFonts w:ascii="Arial" w:cs="Arial" w:eastAsia="Arial" w:hAnsi="Arial"/>
          <w:sz w:val="18"/>
          <w:szCs w:val="18"/>
          <w:u w:val="single" w:color="auto"/>
          <w:color w:val="auto"/>
        </w:rPr>
        <w:t>Sections 9.08(a)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9.08(b)</w:t>
      </w:r>
      <w:r>
        <w:rPr>
          <w:rFonts w:ascii="Arial" w:cs="Arial" w:eastAsia="Arial" w:hAnsi="Arial"/>
          <w:sz w:val="18"/>
          <w:szCs w:val="18"/>
          <w:color w:val="auto"/>
        </w:rPr>
        <w:t xml:space="preserve"> to the contrary, in each case, it is understood and agreed that no Lien(s) and/or Mortgage(s) in favor of Collateral Agent on any after acquired Property of the applicable Credit Party shall be required to be granted or delivered at such time as provided in such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(as applicable) as a result of such Lien(s) and/or Mortgage(s) being prohibited by (i) the applicable Gaming Authorities or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88" w:lineRule="exact"/>
        <w:rPr>
          <w:rFonts w:ascii="Arial" w:cs="Arial" w:eastAsia="Arial" w:hAnsi="Arial"/>
          <w:sz w:val="18"/>
          <w:szCs w:val="18"/>
          <w:color w:val="auto"/>
        </w:rPr>
      </w:pPr>
    </w:p>
    <w:p>
      <w:pPr>
        <w:jc w:val="both"/>
        <w:ind w:firstLine="656"/>
        <w:spacing w:after="0" w:line="255" w:lineRule="auto"/>
        <w:tabs>
          <w:tab w:leader="none" w:pos="105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With respect to Lien(s) and/or Mortgage(s) relating to any Property acquired by any Credit Party after the Closing Date or any Property of any Additional Credit Party or with respect to any Guarantee of any Additional Credit Party, in each case that were not granted or delivered pursuant to </w:t>
      </w:r>
      <w:r>
        <w:rPr>
          <w:rFonts w:ascii="Arial" w:cs="Arial" w:eastAsia="Arial" w:hAnsi="Arial"/>
          <w:sz w:val="18"/>
          <w:szCs w:val="18"/>
          <w:u w:val="single" w:color="auto"/>
          <w:color w:val="auto"/>
        </w:rPr>
        <w:t>Section 9.08(c)</w:t>
      </w:r>
      <w:r>
        <w:rPr>
          <w:rFonts w:ascii="Arial" w:cs="Arial" w:eastAsia="Arial" w:hAnsi="Arial"/>
          <w:sz w:val="18"/>
          <w:szCs w:val="18"/>
          <w:color w:val="auto"/>
        </w:rPr>
        <w:t xml:space="preserve"> or to the second paragraph in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w:t>
      </w:r>
      <w:r>
        <w:rPr>
          <w:rFonts w:ascii="Arial" w:cs="Arial" w:eastAsia="Arial" w:hAnsi="Arial"/>
          <w:sz w:val="18"/>
          <w:szCs w:val="18"/>
          <w:u w:val="single" w:color="auto"/>
          <w:color w:val="auto"/>
        </w:rPr>
        <w:t>Sections 9.08(a)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9.08(b)</w:t>
      </w:r>
      <w:r>
        <w:rPr>
          <w:rFonts w:ascii="Arial" w:cs="Arial" w:eastAsia="Arial" w:hAnsi="Arial"/>
          <w:sz w:val="18"/>
          <w:szCs w:val="18"/>
          <w:color w:val="auto"/>
        </w:rPr>
        <w:t xml:space="preserve"> or with </w:t>
      </w:r>
      <w:r>
        <w:rPr>
          <w:rFonts w:ascii="Arial" w:cs="Arial" w:eastAsia="Arial" w:hAnsi="Arial"/>
          <w:sz w:val="18"/>
          <w:szCs w:val="18"/>
          <w:u w:val="single" w:color="auto"/>
          <w:color w:val="auto"/>
        </w:rPr>
        <w:t>Section 9.11</w:t>
      </w:r>
      <w:r>
        <w:rPr>
          <w:rFonts w:ascii="Arial" w:cs="Arial" w:eastAsia="Arial" w:hAnsi="Arial"/>
          <w:sz w:val="18"/>
          <w:szCs w:val="18"/>
          <w:color w:val="auto"/>
        </w:rPr>
        <w:t>, as the case may be.</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9.09. Security Interests; Further Assurances</w:t>
      </w:r>
      <w:r>
        <w:rPr>
          <w:rFonts w:ascii="Arial" w:cs="Arial" w:eastAsia="Arial" w:hAnsi="Arial"/>
          <w:sz w:val="16"/>
          <w:szCs w:val="16"/>
          <w:color w:val="auto"/>
        </w:rPr>
        <w:t>. Each Credit Party shall, promptly, upon the reasonable request of Collateral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herein and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584" w:right="2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t>certifications, instruments and other documents and papers that Collateral Agent or the Lenders may be so required to obtain.</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9.10.</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9.11. Additional Credit Parties</w:t>
      </w:r>
      <w:r>
        <w:rPr>
          <w:rFonts w:ascii="Arial" w:cs="Arial" w:eastAsia="Arial" w:hAnsi="Arial"/>
          <w:sz w:val="16"/>
          <w:szCs w:val="16"/>
          <w:color w:val="auto"/>
        </w:rPr>
        <w:t>. Upon (i) any Credit Party creating or acquiring any Subsidiary that is a Wholly Owned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Subsidiary (other than any Excluded Subsidiary) after the Closing Date, (ii) any Wholly Owned Restricted Subsidiary of a Credit Party ceasing to be an Excluded Subsidiary (including, without limitation, an Immaterial Subsidiary being designated pursuant to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Arial" w:cs="Arial" w:eastAsia="Arial" w:hAnsi="Arial"/>
          <w:sz w:val="16"/>
          <w:szCs w:val="16"/>
          <w:b w:val="1"/>
          <w:bCs w:val="1"/>
          <w:color w:val="auto"/>
        </w:rPr>
        <w:t>Additional Credit Party</w:t>
      </w:r>
      <w:r>
        <w:rPr>
          <w:rFonts w:ascii="Arial" w:cs="Arial" w:eastAsia="Arial" w:hAnsi="Arial"/>
          <w:sz w:val="16"/>
          <w:szCs w:val="16"/>
          <w:color w:val="auto"/>
        </w:rPr>
        <w:t xml:space="preserve">”), such Credit Party shall, assuming and to the extent that it does 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the Security Agreement) the Security Agreement and all other Property (limited, in the case of any first-tier Foreign Subsidiary that is a CFC or any CFC Holdco, to 65% of the voting Equity Interests and 100% of the non-voting Equity Interests of such Foreign Subsidiary or CFC Holdco) of such Additional Credit Party in accordance with the provisions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however, that Borrower shall use its commercially reasonable efforts to obtain such approvals for any Mortgage(s) and Lien(s) (including pledge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Equity Interests of such Subsidiary) to be granted by such Additional Credit Party and for the Guarantee of such Additional Credit Party as soon as reasonably practicable. All of the foregoing actions shall be at the sole cost and expense of the Credit Parties.</w:t>
      </w:r>
    </w:p>
    <w:p>
      <w:pPr>
        <w:spacing w:after="0" w:line="3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Notwithstanding the foregoing in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to the contrary, it is understood and agreed that no Lien(s), Mortgage(s) and/or Guarantee of the applicable Additional Credit Party shall be required to be granted or delivered at such time as provided in the paragraph above in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584" w:right="239" w:bottom="1440" w:gutter="0" w:footer="0" w:header="0"/>
        </w:sectPr>
      </w:pPr>
    </w:p>
    <w:bookmarkStart w:id="334" w:name="page335"/>
    <w:bookmarkEnd w:id="334"/>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9.12.</w:t>
      </w:r>
      <w:r>
        <w:rPr>
          <w:sz w:val="20"/>
          <w:szCs w:val="20"/>
          <w:color w:val="auto"/>
        </w:rPr>
        <w:tab/>
      </w:r>
      <w:r>
        <w:rPr>
          <w:rFonts w:ascii="Arial" w:cs="Arial" w:eastAsia="Arial" w:hAnsi="Arial"/>
          <w:sz w:val="16"/>
          <w:szCs w:val="16"/>
          <w:b w:val="1"/>
          <w:bCs w:val="1"/>
          <w:color w:val="auto"/>
        </w:rPr>
        <w:t>Limitation on Designations of Unrestricted Subsidiaries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02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Borrower may designate any Subsidiary of Borrower (other than (x) a Subsidiary of Borrower which owns one or more Principal Assets and (y) Wynn Group Asia) as an “Unrestricted Subsidiary” under this Agreement (a “</w:t>
      </w:r>
      <w:r>
        <w:rPr>
          <w:rFonts w:ascii="Arial" w:cs="Arial" w:eastAsia="Arial" w:hAnsi="Arial"/>
          <w:sz w:val="18"/>
          <w:szCs w:val="18"/>
          <w:b w:val="1"/>
          <w:bCs w:val="1"/>
          <w:color w:val="auto"/>
        </w:rPr>
        <w:t>Designation</w:t>
      </w:r>
      <w:r>
        <w:rPr>
          <w:rFonts w:ascii="Arial" w:cs="Arial" w:eastAsia="Arial" w:hAnsi="Arial"/>
          <w:sz w:val="18"/>
          <w:szCs w:val="18"/>
          <w:color w:val="auto"/>
        </w:rPr>
        <w:t>”) only if:</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1"/>
          <w:numId w:val="360"/>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at the time of or immediately after giving effect to such Designation;</w:t>
      </w:r>
    </w:p>
    <w:p>
      <w:pPr>
        <w:spacing w:after="0" w:line="236" w:lineRule="exact"/>
        <w:rPr>
          <w:rFonts w:ascii="Arial" w:cs="Arial" w:eastAsia="Arial" w:hAnsi="Arial"/>
          <w:sz w:val="17"/>
          <w:szCs w:val="17"/>
          <w:color w:val="auto"/>
        </w:rPr>
      </w:pPr>
    </w:p>
    <w:p>
      <w:pPr>
        <w:jc w:val="both"/>
        <w:ind w:left="660" w:firstLine="645"/>
        <w:spacing w:after="0" w:line="259" w:lineRule="auto"/>
        <w:tabs>
          <w:tab w:leader="none" w:pos="1735" w:val="left"/>
        </w:tabs>
        <w:numPr>
          <w:ilvl w:val="1"/>
          <w:numId w:val="360"/>
        </w:numPr>
        <w:rPr>
          <w:rFonts w:ascii="Arial" w:cs="Arial" w:eastAsia="Arial" w:hAnsi="Arial"/>
          <w:sz w:val="18"/>
          <w:szCs w:val="18"/>
          <w:color w:val="auto"/>
        </w:rPr>
      </w:pPr>
      <w:r>
        <w:rPr>
          <w:rFonts w:ascii="Arial" w:cs="Arial" w:eastAsia="Arial" w:hAnsi="Arial"/>
          <w:sz w:val="18"/>
          <w:szCs w:val="18"/>
          <w:color w:val="auto"/>
        </w:rPr>
        <w:t>Borrower would be permitted under this Agreement to make an Investment at the time of Designation (assuming the effectiveness of such Designation) in an amount (the “</w:t>
      </w:r>
      <w:r>
        <w:rPr>
          <w:rFonts w:ascii="Arial" w:cs="Arial" w:eastAsia="Arial" w:hAnsi="Arial"/>
          <w:sz w:val="18"/>
          <w:szCs w:val="18"/>
          <w:b w:val="1"/>
          <w:bCs w:val="1"/>
          <w:color w:val="auto"/>
        </w:rPr>
        <w:t>Designation Amount</w:t>
      </w:r>
      <w:r>
        <w:rPr>
          <w:rFonts w:ascii="Arial" w:cs="Arial" w:eastAsia="Arial" w:hAnsi="Arial"/>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1853" w:val="left"/>
        </w:tabs>
        <w:numPr>
          <w:ilvl w:val="1"/>
          <w:numId w:val="360"/>
        </w:numPr>
        <w:rPr>
          <w:rFonts w:ascii="Arial" w:cs="Arial" w:eastAsia="Arial" w:hAnsi="Arial"/>
          <w:sz w:val="18"/>
          <w:szCs w:val="18"/>
          <w:color w:val="auto"/>
        </w:rPr>
      </w:pPr>
      <w:r>
        <w:rPr>
          <w:rFonts w:ascii="Arial" w:cs="Arial" w:eastAsia="Arial" w:hAnsi="Arial"/>
          <w:sz w:val="18"/>
          <w:szCs w:val="18"/>
          <w:color w:val="auto"/>
        </w:rPr>
        <w:t>after giving effect to such Designation, Borrower shall be in compliance on a Pro Forma Basis with the Financial Maintenance Covenant (whether or not then in effect) as of the most recent Calculation Date.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any such Designation, Borrower and its Restricted Subsidiaries shall be deemed to have made an Investment in such Unrestricted Subsidiary in an amount equal to the Designation Amount.</w:t>
      </w:r>
    </w:p>
    <w:p>
      <w:pPr>
        <w:spacing w:after="0" w:line="166" w:lineRule="exact"/>
        <w:rPr>
          <w:sz w:val="20"/>
          <w:szCs w:val="20"/>
          <w:color w:val="auto"/>
        </w:rPr>
      </w:pPr>
    </w:p>
    <w:p>
      <w:pPr>
        <w:ind w:firstLine="656"/>
        <w:spacing w:after="0" w:line="282" w:lineRule="auto"/>
        <w:tabs>
          <w:tab w:leader="none" w:pos="106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Borrower may revoke any Designation of a Subsidiary as an Unrestricted Subsidiary (a “</w:t>
      </w:r>
      <w:r>
        <w:rPr>
          <w:rFonts w:ascii="Arial" w:cs="Arial" w:eastAsia="Arial" w:hAnsi="Arial"/>
          <w:sz w:val="18"/>
          <w:szCs w:val="18"/>
          <w:b w:val="1"/>
          <w:bCs w:val="1"/>
          <w:color w:val="auto"/>
        </w:rPr>
        <w:t>Revocation</w:t>
      </w:r>
      <w:r>
        <w:rPr>
          <w:rFonts w:ascii="Arial" w:cs="Arial" w:eastAsia="Arial" w:hAnsi="Arial"/>
          <w:sz w:val="18"/>
          <w:szCs w:val="18"/>
          <w:color w:val="auto"/>
        </w:rPr>
        <w:t>”), whereupon such Subsidiary shall then constitute a Restricted Subsidiary, if:</w:t>
      </w:r>
    </w:p>
    <w:p>
      <w:pPr>
        <w:spacing w:after="0" w:line="165" w:lineRule="exact"/>
        <w:rPr>
          <w:rFonts w:ascii="Arial" w:cs="Arial" w:eastAsia="Arial" w:hAnsi="Arial"/>
          <w:sz w:val="18"/>
          <w:szCs w:val="18"/>
          <w:color w:val="auto"/>
        </w:rPr>
      </w:pPr>
    </w:p>
    <w:p>
      <w:pPr>
        <w:ind w:left="1660" w:hanging="355"/>
        <w:spacing w:after="0"/>
        <w:tabs>
          <w:tab w:leader="none" w:pos="1660" w:val="left"/>
        </w:tabs>
        <w:numPr>
          <w:ilvl w:val="1"/>
          <w:numId w:val="361"/>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at the time and immediately after giving effect to such Revocation;</w:t>
      </w:r>
    </w:p>
    <w:p>
      <w:pPr>
        <w:spacing w:after="0" w:line="236" w:lineRule="exact"/>
        <w:rPr>
          <w:rFonts w:ascii="Arial" w:cs="Arial" w:eastAsia="Arial" w:hAnsi="Arial"/>
          <w:sz w:val="17"/>
          <w:szCs w:val="17"/>
          <w:color w:val="auto"/>
        </w:rPr>
      </w:pPr>
    </w:p>
    <w:p>
      <w:pPr>
        <w:ind w:left="660" w:firstLine="645"/>
        <w:spacing w:after="0" w:line="277" w:lineRule="auto"/>
        <w:tabs>
          <w:tab w:leader="none" w:pos="181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after giving effect to such Revocation, Borrower shall be in compliance on a Pro Forma Basis with the Financial Maintenance Covenant (whether or not then in effect) as of the most recent Calculation Date;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85"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9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All Designations and Revocations occurring after the Closing Date must be evidenced by an Officer’s Certificate of Borrower delivered to Administrative Agent with the Responsible Officer so executing such certificate certifying compliance with the foregoing provisions of </w:t>
      </w:r>
      <w:r>
        <w:rPr>
          <w:rFonts w:ascii="Arial" w:cs="Arial" w:eastAsia="Arial" w:hAnsi="Arial"/>
          <w:sz w:val="18"/>
          <w:szCs w:val="18"/>
          <w:u w:val="single" w:color="auto"/>
          <w:color w:val="auto"/>
        </w:rPr>
        <w:t>Section 9.12(a)</w:t>
      </w:r>
      <w:r>
        <w:rPr>
          <w:rFonts w:ascii="Arial" w:cs="Arial" w:eastAsia="Arial" w:hAnsi="Arial"/>
          <w:sz w:val="18"/>
          <w:szCs w:val="18"/>
          <w:color w:val="auto"/>
        </w:rPr>
        <w:t xml:space="preserve"> (in the case of any such Designations) and of </w:t>
      </w:r>
      <w:r>
        <w:rPr>
          <w:rFonts w:ascii="Arial" w:cs="Arial" w:eastAsia="Arial" w:hAnsi="Arial"/>
          <w:sz w:val="18"/>
          <w:szCs w:val="18"/>
          <w:u w:val="single" w:color="auto"/>
          <w:color w:val="auto"/>
        </w:rPr>
        <w:t>Section 9.12(b)</w:t>
      </w:r>
      <w:r>
        <w:rPr>
          <w:rFonts w:ascii="Arial" w:cs="Arial" w:eastAsia="Arial" w:hAnsi="Arial"/>
          <w:sz w:val="18"/>
          <w:szCs w:val="18"/>
          <w:color w:val="auto"/>
        </w:rPr>
        <w:t xml:space="preserve"> (in the case of any such Revocations).</w:t>
      </w:r>
    </w:p>
    <w:p>
      <w:pPr>
        <w:spacing w:after="0" w:line="181" w:lineRule="exact"/>
        <w:rPr>
          <w:rFonts w:ascii="Arial" w:cs="Arial" w:eastAsia="Arial" w:hAnsi="Arial"/>
          <w:sz w:val="18"/>
          <w:szCs w:val="18"/>
          <w:color w:val="auto"/>
        </w:rPr>
      </w:pPr>
    </w:p>
    <w:p>
      <w:pPr>
        <w:jc w:val="both"/>
        <w:ind w:firstLine="656"/>
        <w:spacing w:after="0" w:line="290" w:lineRule="auto"/>
        <w:tabs>
          <w:tab w:leader="none" w:pos="1038" w:val="left"/>
        </w:tabs>
        <w:numPr>
          <w:ilvl w:val="0"/>
          <w:numId w:val="361"/>
        </w:numPr>
        <w:rPr>
          <w:rFonts w:ascii="Arial" w:cs="Arial" w:eastAsia="Arial" w:hAnsi="Arial"/>
          <w:sz w:val="16"/>
          <w:szCs w:val="16"/>
          <w:color w:val="auto"/>
        </w:rPr>
      </w:pPr>
      <w:r>
        <w:rPr>
          <w:rFonts w:ascii="Arial" w:cs="Arial" w:eastAsia="Arial" w:hAnsi="Arial"/>
          <w:sz w:val="16"/>
          <w:szCs w:val="16"/>
          <w:color w:val="auto"/>
        </w:rPr>
        <w:t xml:space="preserve">If Borrower designates a Guarantor as an Unrestricted Subsidiary in accordance with this </w:t>
      </w:r>
      <w:r>
        <w:rPr>
          <w:rFonts w:ascii="Arial" w:cs="Arial" w:eastAsia="Arial" w:hAnsi="Arial"/>
          <w:sz w:val="16"/>
          <w:szCs w:val="16"/>
          <w:u w:val="single" w:color="auto"/>
          <w:color w:val="auto"/>
        </w:rPr>
        <w:t>Section 9.12</w:t>
      </w:r>
      <w:r>
        <w:rPr>
          <w:rFonts w:ascii="Arial" w:cs="Arial" w:eastAsia="Arial" w:hAnsi="Arial"/>
          <w:sz w:val="16"/>
          <w:szCs w:val="16"/>
          <w:color w:val="auto"/>
        </w:rPr>
        <w:t>,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581" w:right="239" w:bottom="1440" w:gutter="0" w:footer="0" w:header="0"/>
        </w:sectPr>
      </w:pPr>
    </w:p>
    <w:bookmarkStart w:id="335" w:name="page336"/>
    <w:bookmarkEnd w:id="335"/>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9.13.</w:t>
      </w:r>
      <w:r>
        <w:rPr>
          <w:sz w:val="20"/>
          <w:szCs w:val="20"/>
          <w:color w:val="auto"/>
        </w:rPr>
        <w:tab/>
      </w:r>
      <w:r>
        <w:rPr>
          <w:rFonts w:ascii="Arial" w:cs="Arial" w:eastAsia="Arial" w:hAnsi="Arial"/>
          <w:sz w:val="16"/>
          <w:szCs w:val="16"/>
          <w:b w:val="1"/>
          <w:bCs w:val="1"/>
          <w:color w:val="auto"/>
        </w:rPr>
        <w:t>Limitation on Designation of Immaterial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9" w:lineRule="auto"/>
        <w:tabs>
          <w:tab w:leader="none" w:pos="1055" w:val="left"/>
        </w:tabs>
        <w:numPr>
          <w:ilvl w:val="0"/>
          <w:numId w:val="362"/>
        </w:numPr>
        <w:rPr>
          <w:rFonts w:ascii="Arial" w:cs="Arial" w:eastAsia="Arial" w:hAnsi="Arial"/>
          <w:sz w:val="16"/>
          <w:szCs w:val="16"/>
          <w:color w:val="auto"/>
        </w:rPr>
      </w:pPr>
      <w:r>
        <w:rPr>
          <w:rFonts w:ascii="Arial" w:cs="Arial" w:eastAsia="Arial" w:hAnsi="Arial"/>
          <w:sz w:val="16"/>
          <w:szCs w:val="16"/>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Arial" w:cs="Arial" w:eastAsia="Arial" w:hAnsi="Arial"/>
          <w:sz w:val="16"/>
          <w:szCs w:val="16"/>
          <w:b w:val="1"/>
          <w:bCs w:val="1"/>
          <w:color w:val="auto"/>
        </w:rPr>
        <w:t>Excluded Designation</w:t>
      </w:r>
      <w:r>
        <w:rPr>
          <w:rFonts w:ascii="Arial" w:cs="Arial" w:eastAsia="Arial" w:hAnsi="Arial"/>
          <w:sz w:val="16"/>
          <w:szCs w:val="16"/>
          <w:color w:val="auto"/>
        </w:rPr>
        <w:t>”) one or more Immaterial Subsidiaries as no longer constituting Immaterial Subsidiaries for all purposes of this Agreement (an “</w:t>
      </w:r>
      <w:r>
        <w:rPr>
          <w:rFonts w:ascii="Arial" w:cs="Arial" w:eastAsia="Arial" w:hAnsi="Arial"/>
          <w:sz w:val="16"/>
          <w:szCs w:val="16"/>
          <w:b w:val="1"/>
          <w:bCs w:val="1"/>
          <w:color w:val="auto"/>
        </w:rPr>
        <w:t>Excluded Immaterial Subsidiary</w:t>
      </w:r>
      <w:r>
        <w:rPr>
          <w:rFonts w:ascii="Arial" w:cs="Arial" w:eastAsia="Arial" w:hAnsi="Arial"/>
          <w:sz w:val="16"/>
          <w:szCs w:val="16"/>
          <w:color w:val="auto"/>
        </w:rPr>
        <w:t>”) as may be necessary to ensure that the Immaterial Subsidiary Threshold Amount is satisfied. Borrower may redesignate (a “</w:t>
      </w:r>
      <w:r>
        <w:rPr>
          <w:rFonts w:ascii="Arial" w:cs="Arial" w:eastAsia="Arial" w:hAnsi="Arial"/>
          <w:sz w:val="16"/>
          <w:szCs w:val="16"/>
          <w:b w:val="1"/>
          <w:bCs w:val="1"/>
          <w:color w:val="auto"/>
        </w:rPr>
        <w:t>Redesignation</w:t>
      </w:r>
      <w:r>
        <w:rPr>
          <w:rFonts w:ascii="Arial" w:cs="Arial" w:eastAsia="Arial" w:hAnsi="Arial"/>
          <w:sz w:val="16"/>
          <w:szCs w:val="16"/>
          <w:color w:val="auto"/>
        </w:rPr>
        <w:t xml:space="preserve">”)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w:t>
      </w:r>
      <w:r>
        <w:rPr>
          <w:rFonts w:ascii="Arial" w:cs="Arial" w:eastAsia="Arial" w:hAnsi="Arial"/>
          <w:sz w:val="16"/>
          <w:szCs w:val="16"/>
          <w:u w:val="single" w:color="auto"/>
          <w:color w:val="auto"/>
        </w:rPr>
        <w:t>Section 9.13(a)</w:t>
      </w:r>
      <w:r>
        <w:rPr>
          <w:rFonts w:ascii="Arial" w:cs="Arial" w:eastAsia="Arial" w:hAnsi="Arial"/>
          <w:sz w:val="16"/>
          <w:szCs w:val="16"/>
          <w:color w:val="auto"/>
        </w:rPr>
        <w:t>, fair market value shall be determined as of the most recent Calculation Date.</w:t>
      </w:r>
    </w:p>
    <w:p>
      <w:pPr>
        <w:spacing w:after="0" w:line="166" w:lineRule="exact"/>
        <w:rPr>
          <w:rFonts w:ascii="Arial" w:cs="Arial" w:eastAsia="Arial" w:hAnsi="Arial"/>
          <w:sz w:val="16"/>
          <w:szCs w:val="16"/>
          <w:color w:val="auto"/>
        </w:rPr>
      </w:pPr>
    </w:p>
    <w:p>
      <w:pPr>
        <w:ind w:firstLine="656"/>
        <w:spacing w:after="0" w:line="308" w:lineRule="auto"/>
        <w:tabs>
          <w:tab w:leader="none" w:pos="103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Any such Excluded Designation or Redesignation must be evidenced by an Officer’s Certificate of Borrower delivered to Administrative Agent with the Responsible Officer executing such certificate certifying compliance with the foregoing provisions of </w:t>
      </w:r>
      <w:r>
        <w:rPr>
          <w:rFonts w:ascii="Arial" w:cs="Arial" w:eastAsia="Arial" w:hAnsi="Arial"/>
          <w:sz w:val="17"/>
          <w:szCs w:val="17"/>
          <w:u w:val="single" w:color="auto"/>
          <w:color w:val="auto"/>
        </w:rPr>
        <w:t>Section 9.13(a)</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656"/>
        <w:spacing w:after="0" w:line="290" w:lineRule="auto"/>
        <w:tabs>
          <w:tab w:leader="none" w:pos="1068"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If Borrower redesignates an Excluded Immaterial Subsidiary as an Immaterial Subsidiary in accordance with this </w:t>
      </w:r>
      <w:r>
        <w:rPr>
          <w:rFonts w:ascii="Arial" w:cs="Arial" w:eastAsia="Arial" w:hAnsi="Arial"/>
          <w:sz w:val="16"/>
          <w:szCs w:val="16"/>
          <w:u w:val="single" w:color="auto"/>
          <w:color w:val="auto"/>
        </w:rPr>
        <w:t>Section 9.13</w:t>
      </w:r>
      <w:r>
        <w:rPr>
          <w:rFonts w:ascii="Arial" w:cs="Arial" w:eastAsia="Arial" w:hAnsi="Arial"/>
          <w:sz w:val="16"/>
          <w:szCs w:val="16"/>
          <w:color w:val="auto"/>
        </w:rPr>
        <w:t>,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9.14.</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SECTION 9.15. Ratings</w:t>
      </w:r>
      <w:r>
        <w:rPr>
          <w:rFonts w:ascii="Arial" w:cs="Arial" w:eastAsia="Arial" w:hAnsi="Arial"/>
          <w:sz w:val="18"/>
          <w:szCs w:val="18"/>
          <w:color w:val="auto"/>
        </w:rPr>
        <w:t>. Borrower shall use commercially reasonable efforts to obtain and maintain, at all times on and after the date that is 270</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the Closing Date, ratings from each of Moody’s and S&amp;P for the Term A Facility Loans.</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9.16.</w:t>
      </w:r>
      <w:r>
        <w:rPr>
          <w:sz w:val="20"/>
          <w:szCs w:val="20"/>
          <w:color w:val="auto"/>
        </w:rPr>
        <w:tab/>
      </w:r>
      <w:r>
        <w:rPr>
          <w:rFonts w:ascii="Arial" w:cs="Arial" w:eastAsia="Arial" w:hAnsi="Arial"/>
          <w:sz w:val="16"/>
          <w:szCs w:val="16"/>
          <w:b w:val="1"/>
          <w:bCs w:val="1"/>
          <w:color w:val="auto"/>
        </w:rPr>
        <w:t>Post-Closing Matters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5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xml:space="preserve">Borrower will cause to be delivered or performed, as applicable, each of the items set forth on </w:t>
      </w:r>
      <w:r>
        <w:rPr>
          <w:rFonts w:ascii="Arial" w:cs="Arial" w:eastAsia="Arial" w:hAnsi="Arial"/>
          <w:sz w:val="18"/>
          <w:szCs w:val="18"/>
          <w:u w:val="single" w:color="auto"/>
          <w:color w:val="auto"/>
        </w:rPr>
        <w:t>Schedule 9.16</w:t>
      </w:r>
      <w:r>
        <w:rPr>
          <w:rFonts w:ascii="Arial" w:cs="Arial" w:eastAsia="Arial" w:hAnsi="Arial"/>
          <w:sz w:val="18"/>
          <w:szCs w:val="18"/>
          <w:color w:val="auto"/>
        </w:rPr>
        <w:t xml:space="preserve"> within the time period set forth therein (or such longer period of time as Administrative Agent may agree in its reasonable discretion). To the extent there is any conflict between the provisions of any Credit Document and </w:t>
      </w:r>
      <w:r>
        <w:rPr>
          <w:rFonts w:ascii="Arial" w:cs="Arial" w:eastAsia="Arial" w:hAnsi="Arial"/>
          <w:sz w:val="18"/>
          <w:szCs w:val="18"/>
          <w:u w:val="single" w:color="auto"/>
          <w:color w:val="auto"/>
        </w:rPr>
        <w:t>Schedule 9.16</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Schedule 9.16</w:t>
      </w:r>
      <w:r>
        <w:rPr>
          <w:rFonts w:ascii="Arial" w:cs="Arial" w:eastAsia="Arial" w:hAnsi="Arial"/>
          <w:sz w:val="18"/>
          <w:szCs w:val="18"/>
          <w:color w:val="auto"/>
        </w:rPr>
        <w:t xml:space="preserve"> shall control.</w:t>
      </w:r>
    </w:p>
    <w:p>
      <w:pPr>
        <w:spacing w:after="0" w:line="181" w:lineRule="exact"/>
        <w:rPr>
          <w:rFonts w:ascii="Arial" w:cs="Arial" w:eastAsia="Arial" w:hAnsi="Arial"/>
          <w:sz w:val="18"/>
          <w:szCs w:val="18"/>
          <w:color w:val="auto"/>
        </w:rPr>
      </w:pPr>
    </w:p>
    <w:p>
      <w:pPr>
        <w:jc w:val="both"/>
        <w:ind w:firstLine="656"/>
        <w:spacing w:after="0" w:line="276" w:lineRule="auto"/>
        <w:tabs>
          <w:tab w:leader="none" w:pos="1038" w:val="left"/>
        </w:tabs>
        <w:numPr>
          <w:ilvl w:val="0"/>
          <w:numId w:val="363"/>
        </w:numPr>
        <w:rPr>
          <w:rFonts w:ascii="Arial" w:cs="Arial" w:eastAsia="Arial" w:hAnsi="Arial"/>
          <w:sz w:val="17"/>
          <w:szCs w:val="17"/>
          <w:color w:val="auto"/>
        </w:rPr>
      </w:pPr>
      <w:r>
        <w:rPr>
          <w:rFonts w:ascii="Arial" w:cs="Arial" w:eastAsia="Arial" w:hAnsi="Arial"/>
          <w:sz w:val="17"/>
          <w:szCs w:val="17"/>
          <w:color w:val="auto"/>
        </w:rPr>
        <w:t xml:space="preserve">With respect to all Mortgaged Real Property identified on </w:t>
      </w:r>
      <w:r>
        <w:rPr>
          <w:rFonts w:ascii="Arial" w:cs="Arial" w:eastAsia="Arial" w:hAnsi="Arial"/>
          <w:sz w:val="17"/>
          <w:szCs w:val="17"/>
          <w:u w:val="single" w:color="auto"/>
          <w:color w:val="auto"/>
        </w:rPr>
        <w:t>Schedule 1.01(c)</w:t>
      </w:r>
      <w:r>
        <w:rPr>
          <w:rFonts w:ascii="Arial" w:cs="Arial" w:eastAsia="Arial" w:hAnsi="Arial"/>
          <w:sz w:val="17"/>
          <w:szCs w:val="17"/>
          <w:color w:val="auto"/>
        </w:rPr>
        <w:t xml:space="preserve"> that will be subject to mortgages no later than ninety (90) days after the Closing Date (such properties, the “</w:t>
      </w:r>
      <w:r>
        <w:rPr>
          <w:rFonts w:ascii="Arial" w:cs="Arial" w:eastAsia="Arial" w:hAnsi="Arial"/>
          <w:sz w:val="17"/>
          <w:szCs w:val="17"/>
          <w:b w:val="1"/>
          <w:bCs w:val="1"/>
          <w:color w:val="auto"/>
        </w:rPr>
        <w:t>Closing Date Mortgaged Real Property</w:t>
      </w:r>
      <w:r>
        <w:rPr>
          <w:rFonts w:ascii="Arial" w:cs="Arial" w:eastAsia="Arial" w:hAnsi="Arial"/>
          <w:sz w:val="17"/>
          <w:szCs w:val="17"/>
          <w:color w:val="auto"/>
        </w:rPr>
        <w:t xml:space="preserve">”), which date may be extended at the Administrative Agent’s sole discretion, Borrower or its Restricted Subsidiaries shall cause to be delivered to the Administrative Agent, each of the items set forth in </w:t>
      </w:r>
      <w:r>
        <w:rPr>
          <w:rFonts w:ascii="Arial" w:cs="Arial" w:eastAsia="Arial" w:hAnsi="Arial"/>
          <w:sz w:val="17"/>
          <w:szCs w:val="17"/>
          <w:u w:val="single" w:color="auto"/>
          <w:color w:val="auto"/>
        </w:rPr>
        <w:t>Section 9.08(b)(1)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the Closing Date Mortgaged Real Property, Borrower and the Restricted Subsidiaries shall not be required to obtain or maintain title insurance in favor of the Secured Parties in an amount greater than $1,100.0 million in the aggregate.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580" w:right="239" w:bottom="1440" w:gutter="0" w:footer="0" w:header="0"/>
        </w:sectPr>
      </w:pPr>
    </w:p>
    <w:bookmarkStart w:id="336" w:name="page337"/>
    <w:bookmarkEnd w:id="336"/>
    <w:p>
      <w:pPr>
        <w:jc w:val="center"/>
        <w:ind w:left="440"/>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Credit Party, for itself and on behalf of its Restricted Subsidiaries, covenants and agrees with Administrative Agent, Collateral Agent, and the Lenders that until the Obligations have been Paid in Full (and each Credit Party covenants and agrees that it will cause its Restricted Subsidiaries to observe and perform the covenants herein set forth applicable to any such Restricted Subsidiary until the Obligations have been Paid in Full):</w:t>
      </w:r>
    </w:p>
    <w:p>
      <w:pPr>
        <w:spacing w:after="0" w:line="16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Borrower and its Restricted Subsidiaries will not incur any Indebtedness, except:</w:t>
      </w:r>
    </w:p>
    <w:p>
      <w:pPr>
        <w:spacing w:after="0" w:line="229" w:lineRule="exact"/>
        <w:rPr>
          <w:sz w:val="20"/>
          <w:szCs w:val="20"/>
          <w:color w:val="auto"/>
        </w:rPr>
      </w:pPr>
    </w:p>
    <w:p>
      <w:pPr>
        <w:ind w:firstLine="656"/>
        <w:spacing w:after="0" w:line="277" w:lineRule="auto"/>
        <w:tabs>
          <w:tab w:leader="none" w:pos="102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this Agreement and the other Credit Documents (including pursuant to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w:t>
      </w:r>
      <w:r>
        <w:rPr>
          <w:rFonts w:ascii="Arial" w:cs="Arial" w:eastAsia="Arial" w:hAnsi="Arial"/>
          <w:sz w:val="18"/>
          <w:szCs w:val="18"/>
          <w:u w:val="single" w:color="auto"/>
          <w:color w:val="auto"/>
        </w:rPr>
        <w:t>2.13,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and any Permitted Refinancings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1106"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to the extent in excess of $2.5 million individually, listed on </w:t>
      </w:r>
      <w:r>
        <w:rPr>
          <w:rFonts w:ascii="Arial" w:cs="Arial" w:eastAsia="Arial" w:hAnsi="Arial"/>
          <w:sz w:val="18"/>
          <w:szCs w:val="18"/>
          <w:u w:val="single" w:color="auto"/>
          <w:color w:val="auto"/>
        </w:rPr>
        <w:t>Schedule 10.01</w:t>
      </w:r>
      <w:r>
        <w:rPr>
          <w:rFonts w:ascii="Arial" w:cs="Arial" w:eastAsia="Arial" w:hAnsi="Arial"/>
          <w:sz w:val="18"/>
          <w:szCs w:val="18"/>
          <w:color w:val="auto"/>
        </w:rPr>
        <w:t>), and any Permitted Refinancings thereof;</w:t>
      </w:r>
    </w:p>
    <w:p>
      <w:pPr>
        <w:spacing w:after="0" w:line="170" w:lineRule="exact"/>
        <w:rPr>
          <w:rFonts w:ascii="Arial" w:cs="Arial" w:eastAsia="Arial" w:hAnsi="Arial"/>
          <w:sz w:val="18"/>
          <w:szCs w:val="18"/>
          <w:color w:val="auto"/>
        </w:rPr>
      </w:pPr>
    </w:p>
    <w:p>
      <w:pPr>
        <w:ind w:right="20" w:firstLine="656"/>
        <w:spacing w:after="0" w:line="277" w:lineRule="auto"/>
        <w:tabs>
          <w:tab w:leader="none" w:pos="109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Indebtedness under any Swap Contracts (including, without limitation, any Interest Rate Protection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Swap Contracts are entered into for bona fide hedging activities and not for speculative purposes;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intercompany Indebtedness of Borrower and the Restricted Subsidiaries to Borrower or other Restricted Subsidiaries;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Indebtedness under the Wynn Las Vegas Notes and Permitted Refinancings thereof;</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22"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86" w:lineRule="exact"/>
        <w:rPr>
          <w:rFonts w:ascii="Arial" w:cs="Arial" w:eastAsia="Arial" w:hAnsi="Arial"/>
          <w:sz w:val="18"/>
          <w:szCs w:val="18"/>
          <w:color w:val="auto"/>
        </w:rPr>
      </w:pPr>
    </w:p>
    <w:p>
      <w:pPr>
        <w:ind w:firstLine="656"/>
        <w:spacing w:after="0" w:line="342" w:lineRule="auto"/>
        <w:tabs>
          <w:tab w:leader="none" w:pos="1038" w:val="left"/>
        </w:tabs>
        <w:numPr>
          <w:ilvl w:val="0"/>
          <w:numId w:val="364"/>
        </w:numPr>
        <w:rPr>
          <w:rFonts w:ascii="Arial" w:cs="Arial" w:eastAsia="Arial" w:hAnsi="Arial"/>
          <w:sz w:val="16"/>
          <w:szCs w:val="16"/>
          <w:color w:val="auto"/>
        </w:rPr>
      </w:pPr>
      <w:r>
        <w:rPr>
          <w:rFonts w:ascii="Arial" w:cs="Arial" w:eastAsia="Arial" w:hAnsi="Arial"/>
          <w:sz w:val="16"/>
          <w:szCs w:val="16"/>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Indebtedness is extinguished within five (5) Business Days of its incurrence;</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03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Indebtedness (other than Indebtedness referred to in </w:t>
      </w:r>
      <w:r>
        <w:rPr>
          <w:rFonts w:ascii="Arial" w:cs="Arial" w:eastAsia="Arial" w:hAnsi="Arial"/>
          <w:sz w:val="18"/>
          <w:szCs w:val="18"/>
          <w:u w:val="single" w:color="auto"/>
          <w:color w:val="auto"/>
        </w:rPr>
        <w:t>Section 10.01(b)</w:t>
      </w:r>
      <w:r>
        <w:rPr>
          <w:rFonts w:ascii="Arial" w:cs="Arial" w:eastAsia="Arial" w:hAnsi="Arial"/>
          <w:sz w:val="18"/>
          <w:szCs w:val="18"/>
          <w:color w:val="auto"/>
        </w:rPr>
        <w:t>) in respect of Purchase Money Obligations and Capital Lease Obligations and refinancings or renewals thereof in an aggregate principal amount not to exceed at any time outstanding $200.0 million and Permitted Refinancings thereof;</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99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guarantees by Borrower or Restricted Subsidiaries of Indebtedness otherwise permitted to be incurred by Borrower or any Restricted Subsidiary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052"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Indebtedness of a Person that becomes a Subsidiary of Borrower or any of its Restricted Subsidiaries after the date hereof in connection with a Permitted Acquisition or other Acquisition or Investment permitted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Indebtedness existed at the time such Person became a Subsidiary and was not created in anticipation or contemplation thereof, and Permitted Refinancings thereof;</w:t>
      </w:r>
    </w:p>
    <w:p>
      <w:pPr>
        <w:spacing w:after="0" w:line="165" w:lineRule="exact"/>
        <w:rPr>
          <w:rFonts w:ascii="Arial" w:cs="Arial" w:eastAsia="Arial" w:hAnsi="Arial"/>
          <w:sz w:val="17"/>
          <w:szCs w:val="17"/>
          <w:color w:val="auto"/>
        </w:rPr>
      </w:pPr>
    </w:p>
    <w:p>
      <w:pPr>
        <w:ind w:left="1000" w:hanging="344"/>
        <w:spacing w:after="0"/>
        <w:tabs>
          <w:tab w:leader="none" w:pos="10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Indebtedness that has been Discharged;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584" w:right="239" w:bottom="1440" w:gutter="0" w:footer="0" w:header="0"/>
        </w:sectPr>
      </w:pPr>
    </w:p>
    <w:bookmarkStart w:id="337" w:name="page338"/>
    <w:bookmarkEnd w:id="337"/>
    <w:p>
      <w:pPr>
        <w:ind w:left="1100" w:hanging="444"/>
        <w:spacing w:after="0"/>
        <w:tabs>
          <w:tab w:leader="none" w:pos="110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Escrowed Indebtedness;</w:t>
      </w:r>
    </w:p>
    <w:p>
      <w:pPr>
        <w:spacing w:after="0" w:line="225" w:lineRule="exact"/>
        <w:rPr>
          <w:rFonts w:ascii="Arial" w:cs="Arial" w:eastAsia="Arial" w:hAnsi="Arial"/>
          <w:sz w:val="18"/>
          <w:szCs w:val="18"/>
          <w:color w:val="auto"/>
        </w:rPr>
      </w:pPr>
    </w:p>
    <w:p>
      <w:pPr>
        <w:jc w:val="both"/>
        <w:ind w:right="20" w:firstLine="656"/>
        <w:spacing w:after="0" w:line="291" w:lineRule="auto"/>
        <w:tabs>
          <w:tab w:leader="none" w:pos="105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w:t>
      </w:r>
    </w:p>
    <w:p>
      <w:pPr>
        <w:ind w:firstLine="8"/>
        <w:spacing w:after="0" w:line="261" w:lineRule="auto"/>
        <w:tabs>
          <w:tab w:leader="none" w:pos="27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Borrower and its Restricted Subsidiaries shall be in compliance with the Financial Maintenance Covenant (whether or not then in effect) on a Pro Forma Basis as of the most recent Calculation Date;</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Permitted Unsecured Refinancing Debt, Permitted First Priority Refinancing Debt, and Permitted Second Priority Refinancing Debt;</w:t>
      </w:r>
    </w:p>
    <w:p>
      <w:pPr>
        <w:spacing w:after="0" w:line="236" w:lineRule="exact"/>
        <w:rPr>
          <w:rFonts w:ascii="Arial" w:cs="Arial" w:eastAsia="Arial" w:hAnsi="Arial"/>
          <w:sz w:val="17"/>
          <w:szCs w:val="17"/>
          <w:color w:val="auto"/>
        </w:rPr>
      </w:pPr>
    </w:p>
    <w:p>
      <w:pPr>
        <w:ind w:firstLine="656"/>
        <w:spacing w:after="0" w:line="277" w:lineRule="auto"/>
        <w:tabs>
          <w:tab w:leader="none" w:pos="103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Indebtedness of Restricted Subsidiaries that are Foreign Subsidiaries in an aggregate principal amount not to exceed $150.0 million at any time outstanding, so long as such Indebtedness is not guaranteed by any Credit Party and Permitted Refinancings thereof;</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1"/>
          <w:numId w:val="366"/>
        </w:numPr>
        <w:rPr>
          <w:rFonts w:ascii="Arial" w:cs="Arial" w:eastAsia="Arial" w:hAnsi="Arial"/>
          <w:sz w:val="16"/>
          <w:szCs w:val="16"/>
          <w:color w:val="auto"/>
        </w:rPr>
      </w:pPr>
      <w:r>
        <w:rPr>
          <w:rFonts w:ascii="Arial" w:cs="Arial" w:eastAsia="Arial" w:hAnsi="Arial"/>
          <w:sz w:val="16"/>
          <w:szCs w:val="16"/>
          <w:color w:val="auto"/>
        </w:rPr>
        <w:t>Indebtedness of Borrower or any Restricted Subsidiary in an aggregate principal amount not to exceed at any time outstanding the greater of</w:t>
      </w:r>
    </w:p>
    <w:p>
      <w:pPr>
        <w:spacing w:after="0" w:line="46" w:lineRule="exact"/>
        <w:rPr>
          <w:rFonts w:ascii="Arial" w:cs="Arial" w:eastAsia="Arial" w:hAnsi="Arial"/>
          <w:sz w:val="16"/>
          <w:szCs w:val="16"/>
          <w:color w:val="auto"/>
        </w:rPr>
      </w:pPr>
    </w:p>
    <w:p>
      <w:pPr>
        <w:ind w:firstLine="8"/>
        <w:spacing w:after="0" w:line="261" w:lineRule="auto"/>
        <w:tabs>
          <w:tab w:leader="none" w:pos="25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$500.0 million and (ii) 50% of Consolidated EBITDA calculated on a Pro Forma Basis as of the most recently ended Test Period and Permitted Refinancings thereof;</w:t>
      </w:r>
    </w:p>
    <w:p>
      <w:pPr>
        <w:spacing w:after="0" w:line="183" w:lineRule="exact"/>
        <w:rPr>
          <w:rFonts w:ascii="Arial" w:cs="Arial" w:eastAsia="Arial" w:hAnsi="Arial"/>
          <w:sz w:val="18"/>
          <w:szCs w:val="18"/>
          <w:color w:val="auto"/>
        </w:rPr>
      </w:pPr>
    </w:p>
    <w:p>
      <w:pPr>
        <w:ind w:firstLine="656"/>
        <w:spacing w:after="0" w:line="277" w:lineRule="auto"/>
        <w:tabs>
          <w:tab w:leader="none" w:pos="102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or (ii) take-or-pay obligations contained in supply agreements, in each case, in the ordinary course of business;</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 xml:space="preserve">Investments under </w:t>
      </w:r>
      <w:r>
        <w:rPr>
          <w:rFonts w:ascii="Arial" w:cs="Arial" w:eastAsia="Arial" w:hAnsi="Arial"/>
          <w:sz w:val="18"/>
          <w:szCs w:val="18"/>
          <w:u w:val="single" w:color="auto"/>
          <w:color w:val="auto"/>
        </w:rPr>
        <w:t>Sections 10.04(l)</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10.04(q)</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w:t>
      </w:r>
      <w:r>
        <w:rPr>
          <w:rFonts w:ascii="Arial" w:cs="Arial" w:eastAsia="Arial" w:hAnsi="Arial"/>
          <w:sz w:val="18"/>
          <w:szCs w:val="18"/>
          <w:color w:val="auto"/>
        </w:rPr>
        <w:t xml:space="preserve"> consisting of guarantees;</w:t>
      </w:r>
    </w:p>
    <w:p>
      <w:pPr>
        <w:spacing w:after="0" w:line="225" w:lineRule="exact"/>
        <w:rPr>
          <w:rFonts w:ascii="Arial" w:cs="Arial" w:eastAsia="Arial" w:hAnsi="Arial"/>
          <w:sz w:val="18"/>
          <w:szCs w:val="18"/>
          <w:color w:val="auto"/>
        </w:rPr>
      </w:pPr>
    </w:p>
    <w:p>
      <w:pPr>
        <w:jc w:val="both"/>
        <w:ind w:firstLine="656"/>
        <w:spacing w:after="0" w:line="284" w:lineRule="auto"/>
        <w:tabs>
          <w:tab w:leader="none" w:pos="1025" w:val="left"/>
        </w:tabs>
        <w:numPr>
          <w:ilvl w:val="1"/>
          <w:numId w:val="367"/>
        </w:numPr>
        <w:rPr>
          <w:rFonts w:ascii="Arial" w:cs="Arial" w:eastAsia="Arial" w:hAnsi="Arial"/>
          <w:sz w:val="16"/>
          <w:szCs w:val="16"/>
          <w:color w:val="auto"/>
        </w:rPr>
      </w:pPr>
      <w:r>
        <w:rPr>
          <w:rFonts w:ascii="Arial" w:cs="Arial" w:eastAsia="Arial" w:hAnsi="Arial"/>
          <w:sz w:val="16"/>
          <w:szCs w:val="16"/>
          <w:color w:val="auto"/>
        </w:rPr>
        <w:t xml:space="preserve">(i) Indebtedness of Borrower or any Restricted Subsidiaries in respect of one or more series of senior unsecured notes or loans, senior secured first lien notes or loans, senior secured junior lien notes or loans or subordinated notes or loans that may be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with the Obligations, as applicable, that are issued or made pursuant to an indenture, a loan agreement, or a note purchase agreement or otherwise (any such Indebtedness, “</w:t>
      </w:r>
      <w:r>
        <w:rPr>
          <w:rFonts w:ascii="Arial" w:cs="Arial" w:eastAsia="Arial" w:hAnsi="Arial"/>
          <w:sz w:val="16"/>
          <w:szCs w:val="16"/>
          <w:b w:val="1"/>
          <w:bCs w:val="1"/>
          <w:color w:val="auto"/>
        </w:rPr>
        <w:t>Ratio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aggregate principal amount of all Ratio Debt issued or incurred pursuant to this </w:t>
      </w:r>
      <w:r>
        <w:rPr>
          <w:rFonts w:ascii="Arial" w:cs="Arial" w:eastAsia="Arial" w:hAnsi="Arial"/>
          <w:sz w:val="16"/>
          <w:szCs w:val="16"/>
          <w:u w:val="single" w:color="auto"/>
          <w:color w:val="auto"/>
        </w:rPr>
        <w:t>Section 10.01(t)</w:t>
      </w:r>
      <w:r>
        <w:rPr>
          <w:rFonts w:ascii="Arial" w:cs="Arial" w:eastAsia="Arial" w:hAnsi="Arial"/>
          <w:sz w:val="16"/>
          <w:szCs w:val="16"/>
          <w:color w:val="auto"/>
        </w:rPr>
        <w:t xml:space="preserve"> on such date shall not exceed the Ratio Debt Amount as of such date; (B) no Event of Default shall have occurred and be continuing or would exist immediately after giving effect to such Ratio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proceeds of such Ratio Debt are being used in connection with a Limited Condition Transaction substantially concurrently upon the receipt thereof (including repayment of Indebtedness of the Person acquired, or that is secured by the assets acquired, in such Limited Condition Transaction), the absence of an Event of Default shall not constitute a condition to the issuance or incurrence of such Ratio Debt;</w:t>
      </w:r>
    </w:p>
    <w:p>
      <w:pPr>
        <w:spacing w:after="0" w:line="1" w:lineRule="exact"/>
        <w:rPr>
          <w:rFonts w:ascii="Arial" w:cs="Arial" w:eastAsia="Arial" w:hAnsi="Arial"/>
          <w:sz w:val="16"/>
          <w:szCs w:val="16"/>
          <w:color w:val="auto"/>
        </w:rPr>
      </w:pPr>
    </w:p>
    <w:p>
      <w:pPr>
        <w:jc w:val="both"/>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(C) if such Ratio Debt is (x)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such Ratio Debt shall have a maturity date and Weighted Average Life to Maturity (without giving effect to any prepayments that reduce scheduled amortization) no shorter than the Term A Facility Loans (provided that this clause (C)(x) shall not apply to unsecured bridge facilities providing for extensions on customary terms to a date that is no earlier than the applicable maturity date and (B) the stated maturity or Weighted Average Life to Maturity may be shorter if the stated maturity is not earlier than the earlier of (1) the stated maturity of such Indebtedness in effect prior to such refinancing or (2) 91 days after the Final Maturity Date in effect at the time of issuance) or (y) secured on a second lien (or other junior lien) basis or is unsecured, such Ratio Debt shall satisfy the definition of Permitted Junior Debt Conditions; (D) if such Ratio Debt is secured (x) on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the holders of such Indebtedness (or their representative) shall execute and deliver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or (y) or second lien (or other junior lien) basis to the Obligations, the holders of such Indebtedness (or their representative) execute and deliver the Second Lien Intercreditor Agreement (as “Second Priority Debt Parties”); (E) except as set forth in clauses (A) – (D) of this paragraph </w:t>
      </w:r>
      <w:r>
        <w:rPr>
          <w:rFonts w:ascii="Arial" w:cs="Arial" w:eastAsia="Arial" w:hAnsi="Arial"/>
          <w:sz w:val="16"/>
          <w:szCs w:val="16"/>
          <w:u w:val="single" w:color="auto"/>
          <w:color w:val="auto"/>
        </w:rPr>
        <w:t>(t)</w:t>
      </w:r>
      <w:r>
        <w:rPr>
          <w:rFonts w:ascii="Arial" w:cs="Arial" w:eastAsia="Arial" w:hAnsi="Arial"/>
          <w:sz w:val="16"/>
          <w:szCs w:val="16"/>
          <w:color w:val="auto"/>
        </w:rPr>
        <w:t>, the terms (excluding maturity, amortization, pricing, fees, rate floors, premiums, optional prepayment or optional redemption provisions) of such Indebtedness are (as determined by Borrower in good faith) substantially similar to the terms of the Revolving Commitments or the Term A Facility Loans, as applicable, as existing on the date of incurrence of such Ratio Debt except, to the extent such terms (x) at the option of Borrower (1) reflect market terms and conditions (taken as a whole) at the time of incurrence or issuance (as determined by Borrower in good faith), (2) with respect to any Ratio Debt that is unsecured, are customary for issuances of “high yield” securities, or (3) are not materially more restrictive to Borrower (as reasonably determined by Borrower in good faith), when taken as a whole, than the terms of the Term A Facility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584" w:right="239" w:bottom="1440" w:gutter="0" w:footer="0" w:header="0"/>
        </w:sectPr>
      </w:pPr>
    </w:p>
    <w:bookmarkStart w:id="338" w:name="page339"/>
    <w:bookmarkEnd w:id="338"/>
    <w:p>
      <w:pPr>
        <w:jc w:val="both"/>
        <w:spacing w:after="0" w:line="267" w:lineRule="auto"/>
        <w:rPr>
          <w:sz w:val="20"/>
          <w:szCs w:val="20"/>
          <w:color w:val="auto"/>
        </w:rPr>
      </w:pPr>
      <w:r>
        <w:rPr>
          <w:rFonts w:ascii="Arial" w:cs="Arial" w:eastAsia="Arial" w:hAnsi="Arial"/>
          <w:sz w:val="17"/>
          <w:szCs w:val="17"/>
          <w:color w:val="auto"/>
        </w:rPr>
        <w:t xml:space="preserve">Loans or the Revolving Facility, as the case may be (except for covenants or other provisions applicable only to periods after the Final Maturity Date (in the case of term Indebtedness) or the latest R/C Maturity Date (in the case of revolving Indebtedness) (it being understood that any Ratio Debt may provide for the ability to participate (i) with respect to any borrowings, voluntary prepayments or voluntary commitment reductions, on a pro rata basis, greater than pro rata basis or less than pro rata basis with the applicable Loans or facility and (ii) with respect to any mandatory prepayments, on a pro rata basis (only in respect of Ratio Debt that ranks pari passu with the Obligations) or less than pro rata basis with the applicable Loans (and on a greater than pro rata basis with respect to prepayments of any such Ratio Debt with the proceeds of permitted refinancing Indebtedness), or (y) are (1) added to the Term A Facility Loans or Revolving Facility, (2) applicable only after the Final Maturity Date (in the case of term Indebtedness) or the latest R/C Maturity Date (in the case of revolving Indebtedness), or (3) otherwise reasonably satisfactory to Administrative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of clauses (i)(E)(x) and (i)(E)(y) of this </w:t>
      </w:r>
      <w:r>
        <w:rPr>
          <w:rFonts w:ascii="Arial" w:cs="Arial" w:eastAsia="Arial" w:hAnsi="Arial"/>
          <w:sz w:val="17"/>
          <w:szCs w:val="17"/>
          <w:u w:val="single" w:color="auto"/>
          <w:color w:val="auto"/>
        </w:rPr>
        <w:t>Section 10.01(t)</w:t>
      </w:r>
      <w:r>
        <w:rPr>
          <w:rFonts w:ascii="Arial" w:cs="Arial" w:eastAsia="Arial" w:hAnsi="Arial"/>
          <w:sz w:val="17"/>
          <w:szCs w:val="17"/>
          <w:color w:val="auto"/>
        </w:rPr>
        <w:t xml:space="preserve">, if any financial maintenance covenant is added for the benefit of any Ratio Debt that is more favorable to the Lenders under such facilities than the Financial Maintenance Covenant, then the Financial Maintenance Covenant shall be conformed to match such financial maintenance covenant (except to the extent such financial maintenance covenant applies only to periods after the Final Maturity Date (in the case of term Indebtedness) or the latest R/C Maturity Date (in the case of revolving Indebtedness)) (it being understood that to the extent any financial maintenance covenant or other provision is added for the benefit of any such Ratio Debt, no consent shall be required from Administrative Agent or any of the Lenders to the extent that such financial maintenance covenant (together with any related “equity cure” provisions) or other provision is also added for the benefit of any corresponding existing facility); and (F) the aggregate principal amount of all Ratio Debt issued or incurred pursuant to this </w:t>
      </w:r>
      <w:r>
        <w:rPr>
          <w:rFonts w:ascii="Arial" w:cs="Arial" w:eastAsia="Arial" w:hAnsi="Arial"/>
          <w:sz w:val="17"/>
          <w:szCs w:val="17"/>
          <w:u w:val="single" w:color="auto"/>
          <w:color w:val="auto"/>
        </w:rPr>
        <w:t>Section 10.01(t)</w:t>
      </w:r>
      <w:r>
        <w:rPr>
          <w:rFonts w:ascii="Arial" w:cs="Arial" w:eastAsia="Arial" w:hAnsi="Arial"/>
          <w:sz w:val="17"/>
          <w:szCs w:val="17"/>
          <w:color w:val="auto"/>
        </w:rPr>
        <w:t xml:space="preserve"> by Restricted Subsidiaries that are not (and do not concurrently become) Credit Parties shall not exceed $150.0 million; and (ii) Permitted Refinancings thereof (for the avoidance of doubt, the usual and customary terms of convertible or exchangeable debt instruments issued in a registered offering or under Rule 144A of the Securities Act and the terms of the Wynn Resorts Finance Notes shall be deemed to be no more restrictive in any material respect to Borrower and its Restricted Subsidiaries than the terms set forth in this Agreement);</w:t>
      </w:r>
    </w:p>
    <w:p>
      <w:pPr>
        <w:spacing w:after="0" w:line="190" w:lineRule="exact"/>
        <w:rPr>
          <w:sz w:val="20"/>
          <w:szCs w:val="20"/>
          <w:color w:val="auto"/>
        </w:rPr>
      </w:pPr>
    </w:p>
    <w:p>
      <w:pPr>
        <w:ind w:firstLine="656"/>
        <w:spacing w:after="0" w:line="277" w:lineRule="auto"/>
        <w:tabs>
          <w:tab w:leader="none" w:pos="106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Indebtedness constituting, or the proceeds of which constitute, Development Expenses in an aggregate principal amount not to exceed $500.0 million at any time outstanding (including Permitted Refinancings thereof);</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Wynn Resorts Finance Notes and Permitted Refinancings thereof;</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Intercompany Contribution Indebtedness;</w:t>
      </w:r>
    </w:p>
    <w:p>
      <w:pPr>
        <w:spacing w:after="0" w:line="225" w:lineRule="exact"/>
        <w:rPr>
          <w:rFonts w:ascii="Arial" w:cs="Arial" w:eastAsia="Arial" w:hAnsi="Arial"/>
          <w:sz w:val="18"/>
          <w:szCs w:val="18"/>
          <w:color w:val="auto"/>
        </w:rPr>
      </w:pPr>
    </w:p>
    <w:p>
      <w:pPr>
        <w:jc w:val="both"/>
        <w:ind w:firstLine="656"/>
        <w:spacing w:after="0" w:line="312" w:lineRule="auto"/>
        <w:tabs>
          <w:tab w:leader="none" w:pos="1133"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to the extent constituting Indebtedness, agreements to pay service fees to professionals (including architects, engineers and designers) in furtherance of and/or in connection with any project or Facility, in each case to the extent such agreements and related payment provisions are reasonably consistent with commonly accepted industry practices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agreements shall give rise to Indebtedness for borrowed money);</w:t>
      </w:r>
    </w:p>
    <w:p>
      <w:pPr>
        <w:spacing w:after="0" w:line="146" w:lineRule="exact"/>
        <w:rPr>
          <w:rFonts w:ascii="Arial" w:cs="Arial" w:eastAsia="Arial" w:hAnsi="Arial"/>
          <w:sz w:val="16"/>
          <w:szCs w:val="16"/>
          <w:color w:val="auto"/>
        </w:rPr>
      </w:pPr>
    </w:p>
    <w:p>
      <w:pPr>
        <w:jc w:val="both"/>
        <w:ind w:firstLine="656"/>
        <w:spacing w:after="0" w:line="279" w:lineRule="auto"/>
        <w:tabs>
          <w:tab w:leader="none" w:pos="106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 xml:space="preserve">Indebtedness consisting of promissory notes issued by Borrower to recent or former officers, directors or employees (or heirs of, estates of or trusts formed by such Persons) to finance the purchase or redemption of Equity Interests of Borrower permitted by </w:t>
      </w:r>
      <w:r>
        <w:rPr>
          <w:rFonts w:ascii="Arial" w:cs="Arial" w:eastAsia="Arial" w:hAnsi="Arial"/>
          <w:sz w:val="17"/>
          <w:szCs w:val="17"/>
          <w:u w:val="single" w:color="auto"/>
          <w:color w:val="auto"/>
        </w:rPr>
        <w:t>Section 10.06(f)</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amount of all cash payments (whether principal or interest) made by Borrower in respect of such notes, when combined with the aggregate amount of Restricted Payments made pursuant to </w:t>
      </w:r>
      <w:r>
        <w:rPr>
          <w:rFonts w:ascii="Arial" w:cs="Arial" w:eastAsia="Arial" w:hAnsi="Arial"/>
          <w:sz w:val="17"/>
          <w:szCs w:val="17"/>
          <w:u w:val="single" w:color="auto"/>
          <w:color w:val="auto"/>
        </w:rPr>
        <w:t>Section 10.06(f)</w:t>
      </w:r>
      <w:r>
        <w:rPr>
          <w:rFonts w:ascii="Arial" w:cs="Arial" w:eastAsia="Arial" w:hAnsi="Arial"/>
          <w:sz w:val="17"/>
          <w:szCs w:val="17"/>
          <w:color w:val="auto"/>
        </w:rPr>
        <w:t>, shall not exceed $20.0 million in any fiscal year of Borrower;</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05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Indebtedness incurred by Borrower or the Restricted Subsidiaries in (i) a Permitted Acquisition, (ii) any other Investment expressly permitted hereunder, or (iii) any Asset Sale or other disposition permitted under this Agreement, in the case of each of the foregoing clauses (i), (ii), and (iii), constituting customary indemnification, adjustment of purchase price or similar obligations;</w:t>
      </w:r>
    </w:p>
    <w:p>
      <w:pPr>
        <w:spacing w:after="0" w:line="181" w:lineRule="exact"/>
        <w:rPr>
          <w:sz w:val="20"/>
          <w:szCs w:val="20"/>
          <w:color w:val="auto"/>
        </w:rPr>
      </w:pPr>
    </w:p>
    <w:p>
      <w:pPr>
        <w:ind w:firstLine="656"/>
        <w:spacing w:after="0" w:line="277" w:lineRule="auto"/>
        <w:tabs>
          <w:tab w:leader="none" w:pos="121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Indebtedness of, or incurred on behalf of, or representing Guarantees of Indebtedness of, joint ventures not in excess, at any one time outstanding, of $50.0 million and any Permitted Refinancing Indebtedness thereof;</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Indebtedness supported by a Letter of Credit, in a principal amount not in excess of the stated amount of such Letter of Credit;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84" w:right="239" w:bottom="1440" w:gutter="0" w:footer="0" w:header="0"/>
        </w:sectPr>
      </w:pPr>
    </w:p>
    <w:bookmarkStart w:id="339" w:name="page340"/>
    <w:bookmarkEnd w:id="339"/>
    <w:p>
      <w:pPr>
        <w:jc w:val="both"/>
        <w:ind w:firstLine="656"/>
        <w:spacing w:after="0" w:line="312" w:lineRule="auto"/>
        <w:tabs>
          <w:tab w:leader="none" w:pos="117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Indebtedness of Borrower and the Subsidiaries incurred under lines of credit or overdraft facilities (including, but not limited to, intraday, ACH and purchasing card/T&amp;E services) extended by one or more financial institutions and (in each case) established for Borrower’s and its Restricted Subsidiaries’ ordinary course of operations (such Indebtedness, the “</w:t>
      </w:r>
      <w:r>
        <w:rPr>
          <w:rFonts w:ascii="Arial" w:cs="Arial" w:eastAsia="Arial" w:hAnsi="Arial"/>
          <w:sz w:val="16"/>
          <w:szCs w:val="16"/>
          <w:b w:val="1"/>
          <w:bCs w:val="1"/>
          <w:color w:val="auto"/>
        </w:rPr>
        <w:t>Overdraft Line</w:t>
      </w:r>
      <w:r>
        <w:rPr>
          <w:rFonts w:ascii="Arial" w:cs="Arial" w:eastAsia="Arial" w:hAnsi="Arial"/>
          <w:sz w:val="16"/>
          <w:szCs w:val="16"/>
          <w:color w:val="auto"/>
        </w:rPr>
        <w:t>”), which Indebtedness may be secured under the Security Documents;</w:t>
      </w:r>
    </w:p>
    <w:p>
      <w:pPr>
        <w:spacing w:after="0" w:line="146" w:lineRule="exact"/>
        <w:rPr>
          <w:rFonts w:ascii="Arial" w:cs="Arial" w:eastAsia="Arial" w:hAnsi="Arial"/>
          <w:sz w:val="16"/>
          <w:szCs w:val="16"/>
          <w:color w:val="auto"/>
        </w:rPr>
      </w:pPr>
    </w:p>
    <w:p>
      <w:pPr>
        <w:jc w:val="both"/>
        <w:ind w:firstLine="656"/>
        <w:spacing w:after="0" w:line="259" w:lineRule="auto"/>
        <w:tabs>
          <w:tab w:leader="none" w:pos="112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Indebtedness of Borrower or any Restricted Subsidiary to or on behalf of any joint venture (regardless of the form of legal entity) that is not a Restricted Subsidiary or any Unrestricted Subsidiary arising in the ordinary course of business in connection with the cash management, tax and accounting operations (including with respect to intercompany self-insurance arrangements) of Borrower and its Subsidiaries and any Permitted Refinancing Indebtedness in respect thereof; and</w:t>
      </w:r>
    </w:p>
    <w:p>
      <w:pPr>
        <w:spacing w:after="0" w:line="186" w:lineRule="exact"/>
        <w:rPr>
          <w:rFonts w:ascii="Arial" w:cs="Arial" w:eastAsia="Arial" w:hAnsi="Arial"/>
          <w:sz w:val="18"/>
          <w:szCs w:val="18"/>
          <w:color w:val="auto"/>
        </w:rPr>
      </w:pPr>
    </w:p>
    <w:p>
      <w:pPr>
        <w:ind w:firstLine="656"/>
        <w:spacing w:after="0" w:line="277" w:lineRule="auto"/>
        <w:tabs>
          <w:tab w:leader="none" w:pos="110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all premium (if any, including tender premiums), expenses, defeasance costs, interest (including post-petition interest), fees, expenses, charges and additional or contingent interest on obligations described in paragraphs (a) through (dd) above.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For purposes of determining compliance with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the amount of any Indebtedness denominated in any currency other than Dollars shall be calculated based on customary currency exchange rates in effect, in the case of such Indebtedness incurred (in respect of term Indebtedness) or committed (in respect of revolving Indebtedness) on or prior to the Closing Date, on the Closing Date and, in the case of such Indebtedness incurred (in respect of term Indebtedness) or committed (in respect of revolving Indebtedness) after the Closing Date, on the date that such Indebtedness was incurred (in respect of term Indebtedness) or committed (in respect of revolving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Indebtedness is incurred to refinance other Indebtedness denominated in a currency other than Dollars (or in a different currency from the Indebtedness being refinanced),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outstanding or committed principal amount, as applicable, of such Indebtedness being refinanced plus (ii) the aggregate amount of fees, underwriting discounts, premiums (including tender premiums), defeasance costs and other costs and expenses incurred in connection with such refinancing.</w:t>
      </w:r>
    </w:p>
    <w:p>
      <w:pPr>
        <w:spacing w:after="0" w:line="18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Additionally, for purposes of determining compliance with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the calculation of the Incremental Loan Amount and Ratio Debt Amount,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Administrative Agent.</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With respect to any Indebtedness that was permitted to be incurred hereunder on the date of such incurrence, any Increased Amount of such Indebtedness shall also be permitted hereunder after the date of such incurrence.</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10.02. Liens</w:t>
      </w:r>
      <w:r>
        <w:rPr>
          <w:rFonts w:ascii="Arial" w:cs="Arial" w:eastAsia="Arial" w:hAnsi="Arial"/>
          <w:sz w:val="18"/>
          <w:szCs w:val="18"/>
          <w:color w:val="auto"/>
        </w:rPr>
        <w:t>. Neither Borrower nor any Restricted Subsidiary shall create, incur, grant, assume or permit to exist,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any Lien on any Property now owned or hereafter acquired by it, except (the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66" w:lineRule="exact"/>
        <w:rPr>
          <w:sz w:val="20"/>
          <w:szCs w:val="20"/>
          <w:color w:val="auto"/>
        </w:rPr>
      </w:pPr>
    </w:p>
    <w:p>
      <w:pPr>
        <w:ind w:firstLine="656"/>
        <w:spacing w:after="0" w:line="277" w:lineRule="auto"/>
        <w:tabs>
          <w:tab w:leader="none" w:pos="112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Liens for Taxes not yet due and payable or delinquent by more than 45 days, or which are being contested in good faith by appropriate proceedings and for which adequate reserves have been established in accordance with GAAP;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85" w:right="239" w:bottom="1440" w:gutter="0" w:footer="0" w:header="0"/>
        </w:sectPr>
      </w:pPr>
    </w:p>
    <w:bookmarkStart w:id="340" w:name="page341"/>
    <w:bookmarkEnd w:id="340"/>
    <w:p>
      <w:pPr>
        <w:jc w:val="both"/>
        <w:ind w:firstLine="656"/>
        <w:spacing w:after="0" w:line="255" w:lineRule="auto"/>
        <w:tabs>
          <w:tab w:leader="none" w:pos="1052" w:val="left"/>
        </w:tabs>
        <w:numPr>
          <w:ilvl w:val="1"/>
          <w:numId w:val="372"/>
        </w:numPr>
        <w:rPr>
          <w:rFonts w:ascii="Arial" w:cs="Arial" w:eastAsia="Arial" w:hAnsi="Arial"/>
          <w:sz w:val="18"/>
          <w:szCs w:val="18"/>
          <w:color w:val="auto"/>
        </w:rPr>
      </w:pPr>
      <w:r>
        <w:rPr>
          <w:rFonts w:ascii="Arial" w:cs="Arial" w:eastAsia="Arial" w:hAnsi="Arial"/>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$15.0 million in the aggregate;</w:t>
      </w:r>
    </w:p>
    <w:p>
      <w:pPr>
        <w:spacing w:after="0" w:line="189" w:lineRule="exact"/>
        <w:rPr>
          <w:rFonts w:ascii="Arial" w:cs="Arial" w:eastAsia="Arial" w:hAnsi="Arial"/>
          <w:sz w:val="18"/>
          <w:szCs w:val="18"/>
          <w:color w:val="auto"/>
        </w:rPr>
      </w:pPr>
    </w:p>
    <w:p>
      <w:pPr>
        <w:jc w:val="both"/>
        <w:ind w:firstLine="656"/>
        <w:spacing w:after="0" w:line="257" w:lineRule="auto"/>
        <w:tabs>
          <w:tab w:leader="none" w:pos="1041"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to extent securing obligations in excess of $2.5 million individually,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and any modifications, replacements, extensions or renewals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w:t>
      </w:r>
      <w:r>
        <w:rPr>
          <w:rFonts w:ascii="Arial" w:cs="Arial" w:eastAsia="Arial" w:hAnsi="Arial"/>
          <w:sz w:val="18"/>
          <w:szCs w:val="18"/>
          <w:u w:val="single" w:color="auto"/>
          <w:color w:val="auto"/>
        </w:rPr>
        <w:t>Section 10.01(b)</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656"/>
        <w:spacing w:after="0" w:line="291" w:lineRule="auto"/>
        <w:tabs>
          <w:tab w:leader="none" w:pos="1146" w:val="left"/>
        </w:tabs>
        <w:numPr>
          <w:ilvl w:val="1"/>
          <w:numId w:val="372"/>
        </w:numPr>
        <w:rPr>
          <w:rFonts w:ascii="Arial" w:cs="Arial" w:eastAsia="Arial" w:hAnsi="Arial"/>
          <w:sz w:val="16"/>
          <w:szCs w:val="16"/>
          <w:color w:val="auto"/>
        </w:rPr>
      </w:pPr>
      <w:r>
        <w:rPr>
          <w:rFonts w:ascii="Arial" w:cs="Arial" w:eastAsia="Arial" w:hAnsi="Arial"/>
          <w:sz w:val="16"/>
          <w:szCs w:val="16"/>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w:t>
      </w:r>
    </w:p>
    <w:p>
      <w:pPr>
        <w:jc w:val="both"/>
        <w:ind w:firstLine="8"/>
        <w:spacing w:after="0" w:line="253" w:lineRule="auto"/>
        <w:tabs>
          <w:tab w:leader="none" w:pos="2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securing Indebtedness and (ii) individually or in the aggregate materially interfering with the conduct of the business of Borrower and its Restricted Subsidiaries,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request by Borrower, Administrative Agent shall, in its reasonable discretion, direct Collateral Agent on behalf of the Secured Parties to subordinate its Mortgage on any related Real Property to such easements, rights-of-way, restrictions (including zoning restrictions), covenants, encroachments, protrusions, and other similar charges or encumbrances in such form as is reasonably satisfactory to Administrative Agent and Borrower;</w:t>
      </w:r>
    </w:p>
    <w:p>
      <w:pPr>
        <w:spacing w:after="0" w:line="191" w:lineRule="exact"/>
        <w:rPr>
          <w:rFonts w:ascii="Arial" w:cs="Arial" w:eastAsia="Arial" w:hAnsi="Arial"/>
          <w:sz w:val="18"/>
          <w:szCs w:val="18"/>
          <w:color w:val="auto"/>
        </w:rPr>
      </w:pPr>
    </w:p>
    <w:p>
      <w:pPr>
        <w:ind w:right="20" w:firstLine="656"/>
        <w:spacing w:after="0" w:line="277" w:lineRule="auto"/>
        <w:tabs>
          <w:tab w:leader="none" w:pos="1122" w:val="left"/>
        </w:tabs>
        <w:numPr>
          <w:ilvl w:val="1"/>
          <w:numId w:val="373"/>
        </w:numPr>
        <w:rPr>
          <w:rFonts w:ascii="Arial" w:cs="Arial" w:eastAsia="Arial" w:hAnsi="Arial"/>
          <w:sz w:val="18"/>
          <w:szCs w:val="18"/>
          <w:color w:val="auto"/>
        </w:rPr>
      </w:pPr>
      <w:r>
        <w:rPr>
          <w:rFonts w:ascii="Arial" w:cs="Arial" w:eastAsia="Arial" w:hAnsi="Arial"/>
          <w:sz w:val="18"/>
          <w:szCs w:val="18"/>
          <w:color w:val="auto"/>
        </w:rPr>
        <w:t xml:space="preserve">Liens arising out of judgments or awards not resulting in an Event of Default and notices of </w:t>
      </w:r>
      <w:r>
        <w:rPr>
          <w:rFonts w:ascii="Arial" w:cs="Arial" w:eastAsia="Arial" w:hAnsi="Arial"/>
          <w:sz w:val="18"/>
          <w:szCs w:val="18"/>
          <w:i w:val="1"/>
          <w:iCs w:val="1"/>
          <w:color w:val="auto"/>
        </w:rPr>
        <w:t>lis pendens</w:t>
      </w:r>
      <w:r>
        <w:rPr>
          <w:rFonts w:ascii="Arial" w:cs="Arial" w:eastAsia="Arial" w:hAnsi="Arial"/>
          <w:sz w:val="18"/>
          <w:szCs w:val="18"/>
          <w:color w:val="auto"/>
        </w:rPr>
        <w:t xml:space="preserve"> and associated rights related to litigation being contested in good faith by appropriate proceedings and for which adequate reserves have been made;</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022" w:val="left"/>
        </w:tabs>
        <w:numPr>
          <w:ilvl w:val="1"/>
          <w:numId w:val="373"/>
        </w:numPr>
        <w:rPr>
          <w:rFonts w:ascii="Arial" w:cs="Arial" w:eastAsia="Arial" w:hAnsi="Arial"/>
          <w:sz w:val="17"/>
          <w:szCs w:val="17"/>
          <w:color w:val="auto"/>
        </w:rPr>
      </w:pPr>
      <w:r>
        <w:rPr>
          <w:rFonts w:ascii="Arial" w:cs="Arial" w:eastAsia="Arial" w:hAnsi="Arial"/>
          <w:sz w:val="17"/>
          <w:szCs w:val="17"/>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for reimbursement or indemnification obligations to insurance carriers, or (iv) Liens on deposits made to secure Borrower’s or any of its Subsidiaries’ Gaming License applications or to secure the performance of surety or other bonds issued in connection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such Liens are not imposed by Law, such Liens shall in no event encumber any Property other than cash and Cash Equivalents or, in the case of clause (iii), proceeds of insurance policies;</w:t>
      </w:r>
    </w:p>
    <w:p>
      <w:pPr>
        <w:spacing w:after="0" w:line="177" w:lineRule="exact"/>
        <w:rPr>
          <w:rFonts w:ascii="Arial" w:cs="Arial" w:eastAsia="Arial" w:hAnsi="Arial"/>
          <w:sz w:val="17"/>
          <w:szCs w:val="17"/>
          <w:color w:val="auto"/>
        </w:rPr>
      </w:pPr>
    </w:p>
    <w:p>
      <w:pPr>
        <w:jc w:val="both"/>
        <w:ind w:firstLine="656"/>
        <w:spacing w:after="0" w:line="284" w:lineRule="auto"/>
        <w:tabs>
          <w:tab w:leader="none" w:pos="1106" w:val="left"/>
        </w:tabs>
        <w:numPr>
          <w:ilvl w:val="1"/>
          <w:numId w:val="373"/>
        </w:numPr>
        <w:rPr>
          <w:rFonts w:ascii="Arial" w:cs="Arial" w:eastAsia="Arial" w:hAnsi="Arial"/>
          <w:sz w:val="16"/>
          <w:szCs w:val="16"/>
          <w:color w:val="auto"/>
        </w:rPr>
      </w:pPr>
      <w:r>
        <w:rPr>
          <w:rFonts w:ascii="Arial" w:cs="Arial" w:eastAsia="Arial" w:hAnsi="Arial"/>
          <w:sz w:val="16"/>
          <w:szCs w:val="16"/>
          <w:color w:val="auto"/>
        </w:rPr>
        <w:t>(i) 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are subordinate in all respects to the Liens granted and evidenced by the Security Documents and do not, individually or in the aggregate,</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interfere in any material respect with the ordinary conduct of the business of the Credit Parties and their respective Subsidiaries,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584" w:right="239" w:bottom="1440" w:gutter="0" w:footer="0" w:header="0"/>
        </w:sectPr>
      </w:pPr>
    </w:p>
    <w:bookmarkStart w:id="341" w:name="page342"/>
    <w:bookmarkEnd w:id="341"/>
    <w:p>
      <w:pPr>
        <w:jc w:val="both"/>
        <w:spacing w:after="0" w:line="259" w:lineRule="auto"/>
        <w:rPr>
          <w:sz w:val="20"/>
          <w:szCs w:val="20"/>
          <w:color w:val="auto"/>
        </w:rPr>
      </w:pPr>
      <w:r>
        <w:rPr>
          <w:rFonts w:ascii="Arial" w:cs="Arial" w:eastAsia="Arial" w:hAnsi="Arial"/>
          <w:sz w:val="18"/>
          <w:szCs w:val="18"/>
          <w:color w:val="auto"/>
        </w:rPr>
        <w:t xml:space="preserve">taken as a whole, or (y) materially impair the use (for its intended purposes) or the value of the Properties of the Credit Parties and their respective Subsidiaries, taken as a whole and (ii) without limiting the foregoing, Venue Easements;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the request of Borrower, Collateral Agent shall enter into a customary subordination and non-disturbance and attornment agreement in connection with any such Lease or Venue Easement contemplated by this clause (g);</w:t>
      </w:r>
    </w:p>
    <w:p>
      <w:pPr>
        <w:spacing w:after="0" w:line="187" w:lineRule="exact"/>
        <w:rPr>
          <w:sz w:val="20"/>
          <w:szCs w:val="20"/>
          <w:color w:val="auto"/>
        </w:rPr>
      </w:pPr>
    </w:p>
    <w:p>
      <w:pPr>
        <w:ind w:right="20" w:firstLine="656"/>
        <w:spacing w:after="0" w:line="277" w:lineRule="auto"/>
        <w:tabs>
          <w:tab w:leader="none" w:pos="1038" w:val="left"/>
        </w:tabs>
        <w:numPr>
          <w:ilvl w:val="1"/>
          <w:numId w:val="37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093" w:val="left"/>
        </w:tabs>
        <w:numPr>
          <w:ilvl w:val="1"/>
          <w:numId w:val="375"/>
        </w:numPr>
        <w:rPr>
          <w:rFonts w:ascii="Arial" w:cs="Arial" w:eastAsia="Arial" w:hAnsi="Arial"/>
          <w:sz w:val="17"/>
          <w:szCs w:val="17"/>
          <w:color w:val="auto"/>
        </w:rPr>
      </w:pPr>
      <w:r>
        <w:rPr>
          <w:rFonts w:ascii="Arial" w:cs="Arial" w:eastAsia="Arial" w:hAnsi="Arial"/>
          <w:sz w:val="17"/>
          <w:szCs w:val="17"/>
          <w:color w:val="auto"/>
        </w:rPr>
        <w:t xml:space="preserve">Liens arising pursuant to Purchase Money Obligations or Capital Lease Obligations (and refinancings or renewals thereof), in each case, incurred pursuant to </w:t>
      </w:r>
      <w:r>
        <w:rPr>
          <w:rFonts w:ascii="Arial" w:cs="Arial" w:eastAsia="Arial" w:hAnsi="Arial"/>
          <w:sz w:val="17"/>
          <w:szCs w:val="17"/>
          <w:u w:val="single" w:color="auto"/>
          <w:color w:val="auto"/>
        </w:rPr>
        <w:t>Section 10.01(h)</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Arial" w:cs="Arial" w:eastAsia="Arial" w:hAnsi="Arial"/>
          <w:sz w:val="17"/>
          <w:szCs w:val="17"/>
          <w:i w:val="1"/>
          <w:iCs w:val="1"/>
          <w:color w:val="auto"/>
        </w:rPr>
        <w:t>plus</w:t>
      </w:r>
      <w:r>
        <w:rPr>
          <w:rFonts w:ascii="Arial" w:cs="Arial" w:eastAsia="Arial" w:hAnsi="Arial"/>
          <w:sz w:val="17"/>
          <w:szCs w:val="17"/>
          <w:color w:val="auto"/>
        </w:rPr>
        <w:t>, the fees and expenses related thereto (</w:t>
      </w:r>
      <w:r>
        <w:rPr>
          <w:rFonts w:ascii="Arial" w:cs="Arial" w:eastAsia="Arial" w:hAnsi="Arial"/>
          <w:sz w:val="17"/>
          <w:szCs w:val="17"/>
          <w:i w:val="1"/>
          <w:iCs w:val="1"/>
          <w:color w:val="auto"/>
        </w:rPr>
        <w:t>plus</w:t>
      </w:r>
      <w:r>
        <w:rPr>
          <w:rFonts w:ascii="Arial" w:cs="Arial" w:eastAsia="Arial" w:hAnsi="Arial"/>
          <w:sz w:val="17"/>
          <w:szCs w:val="17"/>
          <w:color w:val="auto"/>
        </w:rPr>
        <w:t xml:space="preserve">,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w:t>
      </w:r>
      <w:r>
        <w:rPr>
          <w:rFonts w:ascii="Arial" w:cs="Arial" w:eastAsia="Arial" w:hAnsi="Arial"/>
          <w:sz w:val="17"/>
          <w:szCs w:val="17"/>
          <w:u w:val="single" w:color="auto"/>
          <w:color w:val="auto"/>
        </w:rPr>
        <w:t>Section 10.01(h)</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84" w:lineRule="auto"/>
        <w:tabs>
          <w:tab w:leader="none" w:pos="1025" w:val="left"/>
        </w:tabs>
        <w:numPr>
          <w:ilvl w:val="1"/>
          <w:numId w:val="375"/>
        </w:numPr>
        <w:rPr>
          <w:rFonts w:ascii="Arial" w:cs="Arial" w:eastAsia="Arial" w:hAnsi="Arial"/>
          <w:sz w:val="16"/>
          <w:szCs w:val="16"/>
          <w:color w:val="auto"/>
        </w:rPr>
      </w:pPr>
      <w:r>
        <w:rPr>
          <w:rFonts w:ascii="Arial" w:cs="Arial" w:eastAsia="Arial" w:hAnsi="Arial"/>
          <w:sz w:val="16"/>
          <w:szCs w:val="16"/>
          <w:color w:val="auto"/>
        </w:rPr>
        <w:t xml:space="preserve">(i) 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such Liens are non-consensual and arise by operation of law, in no case shall any such Liens secure (either directly or indirectly) the repayment of any Indebtedness, (ii) contractual rights of setoff relating to purchase orders and other agreements entered into with customers, suppliers or service providers of Borrower or any Subsidiary in the ordinary course of business, and</w:t>
      </w:r>
    </w:p>
    <w:p>
      <w:pPr>
        <w:spacing w:after="0" w:line="4" w:lineRule="exact"/>
        <w:rPr>
          <w:rFonts w:ascii="Arial" w:cs="Arial" w:eastAsia="Arial" w:hAnsi="Arial"/>
          <w:sz w:val="16"/>
          <w:szCs w:val="16"/>
          <w:color w:val="auto"/>
        </w:rPr>
      </w:pPr>
    </w:p>
    <w:p>
      <w:pPr>
        <w:jc w:val="both"/>
        <w:ind w:firstLine="8"/>
        <w:spacing w:after="0" w:line="255" w:lineRule="auto"/>
        <w:tabs>
          <w:tab w:leader="none" w:pos="3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Liens attaching to commodity trading accounts or other commodity brokerage accounts incurred in the ordinary course of business or encumbering reasonable customary initial deposits and margin deposits and similar Liens attaching to brokerage accounts incurred in the ordinary course of business and not for speculative purposes;</w:t>
      </w:r>
    </w:p>
    <w:p>
      <w:pPr>
        <w:spacing w:after="0" w:line="190" w:lineRule="exact"/>
        <w:rPr>
          <w:rFonts w:ascii="Arial" w:cs="Arial" w:eastAsia="Arial" w:hAnsi="Arial"/>
          <w:sz w:val="18"/>
          <w:szCs w:val="18"/>
          <w:color w:val="auto"/>
        </w:rPr>
      </w:pPr>
    </w:p>
    <w:p>
      <w:pPr>
        <w:jc w:val="both"/>
        <w:ind w:firstLine="656"/>
        <w:spacing w:after="0" w:line="279" w:lineRule="auto"/>
        <w:tabs>
          <w:tab w:leader="none" w:pos="1038"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Liens on assets of a Person existing at the time such Person is acquired or merged with or into or consolidated with Borrower or any Restricted Subsidiary (and not created in connection with or in anticipation or contemplation thereof) and any modifications, replacements, extensions, or renewals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05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in addition to Liens otherwise permitted by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other Liens incurred with respect to any Indebtedness or other obligations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aggregate principal amount of such Indebtedness secured by such Liens shall not exceed as of the time of incurrence the greater of (i) $350.0 million and (ii) 35% of Consolidated EBITDA calculated on a Pro Forma Basis as of the most recently ended Test Period;</w:t>
      </w:r>
    </w:p>
    <w:p>
      <w:pPr>
        <w:spacing w:after="0" w:line="186" w:lineRule="exact"/>
        <w:rPr>
          <w:rFonts w:ascii="Arial" w:cs="Arial" w:eastAsia="Arial" w:hAnsi="Arial"/>
          <w:sz w:val="18"/>
          <w:szCs w:val="18"/>
          <w:color w:val="auto"/>
        </w:rPr>
      </w:pPr>
    </w:p>
    <w:p>
      <w:pPr>
        <w:ind w:firstLine="656"/>
        <w:spacing w:after="0" w:line="277" w:lineRule="auto"/>
        <w:tabs>
          <w:tab w:leader="none" w:pos="1088" w:val="left"/>
        </w:tabs>
        <w:numPr>
          <w:ilvl w:val="1"/>
          <w:numId w:val="376"/>
        </w:numPr>
        <w:rPr>
          <w:rFonts w:ascii="Arial" w:cs="Arial" w:eastAsia="Arial" w:hAnsi="Arial"/>
          <w:sz w:val="18"/>
          <w:szCs w:val="18"/>
          <w:color w:val="auto"/>
        </w:rPr>
      </w:pPr>
      <w:r>
        <w:rPr>
          <w:rFonts w:ascii="Arial" w:cs="Arial" w:eastAsia="Arial" w:hAnsi="Arial"/>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pacing w:after="0" w:line="170" w:lineRule="exact"/>
        <w:rPr>
          <w:rFonts w:ascii="Arial" w:cs="Arial" w:eastAsia="Arial" w:hAnsi="Arial"/>
          <w:sz w:val="18"/>
          <w:szCs w:val="18"/>
          <w:color w:val="auto"/>
        </w:rPr>
      </w:pPr>
    </w:p>
    <w:p>
      <w:pPr>
        <w:ind w:firstLine="656"/>
        <w:spacing w:after="0" w:line="277" w:lineRule="auto"/>
        <w:tabs>
          <w:tab w:leader="none" w:pos="110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Liens pursuant to the Credit Documents, including, without limitation, Liens related to Cash Collateralizations, Secured Cash Management Agreements, Credit Swap Contracts, and Overdraft Lines;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84" w:right="239" w:bottom="1440" w:gutter="0" w:footer="0" w:header="0"/>
        </w:sectPr>
      </w:pPr>
    </w:p>
    <w:bookmarkStart w:id="342" w:name="page343"/>
    <w:bookmarkEnd w:id="342"/>
    <w:p>
      <w:pPr>
        <w:ind w:left="1040" w:hanging="384"/>
        <w:spacing w:after="0"/>
        <w:tabs>
          <w:tab w:leader="none" w:pos="10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Liens associated with the Wynn Las Vegas Pledge;</w:t>
      </w:r>
    </w:p>
    <w:p>
      <w:pPr>
        <w:spacing w:after="0" w:line="225" w:lineRule="exact"/>
        <w:rPr>
          <w:rFonts w:ascii="Arial" w:cs="Arial" w:eastAsia="Arial" w:hAnsi="Arial"/>
          <w:sz w:val="18"/>
          <w:szCs w:val="18"/>
          <w:color w:val="auto"/>
        </w:rPr>
      </w:pPr>
    </w:p>
    <w:p>
      <w:pPr>
        <w:ind w:firstLine="656"/>
        <w:spacing w:after="0" w:line="277" w:lineRule="auto"/>
        <w:tabs>
          <w:tab w:leader="none" w:pos="1065"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Liens arising under applicable Gaming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Lien constitutes a Lien securing repayment of Indebtedness for borrowed money;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65"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8" w:lineRule="exact"/>
        <w:rPr>
          <w:rFonts w:ascii="Arial" w:cs="Arial" w:eastAsia="Arial" w:hAnsi="Arial"/>
          <w:sz w:val="18"/>
          <w:szCs w:val="18"/>
          <w:color w:val="auto"/>
        </w:rPr>
      </w:pPr>
    </w:p>
    <w:p>
      <w:pPr>
        <w:ind w:firstLine="656"/>
        <w:spacing w:after="0" w:line="277" w:lineRule="auto"/>
        <w:tabs>
          <w:tab w:leader="none" w:pos="1008" w:val="left"/>
        </w:tabs>
        <w:numPr>
          <w:ilvl w:val="1"/>
          <w:numId w:val="377"/>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pursuant to </w:t>
      </w:r>
      <w:r>
        <w:rPr>
          <w:rFonts w:ascii="Arial" w:cs="Arial" w:eastAsia="Arial" w:hAnsi="Arial"/>
          <w:sz w:val="18"/>
          <w:szCs w:val="18"/>
          <w:u w:val="single" w:color="auto"/>
          <w:color w:val="auto"/>
        </w:rPr>
        <w:t>Section 10.01(p)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encumber any Property of Borrower or any Restricted Subsidiary other than any Foreign Subsidiary and Equity Interests in such Foreign Subsidiary;</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Prior Mortgage Liens with respect to the applicable Mortgaged Real Property;</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98" w:val="left"/>
        </w:tabs>
        <w:numPr>
          <w:ilvl w:val="1"/>
          <w:numId w:val="377"/>
        </w:numPr>
        <w:rPr>
          <w:rFonts w:ascii="Arial" w:cs="Arial" w:eastAsia="Arial" w:hAnsi="Arial"/>
          <w:sz w:val="18"/>
          <w:szCs w:val="18"/>
          <w:color w:val="auto"/>
        </w:rPr>
      </w:pPr>
      <w:r>
        <w:rPr>
          <w:rFonts w:ascii="Arial" w:cs="Arial" w:eastAsia="Arial" w:hAnsi="Arial"/>
          <w:sz w:val="18"/>
          <w:szCs w:val="18"/>
          <w:color w:val="auto"/>
        </w:rPr>
        <w:t>Liens on cash and Cash Equivalents (i) deposited to Discharge, redeem, or defease Indebtedness that was permitted to so be repaid or (ii) on any cash and Cash Equivalents held by a trustee under any indenture or other debt agreement issued in escrow pursuant to customary escrow arrangements pending the release thereof;</w:t>
      </w:r>
    </w:p>
    <w:p>
      <w:pPr>
        <w:spacing w:after="0" w:line="181" w:lineRule="exact"/>
        <w:rPr>
          <w:rFonts w:ascii="Arial" w:cs="Arial" w:eastAsia="Arial" w:hAnsi="Arial"/>
          <w:sz w:val="18"/>
          <w:szCs w:val="18"/>
          <w:color w:val="auto"/>
        </w:rPr>
      </w:pPr>
    </w:p>
    <w:p>
      <w:pPr>
        <w:ind w:firstLine="656"/>
        <w:spacing w:after="0" w:line="277" w:lineRule="auto"/>
        <w:tabs>
          <w:tab w:leader="none" w:pos="1119" w:val="left"/>
        </w:tabs>
        <w:numPr>
          <w:ilvl w:val="1"/>
          <w:numId w:val="377"/>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filings regarding operating leases or consignment of goods entered into in the ordinary course of business;</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1"/>
          <w:numId w:val="377"/>
        </w:numPr>
        <w:rPr>
          <w:rFonts w:ascii="Arial" w:cs="Arial" w:eastAsia="Arial" w:hAnsi="Arial"/>
          <w:sz w:val="17"/>
          <w:szCs w:val="17"/>
          <w:color w:val="auto"/>
        </w:rPr>
      </w:pPr>
      <w:r>
        <w:rPr>
          <w:rFonts w:ascii="Arial" w:cs="Arial" w:eastAsia="Arial" w:hAnsi="Arial"/>
          <w:sz w:val="17"/>
          <w:szCs w:val="17"/>
          <w:color w:val="auto"/>
        </w:rPr>
        <w:t xml:space="preserve">Liens on the Collateral securing (i) Permitted First Priority Refinancing Debt and subject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 or</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Permitted Second Priority Refinancing Debt and subject to the Second Lien Intercreditor Agreement (as “Second Priority Liens”);</w:t>
      </w:r>
    </w:p>
    <w:p>
      <w:pPr>
        <w:spacing w:after="0" w:line="210" w:lineRule="exact"/>
        <w:rPr>
          <w:rFonts w:ascii="Arial" w:cs="Arial" w:eastAsia="Arial" w:hAnsi="Arial"/>
          <w:sz w:val="18"/>
          <w:szCs w:val="18"/>
          <w:color w:val="auto"/>
        </w:rPr>
      </w:pPr>
    </w:p>
    <w:p>
      <w:pPr>
        <w:jc w:val="both"/>
        <w:ind w:firstLine="656"/>
        <w:spacing w:after="0" w:line="264" w:lineRule="auto"/>
        <w:tabs>
          <w:tab w:leader="none" w:pos="109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Liens securing Ratio Debt permitted to be secured under </w:t>
      </w:r>
      <w:r>
        <w:rPr>
          <w:rFonts w:ascii="Arial" w:cs="Arial" w:eastAsia="Arial" w:hAnsi="Arial"/>
          <w:sz w:val="18"/>
          <w:szCs w:val="18"/>
          <w:u w:val="single" w:color="auto"/>
          <w:color w:val="auto"/>
        </w:rPr>
        <w:t>Section 10.01(t)</w:t>
      </w:r>
      <w:r>
        <w:rPr>
          <w:rFonts w:ascii="Arial" w:cs="Arial" w:eastAsia="Arial" w:hAnsi="Arial"/>
          <w:sz w:val="18"/>
          <w:szCs w:val="18"/>
          <w:color w:val="auto"/>
        </w:rPr>
        <w:t xml:space="preserve"> and subject to the Pari Passu Intercreditor Agreement or the Second Lien Intercreditor Agreement (in the case of Liens intended to be subordinated to the Liens securing the Obligations, as “Second Priority Liens”), as and to the extent applicable;</w:t>
      </w:r>
    </w:p>
    <w:p>
      <w:pPr>
        <w:spacing w:after="0" w:line="181" w:lineRule="exact"/>
        <w:rPr>
          <w:rFonts w:ascii="Arial" w:cs="Arial" w:eastAsia="Arial" w:hAnsi="Arial"/>
          <w:sz w:val="18"/>
          <w:szCs w:val="18"/>
          <w:color w:val="auto"/>
        </w:rPr>
      </w:pPr>
    </w:p>
    <w:p>
      <w:pPr>
        <w:ind w:firstLine="656"/>
        <w:spacing w:after="0" w:line="308" w:lineRule="auto"/>
        <w:tabs>
          <w:tab w:leader="none" w:pos="1038" w:val="left"/>
        </w:tabs>
        <w:numPr>
          <w:ilvl w:val="1"/>
          <w:numId w:val="378"/>
        </w:numPr>
        <w:rPr>
          <w:rFonts w:ascii="Arial" w:cs="Arial" w:eastAsia="Arial" w:hAnsi="Arial"/>
          <w:sz w:val="17"/>
          <w:szCs w:val="17"/>
          <w:color w:val="auto"/>
        </w:rPr>
      </w:pPr>
      <w:r>
        <w:rPr>
          <w:rFonts w:ascii="Arial" w:cs="Arial" w:eastAsia="Arial" w:hAnsi="Arial"/>
          <w:sz w:val="17"/>
          <w:szCs w:val="17"/>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79"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or Unrestricted Subsidiary, Liens on its Equity Interests securing obligations of such Joint Venture or Unrestricted Subsidiary;</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Liens arising in connection with transactions relating to the selling, factoring or discounting of accounts receivable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ind w:firstLine="656"/>
        <w:spacing w:after="0" w:line="277" w:lineRule="auto"/>
        <w:tabs>
          <w:tab w:leader="none" w:pos="124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licenses, leases or subleases granted to other Persons not materially interfering with the conduct of the business of Borrower and its Subsidiaries taken as a whole;</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licensee or licensor under any lease or license agreement permitted by this Agreement;</w:t>
      </w:r>
    </w:p>
    <w:p>
      <w:pPr>
        <w:spacing w:after="0" w:line="225" w:lineRule="exact"/>
        <w:rPr>
          <w:rFonts w:ascii="Arial" w:cs="Arial" w:eastAsia="Arial" w:hAnsi="Arial"/>
          <w:sz w:val="18"/>
          <w:szCs w:val="18"/>
          <w:color w:val="auto"/>
        </w:rPr>
      </w:pPr>
    </w:p>
    <w:p>
      <w:pPr>
        <w:ind w:firstLine="656"/>
        <w:spacing w:after="0" w:line="277" w:lineRule="auto"/>
        <w:tabs>
          <w:tab w:leader="none" w:pos="112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Liens securing obligations of any Person in respect of employee deferred compensation and benefit plans in connection with “rabbi trusts” or other similar arrangements;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84" w:right="239" w:bottom="1440" w:gutter="0" w:footer="0" w:header="0"/>
        </w:sectPr>
      </w:pPr>
    </w:p>
    <w:bookmarkStart w:id="343" w:name="page344"/>
    <w:bookmarkEnd w:id="343"/>
    <w:p>
      <w:pPr>
        <w:jc w:val="both"/>
        <w:ind w:firstLine="656"/>
        <w:spacing w:after="0" w:line="264" w:lineRule="auto"/>
        <w:tabs>
          <w:tab w:leader="none" w:pos="1385"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trade-related letters of credit, bank guarantees or similar obligations permitted under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covering the property (or the documents of title in respect of such property) financed by such letters of credit, bank guarantees or similar obligations and the proceeds and products thereof;</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2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secures only the obligations of Borrower or such Subsidiaries in respect of such letter of credit, bank guarantee or banker’s acceptance to the extent permitted under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7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Liens arising pursuant to Indebtedness incurred pursuant to </w:t>
      </w:r>
      <w:r>
        <w:rPr>
          <w:rFonts w:ascii="Arial" w:cs="Arial" w:eastAsia="Arial" w:hAnsi="Arial"/>
          <w:sz w:val="18"/>
          <w:szCs w:val="18"/>
          <w:u w:val="single" w:color="auto"/>
          <w:color w:val="auto"/>
        </w:rPr>
        <w:t>Section 10.01(u)</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if such Liens are (or are intended to be) secured by Liens on the Collateral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Liens securing the Obligations, such Liens shall be subject to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and (ii) if such Liens are (or are intended to be) secured by Liens on the Collateral that are junior in priority to the Liens securing the Obligations, such Liens shall be subject to a Second Lien Intercreditor Agreement;</w:t>
      </w:r>
    </w:p>
    <w:p>
      <w:pPr>
        <w:spacing w:after="0" w:line="186" w:lineRule="exact"/>
        <w:rPr>
          <w:rFonts w:ascii="Arial" w:cs="Arial" w:eastAsia="Arial" w:hAnsi="Arial"/>
          <w:sz w:val="18"/>
          <w:szCs w:val="18"/>
          <w:color w:val="auto"/>
        </w:rPr>
      </w:pPr>
    </w:p>
    <w:p>
      <w:pPr>
        <w:ind w:firstLine="656"/>
        <w:spacing w:after="0" w:line="277" w:lineRule="auto"/>
        <w:tabs>
          <w:tab w:leader="none" w:pos="1128" w:val="left"/>
        </w:tabs>
        <w:numPr>
          <w:ilvl w:val="1"/>
          <w:numId w:val="380"/>
        </w:numPr>
        <w:rPr>
          <w:rFonts w:ascii="Arial" w:cs="Arial" w:eastAsia="Arial" w:hAnsi="Arial"/>
          <w:sz w:val="18"/>
          <w:szCs w:val="18"/>
          <w:color w:val="auto"/>
        </w:rPr>
      </w:pPr>
      <w:r>
        <w:rPr>
          <w:rFonts w:ascii="Arial" w:cs="Arial" w:eastAsia="Arial" w:hAnsi="Arial"/>
          <w:sz w:val="18"/>
          <w:szCs w:val="18"/>
          <w:color w:val="auto"/>
        </w:rPr>
        <w:t>Liens on cash and Cash Equivalents on deposit with financial institutions securing obligations to such persons owing under Cash Management Agreements and Overdraft Lines;</w:t>
      </w:r>
    </w:p>
    <w:p>
      <w:pPr>
        <w:spacing w:after="0" w:line="170" w:lineRule="exact"/>
        <w:rPr>
          <w:rFonts w:ascii="Arial" w:cs="Arial" w:eastAsia="Arial" w:hAnsi="Arial"/>
          <w:sz w:val="18"/>
          <w:szCs w:val="18"/>
          <w:color w:val="auto"/>
        </w:rPr>
      </w:pPr>
    </w:p>
    <w:p>
      <w:pPr>
        <w:ind w:firstLine="656"/>
        <w:spacing w:after="0" w:line="277" w:lineRule="auto"/>
        <w:tabs>
          <w:tab w:leader="none" w:pos="1169"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w:t>
      </w:r>
    </w:p>
    <w:p>
      <w:pPr>
        <w:spacing w:after="0" w:line="170" w:lineRule="exact"/>
        <w:rPr>
          <w:rFonts w:ascii="Arial" w:cs="Arial" w:eastAsia="Arial" w:hAnsi="Arial"/>
          <w:sz w:val="18"/>
          <w:szCs w:val="18"/>
          <w:color w:val="auto"/>
        </w:rPr>
      </w:pPr>
    </w:p>
    <w:p>
      <w:pPr>
        <w:ind w:firstLine="656"/>
        <w:spacing w:after="0" w:line="308" w:lineRule="auto"/>
        <w:tabs>
          <w:tab w:leader="none" w:pos="1143" w:val="left"/>
        </w:tabs>
        <w:numPr>
          <w:ilvl w:val="1"/>
          <w:numId w:val="380"/>
        </w:numPr>
        <w:rPr>
          <w:rFonts w:ascii="Arial" w:cs="Arial" w:eastAsia="Arial" w:hAnsi="Arial"/>
          <w:sz w:val="17"/>
          <w:szCs w:val="17"/>
          <w:color w:val="auto"/>
        </w:rPr>
      </w:pPr>
      <w:r>
        <w:rPr>
          <w:rFonts w:ascii="Arial" w:cs="Arial" w:eastAsia="Arial" w:hAnsi="Arial"/>
          <w:sz w:val="17"/>
          <w:szCs w:val="17"/>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46" w:lineRule="exact"/>
        <w:rPr>
          <w:rFonts w:ascii="Arial" w:cs="Arial" w:eastAsia="Arial" w:hAnsi="Arial"/>
          <w:sz w:val="17"/>
          <w:szCs w:val="17"/>
          <w:color w:val="auto"/>
        </w:rPr>
      </w:pPr>
    </w:p>
    <w:p>
      <w:pPr>
        <w:ind w:firstLine="656"/>
        <w:spacing w:after="0" w:line="277" w:lineRule="auto"/>
        <w:tabs>
          <w:tab w:leader="none" w:pos="1156"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pursuant to </w:t>
      </w:r>
      <w:r>
        <w:rPr>
          <w:rFonts w:ascii="Arial" w:cs="Arial" w:eastAsia="Arial" w:hAnsi="Arial"/>
          <w:sz w:val="18"/>
          <w:szCs w:val="18"/>
          <w:u w:val="single" w:color="auto"/>
          <w:color w:val="auto"/>
        </w:rPr>
        <w:t>Section 10.01(aa)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encumber any Property other than Property of any Joint Venture and the Equity Interests in the Joint Venture;</w:t>
      </w:r>
    </w:p>
    <w:p>
      <w:pPr>
        <w:spacing w:after="0" w:line="170" w:lineRule="exact"/>
        <w:rPr>
          <w:rFonts w:ascii="Arial" w:cs="Arial" w:eastAsia="Arial" w:hAnsi="Arial"/>
          <w:sz w:val="18"/>
          <w:szCs w:val="18"/>
          <w:color w:val="auto"/>
        </w:rPr>
      </w:pPr>
    </w:p>
    <w:p>
      <w:pPr>
        <w:ind w:firstLine="656"/>
        <w:spacing w:after="0" w:line="277" w:lineRule="auto"/>
        <w:tabs>
          <w:tab w:leader="none" w:pos="1209" w:val="left"/>
        </w:tabs>
        <w:numPr>
          <w:ilvl w:val="1"/>
          <w:numId w:val="380"/>
        </w:numPr>
        <w:rPr>
          <w:rFonts w:ascii="Arial" w:cs="Arial" w:eastAsia="Arial" w:hAnsi="Arial"/>
          <w:sz w:val="18"/>
          <w:szCs w:val="18"/>
          <w:color w:val="auto"/>
        </w:rPr>
      </w:pPr>
      <w:r>
        <w:rPr>
          <w:rFonts w:ascii="Arial" w:cs="Arial" w:eastAsia="Arial" w:hAnsi="Arial"/>
          <w:sz w:val="18"/>
          <w:szCs w:val="18"/>
          <w:color w:val="auto"/>
        </w:rPr>
        <w:t>Liens securing Indebtedness or other obligations (i) of Borrower or a Restricted Subsidiary in favor of any Credit Party, and (ii) of any Restricted Subsidiary that is not a Credit Party in favor of any Restricted Subsidiary that is not a Credit Party;</w:t>
      </w:r>
    </w:p>
    <w:p>
      <w:pPr>
        <w:spacing w:after="0" w:line="170" w:lineRule="exact"/>
        <w:rPr>
          <w:rFonts w:ascii="Arial" w:cs="Arial" w:eastAsia="Arial" w:hAnsi="Arial"/>
          <w:sz w:val="18"/>
          <w:szCs w:val="18"/>
          <w:color w:val="auto"/>
        </w:rPr>
      </w:pPr>
    </w:p>
    <w:p>
      <w:pPr>
        <w:ind w:right="20" w:firstLine="656"/>
        <w:spacing w:after="0" w:line="277" w:lineRule="auto"/>
        <w:tabs>
          <w:tab w:leader="none" w:pos="1183" w:val="left"/>
        </w:tabs>
        <w:numPr>
          <w:ilvl w:val="1"/>
          <w:numId w:val="380"/>
        </w:numPr>
        <w:rPr>
          <w:rFonts w:ascii="Arial" w:cs="Arial" w:eastAsia="Arial" w:hAnsi="Arial"/>
          <w:sz w:val="18"/>
          <w:szCs w:val="18"/>
          <w:color w:val="auto"/>
        </w:rPr>
      </w:pPr>
      <w:r>
        <w:rPr>
          <w:rFonts w:ascii="Arial" w:cs="Arial" w:eastAsia="Arial" w:hAnsi="Arial"/>
          <w:sz w:val="18"/>
          <w:szCs w:val="18"/>
          <w:color w:val="auto"/>
        </w:rPr>
        <w:t xml:space="preserve">Liens securing insurance premiums financing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are limited to the applicable unearned insurance premiums and proceeds thereof;</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Liens created by the applicable Transfer Agreement; and</w:t>
      </w:r>
    </w:p>
    <w:p>
      <w:pPr>
        <w:spacing w:after="0" w:line="225" w:lineRule="exact"/>
        <w:rPr>
          <w:rFonts w:ascii="Arial" w:cs="Arial" w:eastAsia="Arial" w:hAnsi="Arial"/>
          <w:sz w:val="18"/>
          <w:szCs w:val="18"/>
          <w:color w:val="auto"/>
        </w:rPr>
      </w:pPr>
    </w:p>
    <w:p>
      <w:pPr>
        <w:jc w:val="both"/>
        <w:ind w:firstLine="656"/>
        <w:spacing w:after="0" w:line="285" w:lineRule="auto"/>
        <w:tabs>
          <w:tab w:leader="none" w:pos="1155" w:val="left"/>
        </w:tabs>
        <w:numPr>
          <w:ilvl w:val="1"/>
          <w:numId w:val="380"/>
        </w:numPr>
        <w:rPr>
          <w:rFonts w:ascii="Arial" w:cs="Arial" w:eastAsia="Arial" w:hAnsi="Arial"/>
          <w:sz w:val="16"/>
          <w:szCs w:val="16"/>
          <w:color w:val="auto"/>
        </w:rPr>
      </w:pPr>
      <w:r>
        <w:rPr>
          <w:rFonts w:ascii="Arial" w:cs="Arial" w:eastAsia="Arial" w:hAnsi="Arial"/>
          <w:sz w:val="16"/>
          <w:szCs w:val="16"/>
          <w:color w:val="auto"/>
        </w:rPr>
        <w:t xml:space="preserve">Liens to secure any refinancing, refunding, extension, renewal, or replacement (or successive refinancings, refundings, extensions, renewals, or replacements) as a whole, or in part, of any Indebtedness secured by any Lien permitted by this </w:t>
      </w:r>
      <w:r>
        <w:rPr>
          <w:rFonts w:ascii="Arial" w:cs="Arial" w:eastAsia="Arial" w:hAnsi="Arial"/>
          <w:sz w:val="16"/>
          <w:szCs w:val="16"/>
          <w:u w:val="single" w:color="auto"/>
          <w:color w:val="auto"/>
        </w:rPr>
        <w:t>Section 10.02</w:t>
      </w:r>
      <w:r>
        <w:rPr>
          <w:rFonts w:ascii="Arial" w:cs="Arial" w:eastAsia="Arial" w:hAnsi="Arial"/>
          <w:sz w:val="16"/>
          <w:szCs w:val="16"/>
          <w:color w:val="auto"/>
        </w:rPr>
        <w:t>; provided, however, that (x) such new Lien shall be limited to all or part of the same type of property that secured the original Lien (plus improvements on and accessions to such property, proceeds and products thereof, customary security deposits and any other assets pursuant to after-acquired property clauses to the extent such assets secured (or would have secured) the Indebtedness being refinanced), (y) the Indebtedness secured by such Lien at such time is not increased to any amount greater than the sum of</w:t>
      </w:r>
    </w:p>
    <w:p>
      <w:pPr>
        <w:spacing w:after="0" w:line="2" w:lineRule="exact"/>
        <w:rPr>
          <w:rFonts w:ascii="Arial" w:cs="Arial" w:eastAsia="Arial" w:hAnsi="Arial"/>
          <w:sz w:val="16"/>
          <w:szCs w:val="16"/>
          <w:color w:val="auto"/>
        </w:rPr>
      </w:pPr>
    </w:p>
    <w:p>
      <w:pPr>
        <w:jc w:val="both"/>
        <w:ind w:firstLine="8"/>
        <w:spacing w:after="0" w:line="271" w:lineRule="auto"/>
        <w:tabs>
          <w:tab w:leader="none" w:pos="29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 xml:space="preserve">the outstanding principal amount (or accreted value, if applicable) of such Indebtedness or, if greater, committed amount of the applicable Indebtedness at the time the original Lien became a Lien permitted hereunder and (B) any unpaid accrued interest and premium (including tender premiums) thereon and an amount necessary to pay associated underwriting discounts, defeasance costs, fees, commissions and expenses related to such refinancing, refunding, extension, renewal or replacement, and (z) Indebtedness secured by Liens ranking junior to the Liens securing the Obligations may not be refinanced pursuant to this clause (nn) with Liens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Liens securing the Obligations.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584" w:right="239" w:bottom="1440" w:gutter="0" w:footer="0" w:header="0"/>
        </w:sectPr>
      </w:pPr>
    </w:p>
    <w:bookmarkStart w:id="344" w:name="page345"/>
    <w:bookmarkEnd w:id="344"/>
    <w:p>
      <w:pPr>
        <w:jc w:val="both"/>
        <w:ind w:firstLine="648"/>
        <w:spacing w:after="0" w:line="257" w:lineRule="auto"/>
        <w:rPr>
          <w:sz w:val="20"/>
          <w:szCs w:val="20"/>
          <w:color w:val="auto"/>
        </w:rPr>
      </w:pPr>
      <w:r>
        <w:rPr>
          <w:rFonts w:ascii="Arial" w:cs="Arial" w:eastAsia="Arial" w:hAnsi="Arial"/>
          <w:sz w:val="18"/>
          <w:szCs w:val="18"/>
          <w:color w:val="auto"/>
        </w:rPr>
        <w:t xml:space="preserve">In connection with the granting of Liens of the types described in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by Borrower of any of its Restricted Subsidiaries, Administrative Agent and Collateral Agent shall be authorized to take any actions deemed appropriate by it in connection therewith (including, without limitation, by entering into or amending appropriate lien subordination, non-disturbance, attornment, or intercreditor agreements).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8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7"/>
          <w:szCs w:val="17"/>
          <w:b w:val="1"/>
          <w:bCs w:val="1"/>
          <w:color w:val="auto"/>
        </w:rPr>
        <w:t>Investments, Loans and Advances</w:t>
      </w:r>
      <w:r>
        <w:rPr>
          <w:rFonts w:ascii="Arial" w:cs="Arial" w:eastAsia="Arial" w:hAnsi="Arial"/>
          <w:sz w:val="17"/>
          <w:szCs w:val="17"/>
          <w:color w:val="auto"/>
        </w:rPr>
        <w:t>. Neither Borrower nor any Restricted Subsidiary will, directly or indirectly,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 except for the following:</w:t>
      </w:r>
    </w:p>
    <w:p>
      <w:pPr>
        <w:spacing w:after="0" w:line="211" w:lineRule="exact"/>
        <w:rPr>
          <w:sz w:val="20"/>
          <w:szCs w:val="20"/>
          <w:color w:val="auto"/>
        </w:rPr>
      </w:pPr>
    </w:p>
    <w:p>
      <w:pPr>
        <w:jc w:val="both"/>
        <w:ind w:right="20" w:firstLine="656"/>
        <w:spacing w:after="0" w:line="312" w:lineRule="auto"/>
        <w:tabs>
          <w:tab w:leader="none" w:pos="1041" w:val="left"/>
        </w:tabs>
        <w:numPr>
          <w:ilvl w:val="1"/>
          <w:numId w:val="382"/>
        </w:numPr>
        <w:rPr>
          <w:rFonts w:ascii="Arial" w:cs="Arial" w:eastAsia="Arial" w:hAnsi="Arial"/>
          <w:sz w:val="16"/>
          <w:szCs w:val="16"/>
          <w:color w:val="auto"/>
        </w:rPr>
      </w:pPr>
      <w:r>
        <w:rPr>
          <w:rFonts w:ascii="Arial" w:cs="Arial" w:eastAsia="Arial" w:hAnsi="Arial"/>
          <w:sz w:val="16"/>
          <w:szCs w:val="16"/>
          <w:color w:val="auto"/>
        </w:rPr>
        <w:t xml:space="preserve">(i) Investments in connection with the Wynn Group Reorganization and (ii) Investments committed or outstanding on the Closing Date (and to the extent in excess of $2.5 million individually, identified on </w:t>
      </w:r>
      <w:r>
        <w:rPr>
          <w:rFonts w:ascii="Arial" w:cs="Arial" w:eastAsia="Arial" w:hAnsi="Arial"/>
          <w:sz w:val="16"/>
          <w:szCs w:val="16"/>
          <w:u w:val="single" w:color="auto"/>
          <w:color w:val="auto"/>
        </w:rPr>
        <w:t>Schedule 10.04</w:t>
      </w:r>
      <w:r>
        <w:rPr>
          <w:rFonts w:ascii="Arial" w:cs="Arial" w:eastAsia="Arial" w:hAnsi="Arial"/>
          <w:sz w:val="16"/>
          <w:szCs w:val="16"/>
          <w:color w:val="auto"/>
        </w:rPr>
        <w:t>), any extensions, renewals, or reinvestments thereof, and any Investments received in respect thereof without the payment of additional consideration (other than through the issuance of or exchange of Qualified Capital Stock);</w:t>
      </w:r>
    </w:p>
    <w:p>
      <w:pPr>
        <w:spacing w:after="0" w:line="146" w:lineRule="exact"/>
        <w:rPr>
          <w:rFonts w:ascii="Arial" w:cs="Arial" w:eastAsia="Arial" w:hAnsi="Arial"/>
          <w:sz w:val="16"/>
          <w:szCs w:val="16"/>
          <w:color w:val="auto"/>
        </w:rPr>
      </w:pPr>
    </w:p>
    <w:p>
      <w:pPr>
        <w:ind w:left="1040" w:hanging="384"/>
        <w:spacing w:after="0"/>
        <w:tabs>
          <w:tab w:leader="none" w:pos="10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Investments in cash and Cash Equivalents (including Investments that were Cash Equivalents when made);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 xml:space="preserve">Borrower may enter into Swap Contracts to the extent permitted by </w:t>
      </w:r>
      <w:r>
        <w:rPr>
          <w:rFonts w:ascii="Arial" w:cs="Arial" w:eastAsia="Arial" w:hAnsi="Arial"/>
          <w:sz w:val="18"/>
          <w:szCs w:val="18"/>
          <w:u w:val="single" w:color="auto"/>
          <w:color w:val="auto"/>
        </w:rPr>
        <w:t>Section 10.01(c)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1"/>
          <w:numId w:val="382"/>
        </w:numPr>
        <w:rPr>
          <w:rFonts w:ascii="Arial" w:cs="Arial" w:eastAsia="Arial" w:hAnsi="Arial"/>
          <w:sz w:val="16"/>
          <w:szCs w:val="16"/>
          <w:color w:val="auto"/>
        </w:rPr>
      </w:pPr>
      <w:r>
        <w:rPr>
          <w:rFonts w:ascii="Arial" w:cs="Arial" w:eastAsia="Arial" w:hAnsi="Arial"/>
          <w:sz w:val="16"/>
          <w:szCs w:val="16"/>
          <w:color w:val="auto"/>
        </w:rPr>
        <w:t>Investments (i) by Borrower in any Restricted Subsidiary or Joint Venture, (ii) by any Restricted Subsidiary or Joint Venture in Borrower, and</w:t>
      </w:r>
    </w:p>
    <w:p>
      <w:pPr>
        <w:spacing w:after="0" w:line="46" w:lineRule="exact"/>
        <w:rPr>
          <w:rFonts w:ascii="Arial" w:cs="Arial" w:eastAsia="Arial" w:hAnsi="Arial"/>
          <w:sz w:val="16"/>
          <w:szCs w:val="16"/>
          <w:color w:val="auto"/>
        </w:rPr>
      </w:pPr>
    </w:p>
    <w:p>
      <w:pPr>
        <w:jc w:val="both"/>
        <w:ind w:firstLine="8"/>
        <w:spacing w:after="0" w:line="253" w:lineRule="auto"/>
        <w:tabs>
          <w:tab w:leader="none" w:pos="31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 xml:space="preserve">by a Restricted Subsidiary or Joint Venture in another Restricted Subsidiary or Joint Venture;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any intercompany loan (it being understood and agreed that intercompany receivables, liabilities, or advances made in the ordinary course of business, including for cash management, tax, and accounting operations,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91" w:lineRule="exact"/>
        <w:rPr>
          <w:rFonts w:ascii="Arial" w:cs="Arial" w:eastAsia="Arial" w:hAnsi="Arial"/>
          <w:sz w:val="18"/>
          <w:szCs w:val="18"/>
          <w:color w:val="auto"/>
        </w:rPr>
      </w:pPr>
    </w:p>
    <w:p>
      <w:pPr>
        <w:ind w:left="1040" w:hanging="384"/>
        <w:spacing w:after="0"/>
        <w:tabs>
          <w:tab w:leader="none" w:pos="104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Borrower and its Restricted Subsidiaries may sell or transfer assets to the extent permitted by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6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or suppliers received pursuant to any plan of reorganization or similar arrangement upon the bankruptcy or insolvency of such trade creditors or customers or suppliers or in settlement of delinquent or overdue accounts in the ordinary course of business or Investments acquired by Borrower as a result of a foreclosure by Borrower or any of its Subsidiaries with respect to any secured Investments or other transfer of title with respect to any secured Investment in default;</w:t>
      </w:r>
    </w:p>
    <w:p>
      <w:pPr>
        <w:spacing w:after="0" w:line="186" w:lineRule="exact"/>
        <w:rPr>
          <w:rFonts w:ascii="Arial" w:cs="Arial" w:eastAsia="Arial" w:hAnsi="Arial"/>
          <w:sz w:val="18"/>
          <w:szCs w:val="18"/>
          <w:color w:val="auto"/>
        </w:rPr>
      </w:pPr>
    </w:p>
    <w:p>
      <w:pPr>
        <w:ind w:right="20" w:firstLine="656"/>
        <w:spacing w:after="0" w:line="277" w:lineRule="auto"/>
        <w:tabs>
          <w:tab w:leader="none" w:pos="105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Investments made by Borrower or any Restricted Subsidiary with, or as a result of, consideration received in connection with an Asset Sale or other disposition made in compliance with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07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Investments made to officers, directors and employees in the ordinary course of business not to exceed $20.0 million in the aggregate at any time outstanding;</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firstLine="656"/>
        <w:spacing w:after="0" w:line="277" w:lineRule="auto"/>
        <w:tabs>
          <w:tab w:leader="none" w:pos="105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accounts receivable, security deposits, prepayments (including prepayments of expenses), credits and extensions of trade credit (including to gaming customers) in the ordinary course of business;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 xml:space="preserve">Investments resulting from pledges and deposits permitted under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85" w:right="239" w:bottom="1440" w:gutter="0" w:footer="0" w:header="0"/>
        </w:sectPr>
      </w:pPr>
    </w:p>
    <w:bookmarkStart w:id="345" w:name="page346"/>
    <w:bookmarkEnd w:id="345"/>
    <w:p>
      <w:pPr>
        <w:jc w:val="both"/>
        <w:ind w:firstLine="656"/>
        <w:spacing w:after="0" w:line="255" w:lineRule="auto"/>
        <w:tabs>
          <w:tab w:leader="none" w:pos="103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permitted by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Investments by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amount of such Investments to be made pursuant to this </w:t>
      </w:r>
      <w:r>
        <w:rPr>
          <w:rFonts w:ascii="Arial" w:cs="Arial" w:eastAsia="Arial" w:hAnsi="Arial"/>
          <w:sz w:val="18"/>
          <w:szCs w:val="18"/>
          <w:u w:val="single" w:color="auto"/>
          <w:color w:val="auto"/>
        </w:rPr>
        <w:t>Section 10.04(l)</w:t>
      </w:r>
      <w:r>
        <w:rPr>
          <w:rFonts w:ascii="Arial" w:cs="Arial" w:eastAsia="Arial" w:hAnsi="Arial"/>
          <w:sz w:val="18"/>
          <w:szCs w:val="18"/>
          <w:color w:val="auto"/>
        </w:rPr>
        <w:t xml:space="preserve"> do not exceed the Available Amount determined at the time such Investment is made and (ii) immediately before and after giving effect thereto, no Event of Default has occurred and is continuing;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89" w:lineRule="exact"/>
        <w:rPr>
          <w:rFonts w:ascii="Arial" w:cs="Arial" w:eastAsia="Arial" w:hAnsi="Arial"/>
          <w:sz w:val="18"/>
          <w:szCs w:val="18"/>
          <w:color w:val="auto"/>
        </w:rPr>
      </w:pPr>
    </w:p>
    <w:p>
      <w:pPr>
        <w:ind w:left="1100" w:hanging="444"/>
        <w:spacing w:after="0"/>
        <w:tabs>
          <w:tab w:leader="none" w:pos="11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Wynn Las Vegas Convention Center Acquisition;</w:t>
      </w:r>
    </w:p>
    <w:p>
      <w:pPr>
        <w:spacing w:after="0" w:line="225" w:lineRule="exact"/>
        <w:rPr>
          <w:rFonts w:ascii="Arial" w:cs="Arial" w:eastAsia="Arial" w:hAnsi="Arial"/>
          <w:sz w:val="18"/>
          <w:szCs w:val="18"/>
          <w:color w:val="auto"/>
        </w:rPr>
      </w:pPr>
    </w:p>
    <w:p>
      <w:pPr>
        <w:ind w:firstLine="656"/>
        <w:spacing w:after="0" w:line="308" w:lineRule="auto"/>
        <w:tabs>
          <w:tab w:leader="none" w:pos="1038" w:val="left"/>
        </w:tabs>
        <w:numPr>
          <w:ilvl w:val="0"/>
          <w:numId w:val="384"/>
        </w:numPr>
        <w:rPr>
          <w:rFonts w:ascii="Arial" w:cs="Arial" w:eastAsia="Arial" w:hAnsi="Arial"/>
          <w:sz w:val="17"/>
          <w:szCs w:val="17"/>
          <w:color w:val="auto"/>
        </w:rPr>
      </w:pPr>
      <w:r>
        <w:rPr>
          <w:rFonts w:ascii="Arial" w:cs="Arial" w:eastAsia="Arial" w:hAnsi="Arial"/>
          <w:sz w:val="17"/>
          <w:szCs w:val="17"/>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46" w:lineRule="exact"/>
        <w:rPr>
          <w:rFonts w:ascii="Arial" w:cs="Arial" w:eastAsia="Arial" w:hAnsi="Arial"/>
          <w:sz w:val="17"/>
          <w:szCs w:val="17"/>
          <w:color w:val="auto"/>
        </w:rPr>
      </w:pPr>
    </w:p>
    <w:p>
      <w:pPr>
        <w:jc w:val="both"/>
        <w:ind w:firstLine="656"/>
        <w:spacing w:after="0" w:line="312" w:lineRule="auto"/>
        <w:tabs>
          <w:tab w:leader="none" w:pos="111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committed or in existence on the date of such acquisition, merger or consolidation;</w:t>
      </w:r>
    </w:p>
    <w:p>
      <w:pPr>
        <w:spacing w:after="0" w:line="146" w:lineRule="exact"/>
        <w:rPr>
          <w:rFonts w:ascii="Arial" w:cs="Arial" w:eastAsia="Arial" w:hAnsi="Arial"/>
          <w:sz w:val="16"/>
          <w:szCs w:val="16"/>
          <w:color w:val="auto"/>
        </w:rPr>
      </w:pPr>
    </w:p>
    <w:p>
      <w:pPr>
        <w:ind w:left="1040" w:hanging="384"/>
        <w:spacing w:after="0"/>
        <w:tabs>
          <w:tab w:leader="none" w:pos="104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Investments in the nature of pledges or deposits with respect to leases or utilities provided to third parties in the ordinary course of business;</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05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Investments in Unrestricted Subsidiaries in an amount as of the time of incurrence not to exceed $150.0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6" w:lineRule="exact"/>
        <w:rPr>
          <w:rFonts w:ascii="Arial" w:cs="Arial" w:eastAsia="Arial" w:hAnsi="Arial"/>
          <w:sz w:val="18"/>
          <w:szCs w:val="18"/>
          <w:color w:val="auto"/>
        </w:rPr>
      </w:pPr>
    </w:p>
    <w:p>
      <w:pPr>
        <w:ind w:left="1020" w:hanging="364"/>
        <w:spacing w:after="0"/>
        <w:tabs>
          <w:tab w:leader="none" w:pos="102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occurrence of a Reverse Trigger Event under any applicable Transfer Agreement;</w:t>
      </w:r>
    </w:p>
    <w:p>
      <w:pPr>
        <w:spacing w:after="0" w:line="225" w:lineRule="exact"/>
        <w:rPr>
          <w:rFonts w:ascii="Arial" w:cs="Arial" w:eastAsia="Arial" w:hAnsi="Arial"/>
          <w:sz w:val="18"/>
          <w:szCs w:val="18"/>
          <w:color w:val="auto"/>
        </w:rPr>
      </w:pPr>
    </w:p>
    <w:p>
      <w:pPr>
        <w:jc w:val="both"/>
        <w:ind w:firstLine="656"/>
        <w:spacing w:after="0" w:line="297" w:lineRule="auto"/>
        <w:tabs>
          <w:tab w:leader="none" w:pos="1018"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Borrower and its Restricted Subsidiaries may make additional Investments in an aggregate amount not in excess of an amount equal to $1,000.0 million (plus the Specified 10.04(s) Investment Returns received on or prior to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(s) for so long as such person continues to be a Restricted Subsidiary of Borrower;</w:t>
      </w:r>
    </w:p>
    <w:p>
      <w:pPr>
        <w:spacing w:after="0" w:line="158" w:lineRule="exact"/>
        <w:rPr>
          <w:rFonts w:ascii="Arial" w:cs="Arial" w:eastAsia="Arial" w:hAnsi="Arial"/>
          <w:sz w:val="16"/>
          <w:szCs w:val="16"/>
          <w:color w:val="auto"/>
        </w:rPr>
      </w:pPr>
    </w:p>
    <w:p>
      <w:pPr>
        <w:ind w:firstLine="656"/>
        <w:spacing w:after="0" w:line="277" w:lineRule="auto"/>
        <w:tabs>
          <w:tab w:leader="none" w:pos="99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with (or such Investments are received substantially contemporaneously in exchange for or are funded with the proceeds of) Qualified Capital Stock of Borrower or any parent entity of Borrower;</w:t>
      </w:r>
    </w:p>
    <w:p>
      <w:pPr>
        <w:spacing w:after="0" w:line="170" w:lineRule="exact"/>
        <w:rPr>
          <w:rFonts w:ascii="Arial" w:cs="Arial" w:eastAsia="Arial" w:hAnsi="Arial"/>
          <w:sz w:val="18"/>
          <w:szCs w:val="18"/>
          <w:color w:val="auto"/>
        </w:rPr>
      </w:pPr>
    </w:p>
    <w:p>
      <w:pPr>
        <w:ind w:firstLine="656"/>
        <w:spacing w:after="0" w:line="277" w:lineRule="auto"/>
        <w:tabs>
          <w:tab w:leader="none" w:pos="107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70" w:lineRule="exact"/>
        <w:rPr>
          <w:rFonts w:ascii="Arial" w:cs="Arial" w:eastAsia="Arial" w:hAnsi="Arial"/>
          <w:sz w:val="18"/>
          <w:szCs w:val="18"/>
          <w:color w:val="auto"/>
        </w:rPr>
      </w:pPr>
    </w:p>
    <w:p>
      <w:pPr>
        <w:ind w:firstLine="656"/>
        <w:spacing w:after="0" w:line="277" w:lineRule="auto"/>
        <w:tabs>
          <w:tab w:leader="none" w:pos="1092" w:val="left"/>
        </w:tabs>
        <w:numPr>
          <w:ilvl w:val="0"/>
          <w:numId w:val="384"/>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or other arrangements with other persons in the ordinary course of business; and</w:t>
      </w:r>
    </w:p>
    <w:p>
      <w:pPr>
        <w:spacing w:after="0" w:line="170" w:lineRule="exact"/>
        <w:rPr>
          <w:rFonts w:ascii="Arial" w:cs="Arial" w:eastAsia="Arial" w:hAnsi="Arial"/>
          <w:sz w:val="18"/>
          <w:szCs w:val="18"/>
          <w:color w:val="auto"/>
        </w:rPr>
      </w:pPr>
    </w:p>
    <w:p>
      <w:pPr>
        <w:ind w:left="1080" w:hanging="424"/>
        <w:spacing w:after="0"/>
        <w:tabs>
          <w:tab w:leader="none" w:pos="10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584" w:right="239" w:bottom="1440" w:gutter="0" w:footer="0" w:header="0"/>
        </w:sectPr>
      </w:pPr>
    </w:p>
    <w:bookmarkStart w:id="346" w:name="page347"/>
    <w:bookmarkEnd w:id="346"/>
    <w:p>
      <w:pPr>
        <w:jc w:val="both"/>
        <w:ind w:firstLine="656"/>
        <w:spacing w:after="0" w:line="255" w:lineRule="auto"/>
        <w:tabs>
          <w:tab w:leader="none" w:pos="1079"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Borrower and its Restricted Subsidiaries may make Investments in an aggregate amount not in excess of an amount equal to the Initial Base Restricted 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w:t>
      </w:r>
    </w:p>
    <w:p>
      <w:pPr>
        <w:spacing w:after="0" w:line="189" w:lineRule="exact"/>
        <w:rPr>
          <w:rFonts w:ascii="Arial" w:cs="Arial" w:eastAsia="Arial" w:hAnsi="Arial"/>
          <w:sz w:val="18"/>
          <w:szCs w:val="18"/>
          <w:color w:val="auto"/>
        </w:rPr>
      </w:pPr>
    </w:p>
    <w:p>
      <w:pPr>
        <w:jc w:val="both"/>
        <w:ind w:firstLine="656"/>
        <w:spacing w:after="0" w:line="273" w:lineRule="auto"/>
        <w:tabs>
          <w:tab w:leader="none" w:pos="1065" w:val="left"/>
        </w:tabs>
        <w:numPr>
          <w:ilvl w:val="0"/>
          <w:numId w:val="385"/>
        </w:numPr>
        <w:rPr>
          <w:rFonts w:ascii="Arial" w:cs="Arial" w:eastAsia="Arial" w:hAnsi="Arial"/>
          <w:sz w:val="17"/>
          <w:szCs w:val="17"/>
          <w:color w:val="auto"/>
        </w:rPr>
      </w:pPr>
      <w:r>
        <w:rPr>
          <w:rFonts w:ascii="Arial" w:cs="Arial" w:eastAsia="Arial" w:hAnsi="Arial"/>
          <w:sz w:val="17"/>
          <w:szCs w:val="17"/>
          <w:color w:val="auto"/>
        </w:rPr>
        <w:t xml:space="preserve">in addition to Investments otherwise permitted by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Investments by Borrower or any of its Restricted Subsidiaries; provided that the amount of such Investments to be made pursuant to this </w:t>
      </w:r>
      <w:r>
        <w:rPr>
          <w:rFonts w:ascii="Arial" w:cs="Arial" w:eastAsia="Arial" w:hAnsi="Arial"/>
          <w:sz w:val="17"/>
          <w:szCs w:val="17"/>
          <w:u w:val="single" w:color="auto"/>
          <w:color w:val="auto"/>
        </w:rPr>
        <w:t>Section 10.04(y)</w:t>
      </w:r>
      <w:r>
        <w:rPr>
          <w:rFonts w:ascii="Arial" w:cs="Arial" w:eastAsia="Arial" w:hAnsi="Arial"/>
          <w:sz w:val="17"/>
          <w:szCs w:val="17"/>
          <w:color w:val="auto"/>
        </w:rPr>
        <w:t xml:space="preserve"> do not exceed the Available Equity Amount determined at the time such Investment is made; provided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78" w:lineRule="exact"/>
        <w:rPr>
          <w:rFonts w:ascii="Arial" w:cs="Arial" w:eastAsia="Arial" w:hAnsi="Arial"/>
          <w:sz w:val="17"/>
          <w:szCs w:val="17"/>
          <w:color w:val="auto"/>
        </w:rPr>
      </w:pPr>
    </w:p>
    <w:p>
      <w:pPr>
        <w:jc w:val="both"/>
        <w:ind w:firstLine="656"/>
        <w:spacing w:after="0" w:line="272" w:lineRule="auto"/>
        <w:tabs>
          <w:tab w:leader="none" w:pos="1068" w:val="left"/>
        </w:tabs>
        <w:numPr>
          <w:ilvl w:val="0"/>
          <w:numId w:val="385"/>
        </w:numPr>
        <w:rPr>
          <w:rFonts w:ascii="Arial" w:cs="Arial" w:eastAsia="Arial" w:hAnsi="Arial"/>
          <w:sz w:val="17"/>
          <w:szCs w:val="17"/>
          <w:color w:val="auto"/>
        </w:rPr>
      </w:pPr>
      <w:r>
        <w:rPr>
          <w:rFonts w:ascii="Arial" w:cs="Arial" w:eastAsia="Arial" w:hAnsi="Arial"/>
          <w:sz w:val="17"/>
          <w:szCs w:val="17"/>
          <w:color w:val="auto"/>
        </w:rPr>
        <w:t>Borrower and its Restricted Subsidiaries may make Investments in an aggregate amount not in excess of an amount equal to the Initial Base Junior Financing Prepayments Amount on such date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provided that if any Investment pursuant to this clause (z)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(z) for so long as such person continues to be a Subsidiary of Borrower;</w:t>
      </w:r>
    </w:p>
    <w:p>
      <w:pPr>
        <w:spacing w:after="0" w:line="178" w:lineRule="exact"/>
        <w:rPr>
          <w:sz w:val="20"/>
          <w:szCs w:val="20"/>
          <w:color w:val="auto"/>
        </w:rPr>
      </w:pPr>
    </w:p>
    <w:p>
      <w:pPr>
        <w:ind w:firstLine="656"/>
        <w:spacing w:after="0" w:line="308" w:lineRule="auto"/>
        <w:tabs>
          <w:tab w:leader="none" w:pos="1108" w:val="left"/>
        </w:tabs>
        <w:numPr>
          <w:ilvl w:val="0"/>
          <w:numId w:val="386"/>
        </w:numPr>
        <w:rPr>
          <w:rFonts w:ascii="Arial" w:cs="Arial" w:eastAsia="Arial" w:hAnsi="Arial"/>
          <w:sz w:val="17"/>
          <w:szCs w:val="17"/>
          <w:color w:val="auto"/>
        </w:rPr>
      </w:pPr>
      <w:r>
        <w:rPr>
          <w:rFonts w:ascii="Arial" w:cs="Arial" w:eastAsia="Arial" w:hAnsi="Arial"/>
          <w:sz w:val="17"/>
          <w:szCs w:val="17"/>
          <w:color w:val="auto"/>
        </w:rPr>
        <w:t>Guarantees by Borrower or any Restricted Subsidiary of operating leases (other than Capital Lease Obligations) or of other obligations that do not constitute Indebtedness, in each case entered into by Borrower or any Subsidiary in the ordinary course of business;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25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additional Investments so long as, at the time such Investment is made and after giving effect thereto, (i) no Event of Default under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xml:space="preserve"> has occurred and is continuing and (ii) the Consolidated Total Net Leverage Ratio will not exceed 6.00:1.00 calculated on a Pro Forma Basis as of the most recent Calculation Date.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Any Investment in any person other than a Restricted Subsidiary that is otherwise permitted by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10.05. Mergers, Consolidations and Sales of Assets</w:t>
      </w:r>
      <w:r>
        <w:rPr>
          <w:rFonts w:ascii="Arial" w:cs="Arial" w:eastAsia="Arial" w:hAnsi="Arial"/>
          <w:sz w:val="18"/>
          <w:szCs w:val="18"/>
          <w:color w:val="auto"/>
        </w:rPr>
        <w:t>. Neither Borrower nor any Restricted Subsidiary will wind up, liquidate or</w:t>
      </w:r>
      <w:r>
        <w:rPr>
          <w:rFonts w:ascii="Arial" w:cs="Arial" w:eastAsia="Arial" w:hAnsi="Arial"/>
          <w:sz w:val="18"/>
          <w:szCs w:val="18"/>
          <w:b w:val="1"/>
          <w:bCs w:val="1"/>
          <w:color w:val="auto"/>
        </w:rPr>
        <w:t xml:space="preserve"> </w:t>
      </w:r>
      <w:r>
        <w:rPr>
          <w:rFonts w:ascii="Arial" w:cs="Arial" w:eastAsia="Arial" w:hAnsi="Arial"/>
          <w:sz w:val="18"/>
          <w:szCs w:val="18"/>
          <w:color w:val="auto"/>
        </w:rPr>
        <w:t>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any substantial part of its business, property or assets, except for:</w:t>
      </w:r>
    </w:p>
    <w:p>
      <w:pPr>
        <w:spacing w:after="0" w:line="184" w:lineRule="exact"/>
        <w:rPr>
          <w:sz w:val="20"/>
          <w:szCs w:val="20"/>
          <w:color w:val="auto"/>
        </w:rPr>
      </w:pPr>
    </w:p>
    <w:p>
      <w:pPr>
        <w:ind w:left="1100" w:hanging="444"/>
        <w:spacing w:after="0"/>
        <w:tabs>
          <w:tab w:leader="none" w:pos="110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expenditures constituting Capital Expenditures, Expansion Capital Expenditures and Development Expenses by Borrower and the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584" w:right="239" w:bottom="1440" w:gutter="0" w:footer="0" w:header="0"/>
        </w:sectPr>
      </w:pPr>
    </w:p>
    <w:bookmarkStart w:id="347" w:name="page348"/>
    <w:bookmarkEnd w:id="347"/>
    <w:p>
      <w:pPr>
        <w:jc w:val="both"/>
        <w:ind w:firstLine="656"/>
        <w:spacing w:after="0" w:line="302" w:lineRule="auto"/>
        <w:tabs>
          <w:tab w:leader="none" w:pos="1052" w:val="left"/>
        </w:tabs>
        <w:numPr>
          <w:ilvl w:val="1"/>
          <w:numId w:val="388"/>
        </w:numPr>
        <w:rPr>
          <w:rFonts w:ascii="Arial" w:cs="Arial" w:eastAsia="Arial" w:hAnsi="Arial"/>
          <w:sz w:val="16"/>
          <w:szCs w:val="16"/>
          <w:color w:val="auto"/>
        </w:rPr>
      </w:pPr>
      <w:r>
        <w:rPr>
          <w:rFonts w:ascii="Arial" w:cs="Arial" w:eastAsia="Arial" w:hAnsi="Arial"/>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154" w:lineRule="exact"/>
        <w:rPr>
          <w:rFonts w:ascii="Arial" w:cs="Arial" w:eastAsia="Arial" w:hAnsi="Arial"/>
          <w:sz w:val="16"/>
          <w:szCs w:val="16"/>
          <w:color w:val="auto"/>
        </w:rPr>
      </w:pPr>
    </w:p>
    <w:p>
      <w:pPr>
        <w:jc w:val="both"/>
        <w:ind w:firstLine="656"/>
        <w:spacing w:after="0" w:line="291" w:lineRule="auto"/>
        <w:tabs>
          <w:tab w:leader="none" w:pos="1028" w:val="left"/>
        </w:tabs>
        <w:numPr>
          <w:ilvl w:val="1"/>
          <w:numId w:val="388"/>
        </w:numPr>
        <w:rPr>
          <w:rFonts w:ascii="Arial" w:cs="Arial" w:eastAsia="Arial" w:hAnsi="Arial"/>
          <w:sz w:val="16"/>
          <w:szCs w:val="16"/>
          <w:color w:val="auto"/>
        </w:rPr>
      </w:pPr>
      <w:r>
        <w:rPr>
          <w:rFonts w:ascii="Arial" w:cs="Arial" w:eastAsia="Arial" w:hAnsi="Arial"/>
          <w:sz w:val="16"/>
          <w:szCs w:val="16"/>
          <w:color w:val="auto"/>
        </w:rPr>
        <w:t xml:space="preserve">Asset Sales by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the time of such Asset Sale (or, at Borrower’s election, at the time of entering into a binding contractual obligation or letter of intent with respect to such Asset Sale), no Event of Default then exists or would arise therefrom,</w:t>
      </w:r>
    </w:p>
    <w:p>
      <w:pPr>
        <w:ind w:left="300" w:hanging="292"/>
        <w:spacing w:after="0"/>
        <w:tabs>
          <w:tab w:leader="none" w:pos="30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Borrower or any of its Restricted Subsidiaries shall receive not less than 75% of such consideration in the form of (x) cash or Cash Equivalents or</w:t>
      </w:r>
    </w:p>
    <w:p>
      <w:pPr>
        <w:spacing w:after="0" w:line="20" w:lineRule="exact"/>
        <w:rPr>
          <w:rFonts w:ascii="Arial" w:cs="Arial" w:eastAsia="Arial" w:hAnsi="Arial"/>
          <w:sz w:val="17"/>
          <w:szCs w:val="17"/>
          <w:color w:val="auto"/>
        </w:rPr>
      </w:pPr>
    </w:p>
    <w:p>
      <w:pPr>
        <w:jc w:val="both"/>
        <w:ind w:firstLine="8"/>
        <w:spacing w:after="0" w:line="286" w:lineRule="auto"/>
        <w:tabs>
          <w:tab w:leader="none" w:pos="27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Borrower and all of its Restricted Subsidiaries shall have been validly released by all applicable creditors in writing, (B) any securities received by Borrower or such Restricted Subsidiary from such transferee that are converted by Borrower or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$150.0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w:t>
      </w:r>
      <w:r>
        <w:rPr>
          <w:rFonts w:ascii="Arial" w:cs="Arial" w:eastAsia="Arial" w:hAnsi="Arial"/>
          <w:sz w:val="16"/>
          <w:szCs w:val="16"/>
          <w:u w:val="single" w:color="auto"/>
          <w:color w:val="auto"/>
        </w:rPr>
        <w:t>Section 2.10(a)(iii)</w:t>
      </w:r>
      <w:r>
        <w:rPr>
          <w:rFonts w:ascii="Arial" w:cs="Arial" w:eastAsia="Arial" w:hAnsi="Arial"/>
          <w:sz w:val="16"/>
          <w:szCs w:val="16"/>
          <w:color w:val="auto"/>
        </w:rPr>
        <w:t xml:space="preserve"> to the extent required thereby;</w:t>
      </w:r>
    </w:p>
    <w:p>
      <w:pPr>
        <w:spacing w:after="0" w:line="166" w:lineRule="exact"/>
        <w:rPr>
          <w:rFonts w:ascii="Arial" w:cs="Arial" w:eastAsia="Arial" w:hAnsi="Arial"/>
          <w:sz w:val="16"/>
          <w:szCs w:val="16"/>
          <w:color w:val="auto"/>
        </w:rPr>
      </w:pPr>
    </w:p>
    <w:p>
      <w:pPr>
        <w:ind w:firstLine="656"/>
        <w:spacing w:after="0" w:line="277" w:lineRule="auto"/>
        <w:tabs>
          <w:tab w:leader="none" w:pos="1079" w:val="left"/>
        </w:tabs>
        <w:numPr>
          <w:ilvl w:val="1"/>
          <w:numId w:val="390"/>
        </w:numPr>
        <w:rPr>
          <w:rFonts w:ascii="Arial" w:cs="Arial" w:eastAsia="Arial" w:hAnsi="Arial"/>
          <w:sz w:val="18"/>
          <w:szCs w:val="18"/>
          <w:color w:val="auto"/>
        </w:rPr>
      </w:pPr>
      <w:r>
        <w:rPr>
          <w:rFonts w:ascii="Arial" w:cs="Arial" w:eastAsia="Arial" w:hAnsi="Arial"/>
          <w:sz w:val="18"/>
          <w:szCs w:val="18"/>
          <w:color w:val="auto"/>
        </w:rPr>
        <w:t xml:space="preserve">Liens permitted by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Investments may be made to the extent permitted by </w:t>
      </w:r>
      <w:r>
        <w:rPr>
          <w:rFonts w:ascii="Arial" w:cs="Arial" w:eastAsia="Arial" w:hAnsi="Arial"/>
          <w:sz w:val="18"/>
          <w:szCs w:val="18"/>
          <w:u w:val="single" w:color="auto"/>
          <w:color w:val="auto"/>
        </w:rPr>
        <w:t>Sections 10.04</w:t>
      </w:r>
      <w:r>
        <w:rPr>
          <w:rFonts w:ascii="Arial" w:cs="Arial" w:eastAsia="Arial" w:hAnsi="Arial"/>
          <w:sz w:val="18"/>
          <w:szCs w:val="18"/>
          <w:color w:val="auto"/>
        </w:rPr>
        <w:t xml:space="preserve">, Restricted Payments may be made to the extent permitted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Junior Prepayment may be made to the extent permitted by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390"/>
        </w:numPr>
        <w:rPr>
          <w:rFonts w:ascii="Arial" w:cs="Arial" w:eastAsia="Arial" w:hAnsi="Arial"/>
          <w:sz w:val="18"/>
          <w:szCs w:val="18"/>
          <w:color w:val="auto"/>
        </w:rPr>
      </w:pPr>
      <w:r>
        <w:rPr>
          <w:rFonts w:ascii="Arial" w:cs="Arial" w:eastAsia="Arial" w:hAnsi="Arial"/>
          <w:sz w:val="18"/>
          <w:szCs w:val="18"/>
          <w:color w:val="auto"/>
        </w:rPr>
        <w:t>Borrower and the Restricted Subsidiaries may dispose of cash and Cash Equivalents;</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1"/>
          <w:numId w:val="390"/>
        </w:numPr>
        <w:rPr>
          <w:rFonts w:ascii="Arial" w:cs="Arial" w:eastAsia="Arial" w:hAnsi="Arial"/>
          <w:sz w:val="17"/>
          <w:szCs w:val="17"/>
          <w:color w:val="auto"/>
        </w:rPr>
      </w:pPr>
      <w:r>
        <w:rPr>
          <w:rFonts w:ascii="Arial" w:cs="Arial" w:eastAsia="Arial" w:hAnsi="Arial"/>
          <w:sz w:val="17"/>
          <w:szCs w:val="17"/>
          <w:color w:val="auto"/>
        </w:rPr>
        <w:t>Borrower and the Restricted Subsidiaries may lease (as lessor or sublessor) real or personal property to the extent permitted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right="20" w:firstLine="656"/>
        <w:spacing w:after="0" w:line="277" w:lineRule="auto"/>
        <w:tabs>
          <w:tab w:leader="none" w:pos="1119" w:val="left"/>
        </w:tabs>
        <w:numPr>
          <w:ilvl w:val="1"/>
          <w:numId w:val="390"/>
        </w:numPr>
        <w:rPr>
          <w:rFonts w:ascii="Arial" w:cs="Arial" w:eastAsia="Arial" w:hAnsi="Arial"/>
          <w:sz w:val="18"/>
          <w:szCs w:val="18"/>
          <w:color w:val="auto"/>
        </w:rPr>
      </w:pPr>
      <w:r>
        <w:rPr>
          <w:rFonts w:ascii="Arial" w:cs="Arial" w:eastAsia="Arial" w:hAnsi="Arial"/>
          <w:sz w:val="18"/>
          <w:szCs w:val="18"/>
          <w:color w:val="auto"/>
        </w:rPr>
        <w:t>licenses and sublicenses by Borrower or any of its Restricted Subsidiaries of software and Intellectual Property in the ordinary course of business shall be permitted;</w:t>
      </w:r>
    </w:p>
    <w:p>
      <w:pPr>
        <w:spacing w:after="0" w:line="170" w:lineRule="exact"/>
        <w:rPr>
          <w:rFonts w:ascii="Arial" w:cs="Arial" w:eastAsia="Arial" w:hAnsi="Arial"/>
          <w:sz w:val="18"/>
          <w:szCs w:val="18"/>
          <w:color w:val="auto"/>
        </w:rPr>
      </w:pPr>
    </w:p>
    <w:p>
      <w:pPr>
        <w:jc w:val="both"/>
        <w:ind w:firstLine="656"/>
        <w:spacing w:after="0" w:line="284" w:lineRule="auto"/>
        <w:tabs>
          <w:tab w:leader="none" w:pos="1052" w:val="left"/>
        </w:tabs>
        <w:numPr>
          <w:ilvl w:val="1"/>
          <w:numId w:val="390"/>
        </w:numPr>
        <w:rPr>
          <w:rFonts w:ascii="Arial" w:cs="Arial" w:eastAsia="Arial" w:hAnsi="Arial"/>
          <w:sz w:val="16"/>
          <w:szCs w:val="16"/>
          <w:color w:val="auto"/>
        </w:rPr>
      </w:pPr>
      <w:r>
        <w:rPr>
          <w:rFonts w:ascii="Arial" w:cs="Arial" w:eastAsia="Arial" w:hAnsi="Arial"/>
          <w:sz w:val="16"/>
          <w:szCs w:val="16"/>
          <w:color w:val="auto"/>
        </w:rPr>
        <w:t>(A) Borrower or any Restricted Subsidiary or Joint Venture may transfer or lease property (other than one or more Principal Assets in the case of a transfer or lease to a Joint Venture) to or acquire or lease property (other than one or more Principal Assets in the case of an acquisition by or lease to a Joint Venture) from Borrower or any Restricted Subsidiary or Joint Venture;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w:t>
      </w:r>
    </w:p>
    <w:p>
      <w:pPr>
        <w:spacing w:after="0" w:line="4"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each case with respect to clauses (A), (B) and (C) of this </w:t>
      </w:r>
      <w:r>
        <w:rPr>
          <w:rFonts w:ascii="Arial" w:cs="Arial" w:eastAsia="Arial" w:hAnsi="Arial"/>
          <w:sz w:val="18"/>
          <w:szCs w:val="18"/>
          <w:u w:val="single" w:color="auto"/>
          <w:color w:val="auto"/>
        </w:rPr>
        <w:t>Section 10.05(h)</w:t>
      </w:r>
      <w:r>
        <w:rPr>
          <w:rFonts w:ascii="Arial" w:cs="Arial" w:eastAsia="Arial" w:hAnsi="Arial"/>
          <w:sz w:val="18"/>
          <w:szCs w:val="18"/>
          <w:color w:val="auto"/>
        </w:rPr>
        <w:t xml:space="preserve"> (other than in the case of a transfer to a Restricted Subsidiary or Joint Venture that is not a Credit Party permitted under clause (A) above), the Lien on such property granted in favor 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584" w:right="239" w:bottom="1440" w:gutter="0" w:footer="0" w:header="0"/>
        </w:sectPr>
      </w:pPr>
    </w:p>
    <w:bookmarkStart w:id="348" w:name="page349"/>
    <w:bookmarkEnd w:id="348"/>
    <w:p>
      <w:pPr>
        <w:spacing w:after="0" w:line="277" w:lineRule="auto"/>
        <w:rPr>
          <w:sz w:val="20"/>
          <w:szCs w:val="20"/>
          <w:color w:val="auto"/>
        </w:rPr>
      </w:pPr>
      <w:r>
        <w:rPr>
          <w:rFonts w:ascii="Arial" w:cs="Arial" w:eastAsia="Arial" w:hAnsi="Arial"/>
          <w:sz w:val="18"/>
          <w:szCs w:val="18"/>
          <w:color w:val="auto"/>
        </w:rPr>
        <w:t>Collateral Agent under the Security Documents shall be maintained in accordance with the provisions of this Agreement and the applicable Security Documents;</w:t>
      </w:r>
    </w:p>
    <w:p>
      <w:pPr>
        <w:spacing w:after="0" w:line="170" w:lineRule="exact"/>
        <w:rPr>
          <w:sz w:val="20"/>
          <w:szCs w:val="20"/>
          <w:color w:val="auto"/>
        </w:rPr>
      </w:pPr>
    </w:p>
    <w:p>
      <w:pPr>
        <w:ind w:left="1000" w:hanging="344"/>
        <w:spacing w:after="0"/>
        <w:tabs>
          <w:tab w:leader="none" w:pos="10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voluntary terminations of Swap Contracts and other assets or contracts in the ordinary course of business;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conveyances, sales, leases, transfers or other dispositions which do not constitute Asset Sales;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any taking by a Governmental Authority of assets or property, or any part thereof, under the power of eminent domain or condemnation;</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property subject to a Casualty Event;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8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selling, factoring or discounting of accounts receivable (including defaulted receivables) in the ordinary course of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any merger, consolidation or amalgamation in order to effect a Permitted Acquisition;</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065" w:val="left"/>
        </w:tabs>
        <w:numPr>
          <w:ilvl w:val="0"/>
          <w:numId w:val="391"/>
        </w:numPr>
        <w:rPr>
          <w:rFonts w:ascii="Arial" w:cs="Arial" w:eastAsia="Arial" w:hAnsi="Arial"/>
          <w:sz w:val="17"/>
          <w:szCs w:val="17"/>
          <w:color w:val="auto"/>
        </w:rPr>
      </w:pPr>
      <w:r>
        <w:rPr>
          <w:rFonts w:ascii="Arial" w:cs="Arial" w:eastAsia="Arial" w:hAnsi="Arial"/>
          <w:sz w:val="17"/>
          <w:szCs w:val="17"/>
          <w:color w:val="auto"/>
        </w:rPr>
        <w:t>(i) the lease, sublease or license of any portion of any Property to Persons who, either directly or through Affiliates of such Persons, intend to operate or manage nightclubs, bars, restaurants, recreation areas, spas, pools, exercise or gym facilities, or entertainment or retail venues or similar or related establishments or facilities and (ii) the grant of declarations of covenants, conditions and restrictions and/or easements with respect to common area spaces and similar instruments benefiting such tenants of such leases, subleases and licenses (collectively, the “</w:t>
      </w:r>
      <w:r>
        <w:rPr>
          <w:rFonts w:ascii="Arial" w:cs="Arial" w:eastAsia="Arial" w:hAnsi="Arial"/>
          <w:sz w:val="17"/>
          <w:szCs w:val="17"/>
          <w:b w:val="1"/>
          <w:bCs w:val="1"/>
          <w:color w:val="auto"/>
        </w:rPr>
        <w:t>Venue Easements</w:t>
      </w:r>
      <w:r>
        <w:rPr>
          <w:rFonts w:ascii="Arial" w:cs="Arial" w:eastAsia="Arial" w:hAnsi="Arial"/>
          <w:sz w:val="17"/>
          <w:szCs w:val="17"/>
          <w:color w:val="auto"/>
        </w:rPr>
        <w:t>,” and together with any such leases, subleases or licenses, collectively the “</w:t>
      </w:r>
      <w:r>
        <w:rPr>
          <w:rFonts w:ascii="Arial" w:cs="Arial" w:eastAsia="Arial" w:hAnsi="Arial"/>
          <w:sz w:val="17"/>
          <w:szCs w:val="17"/>
          <w:b w:val="1"/>
          <w:bCs w:val="1"/>
          <w:color w:val="auto"/>
        </w:rPr>
        <w:t>Venue Documents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Venue Document or operations conducted pursuant thereto would reasonably be expected to materially interfere with, or materially impair or detract from, the operations of Borrower and the Restricted Subsidiaries taken as a whole; provided further that upon request by Borrower, Collateral Agent on behalf of the Secured Parties shall provide the tenant, subtenant or licensee under any Venue Document with a subordination, non-disturbance and attornment agreement in form reasonably satisfactory to Collateral Agent and the applicable Credit Party;</w:t>
      </w:r>
    </w:p>
    <w:p>
      <w:pPr>
        <w:spacing w:after="0" w:line="181" w:lineRule="exact"/>
        <w:rPr>
          <w:rFonts w:ascii="Arial" w:cs="Arial" w:eastAsia="Arial" w:hAnsi="Arial"/>
          <w:sz w:val="17"/>
          <w:szCs w:val="17"/>
          <w:color w:val="auto"/>
        </w:rPr>
      </w:pPr>
    </w:p>
    <w:p>
      <w:pPr>
        <w:jc w:val="both"/>
        <w:ind w:firstLine="656"/>
        <w:spacing w:after="0" w:line="286" w:lineRule="auto"/>
        <w:tabs>
          <w:tab w:leader="none" w:pos="1106"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the dedication of space or other dispositions of Property in connection with and in furtherance of constructing structures or improvements reasonably related to the development, construction, and operation of any project;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such dedication or other dispositions are in furtherance of, and do not materially impair or interfere with the operations of Borrower and the Restricted Subsidiaries;</w:t>
      </w:r>
    </w:p>
    <w:p>
      <w:pPr>
        <w:spacing w:after="0" w:line="165" w:lineRule="exact"/>
        <w:rPr>
          <w:rFonts w:ascii="Arial" w:cs="Arial" w:eastAsia="Arial" w:hAnsi="Arial"/>
          <w:sz w:val="17"/>
          <w:szCs w:val="17"/>
          <w:color w:val="auto"/>
        </w:rPr>
      </w:pPr>
    </w:p>
    <w:p>
      <w:pPr>
        <w:jc w:val="both"/>
        <w:ind w:firstLine="656"/>
        <w:spacing w:after="0" w:line="255" w:lineRule="auto"/>
        <w:tabs>
          <w:tab w:leader="none" w:pos="111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dedications of, or the granting of easements, rights of way, rights of access and/or similar rights, to any Governmental Authority, utility providers, cable or other communication providers and/or other parties providing services or benefits to any project, any Real Property held by Borrower or the Restricted Subsidiaries or the public at large that would not reasonably be expected to interfere in any material respect with the operations of Borrower and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request by Borrower, Administrative Agent shall, in its reasonable discretion, direct Collateral Agent on behalf of the Secured Parties to subordinate its Mortgage on such Real Property to such easement, right of way, right of access or similar agreement in such form as is reasonably satisfactory to Administrative Agent and Borrower;</w:t>
      </w:r>
    </w:p>
    <w:p>
      <w:pPr>
        <w:spacing w:after="0" w:line="193" w:lineRule="exact"/>
        <w:rPr>
          <w:rFonts w:ascii="Arial" w:cs="Arial" w:eastAsia="Arial" w:hAnsi="Arial"/>
          <w:sz w:val="18"/>
          <w:szCs w:val="18"/>
          <w:color w:val="auto"/>
        </w:rPr>
      </w:pPr>
    </w:p>
    <w:p>
      <w:pPr>
        <w:jc w:val="both"/>
        <w:ind w:firstLine="656"/>
        <w:spacing w:after="0" w:line="279" w:lineRule="auto"/>
        <w:tabs>
          <w:tab w:leader="none" w:pos="1018"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dispositions of non-core assets acquired in connection with a Permitted Acquisition or other permitted Investment;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amount of non-core assets that are disposed of in connection with any such Permitted Acquisition or other permitted Investment pursuant to this </w:t>
      </w:r>
      <w:r>
        <w:rPr>
          <w:rFonts w:ascii="Arial" w:cs="Arial" w:eastAsia="Arial" w:hAnsi="Arial"/>
          <w:sz w:val="17"/>
          <w:szCs w:val="17"/>
          <w:u w:val="single" w:color="auto"/>
          <w:color w:val="auto"/>
        </w:rPr>
        <w:t>Section 10.05(s)</w:t>
      </w:r>
      <w:r>
        <w:rPr>
          <w:rFonts w:ascii="Arial" w:cs="Arial" w:eastAsia="Arial" w:hAnsi="Arial"/>
          <w:sz w:val="17"/>
          <w:szCs w:val="17"/>
          <w:color w:val="auto"/>
        </w:rPr>
        <w:t xml:space="preserve"> does not exceed 25% of the aggregate purchase price for such Permitted Acquisition or other permitted Investment and (ii) to the extent that any such Permitted Acquisition or other permitted Investment is financed with the proceeds of Indebtedness of Borrower or its Restricted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584" w:right="239" w:bottom="1440" w:gutter="0" w:footer="0" w:header="0"/>
        </w:sectPr>
      </w:pPr>
    </w:p>
    <w:bookmarkStart w:id="349" w:name="page350"/>
    <w:bookmarkEnd w:id="349"/>
    <w:p>
      <w:pPr>
        <w:spacing w:after="0" w:line="277" w:lineRule="auto"/>
        <w:rPr>
          <w:sz w:val="20"/>
          <w:szCs w:val="20"/>
          <w:color w:val="auto"/>
        </w:rPr>
      </w:pPr>
      <w:r>
        <w:rPr>
          <w:rFonts w:ascii="Arial" w:cs="Arial" w:eastAsia="Arial" w:hAnsi="Arial"/>
          <w:sz w:val="18"/>
          <w:szCs w:val="18"/>
          <w:color w:val="auto"/>
        </w:rPr>
        <w:t xml:space="preserve">Subsidiaries, then any proceeds from such disposition shall be used to prepay such Indebtedness (to the extent otherwise permitted hereunder) or the Loans in accordance with </w:t>
      </w:r>
      <w:r>
        <w:rPr>
          <w:rFonts w:ascii="Arial" w:cs="Arial" w:eastAsia="Arial" w:hAnsi="Arial"/>
          <w:sz w:val="18"/>
          <w:szCs w:val="18"/>
          <w:u w:val="single" w:color="auto"/>
          <w:color w:val="auto"/>
        </w:rPr>
        <w:t>Section 2.10(iii)</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56"/>
        <w:spacing w:after="0" w:line="286" w:lineRule="auto"/>
        <w:tabs>
          <w:tab w:leader="none" w:pos="998"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disposition in connection with the Wynn Group Reorganization;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any transfer of Equity Interests of any Restricted Subsidiary or any Gaming Facility in connection with the occurrence of a Trigger Event; and</w:t>
      </w:r>
    </w:p>
    <w:p>
      <w:pPr>
        <w:spacing w:after="0" w:line="248" w:lineRule="exact"/>
        <w:rPr>
          <w:rFonts w:ascii="Arial" w:cs="Arial" w:eastAsia="Arial" w:hAnsi="Arial"/>
          <w:sz w:val="16"/>
          <w:szCs w:val="16"/>
          <w:color w:val="auto"/>
        </w:rPr>
      </w:pPr>
    </w:p>
    <w:p>
      <w:pPr>
        <w:ind w:right="20" w:firstLine="656"/>
        <w:spacing w:after="0" w:line="277" w:lineRule="auto"/>
        <w:tabs>
          <w:tab w:leader="none" w:pos="115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exchange of assets for other assets used or useful in a Permitted Business that are of comparable or greater value (as determined by Borrower in good faith).</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To the extent any Collateral is sold, transferred, distributed, conveyed, or otherwise disposed of as permitted by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or in connection with a transaction approved by the Required Lenders, in each case, to a Person other than a Credit Party, such Collateral (unless sold to Borrower or a Guarantor) shall, except as set forth in the proviso to </w:t>
      </w:r>
      <w:r>
        <w:rPr>
          <w:rFonts w:ascii="Arial" w:cs="Arial" w:eastAsia="Arial" w:hAnsi="Arial"/>
          <w:sz w:val="16"/>
          <w:szCs w:val="16"/>
          <w:u w:val="single" w:color="auto"/>
          <w:color w:val="auto"/>
        </w:rPr>
        <w:t>Section 10.05(h)</w:t>
      </w:r>
      <w:r>
        <w:rPr>
          <w:rFonts w:ascii="Arial" w:cs="Arial" w:eastAsia="Arial" w:hAnsi="Arial"/>
          <w:sz w:val="16"/>
          <w:szCs w:val="16"/>
          <w:color w:val="auto"/>
        </w:rPr>
        <w:t>,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or becoming an Excluded Subsidiary,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10.06.</w:t>
      </w:r>
      <w:r>
        <w:rPr>
          <w:sz w:val="20"/>
          <w:szCs w:val="20"/>
          <w:color w:val="auto"/>
        </w:rPr>
        <w:tab/>
      </w:r>
      <w:r>
        <w:rPr>
          <w:rFonts w:ascii="Arial" w:cs="Arial" w:eastAsia="Arial" w:hAnsi="Arial"/>
          <w:sz w:val="16"/>
          <w:szCs w:val="16"/>
          <w:b w:val="1"/>
          <w:bCs w:val="1"/>
          <w:color w:val="auto"/>
        </w:rPr>
        <w:t>Restricted Payments</w:t>
      </w:r>
      <w:r>
        <w:rPr>
          <w:rFonts w:ascii="Arial" w:cs="Arial" w:eastAsia="Arial" w:hAnsi="Arial"/>
          <w:sz w:val="16"/>
          <w:szCs w:val="16"/>
          <w:color w:val="auto"/>
        </w:rPr>
        <w:t>. Neither Borrower nor any of its Restricted Subsidiaries shall, directly or indirectly, declare or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Restricted Payment at any time, except, without duplication:</w:t>
      </w:r>
    </w:p>
    <w:p>
      <w:pPr>
        <w:spacing w:after="0" w:line="211" w:lineRule="exact"/>
        <w:rPr>
          <w:sz w:val="20"/>
          <w:szCs w:val="20"/>
          <w:color w:val="auto"/>
        </w:rPr>
      </w:pPr>
    </w:p>
    <w:p>
      <w:pPr>
        <w:ind w:left="1040" w:hanging="384"/>
        <w:spacing w:after="0"/>
        <w:tabs>
          <w:tab w:leader="none" w:pos="10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Borrower or any Restricted Subsidiary may make Restricted Payments to the extent permitted pursuant to </w:t>
      </w:r>
      <w:r>
        <w:rPr>
          <w:rFonts w:ascii="Arial" w:cs="Arial" w:eastAsia="Arial" w:hAnsi="Arial"/>
          <w:sz w:val="18"/>
          <w:szCs w:val="18"/>
          <w:u w:val="single" w:color="auto"/>
          <w:color w:val="auto"/>
        </w:rPr>
        <w:t>Section 2.09(b)(ii)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05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Restricted Subsidiary of Borrower may declare and make Restricted Payments to Borrower or any Wholly Owned Subsidiary of Borrower which is a Restricted Subsidiary;</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09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w:t>
      </w:r>
    </w:p>
    <w:p>
      <w:pPr>
        <w:spacing w:after="0" w:line="186" w:lineRule="exact"/>
        <w:rPr>
          <w:rFonts w:ascii="Arial" w:cs="Arial" w:eastAsia="Arial" w:hAnsi="Arial"/>
          <w:sz w:val="18"/>
          <w:szCs w:val="18"/>
          <w:color w:val="auto"/>
        </w:rPr>
      </w:pPr>
    </w:p>
    <w:p>
      <w:pPr>
        <w:ind w:firstLine="656"/>
        <w:spacing w:after="0" w:line="277" w:lineRule="auto"/>
        <w:tabs>
          <w:tab w:leader="none" w:pos="1038"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Borrower and its Restricted Subsidiaries may (i) make Restricted Payments in connection with the Wynn Group Reorganization and (ii) engage in transactions to the extent permitted by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Borrower and its Restricted Subsidiaries may make Restricted Payments in respect of Disqualified Capital Stock issued in compliance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hereof;</w:t>
      </w:r>
    </w:p>
    <w:p>
      <w:pPr>
        <w:spacing w:after="0" w:line="210" w:lineRule="exact"/>
        <w:rPr>
          <w:rFonts w:ascii="Arial" w:cs="Arial" w:eastAsia="Arial" w:hAnsi="Arial"/>
          <w:sz w:val="16"/>
          <w:szCs w:val="16"/>
          <w:color w:val="auto"/>
        </w:rPr>
      </w:pPr>
    </w:p>
    <w:p>
      <w:pPr>
        <w:jc w:val="both"/>
        <w:ind w:firstLine="656"/>
        <w:spacing w:after="0" w:line="312" w:lineRule="auto"/>
        <w:tabs>
          <w:tab w:leader="none" w:pos="1008" w:val="left"/>
        </w:tabs>
        <w:numPr>
          <w:ilvl w:val="0"/>
          <w:numId w:val="393"/>
        </w:numPr>
        <w:rPr>
          <w:rFonts w:ascii="Arial" w:cs="Arial" w:eastAsia="Arial" w:hAnsi="Arial"/>
          <w:sz w:val="16"/>
          <w:szCs w:val="16"/>
          <w:color w:val="auto"/>
        </w:rPr>
      </w:pPr>
      <w:r>
        <w:rPr>
          <w:rFonts w:ascii="Arial" w:cs="Arial" w:eastAsia="Arial" w:hAnsi="Arial"/>
          <w:sz w:val="16"/>
          <w:szCs w:val="16"/>
          <w:color w:val="auto"/>
        </w:rPr>
        <w:t>Borrower may repurchase (or make Restricted Payments in respect thereof) common stock or common stock options (including those issued by Wynn Resorts or such other parent entity of Borrower) from present or former officers, directors or employees (or heirs of, estates of or trusts formed by such Persons) of any Company or Wynn Resorts upon the death, disability, retirement or termination of employment of such officer, director or employee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585" w:right="239" w:bottom="1440" w:gutter="0" w:footer="0" w:header="0"/>
        </w:sectPr>
      </w:pPr>
    </w:p>
    <w:bookmarkStart w:id="350" w:name="page351"/>
    <w:bookmarkEnd w:id="350"/>
    <w:p>
      <w:pPr>
        <w:spacing w:after="0" w:line="277" w:lineRule="auto"/>
        <w:rPr>
          <w:sz w:val="20"/>
          <w:szCs w:val="20"/>
          <w:color w:val="auto"/>
        </w:rPr>
      </w:pPr>
      <w:r>
        <w:rPr>
          <w:rFonts w:ascii="Arial" w:cs="Arial" w:eastAsia="Arial" w:hAnsi="Arial"/>
          <w:sz w:val="18"/>
          <w:szCs w:val="18"/>
          <w:color w:val="auto"/>
        </w:rPr>
        <w:t xml:space="preserve">pursuant to the terms of any stock option plan or like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aggregate amount of payments under this clause (f) shall not exceed $20.0 million in any fiscal year of Borrower;</w:t>
      </w:r>
    </w:p>
    <w:p>
      <w:pPr>
        <w:spacing w:after="0" w:line="170" w:lineRule="exact"/>
        <w:rPr>
          <w:sz w:val="20"/>
          <w:szCs w:val="20"/>
          <w:color w:val="auto"/>
        </w:rPr>
      </w:pPr>
    </w:p>
    <w:p>
      <w:pPr>
        <w:jc w:val="both"/>
        <w:ind w:firstLine="656"/>
        <w:spacing w:after="0" w:line="293" w:lineRule="auto"/>
        <w:tabs>
          <w:tab w:leader="none" w:pos="1052" w:val="left"/>
        </w:tabs>
        <w:numPr>
          <w:ilvl w:val="0"/>
          <w:numId w:val="394"/>
        </w:numPr>
        <w:rPr>
          <w:rFonts w:ascii="Arial" w:cs="Arial" w:eastAsia="Arial" w:hAnsi="Arial"/>
          <w:sz w:val="16"/>
          <w:szCs w:val="16"/>
          <w:color w:val="auto"/>
        </w:rPr>
      </w:pPr>
      <w:r>
        <w:rPr>
          <w:rFonts w:ascii="Arial" w:cs="Arial" w:eastAsia="Arial" w:hAnsi="Arial"/>
          <w:sz w:val="16"/>
          <w:szCs w:val="16"/>
          <w:color w:val="auto"/>
        </w:rPr>
        <w:t>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clause (i);</w:t>
      </w:r>
    </w:p>
    <w:p>
      <w:pPr>
        <w:spacing w:after="0" w:line="164" w:lineRule="exact"/>
        <w:rPr>
          <w:rFonts w:ascii="Arial" w:cs="Arial" w:eastAsia="Arial" w:hAnsi="Arial"/>
          <w:sz w:val="16"/>
          <w:szCs w:val="16"/>
          <w:color w:val="auto"/>
        </w:rPr>
      </w:pPr>
    </w:p>
    <w:p>
      <w:pPr>
        <w:jc w:val="both"/>
        <w:ind w:firstLine="656"/>
        <w:spacing w:after="0" w:line="286" w:lineRule="auto"/>
        <w:tabs>
          <w:tab w:leader="none" w:pos="1106" w:val="left"/>
        </w:tabs>
        <w:numPr>
          <w:ilvl w:val="0"/>
          <w:numId w:val="394"/>
        </w:numPr>
        <w:rPr>
          <w:rFonts w:ascii="Arial" w:cs="Arial" w:eastAsia="Arial" w:hAnsi="Arial"/>
          <w:sz w:val="17"/>
          <w:szCs w:val="17"/>
          <w:color w:val="auto"/>
        </w:rPr>
      </w:pPr>
      <w:r>
        <w:rPr>
          <w:rFonts w:ascii="Arial" w:cs="Arial" w:eastAsia="Arial" w:hAnsi="Arial"/>
          <w:sz w:val="17"/>
          <w:szCs w:val="17"/>
          <w:color w:val="auto"/>
        </w:rPr>
        <w:t>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02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Restricted Payments in an aggregate amount not to exceed (i) the Initial Base Restricted Payments Amount on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Available Amount;</w:t>
      </w:r>
    </w:p>
    <w:p>
      <w:pPr>
        <w:spacing w:after="0" w:line="186" w:lineRule="exact"/>
        <w:rPr>
          <w:rFonts w:ascii="Arial" w:cs="Arial" w:eastAsia="Arial" w:hAnsi="Arial"/>
          <w:sz w:val="18"/>
          <w:szCs w:val="18"/>
          <w:color w:val="auto"/>
        </w:rPr>
      </w:pPr>
    </w:p>
    <w:p>
      <w:pPr>
        <w:ind w:firstLine="656"/>
        <w:spacing w:after="0" w:line="277" w:lineRule="auto"/>
        <w:tabs>
          <w:tab w:leader="none" w:pos="99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to the extent constituting Restricted Payments, Borrower may make payments to counterparties under Swap Contracts entered into in connection with the issuance of convertible or exchangeable debt;</w:t>
      </w:r>
    </w:p>
    <w:p>
      <w:pPr>
        <w:spacing w:after="0" w:line="170" w:lineRule="exact"/>
        <w:rPr>
          <w:rFonts w:ascii="Arial" w:cs="Arial" w:eastAsia="Arial" w:hAnsi="Arial"/>
          <w:sz w:val="18"/>
          <w:szCs w:val="18"/>
          <w:color w:val="auto"/>
        </w:rPr>
      </w:pPr>
    </w:p>
    <w:p>
      <w:pPr>
        <w:ind w:left="1160" w:hanging="504"/>
        <w:spacing w:after="0"/>
        <w:tabs>
          <w:tab w:leader="none" w:pos="116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Borrower and its Restricted Subsidiaries may make Tax Payments to the direct or indirect owners of Borrower or any of the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right="20" w:firstLine="656"/>
        <w:spacing w:after="0" w:line="277" w:lineRule="auto"/>
        <w:tabs>
          <w:tab w:leader="none" w:pos="998"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Restricted Payments in an aggregate amount not to exceed the Initial Base Junior Financing Prepayments Amount;</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Borrower may pay Allocable Overhead to Wynn Resorts in respect of each Qualifying Project of Borrower and its Restricted Subsidiaries;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Borrower and its Restricted Subsidiaries may pay Management Fees and IP Licensing Fees;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Borrower may on the Closing Date make Restricted Payments in order to consummate the Closing Date Refinancing;</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94"/>
        </w:numPr>
        <w:rPr>
          <w:rFonts w:ascii="Arial" w:cs="Arial" w:eastAsia="Arial" w:hAnsi="Arial"/>
          <w:sz w:val="16"/>
          <w:szCs w:val="16"/>
          <w:color w:val="auto"/>
        </w:rPr>
      </w:pPr>
      <w:r>
        <w:rPr>
          <w:rFonts w:ascii="Arial" w:cs="Arial" w:eastAsia="Arial" w:hAnsi="Arial"/>
          <w:sz w:val="16"/>
          <w:szCs w:val="16"/>
          <w:color w:val="auto"/>
        </w:rPr>
        <w:t>Borrower and its Restricted Subsidiaries may make Restricted Payments in an aggregate amount not to exceed the Available Equity Amount;</w:t>
      </w:r>
    </w:p>
    <w:p>
      <w:pPr>
        <w:spacing w:after="0" w:line="248" w:lineRule="exact"/>
        <w:rPr>
          <w:rFonts w:ascii="Arial" w:cs="Arial" w:eastAsia="Arial" w:hAnsi="Arial"/>
          <w:sz w:val="16"/>
          <w:szCs w:val="16"/>
          <w:color w:val="auto"/>
        </w:rPr>
      </w:pPr>
    </w:p>
    <w:p>
      <w:pPr>
        <w:jc w:val="both"/>
        <w:ind w:firstLine="656"/>
        <w:spacing w:after="0" w:line="259" w:lineRule="auto"/>
        <w:tabs>
          <w:tab w:leader="none" w:pos="106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xml:space="preserve">Borrower may make ordinary course dividends or distributions to Wynn Resorts in an amount not to exceed $1,000.0 million in the aggregate in any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any unused amounts in any fiscal year, the unused amount from such fiscal year may be carried forward to the immediately subsequent two fiscal years; </w:t>
      </w:r>
      <w:r>
        <w:rPr>
          <w:rFonts w:ascii="Arial" w:cs="Arial" w:eastAsia="Arial" w:hAnsi="Arial"/>
          <w:sz w:val="18"/>
          <w:szCs w:val="18"/>
          <w:i w:val="1"/>
          <w:iCs w:val="1"/>
          <w:color w:val="auto"/>
        </w:rPr>
        <w:t>provided further</w:t>
      </w:r>
      <w:r>
        <w:rPr>
          <w:rFonts w:ascii="Arial" w:cs="Arial" w:eastAsia="Arial" w:hAnsi="Arial"/>
          <w:sz w:val="18"/>
          <w:szCs w:val="18"/>
          <w:color w:val="auto"/>
        </w:rPr>
        <w:t>, that during any such subsequent fiscal year, Borrower shall utilize any carried over amount before using the permitted amount for such fiscal year;</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022" w:val="left"/>
        </w:tabs>
        <w:numPr>
          <w:ilvl w:val="0"/>
          <w:numId w:val="394"/>
        </w:numPr>
        <w:rPr>
          <w:rFonts w:ascii="Arial" w:cs="Arial" w:eastAsia="Arial" w:hAnsi="Arial"/>
          <w:sz w:val="17"/>
          <w:szCs w:val="17"/>
          <w:color w:val="auto"/>
        </w:rPr>
      </w:pPr>
      <w:r>
        <w:rPr>
          <w:rFonts w:ascii="Arial" w:cs="Arial" w:eastAsia="Arial" w:hAnsi="Arial"/>
          <w:sz w:val="17"/>
          <w:szCs w:val="17"/>
          <w:color w:val="auto"/>
        </w:rPr>
        <w:t xml:space="preserve">so long as (i) immediately before and after giving effect thereto no Event of Default under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has occurred and is continuing and (ii) after giving effect thereto the Consolidated Total Net Leverage Ratio will not exceed 5.50:1.00 calculated on a Pro Forma Basis as of the most recent Calculation Date, Borrower and its Restricted Subsidiaries may make additional Restricted Payments;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84" w:right="239" w:bottom="1440" w:gutter="0" w:footer="0" w:header="0"/>
        </w:sectPr>
      </w:pPr>
    </w:p>
    <w:bookmarkStart w:id="351" w:name="page352"/>
    <w:bookmarkEnd w:id="351"/>
    <w:p>
      <w:pPr>
        <w:jc w:val="both"/>
        <w:ind w:firstLine="656"/>
        <w:spacing w:after="0" w:line="259" w:lineRule="auto"/>
        <w:tabs>
          <w:tab w:leader="none" w:pos="104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so long as (i) immediately before and after giving effect thereto no Event of Default has occurred and is continuing and (ii) after giving effect thereto Borrower is in compliance with the Financial Maintenance Covenant (regardless of whether then applicable) on a Pro Forma Basis as of the most recent Calculation Date, Borrower and its Restricted Subsidiaries may make additional Restricted Payments in an amount not to exceed the Excess Dividend Amount on such date; and</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01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Borrower and the Restricted Subsidiaries may make payments of amounts necessary to repurchase or retire Equity Interests of Borrower or any Subsidiary (or of Wynn Resorts or any applicable parent entity) to the extent required by any Gaming Authority in order to avoid the suspension, revocation or denial of a Gaming License by that Gaming Authority; provided that, in the case of any such repurchase of Equity Interests of Borrower or any Subsidiary (or of Wynn Resorts or any applicable parent entity), if such efforts do not jeopardize any Gaming License, Borrower or any such Subsidiary will have previously used commercially reasonable efforts to attempt to find a suitable purchaser for such Equity Interests and no suitable purchaser acceptable to the applicable Gaming Authority and Borrower was willing to purchase such Equity Interests on terms acceptable to the holder thereof within a time period acceptable to such Gaming Authority.</w:t>
      </w:r>
    </w:p>
    <w:p>
      <w:pPr>
        <w:spacing w:after="0" w:line="18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10.07. Transactions with Affiliates</w:t>
      </w:r>
      <w:r>
        <w:rPr>
          <w:rFonts w:ascii="Arial" w:cs="Arial" w:eastAsia="Arial" w:hAnsi="Arial"/>
          <w:sz w:val="16"/>
          <w:szCs w:val="16"/>
          <w:color w:val="auto"/>
        </w:rPr>
        <w:t>. Neither Borrower nor any of its Restricted Subsidiaries shall enter into any transaction,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without limitation, any purchase, sale, lease or exchange of Property, the rendering of any service or the payment of any management, advisory or similar fees, with any Affiliate (other than Borrower or any Restricted Subsidiary) involving aggregate consideration in excess of $25.0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w:t>
      </w:r>
    </w:p>
    <w:p>
      <w:pPr>
        <w:jc w:val="both"/>
        <w:ind w:firstLine="8"/>
        <w:spacing w:after="0" w:line="267" w:lineRule="auto"/>
        <w:tabs>
          <w:tab w:leader="none" w:pos="266" w:val="left"/>
        </w:tabs>
        <w:numPr>
          <w:ilvl w:val="0"/>
          <w:numId w:val="396"/>
        </w:numPr>
        <w:rPr>
          <w:rFonts w:ascii="Arial" w:cs="Arial" w:eastAsia="Arial" w:hAnsi="Arial"/>
          <w:sz w:val="17"/>
          <w:szCs w:val="17"/>
          <w:color w:val="auto"/>
        </w:rPr>
      </w:pPr>
      <w:r>
        <w:rPr>
          <w:rFonts w:ascii="Arial" w:cs="Arial" w:eastAsia="Arial" w:hAnsi="Arial"/>
          <w:sz w:val="17"/>
          <w:szCs w:val="17"/>
          <w:color w:val="auto"/>
        </w:rPr>
        <w:t>may make Investments and Restricted Payments permitted hereunder, (iii)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transactions, taken as a whole, are not materially adverse to Borrower and the Restricted Subsidiaries (as determined by Borrower in good faith); (vi) may enter into any transaction subject to </w:t>
      </w:r>
      <w:r>
        <w:rPr>
          <w:rFonts w:ascii="Arial" w:cs="Arial" w:eastAsia="Arial" w:hAnsi="Arial"/>
          <w:sz w:val="17"/>
          <w:szCs w:val="17"/>
          <w:u w:val="single" w:color="auto"/>
          <w:color w:val="auto"/>
        </w:rPr>
        <w:t>Section 13.05</w:t>
      </w:r>
      <w:r>
        <w:rPr>
          <w:rFonts w:ascii="Arial" w:cs="Arial" w:eastAsia="Arial" w:hAnsi="Arial"/>
          <w:sz w:val="17"/>
          <w:szCs w:val="17"/>
          <w:color w:val="auto"/>
        </w:rPr>
        <w:t xml:space="preserve">; (vii) may enter into any transactions described on </w:t>
      </w:r>
      <w:r>
        <w:rPr>
          <w:rFonts w:ascii="Arial" w:cs="Arial" w:eastAsia="Arial" w:hAnsi="Arial"/>
          <w:sz w:val="17"/>
          <w:szCs w:val="17"/>
          <w:u w:val="single" w:color="auto"/>
          <w:color w:val="auto"/>
        </w:rPr>
        <w:t>Schedule 10.07</w:t>
      </w:r>
      <w:r>
        <w:rPr>
          <w:rFonts w:ascii="Arial" w:cs="Arial" w:eastAsia="Arial" w:hAnsi="Arial"/>
          <w:sz w:val="17"/>
          <w:szCs w:val="17"/>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may incur any Indebtedness permitted pursuant to </w:t>
      </w:r>
      <w:r>
        <w:rPr>
          <w:rFonts w:ascii="Arial" w:cs="Arial" w:eastAsia="Arial" w:hAnsi="Arial"/>
          <w:sz w:val="17"/>
          <w:szCs w:val="17"/>
          <w:u w:val="single" w:color="auto"/>
          <w:color w:val="auto"/>
        </w:rPr>
        <w:t>Section 10.01(w),</w:t>
      </w:r>
      <w:r>
        <w:rPr>
          <w:rFonts w:ascii="Arial" w:cs="Arial" w:eastAsia="Arial" w:hAnsi="Arial"/>
          <w:sz w:val="17"/>
          <w:szCs w:val="17"/>
          <w:color w:val="auto"/>
        </w:rPr>
        <w:t xml:space="preserve"> and (x) may consummate the Wynn Las Vegas Convention Center Acquisition.</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10.08. Financial Maintenance Covenant. </w:t>
      </w:r>
      <w:r>
        <w:rPr>
          <w:rFonts w:ascii="Arial" w:cs="Arial" w:eastAsia="Arial" w:hAnsi="Arial"/>
          <w:sz w:val="18"/>
          <w:szCs w:val="18"/>
          <w:color w:val="auto"/>
        </w:rPr>
        <w:t>Borrower shall not permit the Consolidated First Lien Net Leverage Ratio as of the last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fiscal quarter of Borrower commencing with the first full fiscal quarter ending after the Closing Date to exceed 3.75 to 1.00.</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10.09. Certain Payments of Indebtedness</w:t>
      </w:r>
      <w:r>
        <w:rPr>
          <w:rFonts w:ascii="Arial" w:cs="Arial" w:eastAsia="Arial" w:hAnsi="Arial"/>
          <w:sz w:val="18"/>
          <w:szCs w:val="18"/>
          <w:color w:val="auto"/>
        </w:rPr>
        <w:t>. None of Borrower or any of its Restricted Subsidiaries will, nor will they permit any</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Subsidiary to voluntarily prepay, redeem, purchase, defease, or otherwise satisfy prior to the scheduled maturity thereof in any manner (it being understood that payments of regularly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584" w:right="239" w:bottom="1440" w:gutter="0" w:footer="0" w:header="0"/>
        </w:sectPr>
      </w:pPr>
    </w:p>
    <w:bookmarkStart w:id="352" w:name="page353"/>
    <w:bookmarkEnd w:id="352"/>
    <w:p>
      <w:pPr>
        <w:jc w:val="both"/>
        <w:spacing w:after="0" w:line="286" w:lineRule="auto"/>
        <w:rPr>
          <w:sz w:val="20"/>
          <w:szCs w:val="20"/>
          <w:color w:val="auto"/>
        </w:rPr>
      </w:pPr>
      <w:r>
        <w:rPr>
          <w:rFonts w:ascii="Arial" w:cs="Arial" w:eastAsia="Arial" w:hAnsi="Arial"/>
          <w:sz w:val="17"/>
          <w:szCs w:val="17"/>
          <w:color w:val="auto"/>
        </w:rPr>
        <w:t>scheduled principal and interest and mandatory prepayments shall be permitted and prepayments within one year of the scheduled maturity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Arial" w:cs="Arial" w:eastAsia="Arial" w:hAnsi="Arial"/>
          <w:sz w:val="17"/>
          <w:szCs w:val="17"/>
          <w:b w:val="1"/>
          <w:bCs w:val="1"/>
          <w:color w:val="auto"/>
        </w:rPr>
        <w:t>Junior Prepayments</w:t>
      </w:r>
      <w:r>
        <w:rPr>
          <w:rFonts w:ascii="Arial" w:cs="Arial" w:eastAsia="Arial" w:hAnsi="Arial"/>
          <w:sz w:val="17"/>
          <w:szCs w:val="17"/>
          <w:color w:val="auto"/>
        </w:rPr>
        <w:t>”), except:</w:t>
      </w:r>
    </w:p>
    <w:p>
      <w:pPr>
        <w:spacing w:after="0" w:line="166" w:lineRule="exact"/>
        <w:rPr>
          <w:sz w:val="20"/>
          <w:szCs w:val="20"/>
          <w:color w:val="auto"/>
        </w:rPr>
      </w:pPr>
    </w:p>
    <w:p>
      <w:pPr>
        <w:jc w:val="both"/>
        <w:ind w:firstLine="656"/>
        <w:spacing w:after="0" w:line="259" w:lineRule="auto"/>
        <w:tabs>
          <w:tab w:leader="none" w:pos="1041"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so long as immediately before and after giving effect thereto (A) no Event of Default has occurred and is continuing and (B) the Consolidated Fixed Charge Coverage Ratio is greater than or equal to 2.00:1.00 on a Pro Forma Basis as of the most recent Calculation Date, Borrower and its Restricted Subsidiaries may make Junior Prepayments in an aggregate amount not to exceed (i) the Initial Base Restricted Payments Amount on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Available Amount;</w:t>
      </w:r>
    </w:p>
    <w:p>
      <w:pPr>
        <w:spacing w:after="0" w:line="186" w:lineRule="exact"/>
        <w:rPr>
          <w:rFonts w:ascii="Arial" w:cs="Arial" w:eastAsia="Arial" w:hAnsi="Arial"/>
          <w:sz w:val="18"/>
          <w:szCs w:val="18"/>
          <w:color w:val="auto"/>
        </w:rPr>
      </w:pPr>
    </w:p>
    <w:p>
      <w:pPr>
        <w:ind w:firstLine="656"/>
        <w:spacing w:after="0" w:line="277" w:lineRule="auto"/>
        <w:tabs>
          <w:tab w:leader="none" w:pos="105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a Permitted Refinancing of any such Indebtedness (including through exchange offers and similar transactions);</w:t>
      </w:r>
    </w:p>
    <w:p>
      <w:pPr>
        <w:spacing w:after="0" w:line="170" w:lineRule="exact"/>
        <w:rPr>
          <w:rFonts w:ascii="Arial" w:cs="Arial" w:eastAsia="Arial" w:hAnsi="Arial"/>
          <w:sz w:val="18"/>
          <w:szCs w:val="18"/>
          <w:color w:val="auto"/>
        </w:rPr>
      </w:pPr>
    </w:p>
    <w:p>
      <w:pPr>
        <w:ind w:firstLine="656"/>
        <w:spacing w:after="0" w:line="277" w:lineRule="auto"/>
        <w:tabs>
          <w:tab w:leader="none" w:pos="110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the conversion of any such Indebtedness to Equity Interests (or exchange of any such Indebtedness for Equity Interests) of Borrower or any direct or indirect parent of Borrower (other than Disqualified Capital Stock);</w:t>
      </w:r>
    </w:p>
    <w:p>
      <w:pPr>
        <w:spacing w:after="0" w:line="170" w:lineRule="exact"/>
        <w:rPr>
          <w:rFonts w:ascii="Arial" w:cs="Arial" w:eastAsia="Arial" w:hAnsi="Arial"/>
          <w:sz w:val="18"/>
          <w:szCs w:val="18"/>
          <w:color w:val="auto"/>
        </w:rPr>
      </w:pPr>
    </w:p>
    <w:p>
      <w:pPr>
        <w:ind w:firstLine="656"/>
        <w:spacing w:after="0" w:line="277" w:lineRule="auto"/>
        <w:tabs>
          <w:tab w:leader="none" w:pos="105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with respect to intercompany subordinated indebtedness, Borrower and its Restricted Subsidiaries may make Junior Prepayments to the extent consistent with the subordination terms thereof and permitted under this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(other than pursuant to this clause (d));</w:t>
      </w:r>
    </w:p>
    <w:p>
      <w:pPr>
        <w:spacing w:after="0" w:line="170" w:lineRule="exact"/>
        <w:rPr>
          <w:rFonts w:ascii="Arial" w:cs="Arial" w:eastAsia="Arial" w:hAnsi="Arial"/>
          <w:sz w:val="18"/>
          <w:szCs w:val="18"/>
          <w:color w:val="auto"/>
        </w:rPr>
      </w:pPr>
    </w:p>
    <w:p>
      <w:pPr>
        <w:ind w:firstLine="656"/>
        <w:spacing w:after="0" w:line="277" w:lineRule="auto"/>
        <w:tabs>
          <w:tab w:leader="none" w:pos="117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exchanges of Indebtedness issued in private placements and resold in reliance on Regulation S or Rule 144A for Indebtedness having substantially equivalent terms pursuant to customary exchange offers;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49"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prepayment, redemption, purchase, defeasance or satisfaction of Indebtedness of Persons acquired pursuant to, or Indebtedness assumed in connection with, Permitted Acquisition or Investment (including any other Acquisition) not prohibited by this Agreement;</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Borrower and its Restricted Subsidiaries may make Junior Prepayments made pursuant to </w:t>
      </w:r>
      <w:r>
        <w:rPr>
          <w:rFonts w:ascii="Arial" w:cs="Arial" w:eastAsia="Arial" w:hAnsi="Arial"/>
          <w:sz w:val="18"/>
          <w:szCs w:val="18"/>
          <w:u w:val="single" w:color="auto"/>
          <w:color w:val="auto"/>
        </w:rPr>
        <w:t>Section 2.09(b)(ii)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10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Junior Prepayments in respect of intercompany Indebtedness owing to Borrower or its Restricted Subsidiaries will be permitted;</w:t>
      </w:r>
    </w:p>
    <w:p>
      <w:pPr>
        <w:spacing w:after="0" w:line="170" w:lineRule="exact"/>
        <w:rPr>
          <w:rFonts w:ascii="Arial" w:cs="Arial" w:eastAsia="Arial" w:hAnsi="Arial"/>
          <w:sz w:val="18"/>
          <w:szCs w:val="18"/>
          <w:color w:val="auto"/>
        </w:rPr>
      </w:pPr>
    </w:p>
    <w:p>
      <w:pPr>
        <w:ind w:right="20" w:firstLine="656"/>
        <w:spacing w:after="0" w:line="277" w:lineRule="auto"/>
        <w:tabs>
          <w:tab w:leader="none" w:pos="102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scheduled payments thereon necessary to avoid the Other Junior Indebtedness constituting “applicable high yield discount obligations” within the meaning of Section 163(i)(1) of the Code;</w:t>
      </w:r>
    </w:p>
    <w:p>
      <w:pPr>
        <w:spacing w:after="0" w:line="170" w:lineRule="exact"/>
        <w:rPr>
          <w:rFonts w:ascii="Arial" w:cs="Arial" w:eastAsia="Arial" w:hAnsi="Arial"/>
          <w:sz w:val="18"/>
          <w:szCs w:val="18"/>
          <w:color w:val="auto"/>
        </w:rPr>
      </w:pPr>
    </w:p>
    <w:p>
      <w:pPr>
        <w:ind w:firstLine="656"/>
        <w:spacing w:after="0" w:line="277" w:lineRule="auto"/>
        <w:tabs>
          <w:tab w:leader="none" w:pos="101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Junior Prepayments in an aggregate amount not to exceed the Initial Base Junior Financing Prepayments Amount on such date;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9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397"/>
        </w:numPr>
        <w:rPr>
          <w:rFonts w:ascii="Arial" w:cs="Arial" w:eastAsia="Arial" w:hAnsi="Arial"/>
          <w:sz w:val="16"/>
          <w:szCs w:val="16"/>
          <w:color w:val="auto"/>
        </w:rPr>
      </w:pPr>
      <w:r>
        <w:rPr>
          <w:rFonts w:ascii="Arial" w:cs="Arial" w:eastAsia="Arial" w:hAnsi="Arial"/>
          <w:sz w:val="16"/>
          <w:szCs w:val="16"/>
          <w:color w:val="auto"/>
        </w:rPr>
        <w:t>Borrower and its Restricted Subsidiaries may make Junior Prepayments in an aggregate amount not to exceed the Available Equity Amount;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656"/>
        <w:spacing w:after="0" w:line="277" w:lineRule="auto"/>
        <w:tabs>
          <w:tab w:leader="none" w:pos="1088" w:val="left"/>
        </w:tabs>
        <w:numPr>
          <w:ilvl w:val="0"/>
          <w:numId w:val="397"/>
        </w:numPr>
        <w:rPr>
          <w:rFonts w:ascii="Arial" w:cs="Arial" w:eastAsia="Arial" w:hAnsi="Arial"/>
          <w:sz w:val="18"/>
          <w:szCs w:val="18"/>
          <w:color w:val="auto"/>
        </w:rPr>
      </w:pPr>
      <w:r>
        <w:rPr>
          <w:rFonts w:ascii="Arial" w:cs="Arial" w:eastAsia="Arial" w:hAnsi="Arial"/>
          <w:sz w:val="18"/>
          <w:szCs w:val="18"/>
          <w:color w:val="auto"/>
        </w:rPr>
        <w:t xml:space="preserve">so long as (i) immediately before and after giving effect thereto no Event of Default under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xml:space="preserve"> has occurred and is continuing and (ii) after giving effect thereto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584" w:right="239" w:bottom="1440" w:gutter="0" w:footer="0" w:header="0"/>
        </w:sectPr>
      </w:pPr>
    </w:p>
    <w:bookmarkStart w:id="353" w:name="page354"/>
    <w:bookmarkEnd w:id="353"/>
    <w:p>
      <w:pPr>
        <w:jc w:val="both"/>
        <w:spacing w:after="0" w:line="277" w:lineRule="auto"/>
        <w:rPr>
          <w:sz w:val="20"/>
          <w:szCs w:val="20"/>
          <w:color w:val="auto"/>
        </w:rPr>
      </w:pPr>
      <w:r>
        <w:rPr>
          <w:rFonts w:ascii="Arial" w:cs="Arial" w:eastAsia="Arial" w:hAnsi="Arial"/>
          <w:sz w:val="18"/>
          <w:szCs w:val="18"/>
          <w:color w:val="auto"/>
        </w:rPr>
        <w:t>Consolidated Total Net Leverage Ratio will not exceed 5.50:1.00 calculated on a Pro Forma Basis as of the most recent Calculation Date, Borrower and its Restricted Subsidiaries may make additional Junior Prepayments.</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10.10. Limitation on Certain Restrictions Affecting Subsidiaries</w:t>
      </w:r>
      <w:r>
        <w:rPr>
          <w:rFonts w:ascii="Arial" w:cs="Arial" w:eastAsia="Arial" w:hAnsi="Arial"/>
          <w:sz w:val="16"/>
          <w:szCs w:val="16"/>
          <w:color w:val="auto"/>
        </w:rPr>
        <w:t>. None of Borrower or any of its Restricted Subsidiaries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create any consensual encumbrance or restriction on the ability of any Restricted Subsidiary (other than any Foreign Subsidiary or Immaterial Subsidiary) of Borrower to (i)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(ii) make Investments in or to Borrower or any of its Restricted Subsidiaries, (iii) transfer any of its Property to Borrower or any of its Restricted Subsidiaries, or (iv) in the case of any Guarantor, guarantee the Obligations hereunder or, in the case of any Credit Party, subject its portion of the Collateral to the Liens securing the Obligations in favor of the Secured Parties, except that each of the following shall be permitted:</w:t>
      </w:r>
    </w:p>
    <w:p>
      <w:pPr>
        <w:spacing w:after="0" w:line="166" w:lineRule="exact"/>
        <w:rPr>
          <w:sz w:val="20"/>
          <w:szCs w:val="20"/>
          <w:color w:val="auto"/>
        </w:rPr>
      </w:pPr>
    </w:p>
    <w:p>
      <w:pPr>
        <w:ind w:firstLine="656"/>
        <w:spacing w:after="0" w:line="277" w:lineRule="auto"/>
        <w:tabs>
          <w:tab w:leader="none" w:pos="102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such encumbrances or restrictions existing under or by reason of (x) applicable Law (including any Gaming Law and any regulations, order or decrees of any Gaming Authority or other applicable Governmental Authority) or (y) the Credit Documents;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restrictions on the transfer of Property, or the granting of Liens on Property, in each case, subject to Permitted Liens;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customary restrictions on subletting or assignment of any lease or sublease governing a leasehold interest of any Company;</w:t>
      </w:r>
    </w:p>
    <w:p>
      <w:pPr>
        <w:spacing w:after="0" w:line="225" w:lineRule="exact"/>
        <w:rPr>
          <w:rFonts w:ascii="Arial" w:cs="Arial" w:eastAsia="Arial" w:hAnsi="Arial"/>
          <w:sz w:val="18"/>
          <w:szCs w:val="18"/>
          <w:color w:val="auto"/>
        </w:rPr>
      </w:pPr>
    </w:p>
    <w:p>
      <w:pPr>
        <w:ind w:firstLine="656"/>
        <w:spacing w:after="0" w:line="277" w:lineRule="auto"/>
        <w:tabs>
          <w:tab w:leader="none" w:pos="1092"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restrictions on the transfer of any Property, or the granting of Liens on Property, subject to a contract with respect to an Asset Sale or other transfer, sale, conveyance or disposition permitted under this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68" w:val="left"/>
        </w:tabs>
        <w:numPr>
          <w:ilvl w:val="0"/>
          <w:numId w:val="398"/>
        </w:numPr>
        <w:rPr>
          <w:rFonts w:ascii="Arial" w:cs="Arial" w:eastAsia="Arial" w:hAnsi="Arial"/>
          <w:sz w:val="18"/>
          <w:szCs w:val="18"/>
          <w:color w:val="auto"/>
        </w:rPr>
      </w:pPr>
      <w:r>
        <w:rPr>
          <w:rFonts w:ascii="Arial" w:cs="Arial" w:eastAsia="Arial" w:hAnsi="Arial"/>
          <w:sz w:val="18"/>
          <w:szCs w:val="18"/>
          <w:color w:val="auto"/>
        </w:rPr>
        <w:t xml:space="preserve">restrictions contained in the existing Indebtedness listed on </w:t>
      </w:r>
      <w:r>
        <w:rPr>
          <w:rFonts w:ascii="Arial" w:cs="Arial" w:eastAsia="Arial" w:hAnsi="Arial"/>
          <w:sz w:val="18"/>
          <w:szCs w:val="18"/>
          <w:u w:val="single" w:color="auto"/>
          <w:color w:val="auto"/>
        </w:rPr>
        <w:t>Schedule 10.01</w:t>
      </w:r>
      <w:r>
        <w:rPr>
          <w:rFonts w:ascii="Arial" w:cs="Arial" w:eastAsia="Arial" w:hAnsi="Arial"/>
          <w:sz w:val="18"/>
          <w:szCs w:val="18"/>
          <w:color w:val="auto"/>
        </w:rPr>
        <w:t xml:space="preserve"> and Permitted Refinancings thereof, provided, that the restrictive provisions in any such Permitted Refinancing, taken as a whole and as determined by Borrower in good faith, are not materially more restrictive than the restrictive provisions in the Indebtedness being refinanced;</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14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restrictions contained in Indebtedness of Persons acquired pursuant to, or assumed in connection with, Permitted Acquisitions or other Acquisitions not prohibited hereunder after the Closing Date and Permitted Refinancings thereof, provided,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w:t>
      </w:r>
    </w:p>
    <w:p>
      <w:pPr>
        <w:spacing w:after="0" w:line="188" w:lineRule="exact"/>
        <w:rPr>
          <w:rFonts w:ascii="Arial" w:cs="Arial" w:eastAsia="Arial" w:hAnsi="Arial"/>
          <w:sz w:val="18"/>
          <w:szCs w:val="18"/>
          <w:color w:val="auto"/>
        </w:rPr>
      </w:pPr>
    </w:p>
    <w:p>
      <w:pPr>
        <w:ind w:right="20" w:firstLine="656"/>
        <w:spacing w:after="0" w:line="308" w:lineRule="auto"/>
        <w:tabs>
          <w:tab w:leader="none" w:pos="1065"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with respect to clauses (i), (ii), and (iii) above, restrictions contained in any Indebtedness permitted hereunder, in each case, taken as a whole and as determined by Borrower in good faith, to the extent not materially more restrictive than those contained in this Agreement;</w:t>
      </w:r>
    </w:p>
    <w:p>
      <w:pPr>
        <w:spacing w:after="0" w:line="146" w:lineRule="exact"/>
        <w:rPr>
          <w:rFonts w:ascii="Arial" w:cs="Arial" w:eastAsia="Arial" w:hAnsi="Arial"/>
          <w:sz w:val="17"/>
          <w:szCs w:val="17"/>
          <w:color w:val="auto"/>
        </w:rPr>
      </w:pPr>
    </w:p>
    <w:p>
      <w:pPr>
        <w:ind w:right="20" w:firstLine="656"/>
        <w:spacing w:after="0" w:line="308" w:lineRule="auto"/>
        <w:tabs>
          <w:tab w:leader="none" w:pos="1052" w:val="left"/>
        </w:tabs>
        <w:numPr>
          <w:ilvl w:val="0"/>
          <w:numId w:val="398"/>
        </w:numPr>
        <w:rPr>
          <w:rFonts w:ascii="Arial" w:cs="Arial" w:eastAsia="Arial" w:hAnsi="Arial"/>
          <w:sz w:val="17"/>
          <w:szCs w:val="17"/>
          <w:color w:val="auto"/>
        </w:rPr>
      </w:pPr>
      <w:r>
        <w:rPr>
          <w:rFonts w:ascii="Arial" w:cs="Arial" w:eastAsia="Arial" w:hAnsi="Arial"/>
          <w:sz w:val="17"/>
          <w:szCs w:val="17"/>
          <w:color w:val="auto"/>
        </w:rPr>
        <w:t>with respect to clauses (i), (ii), and (iii) above, restrictions contained in any Ratio Debt and Permitted Refinancings thereof, in each case, taken as a whole and as determined by Borrower in good faith, to the extent not materially more restrictive than those contained in this Agreement;</w:t>
      </w:r>
    </w:p>
    <w:p>
      <w:pPr>
        <w:spacing w:after="0" w:line="146" w:lineRule="exact"/>
        <w:rPr>
          <w:rFonts w:ascii="Arial" w:cs="Arial" w:eastAsia="Arial" w:hAnsi="Arial"/>
          <w:sz w:val="17"/>
          <w:szCs w:val="17"/>
          <w:color w:val="auto"/>
        </w:rPr>
      </w:pPr>
    </w:p>
    <w:p>
      <w:pPr>
        <w:ind w:right="20" w:firstLine="656"/>
        <w:spacing w:after="0" w:line="342" w:lineRule="auto"/>
        <w:tabs>
          <w:tab w:leader="none" w:pos="102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customary restrictions in joint venture arrangements or management contracts; provided, that such restrictions are limited to the assets of such joint ventures and the Equity Interests of the Persons party to such joint venture arrangements or the assignment of such management contract, as applicable;</w:t>
      </w:r>
    </w:p>
    <w:p>
      <w:pPr>
        <w:spacing w:after="0" w:line="123" w:lineRule="exact"/>
        <w:rPr>
          <w:rFonts w:ascii="Arial" w:cs="Arial" w:eastAsia="Arial" w:hAnsi="Arial"/>
          <w:sz w:val="16"/>
          <w:szCs w:val="16"/>
          <w:color w:val="auto"/>
        </w:rPr>
      </w:pPr>
    </w:p>
    <w:p>
      <w:pPr>
        <w:ind w:firstLine="656"/>
        <w:spacing w:after="0" w:line="277" w:lineRule="auto"/>
        <w:tabs>
          <w:tab w:leader="none" w:pos="109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customary non-assignment provisions or other customary restrictions arising under licenses, leases and other contracts entered into in the ordinary course of business; provided, that such restrictions are limited to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584" w:right="2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t>assets subject to such licenses, leases and contracts and the Equity Interests of the Persons party to such licenses and contracts;</w:t>
      </w:r>
    </w:p>
    <w:p>
      <w:pPr>
        <w:spacing w:after="0" w:line="225" w:lineRule="exact"/>
        <w:rPr>
          <w:sz w:val="20"/>
          <w:szCs w:val="20"/>
          <w:color w:val="auto"/>
        </w:rPr>
      </w:pPr>
    </w:p>
    <w:p>
      <w:pPr>
        <w:jc w:val="both"/>
        <w:ind w:firstLine="656"/>
        <w:spacing w:after="0" w:line="264" w:lineRule="auto"/>
        <w:tabs>
          <w:tab w:leader="none" w:pos="1052" w:val="left"/>
        </w:tabs>
        <w:numPr>
          <w:ilvl w:val="0"/>
          <w:numId w:val="399"/>
        </w:numPr>
        <w:rPr>
          <w:rFonts w:ascii="Arial" w:cs="Arial" w:eastAsia="Arial" w:hAnsi="Arial"/>
          <w:sz w:val="18"/>
          <w:szCs w:val="18"/>
          <w:color w:val="auto"/>
        </w:rPr>
      </w:pPr>
      <w:r>
        <w:rPr>
          <w:rFonts w:ascii="Arial" w:cs="Arial" w:eastAsia="Arial" w:hAnsi="Arial"/>
          <w:sz w:val="18"/>
          <w:szCs w:val="18"/>
          <w:color w:val="auto"/>
        </w:rPr>
        <w:t xml:space="preserve">restrictions contained in Indebtedness of Foreign Subsidiaries incurred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Permitted Refinancings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restrictions apply only to the Foreign Subsidiaries incurring such Indebtedness and their Subsidiaries (and the assets thereof and Equity Interests in such Foreign Subsidiaries);</w:t>
      </w:r>
    </w:p>
    <w:p>
      <w:pPr>
        <w:spacing w:after="0" w:line="181" w:lineRule="exact"/>
        <w:rPr>
          <w:rFonts w:ascii="Arial" w:cs="Arial" w:eastAsia="Arial" w:hAnsi="Arial"/>
          <w:sz w:val="18"/>
          <w:szCs w:val="18"/>
          <w:color w:val="auto"/>
        </w:rPr>
      </w:pPr>
    </w:p>
    <w:p>
      <w:pPr>
        <w:jc w:val="both"/>
        <w:ind w:firstLine="656"/>
        <w:spacing w:after="0" w:line="312" w:lineRule="auto"/>
        <w:tabs>
          <w:tab w:leader="none" w:pos="102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restrictions contained in Indebtedness used to finance, or incurred for the purpose of financing (including Development Expenses), Expansion Capital Expenditures and/or Investments, Capital Expenditures or other expenditures with respect to Development Projects and Permitted Refinancings thereof, provided, that such restrictions apply only to the asset (or the Person owning such asset) being financed pursuant to such Indebtedness;</w:t>
      </w:r>
    </w:p>
    <w:p>
      <w:pPr>
        <w:spacing w:after="0" w:line="146" w:lineRule="exact"/>
        <w:rPr>
          <w:rFonts w:ascii="Arial" w:cs="Arial" w:eastAsia="Arial" w:hAnsi="Arial"/>
          <w:sz w:val="16"/>
          <w:szCs w:val="16"/>
          <w:color w:val="auto"/>
        </w:rPr>
      </w:pPr>
    </w:p>
    <w:p>
      <w:pPr>
        <w:jc w:val="both"/>
        <w:ind w:firstLine="656"/>
        <w:spacing w:after="0" w:line="264" w:lineRule="auto"/>
        <w:tabs>
          <w:tab w:leader="none" w:pos="127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restrictions contained in subordination provisions applicable to intercompany debt owed by the Credit Parties; provided, that such intercompany debt is subordinated to the Obligations on terms at least as favorable to the Lenders as the subordination of such intercompany debt to any other obligations as determined by Borrower in good faith; and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187" w:val="left"/>
        </w:tabs>
        <w:numPr>
          <w:ilvl w:val="0"/>
          <w:numId w:val="399"/>
        </w:numPr>
        <w:rPr>
          <w:rFonts w:ascii="Arial" w:cs="Arial" w:eastAsia="Arial" w:hAnsi="Arial"/>
          <w:sz w:val="18"/>
          <w:szCs w:val="18"/>
          <w:color w:val="auto"/>
        </w:rPr>
      </w:pPr>
      <w:r>
        <w:rPr>
          <w:rFonts w:ascii="Arial" w:cs="Arial" w:eastAsia="Arial" w:hAnsi="Arial"/>
          <w:sz w:val="18"/>
          <w:szCs w:val="18"/>
          <w:color w:val="auto"/>
        </w:rPr>
        <w:t>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10.11. Limitation on Lines of Business</w:t>
      </w:r>
      <w:r>
        <w:rPr>
          <w:rFonts w:ascii="Arial" w:cs="Arial" w:eastAsia="Arial" w:hAnsi="Arial"/>
          <w:sz w:val="18"/>
          <w:szCs w:val="18"/>
          <w:color w:val="auto"/>
        </w:rPr>
        <w:t>. Neither Borrower nor any Restricted Subsidiary shall directly or indirectly engage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extent (determined on a consolidated basis) in any line or lines of business activity other than Permitted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10.12. Limitation on Changes to Fiscal Year</w:t>
      </w:r>
      <w:r>
        <w:rPr>
          <w:rFonts w:ascii="Arial" w:cs="Arial" w:eastAsia="Arial" w:hAnsi="Arial"/>
          <w:sz w:val="18"/>
          <w:szCs w:val="18"/>
          <w:color w:val="auto"/>
        </w:rPr>
        <w:t>. Neither Borrower nor any Restricted Subsidiary shall change its fiscal year end to a</w:t>
      </w:r>
      <w:r>
        <w:rPr>
          <w:rFonts w:ascii="Arial" w:cs="Arial" w:eastAsia="Arial" w:hAnsi="Arial"/>
          <w:sz w:val="18"/>
          <w:szCs w:val="18"/>
          <w:b w:val="1"/>
          <w:bCs w:val="1"/>
          <w:color w:val="auto"/>
        </w:rPr>
        <w:t xml:space="preserve"> </w:t>
      </w:r>
      <w:r>
        <w:rPr>
          <w:rFonts w:ascii="Arial" w:cs="Arial" w:eastAsia="Arial" w:hAnsi="Arial"/>
          <w:sz w:val="18"/>
          <w:szCs w:val="18"/>
          <w:color w:val="auto"/>
        </w:rPr>
        <w:t>date other than December 31 of each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8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If one or more of the following events (herein called “</w:t>
      </w:r>
      <w:r>
        <w:rPr>
          <w:rFonts w:ascii="Arial" w:cs="Arial" w:eastAsia="Arial" w:hAnsi="Arial"/>
          <w:sz w:val="16"/>
          <w:szCs w:val="16"/>
          <w:b w:val="1"/>
          <w:bCs w:val="1"/>
          <w:color w:val="auto"/>
        </w:rPr>
        <w:t>Events of Default</w:t>
      </w:r>
      <w:r>
        <w:rPr>
          <w:rFonts w:ascii="Arial" w:cs="Arial" w:eastAsia="Arial" w:hAnsi="Arial"/>
          <w:sz w:val="16"/>
          <w:szCs w:val="16"/>
          <w:color w:val="auto"/>
        </w:rPr>
        <w:t>”) shall occur and be continuing:</w:t>
      </w:r>
    </w:p>
    <w:p>
      <w:pPr>
        <w:spacing w:after="0" w:line="229" w:lineRule="exact"/>
        <w:rPr>
          <w:sz w:val="20"/>
          <w:szCs w:val="20"/>
          <w:color w:val="auto"/>
        </w:rPr>
      </w:pPr>
    </w:p>
    <w:p>
      <w:pPr>
        <w:jc w:val="both"/>
        <w:ind w:firstLine="656"/>
        <w:spacing w:after="0" w:line="255" w:lineRule="auto"/>
        <w:tabs>
          <w:tab w:leader="none" w:pos="1041"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93" w:lineRule="exact"/>
        <w:rPr>
          <w:rFonts w:ascii="Arial" w:cs="Arial" w:eastAsia="Arial" w:hAnsi="Arial"/>
          <w:sz w:val="18"/>
          <w:szCs w:val="18"/>
          <w:color w:val="auto"/>
        </w:rPr>
      </w:pPr>
    </w:p>
    <w:p>
      <w:pPr>
        <w:jc w:val="both"/>
        <w:ind w:right="20" w:firstLine="656"/>
        <w:spacing w:after="0" w:line="291" w:lineRule="auto"/>
        <w:tabs>
          <w:tab w:leader="none" w:pos="1092" w:val="left"/>
        </w:tabs>
        <w:numPr>
          <w:ilvl w:val="1"/>
          <w:numId w:val="400"/>
        </w:numPr>
        <w:rPr>
          <w:rFonts w:ascii="Arial" w:cs="Arial" w:eastAsia="Arial" w:hAnsi="Arial"/>
          <w:sz w:val="16"/>
          <w:szCs w:val="16"/>
          <w:color w:val="auto"/>
        </w:rPr>
      </w:pPr>
      <w:r>
        <w:rPr>
          <w:rFonts w:ascii="Arial" w:cs="Arial" w:eastAsia="Arial" w:hAnsi="Arial"/>
          <w:sz w:val="16"/>
          <w:szCs w:val="16"/>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w:t>
      </w:r>
    </w:p>
    <w:p>
      <w:pPr>
        <w:ind w:firstLine="8"/>
        <w:spacing w:after="0" w:line="261" w:lineRule="auto"/>
        <w:tabs>
          <w:tab w:leader="none" w:pos="278" w:val="left"/>
        </w:tabs>
        <w:numPr>
          <w:ilvl w:val="0"/>
          <w:numId w:val="401"/>
        </w:numPr>
        <w:rPr>
          <w:rFonts w:ascii="Arial" w:cs="Arial" w:eastAsia="Arial" w:hAnsi="Arial"/>
          <w:sz w:val="18"/>
          <w:szCs w:val="18"/>
          <w:color w:val="auto"/>
        </w:rPr>
      </w:pPr>
      <w:r>
        <w:rPr>
          <w:rFonts w:ascii="Arial" w:cs="Arial" w:eastAsia="Arial" w:hAnsi="Arial"/>
          <w:sz w:val="18"/>
          <w:szCs w:val="18"/>
          <w:color w:val="auto"/>
        </w:rPr>
        <w:t>any interest on any Loans when and as the same shall become due and payable, and such default under this clause (ii) shall continue unremedied for a period of five (5) Business Days;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585" w:right="239" w:bottom="1440" w:gutter="0" w:footer="0" w:header="0"/>
        </w:sectPr>
      </w:pPr>
    </w:p>
    <w:bookmarkStart w:id="355" w:name="page356"/>
    <w:bookmarkEnd w:id="355"/>
    <w:p>
      <w:pPr>
        <w:ind w:firstLine="656"/>
        <w:spacing w:after="0" w:line="342" w:lineRule="auto"/>
        <w:tabs>
          <w:tab w:leader="none" w:pos="1095"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default shall be made in the payment of any fee or any other amount (other than an amount referred to in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due under any Credit Document, when and as the same shall become due and payable, and such default shall continue unremedied for a period of five (5) Business Days;</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038"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Borrower or any Restricted Subsidiary of any covenant, condition, or agreement contained in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(with respect to Borrower only) or </w:t>
      </w:r>
      <w:r>
        <w:rPr>
          <w:rFonts w:ascii="Arial" w:cs="Arial" w:eastAsia="Arial" w:hAnsi="Arial"/>
          <w:sz w:val="18"/>
          <w:szCs w:val="18"/>
          <w:u w:val="single" w:color="auto"/>
          <w:color w:val="auto"/>
        </w:rPr>
        <w:t>9.04(d)</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(subject to, in the case of the Financial Maintenance Covenant, the cure rights contained in </w:t>
      </w:r>
      <w:r>
        <w:rPr>
          <w:rFonts w:ascii="Arial" w:cs="Arial" w:eastAsia="Arial" w:hAnsi="Arial"/>
          <w:sz w:val="18"/>
          <w:szCs w:val="18"/>
          <w:u w:val="single" w:color="auto"/>
          <w:color w:val="auto"/>
        </w:rPr>
        <w:t>Section 11.03</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only, in no case shall any default in the due observance or performance thereof during a Covenant Suspension Period constitute a Default or Event of Default);</w:t>
      </w:r>
    </w:p>
    <w:p>
      <w:pPr>
        <w:spacing w:after="0" w:line="186" w:lineRule="exact"/>
        <w:rPr>
          <w:rFonts w:ascii="Arial" w:cs="Arial" w:eastAsia="Arial" w:hAnsi="Arial"/>
          <w:sz w:val="18"/>
          <w:szCs w:val="18"/>
          <w:color w:val="auto"/>
        </w:rPr>
      </w:pPr>
    </w:p>
    <w:p>
      <w:pPr>
        <w:jc w:val="both"/>
        <w:ind w:firstLine="656"/>
        <w:spacing w:after="0" w:line="302" w:lineRule="auto"/>
        <w:tabs>
          <w:tab w:leader="none" w:pos="108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default shall be made in the due observance or performance by Borrower or any of its Restricted Subsidiaries of any covenant, condition or agreement contained in any Credit Document (other than those specified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11.01(d)</w:t>
      </w:r>
      <w:r>
        <w:rPr>
          <w:rFonts w:ascii="Arial" w:cs="Arial" w:eastAsia="Arial" w:hAnsi="Arial"/>
          <w:sz w:val="16"/>
          <w:szCs w:val="16"/>
          <w:color w:val="auto"/>
        </w:rPr>
        <w:t>)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154" w:lineRule="exact"/>
        <w:rPr>
          <w:rFonts w:ascii="Arial" w:cs="Arial" w:eastAsia="Arial" w:hAnsi="Arial"/>
          <w:sz w:val="16"/>
          <w:szCs w:val="16"/>
          <w:color w:val="auto"/>
        </w:rPr>
      </w:pPr>
    </w:p>
    <w:p>
      <w:pPr>
        <w:jc w:val="both"/>
        <w:ind w:firstLine="656"/>
        <w:spacing w:after="0" w:line="286" w:lineRule="auto"/>
        <w:tabs>
          <w:tab w:leader="none" w:pos="1022"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(x) clauses (i) and (ii) shall not apply to any offer to repurchase, prepay or redeem Indebtedness of a Person acquired in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(z) it shall not constitute an Event of Default pursuant to this paragraph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unless the aggregate amount of all such Indebtedness referred to in clauses (i) and (ii) exceeds $125.0 million at any one time;</w:t>
      </w:r>
    </w:p>
    <w:p>
      <w:pPr>
        <w:spacing w:after="0" w:line="174" w:lineRule="exact"/>
        <w:rPr>
          <w:rFonts w:ascii="Arial" w:cs="Arial" w:eastAsia="Arial" w:hAnsi="Arial"/>
          <w:sz w:val="16"/>
          <w:szCs w:val="16"/>
          <w:color w:val="auto"/>
        </w:rPr>
      </w:pPr>
    </w:p>
    <w:p>
      <w:pPr>
        <w:jc w:val="both"/>
        <w:ind w:firstLine="656"/>
        <w:spacing w:after="0" w:line="271" w:lineRule="auto"/>
        <w:tabs>
          <w:tab w:leader="none" w:pos="1038" w:val="left"/>
        </w:tabs>
        <w:numPr>
          <w:ilvl w:val="0"/>
          <w:numId w:val="402"/>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any of its Restricted Subsidiaries (other than any Immaterial Subsidiary); and such proceeding or petition shall continue undismissed for 60 days or an order or decree approving or ordering any of the foregoing shall be entered;</w:t>
      </w:r>
    </w:p>
    <w:p>
      <w:pPr>
        <w:spacing w:after="0" w:line="178" w:lineRule="exact"/>
        <w:rPr>
          <w:rFonts w:ascii="Arial" w:cs="Arial" w:eastAsia="Arial" w:hAnsi="Arial"/>
          <w:sz w:val="17"/>
          <w:szCs w:val="17"/>
          <w:color w:val="auto"/>
        </w:rPr>
      </w:pPr>
    </w:p>
    <w:p>
      <w:pPr>
        <w:jc w:val="both"/>
        <w:ind w:firstLine="656"/>
        <w:spacing w:after="0" w:line="293" w:lineRule="auto"/>
        <w:tabs>
          <w:tab w:leader="none" w:pos="1038" w:val="left"/>
        </w:tabs>
        <w:numPr>
          <w:ilvl w:val="0"/>
          <w:numId w:val="402"/>
        </w:numPr>
        <w:rPr>
          <w:rFonts w:ascii="Arial" w:cs="Arial" w:eastAsia="Arial" w:hAnsi="Arial"/>
          <w:sz w:val="16"/>
          <w:szCs w:val="16"/>
          <w:color w:val="auto"/>
        </w:rPr>
      </w:pPr>
      <w:r>
        <w:rPr>
          <w:rFonts w:ascii="Arial" w:cs="Arial" w:eastAsia="Arial" w:hAnsi="Arial"/>
          <w:sz w:val="16"/>
          <w:szCs w:val="16"/>
          <w:color w:val="auto"/>
        </w:rPr>
        <w:t xml:space="preserve">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w:t>
      </w:r>
      <w:r>
        <w:rPr>
          <w:rFonts w:ascii="Arial" w:cs="Arial" w:eastAsia="Arial" w:hAnsi="Arial"/>
          <w:sz w:val="16"/>
          <w:szCs w:val="16"/>
          <w:u w:val="single" w:color="auto"/>
          <w:color w:val="auto"/>
        </w:rPr>
        <w:t>Section 11.01(g)</w:t>
      </w:r>
      <w:r>
        <w:rPr>
          <w:rFonts w:ascii="Arial" w:cs="Arial" w:eastAsia="Arial" w:hAnsi="Arial"/>
          <w:sz w:val="16"/>
          <w:szCs w:val="16"/>
          <w:color w:val="auto"/>
        </w:rPr>
        <w:t>;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584" w:right="239" w:bottom="1440" w:gutter="0" w:footer="0" w:header="0"/>
        </w:sectPr>
      </w:pPr>
    </w:p>
    <w:bookmarkStart w:id="356" w:name="page357"/>
    <w:bookmarkEnd w:id="356"/>
    <w:p>
      <w:pPr>
        <w:jc w:val="both"/>
        <w:spacing w:after="0" w:line="264" w:lineRule="auto"/>
        <w:rPr>
          <w:sz w:val="20"/>
          <w:szCs w:val="20"/>
          <w:color w:val="auto"/>
        </w:rPr>
      </w:pPr>
      <w:r>
        <w:rPr>
          <w:rFonts w:ascii="Arial" w:cs="Arial" w:eastAsia="Arial" w:hAnsi="Arial"/>
          <w:sz w:val="18"/>
          <w:szCs w:val="18"/>
          <w:color w:val="auto"/>
        </w:rPr>
        <w:t>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1" w:lineRule="exact"/>
        <w:rPr>
          <w:sz w:val="20"/>
          <w:szCs w:val="20"/>
          <w:color w:val="auto"/>
        </w:rPr>
      </w:pPr>
    </w:p>
    <w:p>
      <w:pPr>
        <w:jc w:val="both"/>
        <w:ind w:firstLine="656"/>
        <w:spacing w:after="0" w:line="257" w:lineRule="auto"/>
        <w:tabs>
          <w:tab w:leader="none" w:pos="1025" w:val="left"/>
        </w:tabs>
        <w:numPr>
          <w:ilvl w:val="1"/>
          <w:numId w:val="403"/>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8" w:lineRule="exact"/>
        <w:rPr>
          <w:rFonts w:ascii="Arial" w:cs="Arial" w:eastAsia="Arial" w:hAnsi="Arial"/>
          <w:sz w:val="18"/>
          <w:szCs w:val="18"/>
          <w:color w:val="auto"/>
        </w:rPr>
      </w:pPr>
    </w:p>
    <w:p>
      <w:pPr>
        <w:ind w:firstLine="656"/>
        <w:spacing w:after="0" w:line="277" w:lineRule="auto"/>
        <w:tabs>
          <w:tab w:leader="none" w:pos="1025"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such ERISA Events, would reasonably be expected to result in a Material Adverse Effect;</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052" w:val="left"/>
        </w:tabs>
        <w:numPr>
          <w:ilvl w:val="1"/>
          <w:numId w:val="403"/>
        </w:numPr>
        <w:rPr>
          <w:rFonts w:ascii="Arial" w:cs="Arial" w:eastAsia="Arial" w:hAnsi="Arial"/>
          <w:sz w:val="16"/>
          <w:szCs w:val="16"/>
          <w:color w:val="auto"/>
        </w:rPr>
      </w:pPr>
      <w:r>
        <w:rPr>
          <w:rFonts w:ascii="Arial" w:cs="Arial" w:eastAsia="Arial" w:hAnsi="Arial"/>
          <w:sz w:val="16"/>
          <w:szCs w:val="16"/>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security interest in or Lien on the Collateral covered thereby, in each case, except (x) to the extent that any such perfection or priority is not required pursuant to this Agreement or the Security Documents or any loss thereof results from an act or omission (to the extent such Person is required to act) of Administrative Agent, Collateral Agent, or any other Secured Party and (y) as to Collateral consisting of Real Property to the extent that such losses are covered by a lender’s title insurance policy and such insurer has not denied coverage;</w:t>
      </w:r>
    </w:p>
    <w:p>
      <w:pPr>
        <w:spacing w:after="0" w:line="167" w:lineRule="exact"/>
        <w:rPr>
          <w:rFonts w:ascii="Arial" w:cs="Arial" w:eastAsia="Arial" w:hAnsi="Arial"/>
          <w:sz w:val="16"/>
          <w:szCs w:val="16"/>
          <w:color w:val="auto"/>
        </w:rPr>
      </w:pPr>
    </w:p>
    <w:p>
      <w:pPr>
        <w:jc w:val="both"/>
        <w:ind w:firstLine="656"/>
        <w:spacing w:after="0" w:line="264" w:lineRule="auto"/>
        <w:tabs>
          <w:tab w:leader="none" w:pos="998" w:val="left"/>
        </w:tabs>
        <w:numPr>
          <w:ilvl w:val="1"/>
          <w:numId w:val="403"/>
        </w:numPr>
        <w:rPr>
          <w:rFonts w:ascii="Arial" w:cs="Arial" w:eastAsia="Arial" w:hAnsi="Arial"/>
          <w:sz w:val="18"/>
          <w:szCs w:val="18"/>
          <w:color w:val="auto"/>
        </w:rPr>
      </w:pPr>
      <w:r>
        <w:rPr>
          <w:rFonts w:ascii="Arial" w:cs="Arial" w:eastAsia="Arial" w:hAnsi="Arial"/>
          <w:sz w:val="18"/>
          <w:szCs w:val="18"/>
          <w:color w:val="auto"/>
        </w:rPr>
        <w:t xml:space="preserve">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w:t>
      </w:r>
      <w:r>
        <w:rPr>
          <w:rFonts w:ascii="Arial" w:cs="Arial" w:eastAsia="Arial" w:hAnsi="Arial"/>
          <w:sz w:val="18"/>
          <w:szCs w:val="18"/>
          <w:u w:val="single" w:color="auto"/>
          <w:color w:val="auto"/>
        </w:rPr>
        <w:t>Sections 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8" w:val="left"/>
        </w:tabs>
        <w:numPr>
          <w:ilvl w:val="1"/>
          <w:numId w:val="403"/>
        </w:numPr>
        <w:rPr>
          <w:rFonts w:ascii="Arial" w:cs="Arial" w:eastAsia="Arial" w:hAnsi="Arial"/>
          <w:sz w:val="18"/>
          <w:szCs w:val="18"/>
          <w:color w:val="auto"/>
        </w:rPr>
      </w:pPr>
      <w:r>
        <w:rPr>
          <w:rFonts w:ascii="Arial" w:cs="Arial" w:eastAsia="Arial" w:hAnsi="Arial"/>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there shall have occurred a Change of Control;</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146"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the first proviso to the definition of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License Revocation continues for at least ninety (90) consecutive days after the earlier of</w:t>
      </w:r>
    </w:p>
    <w:p>
      <w:pPr>
        <w:spacing w:after="0" w:line="1" w:lineRule="exact"/>
        <w:rPr>
          <w:rFonts w:ascii="Arial" w:cs="Arial" w:eastAsia="Arial" w:hAnsi="Arial"/>
          <w:sz w:val="16"/>
          <w:szCs w:val="16"/>
          <w:color w:val="auto"/>
        </w:rPr>
      </w:pPr>
    </w:p>
    <w:p>
      <w:pPr>
        <w:ind w:right="20" w:firstLine="8"/>
        <w:spacing w:after="0" w:line="261" w:lineRule="auto"/>
        <w:tabs>
          <w:tab w:leader="none" w:pos="268"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092"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the provisions of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shall, in whole or in part, following such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Intercreditor Agreement or Second Lien Intercreditor Agreement being entered into, terminate, cease to be effective or cease to be legally valid,</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and enforceable against the Persons party thereto, except in accordance with its terms;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then, and in every such event (other than an event described in </w:t>
      </w:r>
      <w:r>
        <w:rPr>
          <w:rFonts w:ascii="Arial" w:cs="Arial" w:eastAsia="Arial" w:hAnsi="Arial"/>
          <w:sz w:val="18"/>
          <w:szCs w:val="18"/>
          <w:u w:val="single" w:color="auto"/>
          <w:color w:val="auto"/>
        </w:rPr>
        <w:t>Section 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xml:space="preserve"> with respect to Borrower), and at any time thereafter during the continuance of such event, Administrative Agent, at the request of the Required Lenders, shall, by notice to Borrower, take any or all of the following actions, at the same or different times: (i) terminate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584" w:right="239" w:bottom="1440" w:gutter="0" w:footer="0" w:header="0"/>
        </w:sectPr>
      </w:pPr>
    </w:p>
    <w:bookmarkStart w:id="357" w:name="page358"/>
    <w:bookmarkEnd w:id="357"/>
    <w:p>
      <w:pPr>
        <w:jc w:val="both"/>
        <w:spacing w:after="0" w:line="285" w:lineRule="auto"/>
        <w:rPr>
          <w:sz w:val="20"/>
          <w:szCs w:val="20"/>
          <w:color w:val="auto"/>
        </w:rPr>
      </w:pPr>
      <w:r>
        <w:rPr>
          <w:rFonts w:ascii="Arial" w:cs="Arial" w:eastAsia="Arial" w:hAnsi="Arial"/>
          <w:sz w:val="16"/>
          <w:szCs w:val="16"/>
          <w:color w:val="auto"/>
        </w:rPr>
        <w:t xml:space="preserve">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Credit Swap Contracts and Secured Cash Management Agreements), shall become forthwith due and payable, without presentment, demand, protest or any other notice of any kind, all of which are hereby expressly waived by Borrower, anything contained herein or in any other Credit Document (other than Credit Swap Contracts and Secured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with respect to Borrower, to pay) to Collateral Agent at the Principal Office such additional amounts of cash, to be held as security by Collateral Agent for L/C Liabilities then outstanding, equal to the aggregate L/C Liabilities then outstanding; and in any event described in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 then neither Administrative Agent, Collateral Agent, nor any other Secured Parties may take any of the actions set forth in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during the period commencing on the date that Administrative Agent receives a Notice of Intent to Cure and ending on the Cure Expiration Date with respect thereto in accordance with and to the extent permitted by </w:t>
      </w:r>
      <w:r>
        <w:rPr>
          <w:rFonts w:ascii="Arial" w:cs="Arial" w:eastAsia="Arial" w:hAnsi="Arial"/>
          <w:sz w:val="16"/>
          <w:szCs w:val="16"/>
          <w:u w:val="single" w:color="auto"/>
          <w:color w:val="auto"/>
        </w:rPr>
        <w:t>Section 11.03</w:t>
      </w:r>
      <w:r>
        <w:rPr>
          <w:rFonts w:ascii="Arial" w:cs="Arial" w:eastAsia="Arial" w:hAnsi="Arial"/>
          <w:sz w:val="16"/>
          <w:szCs w:val="16"/>
          <w:color w:val="auto"/>
        </w:rPr>
        <w:t>.</w:t>
      </w:r>
    </w:p>
    <w:p>
      <w:pPr>
        <w:spacing w:after="0" w:line="17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11.02. Application of Proceeds</w:t>
      </w:r>
      <w:r>
        <w:rPr>
          <w:rFonts w:ascii="Arial" w:cs="Arial" w:eastAsia="Arial" w:hAnsi="Arial"/>
          <w:sz w:val="17"/>
          <w:szCs w:val="17"/>
          <w:color w:val="auto"/>
        </w:rPr>
        <w:t>. Subject to the provisions of the Collateral Agency Intercreditor Agreement and any Pari Passu</w:t>
      </w:r>
      <w:r>
        <w:rPr>
          <w:rFonts w:ascii="Arial" w:cs="Arial" w:eastAsia="Arial" w:hAnsi="Arial"/>
          <w:sz w:val="17"/>
          <w:szCs w:val="17"/>
          <w:b w:val="1"/>
          <w:bCs w:val="1"/>
          <w:color w:val="auto"/>
        </w:rPr>
        <w:t xml:space="preserve"> </w:t>
      </w:r>
      <w:r>
        <w:rPr>
          <w:rFonts w:ascii="Arial" w:cs="Arial" w:eastAsia="Arial" w:hAnsi="Arial"/>
          <w:sz w:val="17"/>
          <w:szCs w:val="17"/>
          <w:color w:val="auto"/>
        </w:rPr>
        <w:t>Intercreditor Agreement, the proceeds received by Collateral Agent in respect of any sale of, collection from or other 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69" w:lineRule="exact"/>
        <w:rPr>
          <w:sz w:val="20"/>
          <w:szCs w:val="20"/>
          <w:color w:val="auto"/>
        </w:rPr>
      </w:pPr>
    </w:p>
    <w:p>
      <w:pPr>
        <w:jc w:val="both"/>
        <w:ind w:firstLine="656"/>
        <w:spacing w:after="0" w:line="259" w:lineRule="auto"/>
        <w:tabs>
          <w:tab w:leader="none" w:pos="1068"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costs and expenses, fees, commissions and taxes of such sale, collection or other realization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38"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all other reasonable costs and expenses of such sale, collection or other realization and of any receiver of any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81" w:lineRule="exact"/>
        <w:rPr>
          <w:rFonts w:ascii="Arial" w:cs="Arial" w:eastAsia="Arial" w:hAnsi="Arial"/>
          <w:sz w:val="18"/>
          <w:szCs w:val="18"/>
          <w:color w:val="auto"/>
        </w:rPr>
      </w:pPr>
    </w:p>
    <w:p>
      <w:pPr>
        <w:jc w:val="both"/>
        <w:ind w:firstLine="656"/>
        <w:spacing w:after="0" w:line="297" w:lineRule="auto"/>
        <w:tabs>
          <w:tab w:leader="none" w:pos="1068" w:val="left"/>
        </w:tabs>
        <w:numPr>
          <w:ilvl w:val="0"/>
          <w:numId w:val="405"/>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without duplication of amounts applied pursuant to clauses (a) 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i w:val="1"/>
          <w:iCs w:val="1"/>
          <w:color w:val="auto"/>
        </w:rPr>
        <w:t xml:space="preserve"> </w:t>
      </w:r>
      <w:r>
        <w:rPr>
          <w:rFonts w:ascii="Arial" w:cs="Arial" w:eastAsia="Arial" w:hAnsi="Arial"/>
          <w:sz w:val="16"/>
          <w:szCs w:val="16"/>
          <w:color w:val="auto"/>
        </w:rPr>
        <w:t>above, to the indefeasible payment in full in cash,</w:t>
      </w:r>
      <w:r>
        <w:rPr>
          <w:rFonts w:ascii="Arial" w:cs="Arial" w:eastAsia="Arial" w:hAnsi="Arial"/>
          <w:sz w:val="16"/>
          <w:szCs w:val="16"/>
          <w:i w:val="1"/>
          <w:iCs w:val="1"/>
          <w:color w:val="auto"/>
        </w:rPr>
        <w:t xml:space="preserve"> pro rata</w:t>
      </w:r>
      <w:r>
        <w:rPr>
          <w:rFonts w:ascii="Arial" w:cs="Arial" w:eastAsia="Arial" w:hAnsi="Arial"/>
          <w:sz w:val="16"/>
          <w:szCs w:val="16"/>
          <w:color w:val="auto"/>
        </w:rPr>
        <w:t>,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other amounts constituting Obligations (other than principal, reimbursement obligations in respect of L/C Liabilities and obligations to Cash Collateralize L/C Liabilities and amounts specified in clause (d)(y) below) and any fees, premiums and scheduled periodic payments due under Obligations arising under Secured Cash Management Agreements and Credit Swap Contracts that constitute Secured Obligations (as defined in the Security Agreement) and any interest accrued thereon, in each case equally and ratably in accordance with the respective amounts thereof then due and owing;</w:t>
      </w:r>
    </w:p>
    <w:p>
      <w:pPr>
        <w:spacing w:after="0" w:line="158" w:lineRule="exact"/>
        <w:rPr>
          <w:rFonts w:ascii="Arial" w:cs="Arial" w:eastAsia="Arial" w:hAnsi="Arial"/>
          <w:sz w:val="16"/>
          <w:szCs w:val="16"/>
          <w:color w:val="auto"/>
        </w:rPr>
      </w:pPr>
    </w:p>
    <w:p>
      <w:pPr>
        <w:jc w:val="both"/>
        <w:ind w:firstLine="656"/>
        <w:spacing w:after="0" w:line="259" w:lineRule="auto"/>
        <w:tabs>
          <w:tab w:leader="none" w:pos="1079"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(x) principal amount of the Obligations and any premium thereon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obligations in respect of L/C Liabilities and obligations to Cash Collateralize L/C Liabilities) and (y) any breakage, termination or other payments under Obligations arising under Secured Cash Management Agreements and Credit Swap Contracts that constitute Secured Obligations (as defined in the Security Agreement) and any interest accrued thereon;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584" w:right="239" w:bottom="1440" w:gutter="0" w:footer="0" w:header="0"/>
        </w:sectPr>
      </w:pPr>
    </w:p>
    <w:bookmarkStart w:id="358" w:name="page359"/>
    <w:bookmarkEnd w:id="358"/>
    <w:p>
      <w:pPr>
        <w:ind w:firstLine="656"/>
        <w:spacing w:after="0" w:line="277" w:lineRule="auto"/>
        <w:tabs>
          <w:tab w:leader="none" w:pos="1041"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the balance, if any, to the Person lawfully entitled thereto (including the applicable Credit Party or its successors or assigns) or as a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competent jurisdiction may direct.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the event that any such proceeds are insufficient to pay in full the items described in clauses (a)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11.02</w:t>
      </w:r>
      <w:r>
        <w:rPr>
          <w:rFonts w:ascii="Arial" w:cs="Arial" w:eastAsia="Arial" w:hAnsi="Arial"/>
          <w:sz w:val="18"/>
          <w:szCs w:val="18"/>
          <w:color w:val="auto"/>
        </w:rPr>
        <w:t>, the Credit Parties shall remain liable, jointly and severally, for any deficiency.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Collateral Agent pursuant to the terms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hereof for itself and its Affiliates as if a “Lender” party hereto.</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11.03. Borrower’s Right to Cure</w:t>
      </w:r>
      <w:r>
        <w:rPr>
          <w:rFonts w:ascii="Arial" w:cs="Arial" w:eastAsia="Arial" w:hAnsi="Arial"/>
          <w:sz w:val="16"/>
          <w:szCs w:val="16"/>
          <w:color w:val="auto"/>
        </w:rPr>
        <w:t>. Notwithstanding anything to the contrary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10.08</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11.01</w:t>
      </w:r>
      <w:r>
        <w:rPr>
          <w:rFonts w:ascii="Arial" w:cs="Arial" w:eastAsia="Arial" w:hAnsi="Arial"/>
          <w:sz w:val="16"/>
          <w:szCs w:val="16"/>
          <w:color w:val="auto"/>
        </w:rPr>
        <w:t>,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shall fail to comply with the Financial Maintenance Covenant, (i) any equity contribution (in the form of common equity or other equity having terms reasonably acceptable to Administrative Agent) made or contributed to Borrower after the last day of any fiscal quarter and on or prior to the day that is ten (10) Business Days after the day on which financial statements are required to be delivered for that fiscal quarter (such date, the “</w:t>
      </w:r>
      <w:r>
        <w:rPr>
          <w:rFonts w:ascii="Arial" w:cs="Arial" w:eastAsia="Arial" w:hAnsi="Arial"/>
          <w:sz w:val="16"/>
          <w:szCs w:val="16"/>
          <w:b w:val="1"/>
          <w:bCs w:val="1"/>
          <w:color w:val="auto"/>
        </w:rPr>
        <w:t>Cure Expiration Date</w:t>
      </w:r>
      <w:r>
        <w:rPr>
          <w:rFonts w:ascii="Arial" w:cs="Arial" w:eastAsia="Arial" w:hAnsi="Arial"/>
          <w:sz w:val="16"/>
          <w:szCs w:val="16"/>
          <w:color w:val="auto"/>
        </w:rPr>
        <w:t>”) will, at the request of Borrower, increase Consolidated EBITDA with respect to such applicable fiscal quarter solely for the purposes of determining compliance with the Financial Maintenance Covenant at the end of such fiscal quarter and any subsequent period that includes such fiscal quarter (any such equity contribution or cash proceeds, a “</w:t>
      </w:r>
      <w:r>
        <w:rPr>
          <w:rFonts w:ascii="Arial" w:cs="Arial" w:eastAsia="Arial" w:hAnsi="Arial"/>
          <w:sz w:val="16"/>
          <w:szCs w:val="16"/>
          <w:b w:val="1"/>
          <w:bCs w:val="1"/>
          <w:color w:val="auto"/>
        </w:rPr>
        <w:t>Specified Equity Contribution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Lender shall be required to make any extension of credit during 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w:t>
      </w:r>
    </w:p>
    <w:p>
      <w:pPr>
        <w:jc w:val="both"/>
        <w:ind w:firstLine="8"/>
        <w:spacing w:after="0" w:line="252" w:lineRule="auto"/>
        <w:tabs>
          <w:tab w:leader="none" w:pos="24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amount of any Specified Equity Contribution and the use of proceeds therefrom will be no greater than the amount required to cause Borrower to be in compliance with the Financial Maintenance Covenant,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the Financial Maintenance Covenant)),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the Financial Maintenance Covenant for the fiscal quarter for which such Specified Equity Contribution was made.</w:t>
      </w:r>
    </w:p>
    <w:p>
      <w:pPr>
        <w:spacing w:after="0" w:line="192"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AGENTS</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12.01. Appointment</w:t>
      </w:r>
      <w:r>
        <w:rPr>
          <w:rFonts w:ascii="Arial" w:cs="Arial" w:eastAsia="Arial" w:hAnsi="Arial"/>
          <w:sz w:val="17"/>
          <w:szCs w:val="17"/>
          <w:color w:val="auto"/>
        </w:rPr>
        <w:t>. Each of the Lenders hereby irrevocably appoints DB to act on its behalf as Administrative Agent and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hereunder and under the other Credit Documents, and authorizes Administrative Agent and Collateral Agent to take such actions on its behalf and to exercise such powers as are delegated to Administrative Agent or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584" w:right="239" w:bottom="1440" w:gutter="0" w:footer="0" w:header="0"/>
        </w:sectPr>
      </w:pPr>
    </w:p>
    <w:bookmarkStart w:id="359" w:name="page360"/>
    <w:bookmarkEnd w:id="359"/>
    <w:p>
      <w:pPr>
        <w:jc w:val="both"/>
        <w:spacing w:after="0" w:line="270" w:lineRule="auto"/>
        <w:rPr>
          <w:sz w:val="20"/>
          <w:szCs w:val="20"/>
          <w:color w:val="auto"/>
        </w:rPr>
      </w:pPr>
      <w:r>
        <w:rPr>
          <w:rFonts w:ascii="Arial" w:cs="Arial" w:eastAsia="Arial" w:hAnsi="Arial"/>
          <w:sz w:val="17"/>
          <w:szCs w:val="17"/>
          <w:color w:val="auto"/>
        </w:rPr>
        <w:t xml:space="preserve">to the benefits of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as applicable. Each of the Lenders hereby irrevocably authorize each of the Agents (other than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are solely for the benefit of the Agents and the Lenders, and neither Borrower nor any other Credit Party shall have rights as a third party beneficiary of any of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except to the extent set forth in this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12.07(b)</w:t>
      </w:r>
      <w:r>
        <w:rPr>
          <w:rFonts w:ascii="Arial" w:cs="Arial" w:eastAsia="Arial" w:hAnsi="Arial"/>
          <w:sz w:val="17"/>
          <w:szCs w:val="17"/>
          <w:color w:val="auto"/>
        </w:rPr>
        <w:t>.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12.02. Rights as a Lender</w:t>
      </w:r>
      <w:r>
        <w:rPr>
          <w:rFonts w:ascii="Arial" w:cs="Arial" w:eastAsia="Arial" w:hAnsi="Arial"/>
          <w:sz w:val="17"/>
          <w:szCs w:val="17"/>
          <w:color w:val="auto"/>
        </w:rPr>
        <w:t>. Any Person serving as an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 Each Lender and L/C Issuer (i) acknowledges that, in connection with this Agreement and the transactions contemplated hereby, such Person and its Affiliates may have interests that differ from those of such Lender or L/C Issuer, as applicable, and (ii) agrees that it will not assert any claim against Administrative Agent or its Affiliates based on an alleged conflict of interest of such Person in connection with this Agreement and the transactions contemplated hereby.</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12.03.</w:t>
      </w:r>
      <w:r>
        <w:rPr>
          <w:sz w:val="20"/>
          <w:szCs w:val="20"/>
          <w:color w:val="auto"/>
        </w:rPr>
        <w:tab/>
      </w:r>
      <w:r>
        <w:rPr>
          <w:rFonts w:ascii="Arial" w:cs="Arial" w:eastAsia="Arial" w:hAnsi="Arial"/>
          <w:sz w:val="16"/>
          <w:szCs w:val="16"/>
          <w:b w:val="1"/>
          <w:bCs w:val="1"/>
          <w:color w:val="auto"/>
        </w:rPr>
        <w:t>Exculpatory Provisions</w:t>
      </w:r>
      <w:r>
        <w:rPr>
          <w:rFonts w:ascii="Arial" w:cs="Arial" w:eastAsia="Arial" w:hAnsi="Arial"/>
          <w:sz w:val="16"/>
          <w:szCs w:val="16"/>
          <w:color w:val="auto"/>
        </w:rPr>
        <w:t>. No Agent shall have any duties or obligations except those expressly set forth herein and in the other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Credit Documents, and each Agent’s duties hereunder shall be administrative in nature. Without limiting the generality of the foregoing, no Agent:</w:t>
      </w:r>
    </w:p>
    <w:p>
      <w:pPr>
        <w:spacing w:after="0" w:line="222" w:lineRule="exact"/>
        <w:rPr>
          <w:sz w:val="20"/>
          <w:szCs w:val="20"/>
          <w:color w:val="auto"/>
        </w:rPr>
      </w:pPr>
    </w:p>
    <w:p>
      <w:pPr>
        <w:ind w:firstLine="656"/>
        <w:spacing w:after="0" w:line="277" w:lineRule="auto"/>
        <w:tabs>
          <w:tab w:leader="none" w:pos="104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with respect to any Credit Party, any Lender or any other Person, regardless of whether a Default has occurred and is continuing;</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06" w:val="left"/>
        </w:tabs>
        <w:numPr>
          <w:ilvl w:val="0"/>
          <w:numId w:val="408"/>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41" w:val="left"/>
        </w:tabs>
        <w:numPr>
          <w:ilvl w:val="0"/>
          <w:numId w:val="408"/>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 Agent shall be liable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13.04</w:t>
      </w:r>
      <w:r>
        <w:rPr>
          <w:rFonts w:ascii="Arial" w:cs="Arial" w:eastAsia="Arial" w:hAnsi="Arial"/>
          <w:sz w:val="18"/>
          <w:szCs w:val="18"/>
          <w:color w:val="auto"/>
        </w:rPr>
        <w:t>)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Agent shall be responsible for or have any duty to ascertain or inquire into (i) any statement, warranty or representation made in or in connection with this Agreement or any other Credit Document, (ii) the contents of 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585" w:right="239" w:bottom="1440" w:gutter="0" w:footer="0" w:header="0"/>
        </w:sectPr>
      </w:pPr>
    </w:p>
    <w:bookmarkStart w:id="360" w:name="page361"/>
    <w:bookmarkEnd w:id="360"/>
    <w:p>
      <w:pPr>
        <w:jc w:val="both"/>
        <w:spacing w:after="0" w:line="255" w:lineRule="auto"/>
        <w:rPr>
          <w:sz w:val="20"/>
          <w:szCs w:val="20"/>
          <w:color w:val="auto"/>
        </w:rPr>
      </w:pPr>
      <w:r>
        <w:rPr>
          <w:rFonts w:ascii="Arial" w:cs="Arial" w:eastAsia="Arial" w:hAnsi="Arial"/>
          <w:sz w:val="18"/>
          <w:szCs w:val="18"/>
          <w:color w:val="auto"/>
        </w:rPr>
        <w:t xml:space="preserve">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(v) the satisfaction of any condition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elsewhere herein, other than to confirm receipt of items expressly required to be delivered to such Agent or (vi) any representation or warranty regarding the existence, value or collectability of the Collateral, the existence, priority or perfection of Collateral Agent’s Lien thereon, or any certificate prepared by any Credit Party in connection therewith, nor shall any Agent be responsible or liable to the Lenders for any failure to monitor or maintain any portion of the Collateral.</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Administrative Agent shall not be responsible or have any liability for, or have any duty to ascertain, inquire into, monitor or enforce, compliance with the provisions hereof relating to Disqualified Lenders. Without limiting the generality of the foregoing, Administrative Agent shall not (x) be obligated to ascertain, monitor or inquire as to whether any Lender or participant or prospective Lender or participant is (i) a Disqualified Lender, (ii) a Person subject to Disqualification or (iii) a Net Short Lender and (y) have any liability with respect to or arising out of any assignment or participation of Loans or Commitments, or disclosure of confidential information, to (i) any Disqualified Lender, (ii) a Person subject to Disqualification or (iii) a Net Short Lender. Administrative Agent does not warrant, nor accept responsibility, nor shall Administrative Agent have any liability with respect to the administration, submission or any other matter related to the rates in the definition of “LIBO Rate” or with respect to any comparable or successor rate thereto.</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12.04. Reliance by Agents</w:t>
      </w:r>
      <w:r>
        <w:rPr>
          <w:rFonts w:ascii="Arial" w:cs="Arial" w:eastAsia="Arial" w:hAnsi="Arial"/>
          <w:sz w:val="17"/>
          <w:szCs w:val="17"/>
          <w:color w:val="auto"/>
        </w:rPr>
        <w:t>. Each Agent shall be entitled to rely upon, and shall not incur any liability for relying upon, any notice,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12.05. Delegation of Duties. </w:t>
      </w:r>
      <w:r>
        <w:rPr>
          <w:rFonts w:ascii="Arial" w:cs="Arial" w:eastAsia="Arial" w:hAnsi="Arial"/>
          <w:sz w:val="17"/>
          <w:szCs w:val="17"/>
          <w:color w:val="auto"/>
        </w:rPr>
        <w:t>Each Agent may perform any and all of its duties and exercise its rights and powers hereunder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non-appealable judgment that an Agent acted with gross negligence, bad faith or willful misconduct in the selection of such sub-agents.</w:t>
      </w:r>
    </w:p>
    <w:p>
      <w:pPr>
        <w:spacing w:after="0" w:line="17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12.06.</w:t>
      </w:r>
      <w:r>
        <w:rPr>
          <w:sz w:val="20"/>
          <w:szCs w:val="20"/>
          <w:color w:val="auto"/>
        </w:rPr>
        <w:tab/>
      </w:r>
      <w:r>
        <w:rPr>
          <w:rFonts w:ascii="Arial" w:cs="Arial" w:eastAsia="Arial" w:hAnsi="Arial"/>
          <w:sz w:val="16"/>
          <w:szCs w:val="16"/>
          <w:b w:val="1"/>
          <w:bCs w:val="1"/>
          <w:color w:val="auto"/>
        </w:rPr>
        <w:t>Resignation of Administrative Agent and Collateral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05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11.01(c)</w:t>
      </w:r>
      <w:r>
        <w:rPr>
          <w:rFonts w:ascii="Arial" w:cs="Arial" w:eastAsia="Arial" w:hAnsi="Arial"/>
          <w:sz w:val="18"/>
          <w:szCs w:val="18"/>
          <w:color w:val="auto"/>
        </w:rPr>
        <w:t xml:space="preserve"> or an Event of Default specified in </w:t>
      </w:r>
      <w:r>
        <w:rPr>
          <w:rFonts w:ascii="Arial" w:cs="Arial" w:eastAsia="Arial" w:hAnsi="Arial"/>
          <w:sz w:val="18"/>
          <w:szCs w:val="18"/>
          <w:u w:val="single" w:color="auto"/>
          <w:color w:val="auto"/>
        </w:rPr>
        <w:t>Section 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xml:space="preserve">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584" w:right="239" w:bottom="1440" w:gutter="0" w:footer="0" w:header="0"/>
        </w:sectPr>
      </w:pPr>
    </w:p>
    <w:bookmarkStart w:id="361" w:name="page362"/>
    <w:bookmarkEnd w:id="361"/>
    <w:p>
      <w:pPr>
        <w:jc w:val="both"/>
        <w:spacing w:after="0" w:line="279" w:lineRule="auto"/>
        <w:rPr>
          <w:sz w:val="20"/>
          <w:szCs w:val="20"/>
          <w:color w:val="auto"/>
        </w:rPr>
      </w:pPr>
      <w:r>
        <w:rPr>
          <w:rFonts w:ascii="Arial" w:cs="Arial" w:eastAsia="Arial" w:hAnsi="Arial"/>
          <w:sz w:val="17"/>
          <w:szCs w:val="17"/>
          <w:color w:val="auto"/>
        </w:rPr>
        <w:t xml:space="preserve">specified in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11.01(c)</w:t>
      </w:r>
      <w:r>
        <w:rPr>
          <w:rFonts w:ascii="Arial" w:cs="Arial" w:eastAsia="Arial" w:hAnsi="Arial"/>
          <w:sz w:val="17"/>
          <w:szCs w:val="17"/>
          <w:color w:val="auto"/>
        </w:rPr>
        <w:t xml:space="preserve"> or an Event of Default specified in </w:t>
      </w:r>
      <w:r>
        <w:rPr>
          <w:rFonts w:ascii="Arial" w:cs="Arial" w:eastAsia="Arial" w:hAnsi="Arial"/>
          <w:sz w:val="17"/>
          <w:szCs w:val="17"/>
          <w:u w:val="single" w:color="auto"/>
          <w:color w:val="auto"/>
        </w:rPr>
        <w:t>Section 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with respect to Borrower has occurred and is continuing)) (the “</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71" w:lineRule="exact"/>
        <w:rPr>
          <w:sz w:val="20"/>
          <w:szCs w:val="20"/>
          <w:color w:val="auto"/>
        </w:rPr>
      </w:pPr>
    </w:p>
    <w:p>
      <w:pPr>
        <w:jc w:val="both"/>
        <w:ind w:firstLine="656"/>
        <w:spacing w:after="0" w:line="276" w:lineRule="auto"/>
        <w:tabs>
          <w:tab w:leader="none" w:pos="1052" w:val="left"/>
        </w:tabs>
        <w:numPr>
          <w:ilvl w:val="1"/>
          <w:numId w:val="410"/>
        </w:numPr>
        <w:rPr>
          <w:rFonts w:ascii="Arial" w:cs="Arial" w:eastAsia="Arial" w:hAnsi="Arial"/>
          <w:sz w:val="17"/>
          <w:szCs w:val="17"/>
          <w:color w:val="auto"/>
        </w:rPr>
      </w:pPr>
      <w:r>
        <w:rPr>
          <w:rFonts w:ascii="Arial" w:cs="Arial" w:eastAsia="Arial" w:hAnsi="Arial"/>
          <w:sz w:val="17"/>
          <w:szCs w:val="17"/>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jc w:val="both"/>
        <w:ind w:firstLine="656"/>
        <w:spacing w:after="0" w:line="267" w:lineRule="auto"/>
        <w:tabs>
          <w:tab w:leader="none" w:pos="1028" w:val="left"/>
        </w:tabs>
        <w:numPr>
          <w:ilvl w:val="1"/>
          <w:numId w:val="410"/>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Administrative Agent or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w:t>
      </w:r>
      <w:r>
        <w:rPr>
          <w:rFonts w:ascii="Arial" w:cs="Arial" w:eastAsia="Arial" w:hAnsi="Arial"/>
          <w:sz w:val="17"/>
          <w:szCs w:val="17"/>
          <w:u w:val="single" w:color="auto"/>
          <w:color w:val="auto"/>
        </w:rPr>
        <w:t>Section 12.06(c)</w:t>
      </w:r>
      <w:r>
        <w:rPr>
          <w:rFonts w:ascii="Arial" w:cs="Arial" w:eastAsia="Arial" w:hAnsi="Arial"/>
          <w:sz w:val="17"/>
          <w:szCs w:val="17"/>
          <w:color w:val="auto"/>
        </w:rPr>
        <w:t xml:space="preserve">).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91" w:lineRule="exact"/>
        <w:rPr>
          <w:rFonts w:ascii="Arial" w:cs="Arial" w:eastAsia="Arial" w:hAnsi="Arial"/>
          <w:sz w:val="17"/>
          <w:szCs w:val="17"/>
          <w:color w:val="auto"/>
        </w:rPr>
      </w:pPr>
    </w:p>
    <w:p>
      <w:pPr>
        <w:jc w:val="both"/>
        <w:ind w:firstLine="656"/>
        <w:spacing w:after="0" w:line="284" w:lineRule="auto"/>
        <w:tabs>
          <w:tab w:leader="none" w:pos="1065" w:val="left"/>
        </w:tabs>
        <w:numPr>
          <w:ilvl w:val="1"/>
          <w:numId w:val="410"/>
        </w:numPr>
        <w:rPr>
          <w:rFonts w:ascii="Arial" w:cs="Arial" w:eastAsia="Arial" w:hAnsi="Arial"/>
          <w:sz w:val="16"/>
          <w:szCs w:val="16"/>
          <w:color w:val="auto"/>
        </w:rPr>
      </w:pPr>
      <w:r>
        <w:rPr>
          <w:rFonts w:ascii="Arial" w:cs="Arial" w:eastAsia="Arial" w:hAnsi="Arial"/>
          <w:sz w:val="16"/>
          <w:szCs w:val="16"/>
          <w:color w:val="auto"/>
        </w:rPr>
        <w:t xml:space="preserve">Any resignation by DB as Administrative Agent and Collateral Agent pursuant to this </w:t>
      </w:r>
      <w:r>
        <w:rPr>
          <w:rFonts w:ascii="Arial" w:cs="Arial" w:eastAsia="Arial" w:hAnsi="Arial"/>
          <w:sz w:val="16"/>
          <w:szCs w:val="16"/>
          <w:u w:val="single" w:color="auto"/>
          <w:color w:val="auto"/>
        </w:rPr>
        <w:t>Section 12.06(d)</w:t>
      </w:r>
      <w:r>
        <w:rPr>
          <w:rFonts w:ascii="Arial" w:cs="Arial" w:eastAsia="Arial" w:hAnsi="Arial"/>
          <w:sz w:val="16"/>
          <w:szCs w:val="16"/>
          <w:color w:val="auto"/>
        </w:rPr>
        <w:t xml:space="preserve">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w:t>
      </w:r>
      <w:r>
        <w:rPr>
          <w:rFonts w:ascii="Arial" w:cs="Arial" w:eastAsia="Arial" w:hAnsi="Arial"/>
          <w:sz w:val="16"/>
          <w:szCs w:val="16"/>
          <w:u w:val="single" w:color="auto"/>
          <w:color w:val="auto"/>
        </w:rPr>
        <w:t>Sections 2.03(e)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w:t>
      </w:r>
    </w:p>
    <w:p>
      <w:pPr>
        <w:spacing w:after="0" w:line="2" w:lineRule="exact"/>
        <w:rPr>
          <w:rFonts w:ascii="Arial" w:cs="Arial" w:eastAsia="Arial" w:hAnsi="Arial"/>
          <w:sz w:val="16"/>
          <w:szCs w:val="16"/>
          <w:color w:val="auto"/>
        </w:rPr>
      </w:pPr>
    </w:p>
    <w:p>
      <w:pPr>
        <w:jc w:val="both"/>
        <w:ind w:firstLine="8"/>
        <w:spacing w:after="0" w:line="255" w:lineRule="auto"/>
        <w:tabs>
          <w:tab w:leader="none" w:pos="253"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584" w:right="239" w:bottom="1440" w:gutter="0" w:footer="0" w:header="0"/>
        </w:sectPr>
      </w:pPr>
    </w:p>
    <w:bookmarkStart w:id="362" w:name="page363"/>
    <w:bookmarkEnd w:id="362"/>
    <w:p>
      <w:pPr>
        <w:jc w:val="both"/>
        <w:ind w:firstLine="656"/>
        <w:spacing w:after="0" w:line="264" w:lineRule="auto"/>
        <w:tabs>
          <w:tab w:leader="none" w:pos="1028"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To the extent required by applicable Gaming Laws or the conditions of any Gaming Approval, Administrative Agent and Collateral Agent shall notify the applicable Gaming Authorities of any change in Administrative Agent or Collateral Agent. Borrower shall provide advice and assistance to Administrative Agent and Collateral Agent in making such notifications.</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12.07.</w:t>
      </w:r>
      <w:r>
        <w:rPr>
          <w:sz w:val="20"/>
          <w:szCs w:val="20"/>
          <w:color w:val="auto"/>
        </w:rPr>
        <w:tab/>
      </w:r>
      <w:r>
        <w:rPr>
          <w:rFonts w:ascii="Arial" w:cs="Arial" w:eastAsia="Arial" w:hAnsi="Arial"/>
          <w:sz w:val="16"/>
          <w:szCs w:val="16"/>
          <w:b w:val="1"/>
          <w:bCs w:val="1"/>
          <w:color w:val="auto"/>
        </w:rPr>
        <w:t>Nonreliance on Agents and Other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7" w:lineRule="auto"/>
        <w:tabs>
          <w:tab w:leader="none" w:pos="1041" w:val="left"/>
        </w:tabs>
        <w:numPr>
          <w:ilvl w:val="1"/>
          <w:numId w:val="413"/>
        </w:numPr>
        <w:rPr>
          <w:rFonts w:ascii="Arial" w:cs="Arial" w:eastAsia="Arial" w:hAnsi="Arial"/>
          <w:sz w:val="16"/>
          <w:szCs w:val="16"/>
          <w:color w:val="auto"/>
        </w:rPr>
      </w:pPr>
      <w:r>
        <w:rPr>
          <w:rFonts w:ascii="Arial" w:cs="Arial" w:eastAsia="Arial" w:hAnsi="Arial"/>
          <w:sz w:val="16"/>
          <w:szCs w:val="16"/>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58" w:lineRule="exact"/>
        <w:rPr>
          <w:rFonts w:ascii="Arial" w:cs="Arial" w:eastAsia="Arial" w:hAnsi="Arial"/>
          <w:sz w:val="16"/>
          <w:szCs w:val="16"/>
          <w:color w:val="auto"/>
        </w:rPr>
      </w:pPr>
    </w:p>
    <w:p>
      <w:pPr>
        <w:jc w:val="both"/>
        <w:ind w:right="20" w:firstLine="656"/>
        <w:spacing w:after="0" w:line="291" w:lineRule="auto"/>
        <w:tabs>
          <w:tab w:leader="none" w:pos="1052" w:val="left"/>
        </w:tabs>
        <w:numPr>
          <w:ilvl w:val="1"/>
          <w:numId w:val="413"/>
        </w:numPr>
        <w:rPr>
          <w:rFonts w:ascii="Arial" w:cs="Arial" w:eastAsia="Arial" w:hAnsi="Arial"/>
          <w:sz w:val="16"/>
          <w:szCs w:val="16"/>
          <w:color w:val="auto"/>
        </w:rPr>
      </w:pPr>
      <w:r>
        <w:rPr>
          <w:rFonts w:ascii="Arial" w:cs="Arial" w:eastAsia="Arial" w:hAnsi="Arial"/>
          <w:sz w:val="16"/>
          <w:szCs w:val="16"/>
          <w:color w:val="auto"/>
        </w:rPr>
        <w:t xml:space="preserve">Each Lender acknowledges that in connection with Borrower Loan Purchases, (i) Borrower may purchase or acquire Term Loans or Revolving Loans hereunder from the Lenders from time to time, subject to the restrictions set forth in the definition of “Eligible Assignee” and in </w:t>
      </w:r>
      <w:r>
        <w:rPr>
          <w:rFonts w:ascii="Arial" w:cs="Arial" w:eastAsia="Arial" w:hAnsi="Arial"/>
          <w:sz w:val="16"/>
          <w:szCs w:val="16"/>
          <w:u w:val="single" w:color="auto"/>
          <w:color w:val="auto"/>
        </w:rPr>
        <w:t>Section 13.05(d)</w:t>
      </w:r>
      <w:r>
        <w:rPr>
          <w:rFonts w:ascii="Arial" w:cs="Arial" w:eastAsia="Arial" w:hAnsi="Arial"/>
          <w:sz w:val="16"/>
          <w:szCs w:val="16"/>
          <w:color w:val="auto"/>
        </w:rPr>
        <w:t>,</w:t>
      </w:r>
    </w:p>
    <w:p>
      <w:pPr>
        <w:jc w:val="both"/>
        <w:ind w:firstLine="8"/>
        <w:spacing w:after="0" w:line="268" w:lineRule="auto"/>
        <w:tabs>
          <w:tab w:leader="none" w:pos="276" w:val="left"/>
        </w:tabs>
        <w:numPr>
          <w:ilvl w:val="0"/>
          <w:numId w:val="414"/>
        </w:numPr>
        <w:rPr>
          <w:rFonts w:ascii="Arial" w:cs="Arial" w:eastAsia="Arial" w:hAnsi="Arial"/>
          <w:sz w:val="17"/>
          <w:szCs w:val="17"/>
          <w:color w:val="auto"/>
        </w:rPr>
      </w:pPr>
      <w:r>
        <w:rPr>
          <w:rFonts w:ascii="Arial" w:cs="Arial" w:eastAsia="Arial" w:hAnsi="Arial"/>
          <w:sz w:val="17"/>
          <w:szCs w:val="17"/>
          <w:color w:val="auto"/>
        </w:rPr>
        <w:t>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Arial" w:cs="Arial" w:eastAsia="Arial" w:hAnsi="Arial"/>
          <w:sz w:val="17"/>
          <w:szCs w:val="17"/>
          <w:b w:val="1"/>
          <w:bCs w:val="1"/>
          <w:color w:val="auto"/>
        </w:rPr>
        <w:t>Excluded Information</w:t>
      </w:r>
      <w:r>
        <w:rPr>
          <w:rFonts w:ascii="Arial" w:cs="Arial" w:eastAsia="Arial" w:hAnsi="Arial"/>
          <w:sz w:val="17"/>
          <w:szCs w:val="17"/>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Excluded Information shall not and does not affect the truth or accuracy of the representations or warranties of Borrower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Terms and Conditions” set forth in the applicable assignment agreement. Each Lender further acknowledges that the Excluded Information may not be available to Administrative Agent, Auction Manager or the other Lenders hereunder.</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12.08. Indemnification</w:t>
      </w:r>
      <w:r>
        <w:rPr>
          <w:rFonts w:ascii="Arial" w:cs="Arial" w:eastAsia="Arial" w:hAnsi="Arial"/>
          <w:sz w:val="17"/>
          <w:szCs w:val="17"/>
          <w:color w:val="auto"/>
        </w:rPr>
        <w:t>. The Lenders agree to reimburse and indemnify each Agent in its capacity as such ratably according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Commitment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w:t>
      </w:r>
      <w:r>
        <w:rPr>
          <w:rFonts w:ascii="Arial" w:cs="Arial" w:eastAsia="Arial" w:hAnsi="Arial"/>
          <w:sz w:val="17"/>
          <w:szCs w:val="17"/>
          <w:u w:val="single" w:color="auto"/>
          <w:color w:val="auto"/>
        </w:rPr>
        <w:t>Section 12.08</w:t>
      </w:r>
      <w:r>
        <w:rPr>
          <w:rFonts w:ascii="Arial" w:cs="Arial" w:eastAsia="Arial" w:hAnsi="Arial"/>
          <w:sz w:val="17"/>
          <w:szCs w:val="17"/>
          <w:color w:val="auto"/>
        </w:rPr>
        <w:t xml:space="preserve"> shall survive the payment of all Obligations.</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12.09. No Other Duties</w:t>
      </w:r>
      <w:r>
        <w:rPr>
          <w:rFonts w:ascii="Arial" w:cs="Arial" w:eastAsia="Arial" w:hAnsi="Arial"/>
          <w:sz w:val="18"/>
          <w:szCs w:val="18"/>
          <w:color w:val="auto"/>
        </w:rPr>
        <w:t>. Anything herein to the contrary notwithstanding, none of Administrative Agent, Collateral Agent, or Lead</w:t>
      </w:r>
      <w:r>
        <w:rPr>
          <w:rFonts w:ascii="Arial" w:cs="Arial" w:eastAsia="Arial" w:hAnsi="Arial"/>
          <w:sz w:val="18"/>
          <w:szCs w:val="18"/>
          <w:b w:val="1"/>
          <w:bCs w:val="1"/>
          <w:color w:val="auto"/>
        </w:rPr>
        <w:t xml:space="preserve"> </w:t>
      </w:r>
      <w:r>
        <w:rPr>
          <w:rFonts w:ascii="Arial" w:cs="Arial" w:eastAsia="Arial" w:hAnsi="Arial"/>
          <w:sz w:val="18"/>
          <w:szCs w:val="18"/>
          <w:color w:val="auto"/>
        </w:rPr>
        <w:t>Arrangers shall have any powers, duties or responsibilities under this Agreement or any of the other Credit Documents, except in its capacity, as applicable, as Administrative Agent, Collateral Agent, an L/C Lender, the Auction Manager or a Lender hereunder.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584" w:right="239" w:bottom="1440" w:gutter="0" w:footer="0" w:header="0"/>
        </w:sectPr>
      </w:pPr>
    </w:p>
    <w:bookmarkStart w:id="363" w:name="page364"/>
    <w:bookmarkEnd w:id="363"/>
    <w:p>
      <w:pPr>
        <w:jc w:val="both"/>
        <w:ind w:firstLine="648"/>
        <w:spacing w:after="0" w:line="258" w:lineRule="auto"/>
        <w:rPr>
          <w:sz w:val="20"/>
          <w:szCs w:val="20"/>
          <w:color w:val="auto"/>
        </w:rPr>
      </w:pPr>
      <w:r>
        <w:rPr>
          <w:rFonts w:ascii="Arial" w:cs="Arial" w:eastAsia="Arial" w:hAnsi="Arial"/>
          <w:sz w:val="18"/>
          <w:szCs w:val="18"/>
          <w:b w:val="1"/>
          <w:bCs w:val="1"/>
          <w:color w:val="auto"/>
        </w:rPr>
        <w:t>SECTION 12.10. Holders</w:t>
      </w:r>
      <w:r>
        <w:rPr>
          <w:rFonts w:ascii="Arial" w:cs="Arial" w:eastAsia="Arial" w:hAnsi="Arial"/>
          <w:sz w:val="18"/>
          <w:szCs w:val="18"/>
          <w:color w:val="auto"/>
        </w:rPr>
        <w:t>. Administrative Agent may deem and treat the payee of any Note as the owner thereof for all purposes 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8"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b w:val="1"/>
          <w:bCs w:val="1"/>
          <w:color w:val="auto"/>
        </w:rPr>
        <w:t>SECTION 12.11. Administrative Agent May File Proofs of Claim</w:t>
      </w:r>
      <w:r>
        <w:rPr>
          <w:rFonts w:ascii="Arial" w:cs="Arial" w:eastAsia="Arial" w:hAnsi="Arial"/>
          <w:sz w:val="21"/>
          <w:szCs w:val="21"/>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of the pendency of any proceeding under any Debtor Relief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judicial proceeding relative to any Credit Party, Administrative Agent (irrespective of whether the principal of any Loan or L/C Liability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160" w:lineRule="exact"/>
        <w:rPr>
          <w:sz w:val="20"/>
          <w:szCs w:val="20"/>
          <w:color w:val="auto"/>
        </w:rPr>
      </w:pPr>
    </w:p>
    <w:p>
      <w:pPr>
        <w:jc w:val="both"/>
        <w:ind w:firstLine="656"/>
        <w:spacing w:after="0" w:line="302" w:lineRule="auto"/>
        <w:tabs>
          <w:tab w:leader="none" w:pos="1068"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13.03</w:t>
      </w:r>
      <w:r>
        <w:rPr>
          <w:rFonts w:ascii="Arial" w:cs="Arial" w:eastAsia="Arial" w:hAnsi="Arial"/>
          <w:sz w:val="16"/>
          <w:szCs w:val="16"/>
          <w:color w:val="auto"/>
        </w:rPr>
        <w:t>) allowed in such judicial proceeding; and</w:t>
      </w:r>
    </w:p>
    <w:p>
      <w:pPr>
        <w:spacing w:after="0" w:line="154" w:lineRule="exact"/>
        <w:rPr>
          <w:rFonts w:ascii="Arial" w:cs="Arial" w:eastAsia="Arial" w:hAnsi="Arial"/>
          <w:sz w:val="16"/>
          <w:szCs w:val="16"/>
          <w:color w:val="auto"/>
        </w:rPr>
      </w:pPr>
    </w:p>
    <w:p>
      <w:pPr>
        <w:ind w:left="1040" w:hanging="384"/>
        <w:spacing w:after="0"/>
        <w:tabs>
          <w:tab w:leader="none" w:pos="10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Secured Party by accepting the benefits of the Collateral) to make such payments to Administrative Agent and, in the event that Administrative Agent shall consent to the making of such payments directly to the Secured Parties, to pay to Administrative Agent any amount due for the reasonable compensation, expenses, disbursements and advances of Administrative Agent and its agents and counsel, and any other amounts due Administrative Agent under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13.03</w:t>
      </w:r>
      <w:r>
        <w:rPr>
          <w:rFonts w:ascii="Arial" w:cs="Arial" w:eastAsia="Arial" w:hAnsi="Arial"/>
          <w:sz w:val="18"/>
          <w:szCs w:val="18"/>
          <w:color w:val="auto"/>
        </w:rPr>
        <w: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 Secured Party any plan of reorganization, arrangement, adjustment or composition affecting the Obligations or the rights of any Secured Party to authorize Administrative Agent to vote in respect of the claim of any Secured Party in any such proceeding.</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12.12.</w:t>
      </w:r>
      <w:r>
        <w:rPr>
          <w:sz w:val="20"/>
          <w:szCs w:val="20"/>
          <w:color w:val="auto"/>
        </w:rPr>
        <w:tab/>
      </w:r>
      <w:r>
        <w:rPr>
          <w:rFonts w:ascii="Arial" w:cs="Arial" w:eastAsia="Arial" w:hAnsi="Arial"/>
          <w:sz w:val="17"/>
          <w:szCs w:val="17"/>
          <w:b w:val="1"/>
          <w:bCs w:val="1"/>
          <w:color w:val="auto"/>
        </w:rPr>
        <w:t>Collateral Matters</w:t>
      </w:r>
      <w:r>
        <w:rPr>
          <w:rFonts w:ascii="Arial" w:cs="Arial" w:eastAsia="Arial" w:hAnsi="Arial"/>
          <w:sz w:val="17"/>
          <w:szCs w:val="17"/>
          <w:color w:val="auto"/>
        </w:rPr>
        <w:t>.</w:t>
      </w:r>
    </w:p>
    <w:p>
      <w:pPr>
        <w:spacing w:after="0" w:line="229" w:lineRule="exact"/>
        <w:rPr>
          <w:sz w:val="20"/>
          <w:szCs w:val="20"/>
          <w:color w:val="auto"/>
        </w:rPr>
      </w:pPr>
    </w:p>
    <w:p>
      <w:pPr>
        <w:jc w:val="both"/>
        <w:ind w:firstLine="656"/>
        <w:spacing w:after="0" w:line="255" w:lineRule="auto"/>
        <w:tabs>
          <w:tab w:leader="none" w:pos="1041"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w:t>
      </w:r>
      <w:r>
        <w:rPr>
          <w:rFonts w:ascii="Arial" w:cs="Arial" w:eastAsia="Arial" w:hAnsi="Arial"/>
          <w:sz w:val="18"/>
          <w:szCs w:val="18"/>
          <w:u w:val="single" w:color="auto"/>
          <w:color w:val="auto"/>
        </w:rPr>
        <w:t>Section 13.04(g)</w:t>
      </w:r>
      <w:r>
        <w:rPr>
          <w:rFonts w:ascii="Arial" w:cs="Arial" w:eastAsia="Arial" w:hAnsi="Arial"/>
          <w:sz w:val="18"/>
          <w:szCs w:val="18"/>
          <w:color w:val="auto"/>
        </w:rPr>
        <w:t xml:space="preserve">. Upon request by Administrative Agent at any time, the Lenders will confirm in writing Collateral Agent’s authority to release particular types or items of Collateral pursuant to </w:t>
      </w:r>
      <w:r>
        <w:rPr>
          <w:rFonts w:ascii="Arial" w:cs="Arial" w:eastAsia="Arial" w:hAnsi="Arial"/>
          <w:sz w:val="18"/>
          <w:szCs w:val="18"/>
          <w:u w:val="single" w:color="auto"/>
          <w:color w:val="auto"/>
        </w:rPr>
        <w:t>Section 13.04(g)</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656"/>
        <w:spacing w:after="0" w:line="255" w:lineRule="auto"/>
        <w:tabs>
          <w:tab w:leader="none" w:pos="105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 xml:space="preserve">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w:t>
      </w:r>
      <w:r>
        <w:rPr>
          <w:rFonts w:ascii="Arial" w:cs="Arial" w:eastAsia="Arial" w:hAnsi="Arial"/>
          <w:sz w:val="18"/>
          <w:szCs w:val="18"/>
          <w:u w:val="single" w:color="auto"/>
          <w:color w:val="auto"/>
        </w:rPr>
        <w:t>Section 12.01</w:t>
      </w:r>
      <w:r>
        <w:rPr>
          <w:rFonts w:ascii="Arial" w:cs="Arial" w:eastAsia="Arial" w:hAnsi="Arial"/>
          <w:sz w:val="18"/>
          <w:szCs w:val="18"/>
          <w:color w:val="auto"/>
        </w:rPr>
        <w:t xml:space="preserve"> or in this </w:t>
      </w:r>
      <w:r>
        <w:rPr>
          <w:rFonts w:ascii="Arial" w:cs="Arial" w:eastAsia="Arial" w:hAnsi="Arial"/>
          <w:sz w:val="18"/>
          <w:szCs w:val="18"/>
          <w:u w:val="single" w:color="auto"/>
          <w:color w:val="auto"/>
        </w:rPr>
        <w:t>Section 12.12</w:t>
      </w:r>
      <w:r>
        <w:rPr>
          <w:rFonts w:ascii="Arial" w:cs="Arial" w:eastAsia="Arial" w:hAnsi="Arial"/>
          <w:sz w:val="18"/>
          <w:szCs w:val="18"/>
          <w:color w:val="auto"/>
        </w:rPr>
        <w:t xml:space="preserve"> or in any of the Security Documents, it being understood and agreed that in respect of the Collateral or any part thereof, or any act,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580" w:right="239" w:bottom="1440" w:gutter="0" w:footer="0" w:header="0"/>
        </w:sectPr>
      </w:pPr>
    </w:p>
    <w:bookmarkStart w:id="364" w:name="page365"/>
    <w:bookmarkEnd w:id="364"/>
    <w:p>
      <w:pPr>
        <w:jc w:val="both"/>
        <w:spacing w:after="0" w:line="259" w:lineRule="auto"/>
        <w:rPr>
          <w:sz w:val="20"/>
          <w:szCs w:val="20"/>
          <w:color w:val="auto"/>
        </w:rPr>
      </w:pPr>
      <w:r>
        <w:rPr>
          <w:rFonts w:ascii="Arial" w:cs="Arial" w:eastAsia="Arial" w:hAnsi="Arial"/>
          <w:sz w:val="18"/>
          <w:szCs w:val="18"/>
          <w:color w:val="auto"/>
        </w:rPr>
        <w:t>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12.13. Withholding Tax</w:t>
      </w:r>
      <w:r>
        <w:rPr>
          <w:rFonts w:ascii="Arial" w:cs="Arial" w:eastAsia="Arial" w:hAnsi="Arial"/>
          <w:sz w:val="16"/>
          <w:szCs w:val="16"/>
          <w:color w:val="auto"/>
        </w:rPr>
        <w:t>. To the extent required by any applicable Requirement of Law, Administrative Agent may withhold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to any Lender, an amount equivalent to any applicable withholding Tax. Without limiting or expanding the provisions of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all Taxes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whether or not such Taxes were correctly or legally imposed or asserted.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The agreements in this </w:t>
      </w:r>
      <w:r>
        <w:rPr>
          <w:rFonts w:ascii="Arial" w:cs="Arial" w:eastAsia="Arial" w:hAnsi="Arial"/>
          <w:sz w:val="16"/>
          <w:szCs w:val="16"/>
          <w:u w:val="single" w:color="auto"/>
          <w:color w:val="auto"/>
        </w:rPr>
        <w:t>Section 12.13</w:t>
      </w:r>
      <w:r>
        <w:rPr>
          <w:rFonts w:ascii="Arial" w:cs="Arial" w:eastAsia="Arial" w:hAnsi="Arial"/>
          <w:sz w:val="16"/>
          <w:szCs w:val="16"/>
          <w:color w:val="auto"/>
        </w:rPr>
        <w:t xml:space="preserve"> shall survive the resignation and/or replacement of Administrative Agent, any assignment of rights by, or the replacement of, a Lender, and the repayment, satisfaction or discharge of any Loans and all other amounts payable hereunder. For the avoidance of doubt, for purposes of this </w:t>
      </w:r>
      <w:r>
        <w:rPr>
          <w:rFonts w:ascii="Arial" w:cs="Arial" w:eastAsia="Arial" w:hAnsi="Arial"/>
          <w:sz w:val="16"/>
          <w:szCs w:val="16"/>
          <w:u w:val="single" w:color="auto"/>
          <w:color w:val="auto"/>
        </w:rPr>
        <w:t>Section 12.13</w:t>
      </w:r>
      <w:r>
        <w:rPr>
          <w:rFonts w:ascii="Arial" w:cs="Arial" w:eastAsia="Arial" w:hAnsi="Arial"/>
          <w:sz w:val="16"/>
          <w:szCs w:val="16"/>
          <w:color w:val="auto"/>
        </w:rPr>
        <w:t>, the term “Lender” includes any L/C Lender.</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12.14. Secured Cash Management Agreements and Credit Swap Contracts</w:t>
      </w:r>
      <w:r>
        <w:rPr>
          <w:rFonts w:ascii="Arial" w:cs="Arial" w:eastAsia="Arial" w:hAnsi="Arial"/>
          <w:sz w:val="17"/>
          <w:szCs w:val="17"/>
          <w:color w:val="auto"/>
        </w:rPr>
        <w:t>. Except as otherwise expressly set forth herein or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Security Document, no Cash Management Bank or Swap Provider that obtains the benefits of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to the contrary, Administrative Agent shall not be required to verify the payment of, or that other satisfactory arrangements have been made with respect to, Obligations arising under Secured Cash Management Agreements and Credit Swap Contracts unless Administrative Agent has received written notice of such Obligations, together with such supporting documentation as Administrative Agent may request, from the applicable Cash Management Bank or Swap Provider, as the case may be.</w:t>
      </w:r>
    </w:p>
    <w:p>
      <w:pPr>
        <w:spacing w:after="0" w:line="17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12.15.</w:t>
      </w:r>
      <w:r>
        <w:rPr>
          <w:sz w:val="20"/>
          <w:szCs w:val="20"/>
          <w:color w:val="auto"/>
        </w:rPr>
        <w:tab/>
      </w:r>
      <w:r>
        <w:rPr>
          <w:rFonts w:ascii="Arial" w:cs="Arial" w:eastAsia="Arial" w:hAnsi="Arial"/>
          <w:sz w:val="17"/>
          <w:szCs w:val="17"/>
          <w:b w:val="1"/>
          <w:bCs w:val="1"/>
          <w:color w:val="auto"/>
        </w:rPr>
        <w:t>Certain ERISA Matters</w:t>
      </w:r>
      <w:r>
        <w:rPr>
          <w:rFonts w:ascii="Arial" w:cs="Arial" w:eastAsia="Arial" w:hAnsi="Arial"/>
          <w:sz w:val="17"/>
          <w:szCs w:val="17"/>
          <w:color w:val="auto"/>
        </w:rPr>
        <w:t>.</w:t>
      </w:r>
    </w:p>
    <w:p>
      <w:pPr>
        <w:spacing w:after="0" w:line="229" w:lineRule="exact"/>
        <w:rPr>
          <w:sz w:val="20"/>
          <w:szCs w:val="20"/>
          <w:color w:val="auto"/>
        </w:rPr>
      </w:pPr>
    </w:p>
    <w:p>
      <w:pPr>
        <w:jc w:val="both"/>
        <w:ind w:firstLine="656"/>
        <w:spacing w:after="0" w:line="264" w:lineRule="auto"/>
        <w:tabs>
          <w:tab w:leader="none" w:pos="1068"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Administrative Agent, Collateral Agent, the Companies, and their respective Affiliates, that at least one of the following is and will be true:</w:t>
      </w:r>
    </w:p>
    <w:p>
      <w:pPr>
        <w:spacing w:after="0" w:line="181" w:lineRule="exact"/>
        <w:rPr>
          <w:rFonts w:ascii="Arial" w:cs="Arial" w:eastAsia="Arial" w:hAnsi="Arial"/>
          <w:sz w:val="18"/>
          <w:szCs w:val="18"/>
          <w:color w:val="auto"/>
        </w:rPr>
      </w:pPr>
    </w:p>
    <w:p>
      <w:pPr>
        <w:ind w:left="660" w:firstLine="645"/>
        <w:spacing w:after="0" w:line="308" w:lineRule="auto"/>
        <w:tabs>
          <w:tab w:leader="none" w:pos="1658" w:val="left"/>
        </w:tabs>
        <w:numPr>
          <w:ilvl w:val="1"/>
          <w:numId w:val="417"/>
        </w:numPr>
        <w:rPr>
          <w:rFonts w:ascii="Arial" w:cs="Arial" w:eastAsia="Arial" w:hAnsi="Arial"/>
          <w:sz w:val="17"/>
          <w:szCs w:val="17"/>
          <w:color w:val="auto"/>
        </w:rPr>
      </w:pPr>
      <w:r>
        <w:rPr>
          <w:rFonts w:ascii="Arial" w:cs="Arial" w:eastAsia="Arial" w:hAnsi="Arial"/>
          <w:sz w:val="17"/>
          <w:szCs w:val="17"/>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146" w:lineRule="exact"/>
        <w:rPr>
          <w:rFonts w:ascii="Arial" w:cs="Arial" w:eastAsia="Arial" w:hAnsi="Arial"/>
          <w:sz w:val="17"/>
          <w:szCs w:val="17"/>
          <w:color w:val="auto"/>
        </w:rPr>
      </w:pPr>
    </w:p>
    <w:p>
      <w:pPr>
        <w:jc w:val="both"/>
        <w:ind w:left="660" w:firstLine="645"/>
        <w:spacing w:after="0" w:line="259" w:lineRule="auto"/>
        <w:tabs>
          <w:tab w:leader="none" w:pos="1708" w:val="left"/>
        </w:tabs>
        <w:numPr>
          <w:ilvl w:val="1"/>
          <w:numId w:val="417"/>
        </w:numPr>
        <w:rPr>
          <w:rFonts w:ascii="Arial" w:cs="Arial" w:eastAsia="Arial" w:hAnsi="Arial"/>
          <w:sz w:val="18"/>
          <w:szCs w:val="18"/>
          <w:color w:val="auto"/>
        </w:rPr>
      </w:pPr>
      <w:r>
        <w:rPr>
          <w:rFonts w:ascii="Arial" w:cs="Arial" w:eastAsia="Arial" w:hAnsi="Arial"/>
          <w:sz w:val="18"/>
          <w:szCs w:val="18"/>
          <w:color w:val="auto"/>
        </w:rPr>
        <w:t>the prohibited transaction exemption set forth in one or more prohibited transaction class exemptions issued by the U.S. Department of Labor (“</w:t>
      </w:r>
      <w:r>
        <w:rPr>
          <w:rFonts w:ascii="Arial" w:cs="Arial" w:eastAsia="Arial" w:hAnsi="Arial"/>
          <w:sz w:val="18"/>
          <w:szCs w:val="18"/>
          <w:u w:val="single" w:color="auto"/>
          <w:color w:val="auto"/>
        </w:rPr>
        <w:t>PTEs</w:t>
      </w:r>
      <w:r>
        <w:rPr>
          <w:rFonts w:ascii="Arial" w:cs="Arial" w:eastAsia="Arial" w:hAnsi="Arial"/>
          <w:sz w:val="18"/>
          <w:szCs w:val="18"/>
          <w:color w:val="auto"/>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584" w:right="239" w:bottom="1440" w:gutter="0" w:footer="0" w:header="0"/>
        </w:sectPr>
      </w:pPr>
    </w:p>
    <w:bookmarkStart w:id="365" w:name="page366"/>
    <w:bookmarkEnd w:id="365"/>
    <w:p>
      <w:pPr>
        <w:jc w:val="both"/>
        <w:ind w:left="660"/>
        <w:spacing w:after="0" w:line="259" w:lineRule="auto"/>
        <w:rPr>
          <w:sz w:val="20"/>
          <w:szCs w:val="20"/>
          <w:color w:val="auto"/>
        </w:rPr>
      </w:pPr>
      <w:r>
        <w:rPr>
          <w:rFonts w:ascii="Arial" w:cs="Arial" w:eastAsia="Arial" w:hAnsi="Arial"/>
          <w:sz w:val="18"/>
          <w:szCs w:val="18"/>
          <w:color w:val="auto"/>
        </w:rPr>
        <w:t>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187" w:lineRule="exact"/>
        <w:rPr>
          <w:sz w:val="20"/>
          <w:szCs w:val="20"/>
          <w:color w:val="auto"/>
        </w:rPr>
      </w:pPr>
    </w:p>
    <w:p>
      <w:pPr>
        <w:jc w:val="both"/>
        <w:ind w:left="660" w:firstLine="645"/>
        <w:spacing w:after="0" w:line="286" w:lineRule="auto"/>
        <w:tabs>
          <w:tab w:leader="none" w:pos="1758" w:val="left"/>
        </w:tabs>
        <w:numPr>
          <w:ilvl w:val="1"/>
          <w:numId w:val="418"/>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916" w:val="left"/>
        </w:tabs>
        <w:numPr>
          <w:ilvl w:val="0"/>
          <w:numId w:val="419"/>
        </w:numPr>
        <w:rPr>
          <w:rFonts w:ascii="Arial" w:cs="Arial" w:eastAsia="Arial" w:hAnsi="Arial"/>
          <w:sz w:val="18"/>
          <w:szCs w:val="18"/>
          <w:color w:val="auto"/>
        </w:rPr>
      </w:pPr>
      <w:r>
        <w:rPr>
          <w:rFonts w:ascii="Arial" w:cs="Arial" w:eastAsia="Arial" w:hAnsi="Arial"/>
          <w:sz w:val="18"/>
          <w:szCs w:val="18"/>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0" w:lineRule="exact"/>
        <w:rPr>
          <w:sz w:val="20"/>
          <w:szCs w:val="20"/>
          <w:color w:val="auto"/>
        </w:rPr>
      </w:pPr>
    </w:p>
    <w:p>
      <w:pPr>
        <w:ind w:left="660" w:firstLine="645"/>
        <w:spacing w:after="0" w:line="277" w:lineRule="auto"/>
        <w:tabs>
          <w:tab w:leader="none" w:pos="1775" w:val="left"/>
        </w:tabs>
        <w:numPr>
          <w:ilvl w:val="1"/>
          <w:numId w:val="420"/>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and Collateral Agents, in their sole discretion, and such Lender.</w:t>
      </w:r>
    </w:p>
    <w:p>
      <w:pPr>
        <w:spacing w:after="0" w:line="170" w:lineRule="exact"/>
        <w:rPr>
          <w:rFonts w:ascii="Arial" w:cs="Arial" w:eastAsia="Arial" w:hAnsi="Arial"/>
          <w:sz w:val="18"/>
          <w:szCs w:val="18"/>
          <w:color w:val="auto"/>
        </w:rPr>
      </w:pPr>
    </w:p>
    <w:p>
      <w:pPr>
        <w:jc w:val="both"/>
        <w:ind w:firstLine="656"/>
        <w:spacing w:after="0" w:line="291" w:lineRule="auto"/>
        <w:tabs>
          <w:tab w:leader="none" w:pos="1038" w:val="left"/>
        </w:tabs>
        <w:numPr>
          <w:ilvl w:val="0"/>
          <w:numId w:val="421"/>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Collateral Agent and their respective Affiliates, and not, for the avoidance of doubt, to or for the benefit of any of the Companies, that none of Administrative Agent, Collateral Agent, or any of their respective Affiliates is a fiduciary with respect to the assets of such Lender involved in the Loans, the Letters of Credit, the Commitments and this Agreement (including in connection with the reservation or exercise of any rights by Administrative Agent under this Agreement or any documents related to hereto or thereto).</w:t>
      </w:r>
    </w:p>
    <w:p>
      <w:pPr>
        <w:spacing w:after="0" w:line="16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13.01. Waiver</w:t>
      </w:r>
      <w:r>
        <w:rPr>
          <w:rFonts w:ascii="Arial" w:cs="Arial" w:eastAsia="Arial" w:hAnsi="Arial"/>
          <w:sz w:val="17"/>
          <w:szCs w:val="17"/>
          <w:color w:val="auto"/>
        </w:rPr>
        <w:t>. No failure on the part of Administrative Agent, Collateral Agent or any other Secured Party to exercise and no delay in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1" w:lineRule="auto"/>
        <w:tabs>
          <w:tab w:leader="none" w:pos="1149"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Unless otherwise expressly provided herein, all notices and other communications provided for hereunder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by facsimile or electronic mail). All such written notices shall be mailed certified or registered mail, faxed or delivered to the applicable address, telecopy or facsimile number or (subject to </w:t>
      </w:r>
      <w:r>
        <w:rPr>
          <w:rFonts w:ascii="Arial" w:cs="Arial" w:eastAsia="Arial" w:hAnsi="Arial"/>
          <w:sz w:val="18"/>
          <w:szCs w:val="18"/>
          <w:u w:val="single" w:color="auto"/>
          <w:color w:val="auto"/>
        </w:rPr>
        <w:t>Section 13.02(b)</w:t>
      </w:r>
      <w:r>
        <w:rPr>
          <w:rFonts w:ascii="Arial" w:cs="Arial" w:eastAsia="Arial" w:hAnsi="Arial"/>
          <w:sz w:val="18"/>
          <w:szCs w:val="18"/>
          <w:color w:val="auto"/>
        </w:rPr>
        <w:t xml:space="preserve"> below) electronic mail address, and all notices and other communications expressly permitted hereunder to be given by telephone shall be made to the applicable telephone number, as follows:</w:t>
      </w:r>
    </w:p>
    <w:p>
      <w:pPr>
        <w:spacing w:after="0" w:line="184" w:lineRule="exact"/>
        <w:rPr>
          <w:rFonts w:ascii="Arial" w:cs="Arial" w:eastAsia="Arial" w:hAnsi="Arial"/>
          <w:sz w:val="18"/>
          <w:szCs w:val="18"/>
          <w:color w:val="auto"/>
        </w:rPr>
      </w:pPr>
    </w:p>
    <w:p>
      <w:pPr>
        <w:ind w:left="660" w:right="20" w:firstLine="645"/>
        <w:spacing w:after="0" w:line="277" w:lineRule="auto"/>
        <w:tabs>
          <w:tab w:leader="none" w:pos="1739" w:val="left"/>
        </w:tabs>
        <w:numPr>
          <w:ilvl w:val="1"/>
          <w:numId w:val="422"/>
        </w:numPr>
        <w:rPr>
          <w:rFonts w:ascii="Arial" w:cs="Arial" w:eastAsia="Arial" w:hAnsi="Arial"/>
          <w:sz w:val="18"/>
          <w:szCs w:val="18"/>
          <w:color w:val="auto"/>
        </w:rPr>
      </w:pPr>
      <w:r>
        <w:rPr>
          <w:rFonts w:ascii="Arial" w:cs="Arial" w:eastAsia="Arial" w:hAnsi="Arial"/>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584" w:right="239" w:bottom="1440" w:gutter="0" w:footer="0" w:header="0"/>
        </w:sectPr>
      </w:pPr>
    </w:p>
    <w:bookmarkStart w:id="366" w:name="page367"/>
    <w:bookmarkEnd w:id="366"/>
    <w:p>
      <w:pPr>
        <w:ind w:left="660" w:firstLine="645"/>
        <w:spacing w:after="0" w:line="277" w:lineRule="auto"/>
        <w:tabs>
          <w:tab w:leader="none" w:pos="172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Arial" w:cs="Arial" w:eastAsia="Arial" w:hAnsi="Arial"/>
          <w:sz w:val="18"/>
          <w:szCs w:val="18"/>
          <w:u w:val="single" w:color="auto"/>
          <w:color w:val="auto"/>
        </w:rPr>
        <w:t>Section 13.02(b)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Section 13.02(b)</w:t>
      </w:r>
      <w:r>
        <w:rPr>
          <w:rFonts w:ascii="Arial" w:cs="Arial" w:eastAsia="Arial" w:hAnsi="Arial"/>
          <w:sz w:val="18"/>
          <w:szCs w:val="18"/>
          <w:color w:val="auto"/>
        </w:rPr>
        <w:t>.</w:t>
      </w:r>
    </w:p>
    <w:p>
      <w:pPr>
        <w:spacing w:after="0" w:line="183" w:lineRule="exact"/>
        <w:rPr>
          <w:sz w:val="20"/>
          <w:szCs w:val="20"/>
          <w:color w:val="auto"/>
        </w:rPr>
      </w:pPr>
    </w:p>
    <w:p>
      <w:pPr>
        <w:jc w:val="both"/>
        <w:ind w:firstLine="656"/>
        <w:spacing w:after="0" w:line="220" w:lineRule="exact"/>
        <w:tabs>
          <w:tab w:leader="none" w:pos="116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Electronic Communications</w:t>
      </w:r>
      <w:r>
        <w:rPr>
          <w:rFonts w:ascii="Arial" w:cs="Arial" w:eastAsia="Arial" w:hAnsi="Arial"/>
          <w:sz w:val="18"/>
          <w:szCs w:val="18"/>
          <w:color w:val="auto"/>
        </w:rPr>
        <w:t>. Notices and other communications to the Lenders hereunder may be delivered or furnished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if such Lender has notified Administrative Agent that it is incapable of receiving notices under such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by electronic communication. Each Agent or any Credit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656"/>
        <w:spacing w:after="0" w:line="261" w:lineRule="auto"/>
        <w:tabs>
          <w:tab w:leader="none" w:pos="1041"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Change of Address, Etc</w:t>
      </w:r>
      <w:r>
        <w:rPr>
          <w:rFonts w:ascii="Arial" w:cs="Arial" w:eastAsia="Arial" w:hAnsi="Arial"/>
          <w:sz w:val="18"/>
          <w:szCs w:val="18"/>
          <w:color w:val="auto"/>
        </w:rPr>
        <w:t>. Each Credit Party, each Agent and each L/C Lender may change its respective address, facsimile number,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mail address or telephone number for notices and other communications hereunder by notice to the other parties hereto. Each other Lender may change its address, facsimile number, electronic mail address or telephone number for notices and other communications hereunder by notice to Borrower, Administrative Agent and each L/C Lender.</w:t>
      </w:r>
    </w:p>
    <w:p>
      <w:pPr>
        <w:spacing w:after="0" w:line="180" w:lineRule="exact"/>
        <w:rPr>
          <w:rFonts w:ascii="Arial" w:cs="Arial" w:eastAsia="Arial" w:hAnsi="Arial"/>
          <w:sz w:val="18"/>
          <w:szCs w:val="18"/>
          <w:color w:val="auto"/>
        </w:rPr>
      </w:pPr>
    </w:p>
    <w:p>
      <w:pPr>
        <w:jc w:val="both"/>
        <w:ind w:firstLine="656"/>
        <w:spacing w:after="0" w:line="272" w:lineRule="auto"/>
        <w:tabs>
          <w:tab w:leader="none" w:pos="1065" w:val="left"/>
        </w:tabs>
        <w:numPr>
          <w:ilvl w:val="0"/>
          <w:numId w:val="425"/>
        </w:numPr>
        <w:rPr>
          <w:rFonts w:ascii="Arial" w:cs="Arial" w:eastAsia="Arial" w:hAnsi="Arial"/>
          <w:sz w:val="17"/>
          <w:szCs w:val="17"/>
          <w:color w:val="auto"/>
        </w:rPr>
      </w:pPr>
      <w:r>
        <w:rPr>
          <w:rFonts w:ascii="Arial" w:cs="Arial" w:eastAsia="Arial" w:hAnsi="Arial"/>
          <w:sz w:val="17"/>
          <w:szCs w:val="17"/>
          <w:b w:val="1"/>
          <w:bCs w:val="1"/>
          <w:color w:val="auto"/>
        </w:rPr>
        <w:t>Reliance by Agents and Lenders</w:t>
      </w:r>
      <w:r>
        <w:rPr>
          <w:rFonts w:ascii="Arial" w:cs="Arial" w:eastAsia="Arial" w:hAnsi="Arial"/>
          <w:sz w:val="17"/>
          <w:szCs w:val="17"/>
          <w:color w:val="auto"/>
        </w:rPr>
        <w:t>. Agents and the Lenders shall be entitled to rely and act upon any notices (including telephonic Notices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055"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The Platform</w:t>
      </w:r>
      <w:r>
        <w:rPr>
          <w:rFonts w:ascii="Arial" w:cs="Arial" w:eastAsia="Arial" w:hAnsi="Arial"/>
          <w:sz w:val="18"/>
          <w:szCs w:val="18"/>
          <w:color w:val="auto"/>
        </w:rPr>
        <w:t>. THE PLATFORM IS PROVIDED “AS IS” AND “AS AVAILABLE.” THE AGENT PARTIES (AS DEFINED BELOW) DO</w:t>
      </w:r>
      <w:r>
        <w:rPr>
          <w:rFonts w:ascii="Arial" w:cs="Arial" w:eastAsia="Arial" w:hAnsi="Arial"/>
          <w:sz w:val="18"/>
          <w:szCs w:val="18"/>
          <w:b w:val="1"/>
          <w:bCs w:val="1"/>
          <w:color w:val="auto"/>
        </w:rPr>
        <w:t xml:space="preserve"> </w:t>
      </w:r>
      <w:r>
        <w:rPr>
          <w:rFonts w:ascii="Arial" w:cs="Arial" w:eastAsia="Arial" w:hAnsi="Arial"/>
          <w:sz w:val="18"/>
          <w:szCs w:val="18"/>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584" w:right="239" w:bottom="1440" w:gutter="0" w:footer="0" w:header="0"/>
        </w:sectPr>
      </w:pPr>
    </w:p>
    <w:bookmarkStart w:id="367" w:name="page368"/>
    <w:bookmarkEnd w:id="367"/>
    <w:p>
      <w:pPr>
        <w:jc w:val="both"/>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Parties</w:t>
      </w:r>
      <w:r>
        <w:rPr>
          <w:rFonts w:ascii="Arial" w:cs="Arial" w:eastAsia="Arial" w:hAnsi="Arial"/>
          <w:sz w:val="16"/>
          <w:szCs w:val="16"/>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56"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Expenses, Indemnification, Etc</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Credit Parties, jointly and severally, agree to pay or reimburse:</w:t>
      </w:r>
    </w:p>
    <w:p>
      <w:pPr>
        <w:spacing w:after="0" w:line="225" w:lineRule="exact"/>
        <w:rPr>
          <w:rFonts w:ascii="Arial" w:cs="Arial" w:eastAsia="Arial" w:hAnsi="Arial"/>
          <w:sz w:val="18"/>
          <w:szCs w:val="18"/>
          <w:color w:val="auto"/>
        </w:rPr>
      </w:pPr>
    </w:p>
    <w:p>
      <w:pPr>
        <w:jc w:val="both"/>
        <w:ind w:left="660" w:firstLine="645"/>
        <w:spacing w:after="0" w:line="293" w:lineRule="auto"/>
        <w:tabs>
          <w:tab w:leader="none" w:pos="1699" w:val="left"/>
        </w:tabs>
        <w:numPr>
          <w:ilvl w:val="1"/>
          <w:numId w:val="426"/>
        </w:numPr>
        <w:rPr>
          <w:rFonts w:ascii="Arial" w:cs="Arial" w:eastAsia="Arial" w:hAnsi="Arial"/>
          <w:sz w:val="16"/>
          <w:szCs w:val="16"/>
          <w:color w:val="auto"/>
        </w:rPr>
      </w:pPr>
      <w:r>
        <w:rPr>
          <w:rFonts w:ascii="Arial" w:cs="Arial" w:eastAsia="Arial" w:hAnsi="Arial"/>
          <w:sz w:val="16"/>
          <w:szCs w:val="16"/>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64" w:lineRule="exact"/>
        <w:rPr>
          <w:rFonts w:ascii="Arial" w:cs="Arial" w:eastAsia="Arial" w:hAnsi="Arial"/>
          <w:sz w:val="16"/>
          <w:szCs w:val="16"/>
          <w:color w:val="auto"/>
        </w:rPr>
      </w:pPr>
    </w:p>
    <w:p>
      <w:pPr>
        <w:jc w:val="both"/>
        <w:ind w:left="660" w:firstLine="645"/>
        <w:spacing w:after="0" w:line="270" w:lineRule="auto"/>
        <w:tabs>
          <w:tab w:leader="none" w:pos="1735" w:val="left"/>
        </w:tabs>
        <w:numPr>
          <w:ilvl w:val="1"/>
          <w:numId w:val="426"/>
        </w:numPr>
        <w:rPr>
          <w:rFonts w:ascii="Arial" w:cs="Arial" w:eastAsia="Arial" w:hAnsi="Arial"/>
          <w:sz w:val="17"/>
          <w:szCs w:val="17"/>
          <w:color w:val="auto"/>
        </w:rPr>
      </w:pPr>
      <w:r>
        <w:rPr>
          <w:rFonts w:ascii="Arial" w:cs="Arial" w:eastAsia="Arial" w:hAnsi="Arial"/>
          <w:sz w:val="17"/>
          <w:szCs w:val="17"/>
          <w:color w:val="auto"/>
        </w:rPr>
        <w:t>each Agent and each Lender for all reasonable and documented out-of-pocket costs and expenses of such Agent or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w:t>
      </w:r>
      <w:r>
        <w:rPr>
          <w:rFonts w:ascii="Arial" w:cs="Arial" w:eastAsia="Arial" w:hAnsi="Arial"/>
          <w:sz w:val="17"/>
          <w:szCs w:val="17"/>
          <w:u w:val="single" w:color="auto"/>
          <w:color w:val="auto"/>
        </w:rPr>
        <w:t>Section 13.03</w:t>
      </w:r>
      <w:r>
        <w:rPr>
          <w:rFonts w:ascii="Arial" w:cs="Arial" w:eastAsia="Arial" w:hAnsi="Arial"/>
          <w:sz w:val="17"/>
          <w:szCs w:val="17"/>
          <w:color w:val="auto"/>
        </w:rPr>
        <w:t>; and</w:t>
      </w:r>
    </w:p>
    <w:p>
      <w:pPr>
        <w:spacing w:after="0" w:line="177" w:lineRule="exact"/>
        <w:rPr>
          <w:rFonts w:ascii="Arial" w:cs="Arial" w:eastAsia="Arial" w:hAnsi="Arial"/>
          <w:sz w:val="17"/>
          <w:szCs w:val="17"/>
          <w:color w:val="auto"/>
        </w:rPr>
      </w:pPr>
    </w:p>
    <w:p>
      <w:pPr>
        <w:jc w:val="both"/>
        <w:ind w:left="660" w:firstLine="645"/>
        <w:spacing w:after="0" w:line="259" w:lineRule="auto"/>
        <w:tabs>
          <w:tab w:leader="none" w:pos="1785" w:val="left"/>
        </w:tabs>
        <w:numPr>
          <w:ilvl w:val="1"/>
          <w:numId w:val="426"/>
        </w:numPr>
        <w:rPr>
          <w:rFonts w:ascii="Arial" w:cs="Arial" w:eastAsia="Arial" w:hAnsi="Arial"/>
          <w:sz w:val="18"/>
          <w:szCs w:val="18"/>
          <w:color w:val="auto"/>
        </w:rPr>
      </w:pPr>
      <w:r>
        <w:rPr>
          <w:rFonts w:ascii="Arial" w:cs="Arial" w:eastAsia="Arial" w:hAnsi="Arial"/>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Without limiting the rights of any Agent under this </w:t>
      </w:r>
      <w:r>
        <w:rPr>
          <w:rFonts w:ascii="Arial" w:cs="Arial" w:eastAsia="Arial" w:hAnsi="Arial"/>
          <w:sz w:val="17"/>
          <w:szCs w:val="17"/>
          <w:u w:val="single" w:color="auto"/>
          <w:color w:val="auto"/>
        </w:rPr>
        <w:t>Section 13.03(a)</w:t>
      </w:r>
      <w:r>
        <w:rPr>
          <w:rFonts w:ascii="Arial" w:cs="Arial" w:eastAsia="Arial" w:hAnsi="Arial"/>
          <w:sz w:val="17"/>
          <w:szCs w:val="17"/>
          <w:color w:val="auto"/>
        </w:rPr>
        <w:t xml:space="preserve">, each Agent, promptly after a request of Borrower from time to time, will advise Borrower of an estimate of any amount anticipated to be incurred by such Agent and reimbursed by Borrower under this </w:t>
      </w:r>
      <w:r>
        <w:rPr>
          <w:rFonts w:ascii="Arial" w:cs="Arial" w:eastAsia="Arial" w:hAnsi="Arial"/>
          <w:sz w:val="17"/>
          <w:szCs w:val="17"/>
          <w:u w:val="single" w:color="auto"/>
          <w:color w:val="auto"/>
        </w:rPr>
        <w:t>Section 13.03(a)</w:t>
      </w:r>
      <w:r>
        <w:rPr>
          <w:rFonts w:ascii="Arial" w:cs="Arial" w:eastAsia="Arial" w:hAnsi="Arial"/>
          <w:sz w:val="17"/>
          <w:szCs w:val="17"/>
          <w:color w:val="auto"/>
        </w:rPr>
        <w:t>.</w:t>
      </w:r>
    </w:p>
    <w:p>
      <w:pPr>
        <w:spacing w:after="0" w:line="147" w:lineRule="exact"/>
        <w:rPr>
          <w:sz w:val="20"/>
          <w:szCs w:val="20"/>
          <w:color w:val="auto"/>
        </w:rPr>
      </w:pPr>
    </w:p>
    <w:p>
      <w:pPr>
        <w:jc w:val="both"/>
        <w:ind w:firstLine="656"/>
        <w:spacing w:after="0" w:line="255" w:lineRule="auto"/>
        <w:tabs>
          <w:tab w:leader="none" w:pos="105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Credit Parties, jointly and severally, hereby agree to indemnify each Agent, each Lender and their respective Affiliates and their and their respective affiliates, directors, trustees, officers, employees, representatives, advisors, partners and agents (each, an “</w:t>
      </w:r>
      <w:r>
        <w:rPr>
          <w:rFonts w:ascii="Arial" w:cs="Arial" w:eastAsia="Arial" w:hAnsi="Arial"/>
          <w:sz w:val="18"/>
          <w:szCs w:val="18"/>
          <w:b w:val="1"/>
          <w:bCs w:val="1"/>
          <w:color w:val="auto"/>
        </w:rPr>
        <w:t>Indemnitee</w:t>
      </w:r>
      <w:r>
        <w:rPr>
          <w:rFonts w:ascii="Arial" w:cs="Arial" w:eastAsia="Arial" w:hAnsi="Arial"/>
          <w:sz w:val="18"/>
          <w:szCs w:val="18"/>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580" w:right="239" w:bottom="1440" w:gutter="0" w:footer="0" w:header="0"/>
        </w:sectPr>
      </w:pPr>
    </w:p>
    <w:bookmarkStart w:id="368" w:name="page369"/>
    <w:bookmarkEnd w:id="368"/>
    <w:p>
      <w:pPr>
        <w:jc w:val="both"/>
        <w:spacing w:after="0" w:line="268" w:lineRule="auto"/>
        <w:rPr>
          <w:sz w:val="20"/>
          <w:szCs w:val="20"/>
          <w:color w:val="auto"/>
        </w:rPr>
      </w:pPr>
      <w:r>
        <w:rPr>
          <w:rFonts w:ascii="Arial" w:cs="Arial" w:eastAsia="Arial" w:hAnsi="Arial"/>
          <w:sz w:val="17"/>
          <w:szCs w:val="17"/>
          <w:color w:val="auto"/>
        </w:rPr>
        <w:t xml:space="preserve">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w:t>
      </w:r>
      <w:r>
        <w:rPr>
          <w:rFonts w:ascii="Arial" w:cs="Arial" w:eastAsia="Arial" w:hAnsi="Arial"/>
          <w:sz w:val="17"/>
          <w:szCs w:val="17"/>
          <w:u w:val="single" w:color="auto"/>
          <w:color w:val="auto"/>
        </w:rPr>
        <w:t>Section 12.08</w:t>
      </w:r>
      <w:r>
        <w:rPr>
          <w:rFonts w:ascii="Arial" w:cs="Arial" w:eastAsia="Arial" w:hAnsi="Arial"/>
          <w:sz w:val="17"/>
          <w:szCs w:val="17"/>
          <w:color w:val="auto"/>
        </w:rPr>
        <w:t xml:space="preserve"> (and, in the case of an actual or perceived conflict of interest, of another firm of counsel for each group of similarly affected Indemnitees in each relevant jurisdiction)), but excluding (i) any such Losses relating to matters referred to in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5.06</w:t>
      </w:r>
      <w:r>
        <w:rPr>
          <w:rFonts w:ascii="Arial" w:cs="Arial" w:eastAsia="Arial" w:hAnsi="Arial"/>
          <w:sz w:val="17"/>
          <w:szCs w:val="17"/>
          <w:color w:val="auto"/>
        </w:rPr>
        <w:t xml:space="preserve">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13.03(b)</w:t>
      </w:r>
      <w:r>
        <w:rPr>
          <w:rFonts w:ascii="Arial" w:cs="Arial" w:eastAsia="Arial" w:hAnsi="Arial"/>
          <w:sz w:val="17"/>
          <w:szCs w:val="17"/>
          <w:color w:val="auto"/>
        </w:rPr>
        <w:t xml:space="preserve"> shall not apply with respect to Taxes other than any Taxes that represent losses, claims, damages, etc. arising from any non-Tax claim. For purposes of this </w:t>
      </w:r>
      <w:r>
        <w:rPr>
          <w:rFonts w:ascii="Arial" w:cs="Arial" w:eastAsia="Arial" w:hAnsi="Arial"/>
          <w:sz w:val="17"/>
          <w:szCs w:val="17"/>
          <w:u w:val="single" w:color="auto"/>
          <w:color w:val="auto"/>
        </w:rPr>
        <w:t>Section 13.03(b)</w:t>
      </w:r>
      <w:r>
        <w:rPr>
          <w:rFonts w:ascii="Arial" w:cs="Arial" w:eastAsia="Arial" w:hAnsi="Arial"/>
          <w:sz w:val="17"/>
          <w:szCs w:val="17"/>
          <w:color w:val="auto"/>
        </w:rPr>
        <w:t>, a “</w:t>
      </w:r>
      <w:r>
        <w:rPr>
          <w:rFonts w:ascii="Arial" w:cs="Arial" w:eastAsia="Arial" w:hAnsi="Arial"/>
          <w:sz w:val="17"/>
          <w:szCs w:val="17"/>
          <w:b w:val="1"/>
          <w:bCs w:val="1"/>
          <w:color w:val="auto"/>
        </w:rPr>
        <w:t>Related Indemnified Person</w:t>
      </w:r>
      <w:r>
        <w:rPr>
          <w:rFonts w:ascii="Arial" w:cs="Arial" w:eastAsia="Arial" w:hAnsi="Arial"/>
          <w:sz w:val="17"/>
          <w:szCs w:val="17"/>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indemnity hereunder shall be subject to the exclusions from indemnification set forth in the preceding sentence.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To the extent that the undertaking to indemnify and hold harmless set forth in this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in this sentence shall limit the Credit Parties’ indemnity and reimbursement obligations to the extent set forth in this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shall be liable for any damages arising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584" w:right="239" w:bottom="1440" w:gutter="0" w:footer="0" w:header="0"/>
        </w:sectPr>
      </w:pPr>
    </w:p>
    <w:bookmarkStart w:id="369" w:name="page370"/>
    <w:bookmarkEnd w:id="369"/>
    <w:p>
      <w:pPr>
        <w:jc w:val="both"/>
        <w:spacing w:after="0" w:line="302" w:lineRule="auto"/>
        <w:rPr>
          <w:sz w:val="20"/>
          <w:szCs w:val="20"/>
          <w:color w:val="auto"/>
        </w:rPr>
      </w:pPr>
      <w:r>
        <w:rPr>
          <w:rFonts w:ascii="Arial" w:cs="Arial" w:eastAsia="Arial" w:hAnsi="Arial"/>
          <w:sz w:val="16"/>
          <w:szCs w:val="16"/>
          <w:color w:val="auto"/>
        </w:rPr>
        <w:t>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5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Amendments and Waiver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41"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Neither this Agreement nor any other Credit Document nor any terms hereof or thereof may be amended, modified, changed or waived, unless such amendment, modification, change or waiver is in writing signed by each of the Credit Parties that is party thereto and the Required Lenders (or Administrative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modification, change or waiver shall (and any such amendment, modification, change or waiver set forth below in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13.04(a)</w:t>
      </w:r>
      <w:r>
        <w:rPr>
          <w:rFonts w:ascii="Arial" w:cs="Arial" w:eastAsia="Arial" w:hAnsi="Arial"/>
          <w:sz w:val="18"/>
          <w:szCs w:val="18"/>
          <w:color w:val="auto"/>
        </w:rPr>
        <w:t xml:space="preserve"> shall only require the approval of the Agents and/or Lenders whose consent is required therefor pursuant to such clauses):</w:t>
      </w:r>
    </w:p>
    <w:p>
      <w:pPr>
        <w:spacing w:after="0" w:line="188" w:lineRule="exact"/>
        <w:rPr>
          <w:rFonts w:ascii="Arial" w:cs="Arial" w:eastAsia="Arial" w:hAnsi="Arial"/>
          <w:sz w:val="18"/>
          <w:szCs w:val="18"/>
          <w:color w:val="auto"/>
        </w:rPr>
      </w:pPr>
    </w:p>
    <w:p>
      <w:pPr>
        <w:jc w:val="both"/>
        <w:ind w:left="660" w:firstLine="888"/>
        <w:spacing w:after="0" w:line="269" w:lineRule="auto"/>
        <w:tabs>
          <w:tab w:leader="none" w:pos="1928" w:val="left"/>
        </w:tabs>
        <w:numPr>
          <w:ilvl w:val="1"/>
          <w:numId w:val="428"/>
        </w:numPr>
        <w:rPr>
          <w:rFonts w:ascii="Arial" w:cs="Arial" w:eastAsia="Arial" w:hAnsi="Arial"/>
          <w:sz w:val="17"/>
          <w:szCs w:val="17"/>
          <w:color w:val="auto"/>
        </w:rPr>
      </w:pPr>
      <w:r>
        <w:rPr>
          <w:rFonts w:ascii="Arial" w:cs="Arial" w:eastAsia="Arial" w:hAnsi="Arial"/>
          <w:sz w:val="17"/>
          <w:szCs w:val="17"/>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and adversely affected thereby (it being understood that the waiver of (or amendment to the terms of) any Default or Event of Default or of any mandatory prepayment of the Loans or mandatory reduction in Commitments shall not constitute a postponement of any date scheduled for the payment of principal or interest or an extension or increase of any Commitment and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82" w:lineRule="exact"/>
        <w:rPr>
          <w:rFonts w:ascii="Arial" w:cs="Arial" w:eastAsia="Arial" w:hAnsi="Arial"/>
          <w:sz w:val="17"/>
          <w:szCs w:val="17"/>
          <w:color w:val="auto"/>
        </w:rPr>
      </w:pPr>
    </w:p>
    <w:p>
      <w:pPr>
        <w:jc w:val="both"/>
        <w:ind w:left="660" w:firstLine="888"/>
        <w:spacing w:after="0" w:line="264" w:lineRule="auto"/>
        <w:tabs>
          <w:tab w:leader="none" w:pos="2086" w:val="left"/>
        </w:tabs>
        <w:numPr>
          <w:ilvl w:val="1"/>
          <w:numId w:val="428"/>
        </w:numPr>
        <w:rPr>
          <w:rFonts w:ascii="Arial" w:cs="Arial" w:eastAsia="Arial" w:hAnsi="Arial"/>
          <w:sz w:val="18"/>
          <w:szCs w:val="18"/>
          <w:color w:val="auto"/>
        </w:rPr>
      </w:pPr>
      <w:r>
        <w:rPr>
          <w:rFonts w:ascii="Arial" w:cs="Arial" w:eastAsia="Arial" w:hAnsi="Arial"/>
          <w:sz w:val="18"/>
          <w:szCs w:val="18"/>
          <w:color w:val="auto"/>
        </w:rPr>
        <w:t>release (x) all or substantially all of the Collateral (except as provided in the Security Documents) under all the Security Documents or (y) all or substantially all of the Guarantors from the Guarantees (except as expressly provided in this Agreement), without the consent of each Lender;</w:t>
      </w:r>
    </w:p>
    <w:p>
      <w:pPr>
        <w:spacing w:after="0" w:line="181" w:lineRule="exact"/>
        <w:rPr>
          <w:rFonts w:ascii="Arial" w:cs="Arial" w:eastAsia="Arial" w:hAnsi="Arial"/>
          <w:sz w:val="18"/>
          <w:szCs w:val="18"/>
          <w:color w:val="auto"/>
        </w:rPr>
      </w:pPr>
    </w:p>
    <w:p>
      <w:pPr>
        <w:ind w:left="2060" w:hanging="512"/>
        <w:spacing w:after="0"/>
        <w:tabs>
          <w:tab w:leader="none" w:pos="2060"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amend, modify, change, or waive (x) any provision of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without the consent of each Lender,</w:t>
      </w:r>
    </w:p>
    <w:p>
      <w:pPr>
        <w:spacing w:after="0" w:line="46" w:lineRule="exact"/>
        <w:rPr>
          <w:rFonts w:ascii="Arial" w:cs="Arial" w:eastAsia="Arial" w:hAnsi="Arial"/>
          <w:sz w:val="16"/>
          <w:szCs w:val="16"/>
          <w:color w:val="auto"/>
        </w:rPr>
      </w:pPr>
    </w:p>
    <w:p>
      <w:pPr>
        <w:jc w:val="both"/>
        <w:ind w:left="660" w:hanging="4"/>
        <w:spacing w:after="0" w:line="269" w:lineRule="auto"/>
        <w:tabs>
          <w:tab w:leader="none" w:pos="924" w:val="left"/>
        </w:tabs>
        <w:numPr>
          <w:ilvl w:val="0"/>
          <w:numId w:val="429"/>
        </w:numPr>
        <w:rPr>
          <w:rFonts w:ascii="Arial" w:cs="Arial" w:eastAsia="Arial" w:hAnsi="Arial"/>
          <w:sz w:val="17"/>
          <w:szCs w:val="17"/>
          <w:color w:val="auto"/>
        </w:rPr>
      </w:pPr>
      <w:r>
        <w:rPr>
          <w:rFonts w:ascii="Arial" w:cs="Arial" w:eastAsia="Arial" w:hAnsi="Arial"/>
          <w:sz w:val="17"/>
          <w:szCs w:val="17"/>
          <w:color w:val="auto"/>
        </w:rPr>
        <w:t>any other provision of any Credit Document or any other provision of this Agreement that expressly provides that the consent of all Lenders or all affected Lenders is required, without the consent of each Lender directly and adversely affected thereby, or (z) any provision of any Credit Document that expressly provides that the consent of the Required Tranche Lenders of a particular Tranche or Required Revolving Lenders is required, without the consent of the Required Tranche Lenders of each Tranche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spacing w:after="0" w:line="180" w:lineRule="exact"/>
        <w:rPr>
          <w:rFonts w:ascii="Arial" w:cs="Arial" w:eastAsia="Arial" w:hAnsi="Arial"/>
          <w:sz w:val="17"/>
          <w:szCs w:val="17"/>
          <w:color w:val="auto"/>
        </w:rPr>
      </w:pPr>
    </w:p>
    <w:p>
      <w:pPr>
        <w:jc w:val="both"/>
        <w:ind w:left="660" w:firstLine="888"/>
        <w:spacing w:after="0" w:line="293" w:lineRule="auto"/>
        <w:tabs>
          <w:tab w:leader="none" w:pos="2045" w:val="left"/>
        </w:tabs>
        <w:numPr>
          <w:ilvl w:val="1"/>
          <w:numId w:val="429"/>
        </w:numPr>
        <w:rPr>
          <w:rFonts w:ascii="Arial" w:cs="Arial" w:eastAsia="Arial" w:hAnsi="Arial"/>
          <w:sz w:val="16"/>
          <w:szCs w:val="16"/>
          <w:color w:val="auto"/>
        </w:rPr>
      </w:pPr>
      <w:r>
        <w:rPr>
          <w:rFonts w:ascii="Arial" w:cs="Arial" w:eastAsia="Arial" w:hAnsi="Arial"/>
          <w:sz w:val="16"/>
          <w:szCs w:val="16"/>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 such consent shall be required for technical amendments with respect to additional extensions of credit pursuant to this Agreement (including Extended Term Loans and Extended Revolving Loans), and (y) with the consent of the Required Lenders, additional extensions of credit (including Extended Term Loans and Extended Revolving Loans) pursuant to this Agreement may be included in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584" w:right="239" w:bottom="1440" w:gutter="0" w:footer="0" w:header="0"/>
        </w:sectPr>
      </w:pPr>
    </w:p>
    <w:bookmarkStart w:id="370" w:name="page371"/>
    <w:bookmarkEnd w:id="370"/>
    <w:p>
      <w:pPr>
        <w:ind w:left="4" w:right="20"/>
        <w:spacing w:after="0" w:line="277" w:lineRule="auto"/>
        <w:rPr>
          <w:sz w:val="20"/>
          <w:szCs w:val="20"/>
          <w:color w:val="auto"/>
        </w:rPr>
      </w:pPr>
      <w:r>
        <w:rPr>
          <w:rFonts w:ascii="Arial" w:cs="Arial" w:eastAsia="Arial" w:hAnsi="Arial"/>
          <w:sz w:val="18"/>
          <w:szCs w:val="18"/>
          <w:color w:val="auto"/>
        </w:rPr>
        <w:t>determination of the Required Lenders, Required Tranche Lenders and/or Required Revolving Lenders on substantially the same basis as the extensions of Loans and Commitments are included on the Closing Date);</w:t>
      </w:r>
    </w:p>
    <w:p>
      <w:pPr>
        <w:spacing w:after="0" w:line="170" w:lineRule="exact"/>
        <w:rPr>
          <w:sz w:val="20"/>
          <w:szCs w:val="20"/>
          <w:color w:val="auto"/>
        </w:rPr>
      </w:pPr>
    </w:p>
    <w:p>
      <w:pPr>
        <w:jc w:val="both"/>
        <w:ind w:left="4" w:firstLine="888"/>
        <w:spacing w:after="0" w:line="302" w:lineRule="auto"/>
        <w:tabs>
          <w:tab w:leader="none" w:pos="1326" w:val="left"/>
        </w:tabs>
        <w:numPr>
          <w:ilvl w:val="0"/>
          <w:numId w:val="430"/>
        </w:numPr>
        <w:rPr>
          <w:rFonts w:ascii="Arial" w:cs="Arial" w:eastAsia="Arial" w:hAnsi="Arial"/>
          <w:sz w:val="16"/>
          <w:szCs w:val="16"/>
          <w:color w:val="auto"/>
        </w:rPr>
      </w:pPr>
      <w:r>
        <w:rPr>
          <w:rFonts w:ascii="Arial" w:cs="Arial" w:eastAsia="Arial" w:hAnsi="Arial"/>
          <w:sz w:val="16"/>
          <w:szCs w:val="16"/>
          <w:color w:val="auto"/>
        </w:rPr>
        <w:t xml:space="preserve">amend, modify, change, or waive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4.07(b)</w:t>
      </w:r>
      <w:r>
        <w:rPr>
          <w:rFonts w:ascii="Arial" w:cs="Arial" w:eastAsia="Arial" w:hAnsi="Arial"/>
          <w:sz w:val="16"/>
          <w:szCs w:val="16"/>
          <w:color w:val="auto"/>
        </w:rPr>
        <w:t xml:space="preserve">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consent of each Lender directly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spacing w:after="0" w:line="154" w:lineRule="exact"/>
        <w:rPr>
          <w:rFonts w:ascii="Arial" w:cs="Arial" w:eastAsia="Arial" w:hAnsi="Arial"/>
          <w:sz w:val="16"/>
          <w:szCs w:val="16"/>
          <w:color w:val="auto"/>
        </w:rPr>
      </w:pPr>
    </w:p>
    <w:p>
      <w:pPr>
        <w:ind w:left="4" w:right="20" w:firstLine="888"/>
        <w:spacing w:after="0" w:line="277" w:lineRule="auto"/>
        <w:tabs>
          <w:tab w:leader="none" w:pos="1389"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Tranche to assign any of its rights or obligations hereunder without the written consent of the Required Tranche Lenders for such Tranche; or</w:t>
      </w:r>
    </w:p>
    <w:p>
      <w:pPr>
        <w:spacing w:after="0" w:line="170" w:lineRule="exact"/>
        <w:rPr>
          <w:rFonts w:ascii="Arial" w:cs="Arial" w:eastAsia="Arial" w:hAnsi="Arial"/>
          <w:sz w:val="18"/>
          <w:szCs w:val="18"/>
          <w:color w:val="auto"/>
        </w:rPr>
      </w:pPr>
    </w:p>
    <w:p>
      <w:pPr>
        <w:jc w:val="both"/>
        <w:ind w:left="4" w:firstLine="888"/>
        <w:spacing w:after="0" w:line="257" w:lineRule="auto"/>
        <w:tabs>
          <w:tab w:leader="none" w:pos="142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amend, modify, change or waive any provision in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w:t>
      </w:r>
    </w:p>
    <w:p>
      <w:pPr>
        <w:spacing w:after="0" w:line="188"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 amendment, modification, change or waiver shall (A) increase the Commitments of any Lender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alter such L/C Lender’s rights or obligations with respect to Letters of Credit, (C) without the consent of any applicable Agent, amend, modify, change or waive any provision as same relates to the rights or obligations of such Agent,</w:t>
      </w:r>
    </w:p>
    <w:p>
      <w:pPr>
        <w:spacing w:after="0" w:line="5" w:lineRule="exact"/>
        <w:rPr>
          <w:sz w:val="20"/>
          <w:szCs w:val="20"/>
          <w:color w:val="auto"/>
        </w:rPr>
      </w:pPr>
    </w:p>
    <w:p>
      <w:pPr>
        <w:jc w:val="both"/>
        <w:ind w:left="4" w:hanging="4"/>
        <w:spacing w:after="0" w:line="284" w:lineRule="auto"/>
        <w:tabs>
          <w:tab w:leader="none" w:pos="319"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amend, modify, change or waive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w:t>
      </w:r>
      <w:r>
        <w:rPr>
          <w:rFonts w:ascii="Arial" w:cs="Arial" w:eastAsia="Arial" w:hAnsi="Arial"/>
          <w:sz w:val="16"/>
          <w:szCs w:val="16"/>
          <w:u w:val="single" w:color="auto"/>
          <w:color w:val="auto"/>
        </w:rPr>
        <w:t>Section 13.04(a)</w:t>
      </w:r>
      <w:r>
        <w:rPr>
          <w:rFonts w:ascii="Arial" w:cs="Arial" w:eastAsia="Arial" w:hAnsi="Arial"/>
          <w:sz w:val="16"/>
          <w:szCs w:val="16"/>
          <w:color w:val="auto"/>
        </w:rPr>
        <w:t xml:space="preserve">)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the Required Lenders may waive, in whole or in part, any prepayment so long as the application, as between Tranches, of any portion of such prepayment which is still required to be made is not altered or (E) amend or modify the definition of “Alternate Currency” or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without the prior written consent of all the Revolving Lenders (such consent being in lieu of the consent of the Required Lenders required above in this </w:t>
      </w:r>
      <w:r>
        <w:rPr>
          <w:rFonts w:ascii="Arial" w:cs="Arial" w:eastAsia="Arial" w:hAnsi="Arial"/>
          <w:sz w:val="16"/>
          <w:szCs w:val="16"/>
          <w:u w:val="single" w:color="auto"/>
          <w:color w:val="auto"/>
        </w:rPr>
        <w:t>Section 13.04(a)</w:t>
      </w:r>
      <w:r>
        <w:rPr>
          <w:rFonts w:ascii="Arial" w:cs="Arial" w:eastAsia="Arial" w:hAnsi="Arial"/>
          <w:sz w:val="16"/>
          <w:szCs w:val="16"/>
          <w:color w:val="auto"/>
        </w:rPr>
        <w:t>).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Administrative Agent to permit Borrower and its Subsidiaries</w:t>
      </w:r>
    </w:p>
    <w:p>
      <w:pPr>
        <w:spacing w:after="0" w:line="200" w:lineRule="exact"/>
        <w:rPr>
          <w:sz w:val="20"/>
          <w:szCs w:val="20"/>
          <w:color w:val="auto"/>
        </w:rPr>
      </w:pPr>
    </w:p>
    <w:p>
      <w:pPr>
        <w:spacing w:after="0" w:line="215"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764"/>
          </w:cols>
          <w:pgMar w:left="896" w:top="584" w:right="239" w:bottom="1440" w:gutter="0" w:footer="0" w:header="0"/>
        </w:sectPr>
      </w:pPr>
    </w:p>
    <w:bookmarkStart w:id="371" w:name="page372"/>
    <w:bookmarkEnd w:id="371"/>
    <w:p>
      <w:pPr>
        <w:ind w:left="660"/>
        <w:spacing w:after="0" w:line="277" w:lineRule="auto"/>
        <w:rPr>
          <w:sz w:val="20"/>
          <w:szCs w:val="20"/>
          <w:color w:val="auto"/>
        </w:rPr>
      </w:pPr>
      <w:r>
        <w:rPr>
          <w:rFonts w:ascii="Arial" w:cs="Arial" w:eastAsia="Arial" w:hAnsi="Arial"/>
          <w:sz w:val="18"/>
          <w:szCs w:val="18"/>
          <w:color w:val="auto"/>
        </w:rPr>
        <w:t xml:space="preserve">to purchase Revolving Commitments (and Revolving Loans made pursuant thereto) of Defaulting Lenders in excess of the amount permitted pursuant to </w:t>
      </w:r>
      <w:r>
        <w:rPr>
          <w:rFonts w:ascii="Arial" w:cs="Arial" w:eastAsia="Arial" w:hAnsi="Arial"/>
          <w:sz w:val="18"/>
          <w:szCs w:val="18"/>
          <w:u w:val="single" w:color="auto"/>
          <w:color w:val="auto"/>
        </w:rPr>
        <w:t>Section 13.04(h)</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notwithstanding the foregoing, the Commitment Letter may only be amended or changed, or rights or privileges thereunder waived, only by the parties thereto in accordance with the respective provisions thereof.</w:t>
      </w:r>
    </w:p>
    <w:p>
      <w:pPr>
        <w:spacing w:after="0" w:line="170" w:lineRule="exact"/>
        <w:rPr>
          <w:sz w:val="20"/>
          <w:szCs w:val="20"/>
          <w:color w:val="auto"/>
        </w:rPr>
      </w:pPr>
    </w:p>
    <w:p>
      <w:pPr>
        <w:jc w:val="both"/>
        <w:ind w:firstLine="656"/>
        <w:spacing w:after="0" w:line="257" w:lineRule="auto"/>
        <w:tabs>
          <w:tab w:leader="none" w:pos="103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88" w:lineRule="exact"/>
        <w:rPr>
          <w:rFonts w:ascii="Arial" w:cs="Arial" w:eastAsia="Arial" w:hAnsi="Arial"/>
          <w:sz w:val="18"/>
          <w:szCs w:val="18"/>
          <w:color w:val="auto"/>
        </w:rPr>
      </w:pPr>
    </w:p>
    <w:p>
      <w:pPr>
        <w:jc w:val="both"/>
        <w:ind w:left="660" w:firstLine="645"/>
        <w:spacing w:after="0" w:line="284" w:lineRule="auto"/>
        <w:tabs>
          <w:tab w:leader="none" w:pos="1839" w:val="left"/>
        </w:tabs>
        <w:numPr>
          <w:ilvl w:val="1"/>
          <w:numId w:val="432"/>
        </w:numPr>
        <w:rPr>
          <w:rFonts w:ascii="Arial" w:cs="Arial" w:eastAsia="Arial" w:hAnsi="Arial"/>
          <w:sz w:val="16"/>
          <w:szCs w:val="16"/>
          <w:color w:val="auto"/>
        </w:rPr>
      </w:pPr>
      <w:r>
        <w:rPr>
          <w:rFonts w:ascii="Arial" w:cs="Arial" w:eastAsia="Arial" w:hAnsi="Arial"/>
          <w:sz w:val="16"/>
          <w:szCs w:val="16"/>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Arial" w:cs="Arial" w:eastAsia="Arial" w:hAnsi="Arial"/>
          <w:sz w:val="16"/>
          <w:szCs w:val="16"/>
          <w:b w:val="1"/>
          <w:bCs w:val="1"/>
          <w:color w:val="auto"/>
        </w:rPr>
        <w:t>Affected Classes</w:t>
      </w:r>
      <w:r>
        <w:rPr>
          <w:rFonts w:ascii="Arial" w:cs="Arial" w:eastAsia="Arial" w:hAnsi="Arial"/>
          <w:sz w:val="16"/>
          <w:szCs w:val="16"/>
          <w:color w:val="auto"/>
        </w:rPr>
        <w:t xml:space="preserve">”)) with one or more Replacement Lenders, so long as, at the time of such replacement, each such Replacement Lender consents to the proposed amendment, modification, change or waiver;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w:t>
      </w:r>
      <w:r>
        <w:rPr>
          <w:rFonts w:ascii="Arial" w:cs="Arial" w:eastAsia="Arial" w:hAnsi="Arial"/>
          <w:sz w:val="16"/>
          <w:szCs w:val="16"/>
          <w:u w:val="single" w:color="auto"/>
          <w:color w:val="auto"/>
        </w:rPr>
        <w:t>Section 13.05(b)</w:t>
      </w:r>
      <w:r>
        <w:rPr>
          <w:rFonts w:ascii="Arial" w:cs="Arial" w:eastAsia="Arial" w:hAnsi="Arial"/>
          <w:sz w:val="16"/>
          <w:szCs w:val="16"/>
          <w:color w:val="auto"/>
        </w:rPr>
        <w:t xml:space="preserve">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Classes or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if Borrower were prepaying a LIBOR Loan), as applicable, shall be paid in full to such Replaced Lender, as applicable, concurrently with such replacement. Upon the execution of the respective Assignment Agreement, the payment of amounts referred to in clauses (i), (ii), and (iii) above, as applicable, and the receipt of any consents that would be required for an assignment of the subject Loans and Commitments to such Replacement Lender in accordance with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(or such shorter period as is acceptable to Administrative Agent) after Borrower’s request, execution of such Assignment Agreement by the Replaced Lender shall not be required to effect such assignment; or</w:t>
      </w:r>
    </w:p>
    <w:p>
      <w:pPr>
        <w:spacing w:after="0" w:line="389" w:lineRule="exact"/>
        <w:rPr>
          <w:rFonts w:ascii="Arial" w:cs="Arial" w:eastAsia="Arial" w:hAnsi="Arial"/>
          <w:sz w:val="16"/>
          <w:szCs w:val="16"/>
          <w:color w:val="auto"/>
        </w:rPr>
      </w:pPr>
    </w:p>
    <w:p>
      <w:pPr>
        <w:jc w:val="both"/>
        <w:ind w:left="660" w:firstLine="645"/>
        <w:spacing w:after="0" w:line="312" w:lineRule="auto"/>
        <w:tabs>
          <w:tab w:leader="none" w:pos="1769" w:val="left"/>
        </w:tabs>
        <w:numPr>
          <w:ilvl w:val="1"/>
          <w:numId w:val="432"/>
        </w:numPr>
        <w:rPr>
          <w:rFonts w:ascii="Arial" w:cs="Arial" w:eastAsia="Arial" w:hAnsi="Arial"/>
          <w:sz w:val="16"/>
          <w:szCs w:val="16"/>
          <w:color w:val="auto"/>
        </w:rPr>
      </w:pPr>
      <w:r>
        <w:rPr>
          <w:rFonts w:ascii="Arial" w:cs="Arial" w:eastAsia="Arial" w:hAnsi="Arial"/>
          <w:sz w:val="16"/>
          <w:szCs w:val="16"/>
          <w:color w:val="auto"/>
        </w:rPr>
        <w:t>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three (3) Business Days’ (or such shorter period as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584" w:right="239" w:bottom="1440" w:gutter="0" w:footer="0" w:header="0"/>
        </w:sectPr>
      </w:pPr>
    </w:p>
    <w:bookmarkStart w:id="372" w:name="page373"/>
    <w:bookmarkEnd w:id="372"/>
    <w:p>
      <w:pPr>
        <w:jc w:val="both"/>
        <w:ind w:left="660"/>
        <w:spacing w:after="0" w:line="285" w:lineRule="auto"/>
        <w:rPr>
          <w:sz w:val="20"/>
          <w:szCs w:val="20"/>
          <w:color w:val="auto"/>
        </w:rPr>
      </w:pPr>
      <w:r>
        <w:rPr>
          <w:rFonts w:ascii="Arial" w:cs="Arial" w:eastAsia="Arial" w:hAnsi="Arial"/>
          <w:sz w:val="16"/>
          <w:szCs w:val="16"/>
          <w:color w:val="auto"/>
        </w:rPr>
        <w:t xml:space="preserve">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under such Tranche), so long as (i) in the case of the repayment of Revolving Loans of any Lender pursuant to this </w:t>
      </w:r>
      <w:r>
        <w:rPr>
          <w:rFonts w:ascii="Arial" w:cs="Arial" w:eastAsia="Arial" w:hAnsi="Arial"/>
          <w:sz w:val="16"/>
          <w:szCs w:val="16"/>
          <w:u w:val="single" w:color="auto"/>
          <w:color w:val="auto"/>
        </w:rPr>
        <w:t>Section 13.04(b)(B)</w:t>
      </w:r>
      <w:r>
        <w:rPr>
          <w:rFonts w:ascii="Arial" w:cs="Arial" w:eastAsia="Arial" w:hAnsi="Arial"/>
          <w:sz w:val="16"/>
          <w:szCs w:val="16"/>
          <w:color w:val="auto"/>
        </w:rPr>
        <w:t xml:space="preserve">,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w:t>
      </w:r>
      <w:r>
        <w:rPr>
          <w:rFonts w:ascii="Arial" w:cs="Arial" w:eastAsia="Arial" w:hAnsi="Arial"/>
          <w:sz w:val="16"/>
          <w:szCs w:val="16"/>
          <w:u w:val="single" w:color="auto"/>
          <w:color w:val="auto"/>
        </w:rPr>
        <w:t>Section 13.04(b)(B)</w:t>
      </w:r>
      <w:r>
        <w:rPr>
          <w:rFonts w:ascii="Arial" w:cs="Arial" w:eastAsia="Arial" w:hAnsi="Arial"/>
          <w:sz w:val="16"/>
          <w:szCs w:val="16"/>
          <w:color w:val="auto"/>
        </w:rPr>
        <w:t>, such Loans repaid or acquired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(including, without limitation,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8" w:lineRule="exact"/>
        <w:rPr>
          <w:sz w:val="20"/>
          <w:szCs w:val="20"/>
          <w:color w:val="auto"/>
        </w:rPr>
      </w:pPr>
    </w:p>
    <w:p>
      <w:pPr>
        <w:jc w:val="both"/>
        <w:ind w:firstLine="656"/>
        <w:spacing w:after="0" w:line="268" w:lineRule="auto"/>
        <w:tabs>
          <w:tab w:leader="none" w:pos="1068"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Administrative Agent and Borrower may (without the consent of Lenders) amend any Credit Document to the extent (but only to the extent) necessary to reflect the existence and terms of Incremental Revolving Commitments, Incremental Term Loans, Other Term Loans, Other Revolving Loans, Extended Term Loans and Extended Revolving Commitments.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incurred pursuant to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such technical amendments as may be necessary or appropriate in the reasonable opinion of Administrative Agent and Borrower in connection with the establishment of such new tranches or sub-tranches, in each case on terms consistent with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firstLine="656"/>
        <w:spacing w:after="0" w:line="272" w:lineRule="auto"/>
        <w:tabs>
          <w:tab w:leader="none" w:pos="1065" w:val="left"/>
        </w:tabs>
        <w:numPr>
          <w:ilvl w:val="0"/>
          <w:numId w:val="433"/>
        </w:numPr>
        <w:rPr>
          <w:rFonts w:ascii="Arial" w:cs="Arial" w:eastAsia="Arial" w:hAnsi="Arial"/>
          <w:sz w:val="17"/>
          <w:szCs w:val="17"/>
          <w:color w:val="auto"/>
        </w:rPr>
      </w:pPr>
      <w:r>
        <w:rPr>
          <w:rFonts w:ascii="Arial" w:cs="Arial" w:eastAsia="Arial" w:hAnsi="Arial"/>
          <w:sz w:val="17"/>
          <w:szCs w:val="17"/>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and Revolving Commitments (or any Tranche of Revolving Loans and Revolving Commitments in the case of additional Revolving Loans or Revolving Commitments) and the accrued interest and fees in respect thereof and (b) to include appropriately the Lenders holding such credit facilities in any determination of the Required Lenders, Required Tranche Lenders, and/or Required Revolving Lenders, as applicable.</w:t>
      </w:r>
    </w:p>
    <w:p>
      <w:pPr>
        <w:spacing w:after="0" w:line="177" w:lineRule="exact"/>
        <w:rPr>
          <w:rFonts w:ascii="Arial" w:cs="Arial" w:eastAsia="Arial" w:hAnsi="Arial"/>
          <w:sz w:val="17"/>
          <w:szCs w:val="17"/>
          <w:color w:val="auto"/>
        </w:rPr>
      </w:pPr>
    </w:p>
    <w:p>
      <w:pPr>
        <w:ind w:right="20" w:firstLine="656"/>
        <w:spacing w:after="0" w:line="277" w:lineRule="auto"/>
        <w:tabs>
          <w:tab w:leader="none" w:pos="1028" w:val="left"/>
        </w:tabs>
        <w:numPr>
          <w:ilvl w:val="0"/>
          <w:numId w:val="4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(i) upon five (5) Business Days’ prior written notice to the Lenders, any Credit Document may be waived, amended, supplemented, or modified pursuant to an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584" w:right="239" w:bottom="1440" w:gutter="0" w:footer="0" w:header="0"/>
        </w:sectPr>
      </w:pPr>
    </w:p>
    <w:bookmarkStart w:id="373" w:name="page374"/>
    <w:bookmarkEnd w:id="373"/>
    <w:p>
      <w:pPr>
        <w:jc w:val="both"/>
        <w:spacing w:after="0" w:line="285" w:lineRule="auto"/>
        <w:rPr>
          <w:sz w:val="20"/>
          <w:szCs w:val="20"/>
          <w:color w:val="auto"/>
        </w:rPr>
      </w:pPr>
      <w:r>
        <w:rPr>
          <w:rFonts w:ascii="Arial" w:cs="Arial" w:eastAsia="Arial" w:hAnsi="Arial"/>
          <w:sz w:val="16"/>
          <w:szCs w:val="16"/>
          <w:color w:val="auto"/>
        </w:rPr>
        <w:t xml:space="preserve">or agreements in writing entered into by Borrower and Administrative Agent (without the consent of any Lender, unless the Required Lenders shall have objected within such five (5) Business Day period) solely to effect administrative changes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Intercreditor Agreement upon the request of Borrower in connection with the incurrence of Permitted First Priority Refinancing Debt or Ratio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Debt (and Permitted Refinancings thereof that satisfy </w:t>
      </w:r>
      <w:r>
        <w:rPr>
          <w:rFonts w:ascii="Arial" w:cs="Arial" w:eastAsia="Arial" w:hAnsi="Arial"/>
          <w:sz w:val="16"/>
          <w:szCs w:val="16"/>
          <w:u w:val="single" w:color="auto"/>
          <w:color w:val="auto"/>
        </w:rPr>
        <w:t>Sections 10.01(t)(i)(D)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10.01(t)(i)(E)</w:t>
      </w:r>
      <w:r>
        <w:rPr>
          <w:rFonts w:ascii="Arial" w:cs="Arial" w:eastAsia="Arial" w:hAnsi="Arial"/>
          <w:sz w:val="16"/>
          <w:szCs w:val="16"/>
          <w:color w:val="auto"/>
        </w:rPr>
        <w:t xml:space="preserve">, as applicable (or any amendments and supplements thereto in connection with the incurrence of additional Permitted First Priority Refinancing Debt or Ratio Debt (and Permitted Refinancings thereof that thereof that satisfy </w:t>
      </w:r>
      <w:r>
        <w:rPr>
          <w:rFonts w:ascii="Arial" w:cs="Arial" w:eastAsia="Arial" w:hAnsi="Arial"/>
          <w:sz w:val="16"/>
          <w:szCs w:val="16"/>
          <w:u w:val="single" w:color="auto"/>
          <w:color w:val="auto"/>
        </w:rPr>
        <w:t>Sections 10.01(t)(i)(D)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10.01(t)(i)(E)</w:t>
      </w:r>
      <w:r>
        <w:rPr>
          <w:rFonts w:ascii="Arial" w:cs="Arial" w:eastAsia="Arial" w:hAnsi="Arial"/>
          <w:sz w:val="16"/>
          <w:szCs w:val="16"/>
          <w:color w:val="auto"/>
        </w:rPr>
        <w:t xml:space="preserve">)), and (C) Collateral Agent shall enter into the Second Lien Intercreditor Agreement upon the request of Borrower in connection with the incurrence of Permitted Second Priority Refinancing Debt or Ratio Debt (and Permitted Refinancings thereof that thereof that satisfy </w:t>
      </w:r>
      <w:r>
        <w:rPr>
          <w:rFonts w:ascii="Arial" w:cs="Arial" w:eastAsia="Arial" w:hAnsi="Arial"/>
          <w:sz w:val="16"/>
          <w:szCs w:val="16"/>
          <w:u w:val="single" w:color="auto"/>
          <w:color w:val="auto"/>
        </w:rPr>
        <w:t>Sections 10.01(t)(i)(D)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10.01(t)(i)(E)</w:t>
      </w:r>
      <w:r>
        <w:rPr>
          <w:rFonts w:ascii="Arial" w:cs="Arial" w:eastAsia="Arial" w:hAnsi="Arial"/>
          <w:sz w:val="16"/>
          <w:szCs w:val="16"/>
          <w:color w:val="auto"/>
        </w:rPr>
        <w:t xml:space="preserve"> (or any amendments and supplements thereto in connection with the incurrence of additional Permitted Second Priority Refinancing Debt or Ratio Debt (and Permitted Refinancings thereof that thereof that satisfy </w:t>
      </w:r>
      <w:r>
        <w:rPr>
          <w:rFonts w:ascii="Arial" w:cs="Arial" w:eastAsia="Arial" w:hAnsi="Arial"/>
          <w:sz w:val="16"/>
          <w:szCs w:val="16"/>
          <w:u w:val="single" w:color="auto"/>
          <w:color w:val="auto"/>
        </w:rPr>
        <w:t>Sections 10.01(t)(i)(D)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10.01(t)(i)(E)</w:t>
      </w:r>
      <w:r>
        <w:rPr>
          <w:rFonts w:ascii="Arial" w:cs="Arial" w:eastAsia="Arial" w:hAnsi="Arial"/>
          <w:sz w:val="16"/>
          <w:szCs w:val="16"/>
          <w:color w:val="auto"/>
        </w:rPr>
        <w:t>)).</w:t>
      </w:r>
    </w:p>
    <w:p>
      <w:pPr>
        <w:spacing w:after="0" w:line="175" w:lineRule="exact"/>
        <w:rPr>
          <w:sz w:val="20"/>
          <w:szCs w:val="20"/>
          <w:color w:val="auto"/>
        </w:rPr>
      </w:pPr>
    </w:p>
    <w:p>
      <w:pPr>
        <w:jc w:val="both"/>
        <w:ind w:firstLine="656"/>
        <w:spacing w:after="0" w:line="273" w:lineRule="auto"/>
        <w:tabs>
          <w:tab w:leader="none" w:pos="1008" w:val="left"/>
        </w:tabs>
        <w:numPr>
          <w:ilvl w:val="0"/>
          <w:numId w:val="434"/>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applicable Credit Party or Credit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178" w:lineRule="exact"/>
        <w:rPr>
          <w:rFonts w:ascii="Arial" w:cs="Arial" w:eastAsia="Arial" w:hAnsi="Arial"/>
          <w:sz w:val="17"/>
          <w:szCs w:val="17"/>
          <w:color w:val="auto"/>
        </w:rPr>
      </w:pPr>
    </w:p>
    <w:p>
      <w:pPr>
        <w:jc w:val="both"/>
        <w:ind w:firstLine="656"/>
        <w:spacing w:after="0" w:line="268" w:lineRule="auto"/>
        <w:tabs>
          <w:tab w:leader="none" w:pos="1079"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w:t>
      </w:r>
      <w:r>
        <w:rPr>
          <w:rFonts w:ascii="Arial" w:cs="Arial" w:eastAsia="Arial" w:hAnsi="Arial"/>
          <w:sz w:val="17"/>
          <w:szCs w:val="17"/>
          <w:u w:val="single" w:color="auto"/>
          <w:color w:val="auto"/>
        </w:rPr>
        <w:t>Section 13.04(a)</w:t>
      </w:r>
      <w:r>
        <w:rPr>
          <w:rFonts w:ascii="Arial" w:cs="Arial" w:eastAsia="Arial" w:hAnsi="Arial"/>
          <w:sz w:val="17"/>
          <w:szCs w:val="17"/>
          <w:color w:val="auto"/>
        </w:rPr>
        <w:t xml:space="preserve">), (iv) if the property subject to such Lien is owned by a Guarantor, upon release of such Guarantor from its obligations under its Guarantee pursuant to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(v) constituting Equity Interests in or property of an Unrestricted Subsidiary, (vi) subject to Liens permitted under </w:t>
      </w:r>
      <w:r>
        <w:rPr>
          <w:rFonts w:ascii="Arial" w:cs="Arial" w:eastAsia="Arial" w:hAnsi="Arial"/>
          <w:sz w:val="17"/>
          <w:szCs w:val="17"/>
          <w:u w:val="single" w:color="auto"/>
          <w:color w:val="auto"/>
        </w:rPr>
        <w:t>Sections 10.02(i)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10.02(k)</w:t>
      </w:r>
      <w:r>
        <w:rPr>
          <w:rFonts w:ascii="Arial" w:cs="Arial" w:eastAsia="Arial" w:hAnsi="Arial"/>
          <w:sz w:val="17"/>
          <w:szCs w:val="17"/>
          <w:color w:val="auto"/>
        </w:rPr>
        <w:t>,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w:t>
      </w:r>
    </w:p>
    <w:p>
      <w:pPr>
        <w:spacing w:after="0" w:line="185" w:lineRule="exact"/>
        <w:rPr>
          <w:sz w:val="20"/>
          <w:szCs w:val="20"/>
          <w:color w:val="auto"/>
        </w:rPr>
      </w:pPr>
    </w:p>
    <w:p>
      <w:pPr>
        <w:ind w:firstLine="656"/>
        <w:spacing w:after="0" w:line="277" w:lineRule="auto"/>
        <w:tabs>
          <w:tab w:leader="none" w:pos="1065"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any Lender is a Defaulting Lender, Borrower shall have the right to terminate such Defaulting Lender’s Revolving Commitment and repay the Loans related thereto as provided below so long as Borrower Cash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584" w:right="239" w:bottom="1440" w:gutter="0" w:footer="0" w:header="0"/>
        </w:sectPr>
      </w:pPr>
    </w:p>
    <w:bookmarkStart w:id="374" w:name="page375"/>
    <w:bookmarkEnd w:id="374"/>
    <w:p>
      <w:pPr>
        <w:jc w:val="both"/>
        <w:spacing w:after="0" w:line="284" w:lineRule="auto"/>
        <w:rPr>
          <w:sz w:val="20"/>
          <w:szCs w:val="20"/>
          <w:color w:val="auto"/>
        </w:rPr>
      </w:pPr>
      <w:r>
        <w:rPr>
          <w:rFonts w:ascii="Arial" w:cs="Arial" w:eastAsia="Arial" w:hAnsi="Arial"/>
          <w:sz w:val="16"/>
          <w:szCs w:val="16"/>
          <w:color w:val="auto"/>
        </w:rPr>
        <w:t xml:space="preserve">Collateralizes or backstops such Defaulting Lender’s applicable R/C Percentage of the L/C Liability to the reasonable satisfaction of the L/C Issuer and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terminations of Revolving Commitments shall not exceed 20% of the sum of (x) the initial aggregate principal amount of the Revolving Commitments on the Closing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initial aggregate principal amount of all Incremental Revolving Commitments incurred after the Closing Date and prior to such date of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Borrower and its Subsidiaries may terminate additional Revolving Commitments of Defaulting Lenders and repay the Loans related thereto pursuant to this </w:t>
      </w:r>
      <w:r>
        <w:rPr>
          <w:rFonts w:ascii="Arial" w:cs="Arial" w:eastAsia="Arial" w:hAnsi="Arial"/>
          <w:sz w:val="16"/>
          <w:szCs w:val="16"/>
          <w:u w:val="single" w:color="auto"/>
          <w:color w:val="auto"/>
        </w:rPr>
        <w:t>Section 13.04(h)</w:t>
      </w:r>
      <w:r>
        <w:rPr>
          <w:rFonts w:ascii="Arial" w:cs="Arial" w:eastAsia="Arial" w:hAnsi="Arial"/>
          <w:sz w:val="16"/>
          <w:szCs w:val="16"/>
          <w:color w:val="auto"/>
        </w:rPr>
        <w:t xml:space="preserve"> with the consent of Administrative Agent. At the time of any such termination and/or repayment, and as a condition thereto, the Replaced Lender shall receive an amount equal to the sum of</w:t>
      </w:r>
    </w:p>
    <w:p>
      <w:pPr>
        <w:spacing w:after="0" w:line="5" w:lineRule="exact"/>
        <w:rPr>
          <w:sz w:val="20"/>
          <w:szCs w:val="20"/>
          <w:color w:val="auto"/>
        </w:rPr>
      </w:pPr>
    </w:p>
    <w:p>
      <w:pPr>
        <w:jc w:val="both"/>
        <w:ind w:firstLine="8"/>
        <w:spacing w:after="0" w:line="284" w:lineRule="auto"/>
        <w:tabs>
          <w:tab w:leader="none" w:pos="338"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w:t>
      </w:r>
      <w:r>
        <w:rPr>
          <w:rFonts w:ascii="Arial" w:cs="Arial" w:eastAsia="Arial" w:hAnsi="Arial"/>
          <w:sz w:val="16"/>
          <w:szCs w:val="16"/>
          <w:u w:val="single" w:color="auto"/>
          <w:color w:val="auto"/>
        </w:rPr>
        <w:t>Sections 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13.03</w:t>
      </w:r>
      <w:r>
        <w:rPr>
          <w:rFonts w:ascii="Arial" w:cs="Arial" w:eastAsia="Arial" w:hAnsi="Arial"/>
          <w:sz w:val="16"/>
          <w:szCs w:val="16"/>
          <w:color w:val="auto"/>
        </w:rPr>
        <w:t xml:space="preserve">), which shall survive as to such repaid Lender. Immediately upon any repayment of Loans by Borrower pursuant to this </w:t>
      </w:r>
      <w:r>
        <w:rPr>
          <w:rFonts w:ascii="Arial" w:cs="Arial" w:eastAsia="Arial" w:hAnsi="Arial"/>
          <w:sz w:val="16"/>
          <w:szCs w:val="16"/>
          <w:u w:val="single" w:color="auto"/>
          <w:color w:val="auto"/>
        </w:rPr>
        <w:t>Section 13.04(h)</w:t>
      </w:r>
      <w:r>
        <w:rPr>
          <w:rFonts w:ascii="Arial" w:cs="Arial" w:eastAsia="Arial" w:hAnsi="Arial"/>
          <w:sz w:val="16"/>
          <w:szCs w:val="16"/>
          <w:color w:val="auto"/>
        </w:rPr>
        <w:t>, such Loans repaid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(including, without limitation,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IV</w:t>
      </w:r>
      <w:r>
        <w:rPr>
          <w:rFonts w:ascii="Arial" w:cs="Arial" w:eastAsia="Arial" w:hAnsi="Arial"/>
          <w:sz w:val="16"/>
          <w:szCs w:val="16"/>
          <w:color w:val="auto"/>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5" w:lineRule="exact"/>
        <w:rPr>
          <w:rFonts w:ascii="Arial" w:cs="Arial" w:eastAsia="Arial" w:hAnsi="Arial"/>
          <w:sz w:val="16"/>
          <w:szCs w:val="16"/>
          <w:color w:val="auto"/>
        </w:rPr>
      </w:pPr>
    </w:p>
    <w:p>
      <w:pPr>
        <w:jc w:val="both"/>
        <w:ind w:firstLine="656"/>
        <w:spacing w:after="0" w:line="285" w:lineRule="auto"/>
        <w:tabs>
          <w:tab w:leader="none" w:pos="1176" w:val="left"/>
        </w:tabs>
        <w:numPr>
          <w:ilvl w:val="1"/>
          <w:numId w:val="436"/>
        </w:numPr>
        <w:rPr>
          <w:rFonts w:ascii="Arial" w:cs="Arial" w:eastAsia="Arial" w:hAnsi="Arial"/>
          <w:sz w:val="16"/>
          <w:szCs w:val="16"/>
          <w:color w:val="auto"/>
        </w:rPr>
      </w:pPr>
      <w:r>
        <w:rPr>
          <w:rFonts w:ascii="Arial" w:cs="Arial" w:eastAsia="Arial" w:hAnsi="Arial"/>
          <w:sz w:val="16"/>
          <w:szCs w:val="16"/>
          <w:color w:val="auto"/>
        </w:rPr>
        <w:t>Notwithstanding anything to the contrary herein, in connection with any determination as to whether the Required Lenders, Required Revolving Lenders, Required Tranche Lenders, as applicable, have (A) consented (or not consented) to any amendment or waiver of any provision of this Agreement or any other Credit Document or any departure by any Credit Party therefrom, (B) otherwise acted on any matter related to any Credit Document, or (C) directed or required Administrative Agent, Collateral Agent, or any Lender to undertake any action (or refrain from taking any action) with respect to or under any Credit Document, any Lender (other than (x) any Lender that is a Regulated Bank and (y) any Lender as of the Closing Date (each, an “</w:t>
      </w:r>
      <w:r>
        <w:rPr>
          <w:rFonts w:ascii="Arial" w:cs="Arial" w:eastAsia="Arial" w:hAnsi="Arial"/>
          <w:sz w:val="16"/>
          <w:szCs w:val="16"/>
          <w:b w:val="1"/>
          <w:bCs w:val="1"/>
          <w:color w:val="auto"/>
        </w:rPr>
        <w:t>Excluded Lender</w:t>
      </w:r>
      <w:r>
        <w:rPr>
          <w:rFonts w:ascii="Arial" w:cs="Arial" w:eastAsia="Arial" w:hAnsi="Arial"/>
          <w:sz w:val="16"/>
          <w:szCs w:val="16"/>
          <w:color w:val="auto"/>
        </w:rPr>
        <w:t>”))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Arial" w:cs="Arial" w:eastAsia="Arial" w:hAnsi="Arial"/>
          <w:sz w:val="16"/>
          <w:szCs w:val="16"/>
          <w:b w:val="1"/>
          <w:bCs w:val="1"/>
          <w:color w:val="auto"/>
        </w:rPr>
        <w:t>Net Short Lender</w:t>
      </w:r>
      <w:r>
        <w:rPr>
          <w:rFonts w:ascii="Arial" w:cs="Arial" w:eastAsia="Arial" w:hAnsi="Arial"/>
          <w:sz w:val="16"/>
          <w:szCs w:val="16"/>
          <w:color w:val="auto"/>
        </w:rPr>
        <w:t>”), shall not, without the consent of Borrower, have any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(other than an Excluded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Borrower or other Credit Parties or any instrument issued or guaranteed by any of Borrower or other Credit Parties shall not be deemed to create a short position with respect to the Loans and/or Commitments, so long as (x) such index is not created, designed, administered or requested by such Lender or its Affiliates and (y) Borrower and the other Credit Parties and any instrument issued or guaranteed by any of Borrower or other Credit Parties, collectively, shall represent less than five percent (5%) of the components of such index, (iv) derivative transactions that are documented using either the 2014 ISDA Credit Derivatives Definitions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584" w:right="239" w:bottom="1440" w:gutter="0" w:footer="0" w:header="0"/>
        </w:sectPr>
      </w:pPr>
    </w:p>
    <w:bookmarkStart w:id="375" w:name="page376"/>
    <w:bookmarkEnd w:id="375"/>
    <w:p>
      <w:pPr>
        <w:jc w:val="both"/>
        <w:spacing w:after="0" w:line="286" w:lineRule="auto"/>
        <w:rPr>
          <w:sz w:val="20"/>
          <w:szCs w:val="20"/>
          <w:color w:val="auto"/>
        </w:rPr>
      </w:pPr>
      <w:r>
        <w:rPr>
          <w:rFonts w:ascii="Arial" w:cs="Arial" w:eastAsia="Arial" w:hAnsi="Arial"/>
          <w:sz w:val="16"/>
          <w:szCs w:val="16"/>
          <w:color w:val="auto"/>
        </w:rPr>
        <w:t>or the 2003 ISDA Credit Derivative Definitions (collectively, the “</w:t>
      </w:r>
      <w:r>
        <w:rPr>
          <w:rFonts w:ascii="Arial" w:cs="Arial" w:eastAsia="Arial" w:hAnsi="Arial"/>
          <w:sz w:val="16"/>
          <w:szCs w:val="16"/>
          <w:b w:val="1"/>
          <w:bCs w:val="1"/>
          <w:color w:val="auto"/>
        </w:rPr>
        <w:t>ISDA CDS Definitions</w:t>
      </w:r>
      <w:r>
        <w:rPr>
          <w:rFonts w:ascii="Arial" w:cs="Arial" w:eastAsia="Arial" w:hAnsi="Arial"/>
          <w:sz w:val="16"/>
          <w:szCs w:val="16"/>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Borrower or other Credit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Borrower or other Credit Parties other than, in each case, as part of an index so long as (x) such index is not created, designed, administered or requested by such Lender and (y) Borrower and other Credit Parties and any instrument issued or guaranteed by any of Borrower or other Credit Parties, collectively, shall represent less than five percent (5%) of the components of such index. In connection with any such determination, each Lender (other than an Excluded Lender) shall promptly notify Administrative Agent in writing that it is a Net Short Lender, or shall otherwise be deemed to have represented and warranted to Borrower and Administrative Agent that it is not a Net Short Lender (it being understood and agreed that Borrower and Administrative Agent shall be entitled to rely on each such representation and deemed representation).</w:t>
      </w:r>
    </w:p>
    <w:p>
      <w:pPr>
        <w:spacing w:after="0" w:line="176" w:lineRule="exact"/>
        <w:rPr>
          <w:sz w:val="20"/>
          <w:szCs w:val="20"/>
          <w:color w:val="auto"/>
        </w:rPr>
      </w:pPr>
    </w:p>
    <w:p>
      <w:pPr>
        <w:jc w:val="both"/>
        <w:ind w:firstLine="656"/>
        <w:spacing w:after="0" w:line="259" w:lineRule="auto"/>
        <w:tabs>
          <w:tab w:leader="none" w:pos="102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or any other Credit Document to the contrary, Borrower and Administrative Agent may enter into any amendment, waiver, consent or supplement to this Agreement and such other related changes (but for the avoidance of doubt, such related changes shall not include a reduction of the Applicable Margin) to this Agreement as may be applicable to amend the definition of “LIBO Base Rate” with the consents, if any, and in the manner, as set forth in </w:t>
      </w:r>
      <w:r>
        <w:rPr>
          <w:rFonts w:ascii="Arial" w:cs="Arial" w:eastAsia="Arial" w:hAnsi="Arial"/>
          <w:sz w:val="18"/>
          <w:szCs w:val="18"/>
          <w:u w:val="single" w:color="auto"/>
          <w:color w:val="auto"/>
        </w:rPr>
        <w:t>Section 5.02(c)</w:t>
      </w:r>
      <w:r>
        <w:rPr>
          <w:rFonts w:ascii="Arial" w:cs="Arial" w:eastAsia="Arial" w:hAnsi="Arial"/>
          <w:sz w:val="18"/>
          <w:szCs w:val="18"/>
          <w:color w:val="auto"/>
        </w:rPr>
        <w:t>.</w:t>
      </w:r>
    </w:p>
    <w:p>
      <w:pPr>
        <w:spacing w:after="0" w:line="183"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Benefit of Agreement; Assignments; Participations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5" w:lineRule="auto"/>
        <w:tabs>
          <w:tab w:leader="none" w:pos="108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inure to the benefit of and be enforceable by the respective successors and assigns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Credit Party may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w:t>
      </w:r>
      <w:r>
        <w:rPr>
          <w:rFonts w:ascii="Arial" w:cs="Arial" w:eastAsia="Arial" w:hAnsi="Arial"/>
          <w:sz w:val="16"/>
          <w:szCs w:val="16"/>
          <w:u w:val="single" w:color="auto"/>
          <w:color w:val="auto"/>
        </w:rPr>
        <w:t>Section 13.05(b)</w:t>
      </w:r>
      <w:r>
        <w:rPr>
          <w:rFonts w:ascii="Arial" w:cs="Arial" w:eastAsia="Arial" w:hAnsi="Arial"/>
          <w:sz w:val="16"/>
          <w:szCs w:val="16"/>
          <w:color w:val="auto"/>
        </w:rPr>
        <w:t xml:space="preserve">) and the participant shall not constitute a “Lender”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Lender shall transfer, assign or grant any participation (w) to a natural person, (x) to a Person that is a Disqualified Lender as of the applicable Trade Date (unless consented to by Borrower), (y) any Person that is subject to a Disqualification,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580" w:right="239" w:bottom="1440" w:gutter="0" w:footer="0" w:header="0"/>
        </w:sectPr>
      </w:pPr>
    </w:p>
    <w:bookmarkStart w:id="376" w:name="page377"/>
    <w:bookmarkEnd w:id="376"/>
    <w:p>
      <w:pPr>
        <w:jc w:val="both"/>
        <w:spacing w:after="0" w:line="285" w:lineRule="auto"/>
        <w:rPr>
          <w:sz w:val="20"/>
          <w:szCs w:val="20"/>
          <w:color w:val="auto"/>
        </w:rPr>
      </w:pPr>
      <w:r>
        <w:rPr>
          <w:rFonts w:ascii="Arial" w:cs="Arial" w:eastAsia="Arial" w:hAnsi="Arial"/>
          <w:sz w:val="16"/>
          <w:szCs w:val="16"/>
          <w:color w:val="auto"/>
        </w:rPr>
        <w:t xml:space="preserve">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w:t>
      </w:r>
      <w:r>
        <w:rPr>
          <w:rFonts w:ascii="Arial" w:cs="Arial" w:eastAsia="Arial" w:hAnsi="Arial"/>
          <w:sz w:val="16"/>
          <w:szCs w:val="16"/>
          <w:u w:val="single" w:color="auto"/>
          <w:color w:val="auto"/>
        </w:rPr>
        <w:t>(a)</w:t>
      </w:r>
      <w:r>
        <w:rPr>
          <w:rFonts w:ascii="Arial" w:cs="Arial" w:eastAsia="Arial" w:hAnsi="Arial"/>
          <w:sz w:val="16"/>
          <w:szCs w:val="16"/>
          <w:color w:val="auto"/>
        </w:rPr>
        <w:t xml:space="preserve">, Borrower agrees that each participant shall be entitled to the benefits of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(subject to the obligations and limitations of such Sections, including </w:t>
      </w:r>
      <w:r>
        <w:rPr>
          <w:rFonts w:ascii="Arial" w:cs="Arial" w:eastAsia="Arial" w:hAnsi="Arial"/>
          <w:sz w:val="16"/>
          <w:szCs w:val="16"/>
          <w:u w:val="single" w:color="auto"/>
          <w:color w:val="auto"/>
        </w:rPr>
        <w:t>Sections 5.06(c)</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Sections 5.06(c)</w:t>
      </w:r>
      <w:r>
        <w:rPr>
          <w:rFonts w:ascii="Arial" w:cs="Arial" w:eastAsia="Arial" w:hAnsi="Arial"/>
          <w:sz w:val="16"/>
          <w:szCs w:val="16"/>
          <w:color w:val="auto"/>
        </w:rPr>
        <w:t xml:space="preserve"> shall be delivered solely to the participating Lender)) to the same extent as if it were a Lender and had acquired its interest by assignment pursuant to paragraph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or Proposed Section 1.163-5(b) of the United States Treasury Regulations (or, in each case, any amended or successor version). A participant shall not be entitled to receive any greater payment under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171" w:lineRule="exact"/>
        <w:rPr>
          <w:sz w:val="20"/>
          <w:szCs w:val="20"/>
          <w:color w:val="auto"/>
        </w:rPr>
      </w:pPr>
    </w:p>
    <w:p>
      <w:pPr>
        <w:jc w:val="both"/>
        <w:ind w:firstLine="656"/>
        <w:spacing w:after="0" w:line="284" w:lineRule="auto"/>
        <w:tabs>
          <w:tab w:leader="none" w:pos="1106" w:val="left"/>
        </w:tabs>
        <w:numPr>
          <w:ilvl w:val="0"/>
          <w:numId w:val="439"/>
        </w:numPr>
        <w:rPr>
          <w:rFonts w:ascii="Arial" w:cs="Arial" w:eastAsia="Arial" w:hAnsi="Arial"/>
          <w:sz w:val="16"/>
          <w:szCs w:val="16"/>
          <w:color w:val="auto"/>
        </w:rPr>
      </w:pPr>
      <w:r>
        <w:rPr>
          <w:rFonts w:ascii="Arial" w:cs="Arial" w:eastAsia="Arial" w:hAnsi="Arial"/>
          <w:sz w:val="16"/>
          <w:szCs w:val="16"/>
          <w:color w:val="auto"/>
        </w:rPr>
        <w:t>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without the consent of Administrative Agent and in the case of an assignment of Revolving Loans or Revolving Commitments, the consent of each L/C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consent of Administrative Agent nor of any L/C Lender shall be required for any assignment between Goldman Sachs Bank USA and Goldman Sachs Lending Partners LLC) and, so long as no Event of Default pursuant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with respect to Borrower, </w:t>
      </w:r>
      <w:r>
        <w:rPr>
          <w:rFonts w:ascii="Arial" w:cs="Arial" w:eastAsia="Arial" w:hAnsi="Arial"/>
          <w:sz w:val="16"/>
          <w:szCs w:val="16"/>
          <w:u w:val="single" w:color="auto"/>
          <w:color w:val="auto"/>
        </w:rPr>
        <w:t>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has occurred and is continuing, Borrower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(ii) an assignment of Term A Facility Loans by a Term A Facility Lender to another Term A Facility Lender or an Affiliate or Approved Fund of a Term A Facility Lender, (iii) an assignment of Term Loans (other than a Term A Facility Loan) by a Lender of Term Loans to another Lender or an Affiliate or Approved Fund of a Lender, or (iv) any assignment between Goldman Sachs Bank USA and Goldman Sachs Lending Partners LLC, and (z) Borrower shall be deemed to have consented to any such assignment unless it shall object thereto by written notice to Administrative Agent within ten (10) Business Days after having received notice thereof. Notwithstanding the foregoing, so long as no Event of Default pursuant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with respect to Borrower, </w:t>
      </w:r>
      <w:r>
        <w:rPr>
          <w:rFonts w:ascii="Arial" w:cs="Arial" w:eastAsia="Arial" w:hAnsi="Arial"/>
          <w:sz w:val="16"/>
          <w:szCs w:val="16"/>
          <w:u w:val="single" w:color="auto"/>
          <w:color w:val="auto"/>
        </w:rPr>
        <w:t>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$300.0 million, or greater, without the prior written consent of Borrower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Administrative Agent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585" w:right="239" w:bottom="1440" w:gutter="0" w:footer="0" w:header="0"/>
        </w:sectPr>
      </w:pPr>
    </w:p>
    <w:bookmarkStart w:id="377" w:name="page378"/>
    <w:bookmarkEnd w:id="377"/>
    <w:p>
      <w:pPr>
        <w:jc w:val="both"/>
        <w:spacing w:after="0" w:line="268" w:lineRule="auto"/>
        <w:rPr>
          <w:sz w:val="20"/>
          <w:szCs w:val="20"/>
          <w:color w:val="auto"/>
        </w:rPr>
      </w:pPr>
      <w:r>
        <w:rPr>
          <w:rFonts w:ascii="Arial" w:cs="Arial" w:eastAsia="Arial" w:hAnsi="Arial"/>
          <w:sz w:val="17"/>
          <w:szCs w:val="17"/>
          <w:color w:val="auto"/>
        </w:rPr>
        <w:t xml:space="preserve">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and (III) such assignments may be made on a pro rata basis among Commitments and/or Loans (and related Obligations). To the extent of any assignment permitted pursuant to this </w:t>
      </w:r>
      <w:r>
        <w:rPr>
          <w:rFonts w:ascii="Arial" w:cs="Arial" w:eastAsia="Arial" w:hAnsi="Arial"/>
          <w:sz w:val="17"/>
          <w:szCs w:val="17"/>
          <w:u w:val="single" w:color="auto"/>
          <w:color w:val="auto"/>
        </w:rPr>
        <w:t>Section 13.05(b)</w:t>
      </w:r>
      <w:r>
        <w:rPr>
          <w:rFonts w:ascii="Arial" w:cs="Arial" w:eastAsia="Arial" w:hAnsi="Arial"/>
          <w:sz w:val="17"/>
          <w:szCs w:val="17"/>
          <w:color w:val="auto"/>
        </w:rPr>
        <w:t>, the assigning Lender shall be relieved of its obligations hereunder with respect to its assigned Commitments and outstanding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assignment shall not release such Lender of any claims or liabilities that may exist against such Lender at the time of such assignment). At the time of each assignment pursuant to this </w:t>
      </w:r>
      <w:r>
        <w:rPr>
          <w:rFonts w:ascii="Arial" w:cs="Arial" w:eastAsia="Arial" w:hAnsi="Arial"/>
          <w:sz w:val="17"/>
          <w:szCs w:val="17"/>
          <w:u w:val="single" w:color="auto"/>
          <w:color w:val="auto"/>
        </w:rPr>
        <w:t>Section 13.05(b)</w:t>
      </w:r>
      <w:r>
        <w:rPr>
          <w:rFonts w:ascii="Arial" w:cs="Arial" w:eastAsia="Arial" w:hAnsi="Arial"/>
          <w:sz w:val="17"/>
          <w:szCs w:val="17"/>
          <w:color w:val="auto"/>
        </w:rPr>
        <w:t xml:space="preserve"> to a Person which is not already a Lender hereunder, the respective assignee Lender shall, to the extent legally eligible to do so, provide to Borrower and Administrative Agent the appropriate Internal Revenue Service Forms and other information as described in </w:t>
      </w:r>
      <w:r>
        <w:rPr>
          <w:rFonts w:ascii="Arial" w:cs="Arial" w:eastAsia="Arial" w:hAnsi="Arial"/>
          <w:sz w:val="17"/>
          <w:szCs w:val="17"/>
          <w:u w:val="single" w:color="auto"/>
          <w:color w:val="auto"/>
        </w:rPr>
        <w:t>Sections 5.06(b)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5.06(d)</w:t>
      </w:r>
      <w:r>
        <w:rPr>
          <w:rFonts w:ascii="Arial" w:cs="Arial" w:eastAsia="Arial" w:hAnsi="Arial"/>
          <w:sz w:val="17"/>
          <w:szCs w:val="17"/>
          <w:color w:val="auto"/>
        </w:rPr>
        <w:t xml:space="preserve">, as applicable. To the extent that an assignment of all or any portion of a Lender’s Commitments, Loans and related outstanding Obligations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13.04(b)(B)</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13.05(b)</w:t>
      </w:r>
      <w:r>
        <w:rPr>
          <w:rFonts w:ascii="Arial" w:cs="Arial" w:eastAsia="Arial" w:hAnsi="Arial"/>
          <w:sz w:val="17"/>
          <w:szCs w:val="17"/>
          <w:color w:val="auto"/>
        </w:rPr>
        <w:t xml:space="preserve"> would, under the laws in effect at the time of such assignment, result in increased costs under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5.03</w:t>
      </w:r>
      <w:r>
        <w:rPr>
          <w:rFonts w:ascii="Arial" w:cs="Arial" w:eastAsia="Arial" w:hAnsi="Arial"/>
          <w:sz w:val="17"/>
          <w:szCs w:val="17"/>
          <w:color w:val="auto"/>
        </w:rPr>
        <w:t xml:space="preserve">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188" w:lineRule="exact"/>
        <w:rPr>
          <w:sz w:val="20"/>
          <w:szCs w:val="20"/>
          <w:color w:val="auto"/>
        </w:rPr>
      </w:pPr>
    </w:p>
    <w:p>
      <w:pPr>
        <w:jc w:val="both"/>
        <w:ind w:firstLine="656"/>
        <w:spacing w:after="0" w:line="259" w:lineRule="auto"/>
        <w:tabs>
          <w:tab w:leader="none" w:pos="102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w:t>
      </w:r>
      <w:r>
        <w:rPr>
          <w:rFonts w:ascii="Arial" w:cs="Arial" w:eastAsia="Arial" w:hAnsi="Arial"/>
          <w:sz w:val="18"/>
          <w:szCs w:val="18"/>
          <w:u w:val="single" w:color="auto"/>
          <w:color w:val="auto"/>
        </w:rPr>
        <w:t>Section 13.05(c)</w:t>
      </w:r>
      <w:r>
        <w:rPr>
          <w:rFonts w:ascii="Arial" w:cs="Arial" w:eastAsia="Arial" w:hAnsi="Arial"/>
          <w:sz w:val="18"/>
          <w:szCs w:val="18"/>
          <w:color w:val="auto"/>
        </w:rPr>
        <w:t xml:space="preserve"> shall release the transferor Lender from any of its obligations hereunder or permit the pledgee to become a lender hereunder without otherwise complying with </w:t>
      </w:r>
      <w:r>
        <w:rPr>
          <w:rFonts w:ascii="Arial" w:cs="Arial" w:eastAsia="Arial" w:hAnsi="Arial"/>
          <w:sz w:val="18"/>
          <w:szCs w:val="18"/>
          <w:u w:val="single" w:color="auto"/>
          <w:color w:val="auto"/>
        </w:rPr>
        <w:t>Section 13.05(b)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173" w:val="left"/>
        </w:tabs>
        <w:numPr>
          <w:ilvl w:val="0"/>
          <w:numId w:val="44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13.05</w:t>
      </w:r>
      <w:r>
        <w:rPr>
          <w:rFonts w:ascii="Arial" w:cs="Arial" w:eastAsia="Arial" w:hAnsi="Arial"/>
          <w:sz w:val="17"/>
          <w:szCs w:val="17"/>
          <w:color w:val="auto"/>
        </w:rPr>
        <w:t xml:space="preserve">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65" w:lineRule="exact"/>
        <w:rPr>
          <w:rFonts w:ascii="Arial" w:cs="Arial" w:eastAsia="Arial" w:hAnsi="Arial"/>
          <w:sz w:val="17"/>
          <w:szCs w:val="17"/>
          <w:color w:val="auto"/>
        </w:rPr>
      </w:pPr>
    </w:p>
    <w:p>
      <w:pPr>
        <w:jc w:val="both"/>
        <w:ind w:left="660" w:firstLine="888"/>
        <w:spacing w:after="0" w:line="276" w:lineRule="auto"/>
        <w:tabs>
          <w:tab w:leader="none" w:pos="1915" w:val="left"/>
        </w:tabs>
        <w:numPr>
          <w:ilvl w:val="1"/>
          <w:numId w:val="440"/>
        </w:numPr>
        <w:rPr>
          <w:rFonts w:ascii="Arial" w:cs="Arial" w:eastAsia="Arial" w:hAnsi="Arial"/>
          <w:sz w:val="17"/>
          <w:szCs w:val="17"/>
          <w:color w:val="auto"/>
        </w:rPr>
      </w:pPr>
      <w:r>
        <w:rPr>
          <w:rFonts w:ascii="Arial" w:cs="Arial" w:eastAsia="Arial" w:hAnsi="Arial"/>
          <w:sz w:val="17"/>
          <w:szCs w:val="17"/>
          <w:color w:val="auto"/>
        </w:rPr>
        <w:t xml:space="preserve">(x) with respect to any Borrower Loan Purchase pursuant to the Auction Procedures, at the time of the applicable Purchase Notice (as defined in </w:t>
      </w:r>
      <w:r>
        <w:rPr>
          <w:rFonts w:ascii="Arial" w:cs="Arial" w:eastAsia="Arial" w:hAnsi="Arial"/>
          <w:sz w:val="17"/>
          <w:szCs w:val="17"/>
          <w:u w:val="single" w:color="auto"/>
          <w:color w:val="auto"/>
        </w:rPr>
        <w:t>Exhibit N</w:t>
      </w:r>
      <w:r>
        <w:rPr>
          <w:rFonts w:ascii="Arial" w:cs="Arial" w:eastAsia="Arial" w:hAnsi="Arial"/>
          <w:sz w:val="17"/>
          <w:szCs w:val="17"/>
          <w:color w:val="auto"/>
        </w:rPr>
        <w:t xml:space="preserve">), no Event of Default under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11.01(b)</w:t>
      </w:r>
      <w:r>
        <w:rPr>
          <w:rFonts w:ascii="Arial" w:cs="Arial" w:eastAsia="Arial" w:hAnsi="Arial"/>
          <w:sz w:val="17"/>
          <w:szCs w:val="17"/>
          <w:color w:val="auto"/>
        </w:rPr>
        <w:t xml:space="preserve"> or, with respect to Borrower, </w:t>
      </w:r>
      <w:r>
        <w:rPr>
          <w:rFonts w:ascii="Arial" w:cs="Arial" w:eastAsia="Arial" w:hAnsi="Arial"/>
          <w:sz w:val="17"/>
          <w:szCs w:val="17"/>
          <w:u w:val="single" w:color="auto"/>
          <w:color w:val="auto"/>
        </w:rPr>
        <w:t>Section 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has occurred and is continuing or would result therefrom, and (y) with respect to any Borrower Loan Purchase consummated through an open market purchase, at the Trade Date of the applicable assignment, no Event of Default under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11.01(b)</w:t>
      </w:r>
      <w:r>
        <w:rPr>
          <w:rFonts w:ascii="Arial" w:cs="Arial" w:eastAsia="Arial" w:hAnsi="Arial"/>
          <w:sz w:val="17"/>
          <w:szCs w:val="17"/>
          <w:color w:val="auto"/>
        </w:rPr>
        <w:t xml:space="preserve"> or, with respect to Borrower, </w:t>
      </w:r>
      <w:r>
        <w:rPr>
          <w:rFonts w:ascii="Arial" w:cs="Arial" w:eastAsia="Arial" w:hAnsi="Arial"/>
          <w:sz w:val="17"/>
          <w:szCs w:val="17"/>
          <w:u w:val="single" w:color="auto"/>
          <w:color w:val="auto"/>
        </w:rPr>
        <w:t>Section 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has occurred and is continuing or would result therefrom;</w:t>
      </w:r>
    </w:p>
    <w:p>
      <w:pPr>
        <w:spacing w:after="0" w:line="172" w:lineRule="exact"/>
        <w:rPr>
          <w:rFonts w:ascii="Arial" w:cs="Arial" w:eastAsia="Arial" w:hAnsi="Arial"/>
          <w:sz w:val="17"/>
          <w:szCs w:val="17"/>
          <w:color w:val="auto"/>
        </w:rPr>
      </w:pPr>
    </w:p>
    <w:p>
      <w:pPr>
        <w:jc w:val="both"/>
        <w:ind w:left="660" w:firstLine="888"/>
        <w:spacing w:after="0" w:line="271" w:lineRule="auto"/>
        <w:tabs>
          <w:tab w:leader="none" w:pos="1978" w:val="left"/>
        </w:tabs>
        <w:numPr>
          <w:ilvl w:val="1"/>
          <w:numId w:val="440"/>
        </w:numPr>
        <w:rPr>
          <w:rFonts w:ascii="Arial" w:cs="Arial" w:eastAsia="Arial" w:hAnsi="Arial"/>
          <w:sz w:val="17"/>
          <w:szCs w:val="17"/>
          <w:color w:val="auto"/>
        </w:rPr>
      </w:pPr>
      <w:r>
        <w:rPr>
          <w:rFonts w:ascii="Arial" w:cs="Arial" w:eastAsia="Arial" w:hAnsi="Arial"/>
          <w:sz w:val="17"/>
          <w:szCs w:val="17"/>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purchases and cancellations shall not constitute prepayments or repayments of the Loans (including, without limitation,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IV</w:t>
      </w:r>
      <w:r>
        <w:rPr>
          <w:rFonts w:ascii="Arial" w:cs="Arial" w:eastAsia="Arial" w:hAnsi="Arial"/>
          <w:sz w:val="17"/>
          <w:szCs w:val="17"/>
          <w:color w:val="auto"/>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8" w:lineRule="exact"/>
        <w:rPr>
          <w:rFonts w:ascii="Arial" w:cs="Arial" w:eastAsia="Arial" w:hAnsi="Arial"/>
          <w:sz w:val="17"/>
          <w:szCs w:val="17"/>
          <w:color w:val="auto"/>
        </w:rPr>
      </w:pPr>
    </w:p>
    <w:p>
      <w:pPr>
        <w:jc w:val="both"/>
        <w:ind w:left="660" w:firstLine="888"/>
        <w:spacing w:after="0" w:line="259" w:lineRule="auto"/>
        <w:tabs>
          <w:tab w:leader="none" w:pos="2136"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584" w:right="239" w:bottom="1440" w:gutter="0" w:footer="0" w:header="0"/>
        </w:sectPr>
      </w:pPr>
    </w:p>
    <w:bookmarkStart w:id="378" w:name="page379"/>
    <w:bookmarkEnd w:id="378"/>
    <w:p>
      <w:pPr>
        <w:jc w:val="both"/>
        <w:ind w:left="660" w:firstLine="888"/>
        <w:spacing w:after="0" w:line="297" w:lineRule="auto"/>
        <w:tabs>
          <w:tab w:leader="none" w:pos="2167"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Administrative Agent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 the amount of any such excess L/C Liabilities;</w:t>
      </w:r>
    </w:p>
    <w:p>
      <w:pPr>
        <w:spacing w:after="0" w:line="158" w:lineRule="exact"/>
        <w:rPr>
          <w:rFonts w:ascii="Arial" w:cs="Arial" w:eastAsia="Arial" w:hAnsi="Arial"/>
          <w:sz w:val="16"/>
          <w:szCs w:val="16"/>
          <w:color w:val="auto"/>
        </w:rPr>
      </w:pPr>
    </w:p>
    <w:p>
      <w:pPr>
        <w:ind w:left="660" w:firstLine="888"/>
        <w:spacing w:after="0" w:line="277" w:lineRule="auto"/>
        <w:tabs>
          <w:tab w:leader="none" w:pos="210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Borrower may not use the proceeds of any Revolving Loan to fund the purchase of outstanding Loans pursuant to this </w:t>
      </w:r>
      <w:r>
        <w:rPr>
          <w:rFonts w:ascii="Arial" w:cs="Arial" w:eastAsia="Arial" w:hAnsi="Arial"/>
          <w:sz w:val="18"/>
          <w:szCs w:val="18"/>
          <w:u w:val="single" w:color="auto"/>
          <w:color w:val="auto"/>
        </w:rPr>
        <w:t>Section 13.05(d)</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left="660" w:firstLine="888"/>
        <w:spacing w:after="0" w:line="264" w:lineRule="auto"/>
        <w:tabs>
          <w:tab w:leader="none" w:pos="2018"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neither Borrower nor any of its Subsidiaries will be required to represent or warrant that they are not in possession of non-public information with respect to Borrower and/or any Subsidiary thereof and/or their respective securities in connection with any purchase permitted by this </w:t>
      </w:r>
      <w:r>
        <w:rPr>
          <w:rFonts w:ascii="Arial" w:cs="Arial" w:eastAsia="Arial" w:hAnsi="Arial"/>
          <w:sz w:val="18"/>
          <w:szCs w:val="18"/>
          <w:u w:val="single" w:color="auto"/>
          <w:color w:val="auto"/>
        </w:rPr>
        <w:t>Section 13.05(d)</w:t>
      </w:r>
      <w:r>
        <w:rPr>
          <w:rFonts w:ascii="Arial" w:cs="Arial" w:eastAsia="Arial" w:hAnsi="Arial"/>
          <w:sz w:val="18"/>
          <w:szCs w:val="18"/>
          <w:color w:val="auto"/>
        </w:rPr>
        <w: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assignment fee set forth in </w:t>
      </w:r>
      <w:r>
        <w:rPr>
          <w:rFonts w:ascii="Arial" w:cs="Arial" w:eastAsia="Arial" w:hAnsi="Arial"/>
          <w:sz w:val="18"/>
          <w:szCs w:val="18"/>
          <w:u w:val="single" w:color="auto"/>
          <w:color w:val="auto"/>
        </w:rPr>
        <w:t>Section 13.05(b)</w:t>
      </w:r>
      <w:r>
        <w:rPr>
          <w:rFonts w:ascii="Arial" w:cs="Arial" w:eastAsia="Arial" w:hAnsi="Arial"/>
          <w:sz w:val="18"/>
          <w:szCs w:val="18"/>
          <w:color w:val="auto"/>
        </w:rPr>
        <w:t xml:space="preserve"> shall not be applicable to any Borrower Loan Purchase consummated pursuant to this </w:t>
      </w:r>
      <w:r>
        <w:rPr>
          <w:rFonts w:ascii="Arial" w:cs="Arial" w:eastAsia="Arial" w:hAnsi="Arial"/>
          <w:sz w:val="18"/>
          <w:szCs w:val="18"/>
          <w:u w:val="single" w:color="auto"/>
          <w:color w:val="auto"/>
        </w:rPr>
        <w:t>Section 13.05(d)</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84" w:lineRule="auto"/>
        <w:tabs>
          <w:tab w:leader="none" w:pos="1055" w:val="left"/>
        </w:tabs>
        <w:numPr>
          <w:ilvl w:val="0"/>
          <w:numId w:val="442"/>
        </w:numPr>
        <w:rPr>
          <w:rFonts w:ascii="Arial" w:cs="Arial" w:eastAsia="Arial" w:hAnsi="Arial"/>
          <w:sz w:val="16"/>
          <w:szCs w:val="16"/>
          <w:color w:val="auto"/>
        </w:rPr>
      </w:pPr>
      <w:r>
        <w:rPr>
          <w:rFonts w:ascii="Arial" w:cs="Arial" w:eastAsia="Arial" w:hAnsi="Arial"/>
          <w:sz w:val="16"/>
          <w:szCs w:val="16"/>
          <w:color w:val="auto"/>
        </w:rPr>
        <w:t>Each Lender who is an Affiliate of Borrower (excluding (x) Borrower and its Subsidiaries and (y) any Debt Fund Affiliate Lenders) (each, an “</w:t>
      </w:r>
      <w:r>
        <w:rPr>
          <w:rFonts w:ascii="Arial" w:cs="Arial" w:eastAsia="Arial" w:hAnsi="Arial"/>
          <w:sz w:val="16"/>
          <w:szCs w:val="16"/>
          <w:b w:val="1"/>
          <w:bCs w:val="1"/>
          <w:color w:val="auto"/>
        </w:rPr>
        <w:t>Affiliate Lender</w:t>
      </w:r>
      <w:r>
        <w:rPr>
          <w:rFonts w:ascii="Arial" w:cs="Arial" w:eastAsia="Arial" w:hAnsi="Arial"/>
          <w:sz w:val="16"/>
          <w:szCs w:val="16"/>
          <w:color w:val="auto"/>
        </w:rPr>
        <w:t xml:space="preserve">”; it being understood that (x) neither Borrower nor any of its Subsidiaries may be Affiliate Lenders and (y) Debt Fund Affiliate Lenders and Affiliate Lenders may be lenders in accordance with this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subject, in the case of Affiliate Lenders, to this </w:t>
      </w:r>
      <w:r>
        <w:rPr>
          <w:rFonts w:ascii="Arial" w:cs="Arial" w:eastAsia="Arial" w:hAnsi="Arial"/>
          <w:sz w:val="16"/>
          <w:szCs w:val="16"/>
          <w:u w:val="single" w:color="auto"/>
          <w:color w:val="auto"/>
        </w:rPr>
        <w:t>Section 13.05(e)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13.05(f)</w:t>
      </w:r>
      <w:r>
        <w:rPr>
          <w:rFonts w:ascii="Arial" w:cs="Arial" w:eastAsia="Arial" w:hAnsi="Arial"/>
          <w:sz w:val="16"/>
          <w:szCs w:val="16"/>
          <w:color w:val="auto"/>
        </w:rPr>
        <w:t xml:space="preserve">), in connection with any (i) consent (or decision not to consent) to any amendment, modification, waiver, consent or other action with respect to any of the terms of any Credit Document, (ii) other action on any matter related to any Credit Document or (iii) direction to Administrative Agent, Collateral Agent or any Lender to undertake any action (or refrain from taking any action) with respect to or under any Credit Document, agrees that, except with respect to any amendment, modification, waiver, consent or other action (1) described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13.04(a)</w:t>
      </w:r>
      <w:r>
        <w:rPr>
          <w:rFonts w:ascii="Arial" w:cs="Arial" w:eastAsia="Arial" w:hAnsi="Arial"/>
          <w:sz w:val="16"/>
          <w:szCs w:val="16"/>
          <w:color w:val="auto"/>
        </w:rPr>
        <w:t xml:space="preserve">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Administrative Agent (such appointment being coupled with an interest) as such Affiliate Lender’s attorney-in-fact, with full authority in the place and stead of such Affiliate Lender and in the name of such Affiliate Lender, from time to time in Administrative Agent’s discretion to take any action and to execute any instrument that Administrative Agent may deem reasonably necessary to carry out the provisions of this clause (e). In furtherance of the foregoing, (i) Affiliate Lenders will not be required to represent or warrant that they are not in possession of non-public information with respect to Borrower and/or any Subsidiary thereof and/or their respective securities in connection with any assignment permitted by this </w:t>
      </w:r>
      <w:r>
        <w:rPr>
          <w:rFonts w:ascii="Arial" w:cs="Arial" w:eastAsia="Arial" w:hAnsi="Arial"/>
          <w:sz w:val="16"/>
          <w:szCs w:val="16"/>
          <w:u w:val="single" w:color="auto"/>
          <w:color w:val="auto"/>
        </w:rPr>
        <w:t>Section 13.05(e)</w:t>
      </w:r>
      <w:r>
        <w:rPr>
          <w:rFonts w:ascii="Arial" w:cs="Arial" w:eastAsia="Arial" w:hAnsi="Arial"/>
          <w:sz w:val="16"/>
          <w:szCs w:val="16"/>
          <w:color w:val="auto"/>
        </w:rPr>
        <w:t xml:space="preserve"> and (ii) any Term Loans acquired by any Affiliate Lender may (but shall not be required to), with the consent of Borrower, be contributed to Borrower or any of its Restricted Subsidiaries (it being understood that any such Term Loans shall, to the extent permitted by applicable Law, be retired and cancelled promptly upon such contribution) and which may be converted into or exchanged for debt or equity securities that are permitted to be issued by such Person at such time; provided that upon any such cancellation, of the aggregate outstanding principal amount of the Term Loans of the applicable Tranche shall be deemed reduced, as of the date of such contribution, by the full par value of the aggregate principal amount of the Term Loans so contributed and cancelled, and each principal repayment installment with respect to the Term Loans of such Tranche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shall be reduced pro rata by the full par value of the aggregate principal amount of Term Loans so contributed and cancelled.</w:t>
      </w:r>
    </w:p>
    <w:p>
      <w:pPr>
        <w:spacing w:after="0" w:line="181" w:lineRule="exact"/>
        <w:rPr>
          <w:rFonts w:ascii="Arial" w:cs="Arial" w:eastAsia="Arial" w:hAnsi="Arial"/>
          <w:sz w:val="16"/>
          <w:szCs w:val="16"/>
          <w:color w:val="auto"/>
        </w:rPr>
      </w:pPr>
    </w:p>
    <w:p>
      <w:pPr>
        <w:jc w:val="both"/>
        <w:ind w:firstLine="656"/>
        <w:spacing w:after="0" w:line="255" w:lineRule="auto"/>
        <w:tabs>
          <w:tab w:leader="none" w:pos="102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Affiliate Lender shall have any right to (i) attend (including by telephone) any meeting or discussions (or portion thereof) among Administrative Agent or any Lender to which representatives of Borrower are not then present, (ii) 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Collateral Agent, or any other Lender with respect to</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584" w:right="239" w:bottom="1440" w:gutter="0" w:footer="0" w:header="0"/>
        </w:sectPr>
      </w:pPr>
    </w:p>
    <w:bookmarkStart w:id="379" w:name="page380"/>
    <w:bookmarkEnd w:id="379"/>
    <w:p>
      <w:pPr>
        <w:jc w:val="both"/>
        <w:spacing w:after="0" w:line="312" w:lineRule="auto"/>
        <w:rPr>
          <w:sz w:val="20"/>
          <w:szCs w:val="20"/>
          <w:color w:val="auto"/>
        </w:rPr>
      </w:pPr>
      <w:r>
        <w:rPr>
          <w:rFonts w:ascii="Arial" w:cs="Arial" w:eastAsia="Arial" w:hAnsi="Arial"/>
          <w:sz w:val="16"/>
          <w:szCs w:val="16"/>
          <w:color w:val="auto"/>
        </w:rPr>
        <w:t>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Commitments.</w:t>
      </w:r>
    </w:p>
    <w:p>
      <w:pPr>
        <w:spacing w:after="0" w:line="143" w:lineRule="exact"/>
        <w:rPr>
          <w:sz w:val="20"/>
          <w:szCs w:val="20"/>
          <w:color w:val="auto"/>
        </w:rPr>
      </w:pPr>
    </w:p>
    <w:p>
      <w:pPr>
        <w:jc w:val="both"/>
        <w:ind w:firstLine="656"/>
        <w:spacing w:after="0" w:line="289" w:lineRule="auto"/>
        <w:tabs>
          <w:tab w:leader="none" w:pos="1038" w:val="left"/>
        </w:tabs>
        <w:numPr>
          <w:ilvl w:val="0"/>
          <w:numId w:val="443"/>
        </w:numPr>
        <w:rPr>
          <w:rFonts w:ascii="Arial" w:cs="Arial" w:eastAsia="Arial" w:hAnsi="Arial"/>
          <w:sz w:val="16"/>
          <w:szCs w:val="16"/>
          <w:color w:val="auto"/>
        </w:rPr>
      </w:pPr>
      <w:r>
        <w:rPr>
          <w:rFonts w:ascii="Arial" w:cs="Arial" w:eastAsia="Arial" w:hAnsi="Arial"/>
          <w:sz w:val="16"/>
          <w:szCs w:val="16"/>
          <w:color w:val="auto"/>
        </w:rPr>
        <w:t>(i) No assignment or participation shall be made to any Person that was a Disqualified Lender as of the date (the “</w:t>
      </w:r>
      <w:r>
        <w:rPr>
          <w:rFonts w:ascii="Arial" w:cs="Arial" w:eastAsia="Arial" w:hAnsi="Arial"/>
          <w:sz w:val="16"/>
          <w:szCs w:val="16"/>
          <w:b w:val="1"/>
          <w:bCs w:val="1"/>
          <w:color w:val="auto"/>
        </w:rPr>
        <w:t>Trade Date</w:t>
      </w:r>
      <w:r>
        <w:rPr>
          <w:rFonts w:ascii="Arial" w:cs="Arial" w:eastAsia="Arial" w:hAnsi="Arial"/>
          <w:sz w:val="16"/>
          <w:szCs w:val="16"/>
          <w:color w:val="auto"/>
        </w:rPr>
        <w:t xml:space="preserve">”) on which the assigning or participating Lender entered into a binding agreement to sell and assign all or a portion of its rights and obligations under this Agreement to such Person (unless Borrower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“Disqualified Lender”), (x) such assignee or participant shall not retroactively be disqualified from becoming a Lender or participant and (y) the execution by Borrower of an Assignment Agreement with respect to such assignee will not by itself result in such assignee no longer being considered a Disqualified Lender. Any assignment in violation of this </w:t>
      </w:r>
      <w:r>
        <w:rPr>
          <w:rFonts w:ascii="Arial" w:cs="Arial" w:eastAsia="Arial" w:hAnsi="Arial"/>
          <w:sz w:val="16"/>
          <w:szCs w:val="16"/>
          <w:u w:val="single" w:color="auto"/>
          <w:color w:val="auto"/>
        </w:rPr>
        <w:t>clause (g)(i)</w:t>
      </w:r>
      <w:r>
        <w:rPr>
          <w:rFonts w:ascii="Arial" w:cs="Arial" w:eastAsia="Arial" w:hAnsi="Arial"/>
          <w:sz w:val="16"/>
          <w:szCs w:val="16"/>
          <w:color w:val="auto"/>
        </w:rPr>
        <w:t xml:space="preserve"> shall not be void, but the other provisions of this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shall apply, and nothing in this </w:t>
      </w:r>
      <w:r>
        <w:rPr>
          <w:rFonts w:ascii="Arial" w:cs="Arial" w:eastAsia="Arial" w:hAnsi="Arial"/>
          <w:sz w:val="16"/>
          <w:szCs w:val="16"/>
          <w:u w:val="single" w:color="auto"/>
          <w:color w:val="auto"/>
        </w:rPr>
        <w:t>subsection (g)</w:t>
      </w:r>
      <w:r>
        <w:rPr>
          <w:rFonts w:ascii="Arial" w:cs="Arial" w:eastAsia="Arial" w:hAnsi="Arial"/>
          <w:sz w:val="16"/>
          <w:szCs w:val="16"/>
          <w:color w:val="auto"/>
        </w:rPr>
        <w:t xml:space="preserve"> shall limit any rights or remedies available to the Credit Parties at law or in equity with respect to any Disqualified Lender and any Person that makes an assignment or participation to a Disqualified Lender in violation of this </w:t>
      </w:r>
      <w:r>
        <w:rPr>
          <w:rFonts w:ascii="Arial" w:cs="Arial" w:eastAsia="Arial" w:hAnsi="Arial"/>
          <w:sz w:val="16"/>
          <w:szCs w:val="16"/>
          <w:u w:val="single" w:color="auto"/>
          <w:color w:val="auto"/>
        </w:rPr>
        <w:t>clause (g)(i)</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firstLine="1305"/>
        <w:spacing w:after="0" w:line="270" w:lineRule="auto"/>
        <w:tabs>
          <w:tab w:leader="none" w:pos="1720" w:val="left"/>
        </w:tabs>
        <w:numPr>
          <w:ilvl w:val="1"/>
          <w:numId w:val="443"/>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is made to any Disqualified Lender without Borrower’s prior written consent in violation of </w:t>
      </w:r>
      <w:r>
        <w:rPr>
          <w:rFonts w:ascii="Arial" w:cs="Arial" w:eastAsia="Arial" w:hAnsi="Arial"/>
          <w:sz w:val="17"/>
          <w:szCs w:val="17"/>
          <w:u w:val="single" w:color="auto"/>
          <w:color w:val="auto"/>
        </w:rPr>
        <w:t>clause</w:t>
      </w:r>
      <w:r>
        <w:rPr>
          <w:rFonts w:ascii="Arial" w:cs="Arial" w:eastAsia="Arial" w:hAnsi="Arial"/>
          <w:sz w:val="17"/>
          <w:szCs w:val="17"/>
          <w:color w:val="auto"/>
        </w:rPr>
        <w:t xml:space="preserve"> </w:t>
      </w:r>
      <w:r>
        <w:rPr>
          <w:rFonts w:ascii="Arial" w:cs="Arial" w:eastAsia="Arial" w:hAnsi="Arial"/>
          <w:sz w:val="17"/>
          <w:szCs w:val="17"/>
          <w:u w:val="single" w:color="auto"/>
          <w:color w:val="auto"/>
        </w:rPr>
        <w:t>(g)(i)</w:t>
      </w:r>
      <w:r>
        <w:rPr>
          <w:rFonts w:ascii="Arial" w:cs="Arial" w:eastAsia="Arial" w:hAnsi="Arial"/>
          <w:sz w:val="17"/>
          <w:szCs w:val="17"/>
          <w:color w:val="auto"/>
        </w:rPr>
        <w:t xml:space="preserve"> above, or if any Person becomes a Disqualified Lender after the applicable Trade Date, Borrower may, at its sole expense and effort, upon notice to the applicable Disqualified Lender and Administrative Agent, (A) terminate any Revolving Commitment of such Disqualified Lender and repay all obligations of Borrower owing to such Disqualified Lender in connection with such Revolving Commitment, (B) in the case of outstanding Term Loans held by Disqualified Lenders, purchase or prepay such Term Loan by paying the lesser of (x) the principal amount thereof and (y) the amount that such Disqualified Lender paid to acquire such Term Loans, in each case plus accrued interest, accrued fees and all other amounts (other than principal amounts) payable to it hereunder and/or (C) require such Disqualified Lender to assign, without recourse (in accordance with and subject to the restrictions contained in this </w:t>
      </w:r>
      <w:r>
        <w:rPr>
          <w:rFonts w:ascii="Arial" w:cs="Arial" w:eastAsia="Arial" w:hAnsi="Arial"/>
          <w:sz w:val="17"/>
          <w:szCs w:val="17"/>
          <w:u w:val="single" w:color="auto"/>
          <w:color w:val="auto"/>
        </w:rPr>
        <w:t>Section 13.05</w:t>
      </w:r>
      <w:r>
        <w:rPr>
          <w:rFonts w:ascii="Arial" w:cs="Arial" w:eastAsia="Arial" w:hAnsi="Arial"/>
          <w:sz w:val="17"/>
          <w:szCs w:val="17"/>
          <w:color w:val="auto"/>
        </w:rPr>
        <w:t>), all of its interest, rights and obligations under this Agreement to one or more Eligible Assignees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77" w:lineRule="exact"/>
        <w:rPr>
          <w:rFonts w:ascii="Arial" w:cs="Arial" w:eastAsia="Arial" w:hAnsi="Arial"/>
          <w:sz w:val="17"/>
          <w:szCs w:val="17"/>
          <w:color w:val="auto"/>
        </w:rPr>
      </w:pPr>
    </w:p>
    <w:p>
      <w:pPr>
        <w:jc w:val="both"/>
        <w:ind w:firstLine="1305"/>
        <w:spacing w:after="0" w:line="286" w:lineRule="auto"/>
        <w:tabs>
          <w:tab w:leader="none" w:pos="1758" w:val="left"/>
        </w:tabs>
        <w:numPr>
          <w:ilvl w:val="1"/>
          <w:numId w:val="44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Disqualified Lenders (A) will not (x) have the right to receive information, reports or other materials provided to Lenders by Borrower, Administrative Agent or any other Lender, (y) attend or participate in meetings attended by the Lenders and Administrative Agent, or (z) access any electronic site established for the Lenders or confidential communications from counsel to or financial advisors of Administrative Agent or the Lenders and (B) (x) for purposes of any consent to any amendment, waiver or modification of, or any action under, and for the purpose of any direction to Administrative Agent or any Lender to undertake any action (or refrain from taking any action) under this Agreement or any other Credit Document, each Disqualified Lender will be deemed to have consented in the same proportion as the Lenders that are not Disqualified Lenders consented to such matter, and (y) for purposes of voting on any plan of reorganization or plan of liquidation pursuant to any Debtor Relief Laws, each Disqualified Lender party hereto hereby agrees (1) not to vote on such plan of reorganization or plan of liquidation pursuant to any Debtor Relief Laws, (2) if such Disqualified Lender does vote on such plan of reorganization or plan of liquidation pursuant to any Debtor Relief Laws notwithstanding the restriction in the foregoing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or plan of liquidation pursuant to any Debtor Relief Laws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Arial" w:cs="Arial" w:eastAsia="Arial" w:hAnsi="Arial"/>
          <w:sz w:val="16"/>
          <w:szCs w:val="16"/>
          <w:u w:val="single" w:color="auto"/>
          <w:color w:val="auto"/>
        </w:rPr>
        <w:t>clause (2)</w:t>
      </w:r>
      <w:r>
        <w:rPr>
          <w:rFonts w:ascii="Arial" w:cs="Arial" w:eastAsia="Arial" w:hAnsi="Arial"/>
          <w:sz w:val="16"/>
          <w:szCs w:val="16"/>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584" w:right="239" w:bottom="1440" w:gutter="0" w:footer="0" w:header="0"/>
        </w:sectPr>
      </w:pPr>
    </w:p>
    <w:bookmarkStart w:id="380" w:name="page381"/>
    <w:bookmarkEnd w:id="380"/>
    <w:p>
      <w:pPr>
        <w:ind w:firstLine="1305"/>
        <w:spacing w:after="0" w:line="277" w:lineRule="auto"/>
        <w:tabs>
          <w:tab w:leader="none" w:pos="1802"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Administrative Agent shall have the right, and Borrower hereby expressly authorizes Administrative Agent, to provide the list of Disqualified Lenders to each Lender specifically requesting the same.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13.06. Survival</w:t>
      </w:r>
      <w:r>
        <w:rPr>
          <w:rFonts w:ascii="Arial" w:cs="Arial" w:eastAsia="Arial" w:hAnsi="Arial"/>
          <w:sz w:val="17"/>
          <w:szCs w:val="17"/>
          <w:color w:val="auto"/>
        </w:rPr>
        <w:t>. The obligations of the Credit Parties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5.01</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5.05</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5.06</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13.03</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13.20</w:t>
      </w:r>
      <w:r>
        <w:rPr>
          <w:rFonts w:ascii="Arial" w:cs="Arial" w:eastAsia="Arial" w:hAnsi="Arial"/>
          <w:sz w:val="17"/>
          <w:szCs w:val="17"/>
          <w:color w:val="auto"/>
        </w:rPr>
        <w:t>, the obligations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Guarantor under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and the obligations of the Lenders and Administrative Agent under </w:t>
      </w:r>
      <w:r>
        <w:rPr>
          <w:rFonts w:ascii="Arial" w:cs="Arial" w:eastAsia="Arial" w:hAnsi="Arial"/>
          <w:sz w:val="17"/>
          <w:szCs w:val="17"/>
          <w:u w:val="single" w:color="auto"/>
          <w:color w:val="auto"/>
        </w:rPr>
        <w:t>Sections 5.06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12.08</w:t>
      </w:r>
      <w:r>
        <w:rPr>
          <w:rFonts w:ascii="Arial" w:cs="Arial" w:eastAsia="Arial" w:hAnsi="Arial"/>
          <w:sz w:val="17"/>
          <w:szCs w:val="17"/>
          <w:color w:val="auto"/>
        </w:rPr>
        <w:t>,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13.07. Captions</w:t>
      </w:r>
      <w:r>
        <w:rPr>
          <w:rFonts w:ascii="Arial" w:cs="Arial" w:eastAsia="Arial" w:hAnsi="Arial"/>
          <w:sz w:val="18"/>
          <w:szCs w:val="18"/>
          <w:color w:val="auto"/>
        </w:rPr>
        <w:t>. The table of contents and captions and Section headings appearing herein are included solely for convenience of</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are not intended to affect the interpretation of any provision of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13.08. Counterparts; Interpretation; Effectiveness</w:t>
      </w:r>
      <w:r>
        <w:rPr>
          <w:rFonts w:ascii="Arial" w:cs="Arial" w:eastAsia="Arial" w:hAnsi="Arial"/>
          <w:sz w:val="17"/>
          <w:szCs w:val="17"/>
          <w:color w:val="auto"/>
        </w:rPr>
        <w:t>. This Agreement may be executed in counterparts (and by different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Commitment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7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Governing Law; Submission to Jurisdiction; Waivers; Etc.</w:t>
      </w:r>
    </w:p>
    <w:p>
      <w:pPr>
        <w:spacing w:after="0" w:line="225" w:lineRule="exact"/>
        <w:rPr>
          <w:sz w:val="20"/>
          <w:szCs w:val="20"/>
          <w:color w:val="auto"/>
        </w:rPr>
      </w:pPr>
    </w:p>
    <w:p>
      <w:pPr>
        <w:jc w:val="both"/>
        <w:ind w:firstLine="656"/>
        <w:spacing w:after="0" w:line="256" w:lineRule="auto"/>
        <w:tabs>
          <w:tab w:leader="none" w:pos="1176" w:val="left"/>
        </w:tabs>
        <w:numPr>
          <w:ilvl w:val="0"/>
          <w:numId w:val="445"/>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OTHER CREDIT DOCUMENTS AND ANY CLAIMS, CONTROVERSIES,</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187" w:lineRule="exact"/>
        <w:rPr>
          <w:rFonts w:ascii="Arial" w:cs="Arial" w:eastAsia="Arial" w:hAnsi="Arial"/>
          <w:sz w:val="18"/>
          <w:szCs w:val="18"/>
          <w:color w:val="auto"/>
        </w:rPr>
      </w:pPr>
    </w:p>
    <w:p>
      <w:pPr>
        <w:jc w:val="both"/>
        <w:ind w:firstLine="656"/>
        <w:spacing w:after="0" w:line="271" w:lineRule="auto"/>
        <w:tabs>
          <w:tab w:leader="none" w:pos="1092" w:val="left"/>
        </w:tabs>
        <w:numPr>
          <w:ilvl w:val="0"/>
          <w:numId w:val="445"/>
        </w:numPr>
        <w:rPr>
          <w:rFonts w:ascii="Arial" w:cs="Arial" w:eastAsia="Arial" w:hAnsi="Arial"/>
          <w:sz w:val="17"/>
          <w:szCs w:val="17"/>
          <w:color w:val="auto"/>
        </w:rPr>
      </w:pPr>
      <w:r>
        <w:rPr>
          <w:rFonts w:ascii="Arial" w:cs="Arial" w:eastAsia="Arial" w:hAnsi="Arial"/>
          <w:sz w:val="17"/>
          <w:szCs w:val="17"/>
          <w:b w:val="1"/>
          <w:bCs w:val="1"/>
          <w:color w:val="auto"/>
        </w:rPr>
        <w:t>SUBMISSION TO JURISDICTION</w:t>
      </w:r>
      <w:r>
        <w:rPr>
          <w:rFonts w:ascii="Arial" w:cs="Arial" w:eastAsia="Arial" w:hAnsi="Arial"/>
          <w:sz w:val="17"/>
          <w:szCs w:val="17"/>
          <w:color w:val="auto"/>
        </w:rPr>
        <w:t>. EACH CREDIT PARTY IRREVOCABLY AND UNCONDITIONALLY AGREES THAT IT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COMMENCE ANY ACTION, LITIGATION OR PROCEEDING OF ANY KIND OR DESCRIPTION, WHETHER AT LAW OR IN EQUITY, WHETHER IN CONTRACT OR IN TORT OR OTHERWISE, AGAINST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584" w:right="239" w:bottom="1440" w:gutter="0" w:footer="0" w:header="0"/>
        </w:sectPr>
      </w:pPr>
    </w:p>
    <w:bookmarkStart w:id="381" w:name="page382"/>
    <w:bookmarkEnd w:id="381"/>
    <w:p>
      <w:pPr>
        <w:jc w:val="both"/>
        <w:spacing w:after="0" w:line="255" w:lineRule="auto"/>
        <w:rPr>
          <w:sz w:val="20"/>
          <w:szCs w:val="20"/>
          <w:color w:val="auto"/>
        </w:rPr>
      </w:pPr>
      <w:r>
        <w:rPr>
          <w:rFonts w:ascii="Arial" w:cs="Arial" w:eastAsia="Arial" w:hAnsi="Arial"/>
          <w:sz w:val="18"/>
          <w:szCs w:val="18"/>
          <w:color w:val="auto"/>
        </w:rPr>
        <w:t>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ADMINISTRATIVE AGENT OR ANY LENDER MAY OTHERWISE HAVE TO BRING ANY ACTION OR PROCEEDING RELATING TO THIS AGREEMENT OR ANY OTHER CREDIT DOCUMENT AGAINST ANY CREDIT PARTY OR ITS PROPERTIES IN THE COURTS OF ANY JURISDICTION.</w:t>
      </w:r>
    </w:p>
    <w:p>
      <w:pPr>
        <w:spacing w:after="0" w:line="185" w:lineRule="exact"/>
        <w:rPr>
          <w:sz w:val="20"/>
          <w:szCs w:val="20"/>
          <w:color w:val="auto"/>
        </w:rPr>
      </w:pPr>
    </w:p>
    <w:p>
      <w:pPr>
        <w:jc w:val="both"/>
        <w:ind w:firstLine="656"/>
        <w:spacing w:after="0" w:line="256" w:lineRule="auto"/>
        <w:tabs>
          <w:tab w:leader="none" w:pos="1068"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PARTY HERETO HEREBY IRREVOCABLY AND UNCONDITIONALLY WAIVES,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EXTENT PERMITTED BY APPLICABLE LAW, ANY OBJECTION THAT IT MAY NOW OR HEREAFTER HAVE TO THE LAYING OF VENUE OF ANY ACTION OR PROCEEDING ARISING OUT OF OR RELATING TO THIS AGREEMENT OR ANY OTHER CREDIT DOCUMENT IN ANY COURT REFERRED TO IN PARAGRAPH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13.09</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18"/>
          <w:szCs w:val="18"/>
          <w:color w:val="auto"/>
        </w:rPr>
      </w:pPr>
    </w:p>
    <w:p>
      <w:pPr>
        <w:jc w:val="both"/>
        <w:ind w:firstLine="656"/>
        <w:spacing w:after="0" w:line="266" w:lineRule="auto"/>
        <w:tabs>
          <w:tab w:leader="none" w:pos="1160"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SERVICE OF PROCESS</w:t>
      </w:r>
      <w:r>
        <w:rPr>
          <w:rFonts w:ascii="Arial" w:cs="Arial" w:eastAsia="Arial" w:hAnsi="Arial"/>
          <w:sz w:val="18"/>
          <w:szCs w:val="18"/>
          <w:color w:val="auto"/>
        </w:rPr>
        <w:t>. EACH PARTY HERETO IRREVOCABLY CONSENTS TO SERVICE OF PROCESS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FOR NOTICES IN SECTION </w:t>
      </w:r>
      <w:r>
        <w:rPr>
          <w:rFonts w:ascii="Arial" w:cs="Arial" w:eastAsia="Arial" w:hAnsi="Arial"/>
          <w:sz w:val="18"/>
          <w:szCs w:val="18"/>
          <w:u w:val="single" w:color="auto"/>
          <w:color w:val="auto"/>
        </w:rPr>
        <w:t>13.02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56"/>
        <w:spacing w:after="0" w:line="272" w:lineRule="auto"/>
        <w:tabs>
          <w:tab w:leader="none" w:pos="1065" w:val="left"/>
        </w:tabs>
        <w:numPr>
          <w:ilvl w:val="0"/>
          <w:numId w:val="447"/>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HEREBY IRREVOCABLY WAIVES,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w:t>
      </w:r>
      <w:r>
        <w:rPr>
          <w:rFonts w:ascii="Arial" w:cs="Arial" w:eastAsia="Arial" w:hAnsi="Arial"/>
          <w:sz w:val="17"/>
          <w:szCs w:val="17"/>
          <w:u w:val="single" w:color="auto"/>
          <w:color w:val="auto"/>
        </w:rPr>
        <w:t>SECTION 13.09(e)</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13.10. Confidentiality</w:t>
      </w:r>
      <w:r>
        <w:rPr>
          <w:rFonts w:ascii="Arial" w:cs="Arial" w:eastAsia="Arial" w:hAnsi="Arial"/>
          <w:sz w:val="17"/>
          <w:szCs w:val="17"/>
          <w:color w:val="auto"/>
        </w:rPr>
        <w:t>. Each Agent and each Lender agrees to keep information obtained by it pursuant to the Credit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credit insurers,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 counterparty’s professional advisor (so long as such creditor, contractual counterparty or professional advisor to such creditor or contractual counterparty agrees in writing to be bound by the provision of this </w:t>
      </w:r>
      <w:r>
        <w:rPr>
          <w:rFonts w:ascii="Arial" w:cs="Arial" w:eastAsia="Arial" w:hAnsi="Arial"/>
          <w:sz w:val="17"/>
          <w:szCs w:val="17"/>
          <w:u w:val="single" w:color="auto"/>
          <w:color w:val="auto"/>
        </w:rPr>
        <w:t>Section 13.10</w:t>
      </w:r>
      <w:r>
        <w:rPr>
          <w:rFonts w:ascii="Arial" w:cs="Arial" w:eastAsia="Arial" w:hAnsi="Arial"/>
          <w:sz w:val="17"/>
          <w:szCs w:val="17"/>
          <w:color w:val="auto"/>
        </w:rPr>
        <w:t>,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or self-regulatory organization (including the Securities Valuation Office of the NAIC) to whose jurisdiction such Agent or such Lender is subject, (d) to any rating agency to the extent required in connection with any rating to be assigned to such Agent or such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585" w:right="239" w:bottom="1440" w:gutter="0" w:footer="0" w:header="0"/>
        </w:sectPr>
      </w:pPr>
    </w:p>
    <w:bookmarkStart w:id="382" w:name="page383"/>
    <w:bookmarkEnd w:id="382"/>
    <w:p>
      <w:pPr>
        <w:jc w:val="both"/>
        <w:spacing w:after="0" w:line="286" w:lineRule="auto"/>
        <w:rPr>
          <w:sz w:val="20"/>
          <w:szCs w:val="20"/>
          <w:color w:val="auto"/>
        </w:rPr>
      </w:pPr>
      <w:r>
        <w:rPr>
          <w:rFonts w:ascii="Arial" w:cs="Arial" w:eastAsia="Arial" w:hAnsi="Arial"/>
          <w:sz w:val="16"/>
          <w:szCs w:val="16"/>
          <w:color w:val="auto"/>
        </w:rPr>
        <w:t xml:space="preserve">prior notice thereof is furnished to Borrower, (e) to pledgees under </w:t>
      </w:r>
      <w:r>
        <w:rPr>
          <w:rFonts w:ascii="Arial" w:cs="Arial" w:eastAsia="Arial" w:hAnsi="Arial"/>
          <w:sz w:val="16"/>
          <w:szCs w:val="16"/>
          <w:u w:val="single" w:color="auto"/>
          <w:color w:val="auto"/>
        </w:rPr>
        <w:t>Section 13.05(c)</w:t>
      </w:r>
      <w:r>
        <w:rPr>
          <w:rFonts w:ascii="Arial" w:cs="Arial" w:eastAsia="Arial" w:hAnsi="Arial"/>
          <w:sz w:val="16"/>
          <w:szCs w:val="16"/>
          <w:color w:val="auto"/>
        </w:rPr>
        <w:t xml:space="preserve">, assignees, participants, prospective assignees or prospective participants, in each case who agree in writing to be bound by the provisions of this </w:t>
      </w:r>
      <w:r>
        <w:rPr>
          <w:rFonts w:ascii="Arial" w:cs="Arial" w:eastAsia="Arial" w:hAnsi="Arial"/>
          <w:sz w:val="16"/>
          <w:szCs w:val="16"/>
          <w:u w:val="single" w:color="auto"/>
          <w:color w:val="auto"/>
        </w:rPr>
        <w:t>Section 13.10</w:t>
      </w:r>
      <w:r>
        <w:rPr>
          <w:rFonts w:ascii="Arial" w:cs="Arial" w:eastAsia="Arial" w:hAnsi="Arial"/>
          <w:sz w:val="16"/>
          <w:szCs w:val="16"/>
          <w:color w:val="auto"/>
        </w:rPr>
        <w:t xml:space="preserve"> or by provisions at least as restrictive as the provisions of this </w:t>
      </w:r>
      <w:r>
        <w:rPr>
          <w:rFonts w:ascii="Arial" w:cs="Arial" w:eastAsia="Arial" w:hAnsi="Arial"/>
          <w:sz w:val="16"/>
          <w:szCs w:val="16"/>
          <w:u w:val="single" w:color="auto"/>
          <w:color w:val="auto"/>
        </w:rPr>
        <w:t>Section 13.10</w:t>
      </w:r>
      <w:r>
        <w:rPr>
          <w:rFonts w:ascii="Arial" w:cs="Arial" w:eastAsia="Arial" w:hAnsi="Arial"/>
          <w:sz w:val="16"/>
          <w:szCs w:val="16"/>
          <w:color w:val="auto"/>
        </w:rPr>
        <w:t xml:space="preserve">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w:t>
      </w:r>
    </w:p>
    <w:p>
      <w:pPr>
        <w:spacing w:after="0" w:line="2" w:lineRule="exact"/>
        <w:rPr>
          <w:sz w:val="20"/>
          <w:szCs w:val="20"/>
          <w:color w:val="auto"/>
        </w:rPr>
      </w:pPr>
    </w:p>
    <w:p>
      <w:pPr>
        <w:ind w:right="20" w:firstLine="8"/>
        <w:spacing w:after="0" w:line="261" w:lineRule="auto"/>
        <w:tabs>
          <w:tab w:leader="none" w:pos="246" w:val="left"/>
        </w:tabs>
        <w:numPr>
          <w:ilvl w:val="0"/>
          <w:numId w:val="448"/>
        </w:numPr>
        <w:rPr>
          <w:rFonts w:ascii="Arial" w:cs="Arial" w:eastAsia="Arial" w:hAnsi="Arial"/>
          <w:sz w:val="18"/>
          <w:szCs w:val="18"/>
          <w:color w:val="auto"/>
        </w:rPr>
      </w:pPr>
      <w:r>
        <w:rPr>
          <w:rFonts w:ascii="Arial" w:cs="Arial" w:eastAsia="Arial" w:hAnsi="Arial"/>
          <w:sz w:val="18"/>
          <w:szCs w:val="18"/>
          <w:color w:val="auto"/>
        </w:rPr>
        <w:t>in connection with the exercise of remedies hereunder or under any Credit Document or to the extent required in connection with any litigation with respect to the Loans or any Credit Document or (g) with Borrower’s prior written consent.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13.11. Independence of Representations, Warranties and Covenants</w:t>
      </w:r>
      <w:r>
        <w:rPr>
          <w:rFonts w:ascii="Arial" w:cs="Arial" w:eastAsia="Arial" w:hAnsi="Arial"/>
          <w:sz w:val="18"/>
          <w:szCs w:val="18"/>
          <w:color w:val="auto"/>
        </w:rPr>
        <w:t>. The representations, warranties and covenants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13.12. Severability</w:t>
      </w:r>
      <w:r>
        <w:rPr>
          <w:rFonts w:ascii="Arial" w:cs="Arial" w:eastAsia="Arial" w:hAnsi="Arial"/>
          <w:sz w:val="16"/>
          <w:szCs w:val="16"/>
          <w:color w:val="auto"/>
        </w:rPr>
        <w:t>. Wherever possible, each provision of this Agreement shall be interpreted in such manner as to be effective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4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Gaming Laws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9" w:lineRule="auto"/>
        <w:tabs>
          <w:tab w:leader="none" w:pos="1028" w:val="left"/>
        </w:tabs>
        <w:numPr>
          <w:ilvl w:val="0"/>
          <w:numId w:val="44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Arial" w:cs="Arial" w:eastAsia="Arial" w:hAnsi="Arial"/>
          <w:sz w:val="16"/>
          <w:szCs w:val="16"/>
          <w:b w:val="1"/>
          <w:bCs w:val="1"/>
          <w:color w:val="auto"/>
        </w:rPr>
        <w:t>Liquor</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Without limiting the foregoing, Administrative Agent, Collateral Agent, each other Agent, each Lender, each other Secured Party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(i) it and each of its successors and assigns is subject to being called forward by any Gaming Authority or any Governmental Authority enforcing the Liquor Laws (each, a “</w:t>
      </w:r>
      <w:r>
        <w:rPr>
          <w:rFonts w:ascii="Arial" w:cs="Arial" w:eastAsia="Arial" w:hAnsi="Arial"/>
          <w:sz w:val="16"/>
          <w:szCs w:val="16"/>
          <w:b w:val="1"/>
          <w:bCs w:val="1"/>
          <w:color w:val="auto"/>
        </w:rPr>
        <w:t>Liquor Authority</w:t>
      </w:r>
      <w:r>
        <w:rPr>
          <w:rFonts w:ascii="Arial" w:cs="Arial" w:eastAsia="Arial" w:hAnsi="Arial"/>
          <w:sz w:val="16"/>
          <w:szCs w:val="16"/>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control, transfer or disposition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66" w:lineRule="exact"/>
        <w:rPr>
          <w:rFonts w:ascii="Arial" w:cs="Arial" w:eastAsia="Arial" w:hAnsi="Arial"/>
          <w:sz w:val="16"/>
          <w:szCs w:val="16"/>
          <w:color w:val="auto"/>
        </w:rPr>
      </w:pPr>
    </w:p>
    <w:p>
      <w:pPr>
        <w:jc w:val="both"/>
        <w:ind w:firstLine="656"/>
        <w:spacing w:after="0" w:line="255" w:lineRule="auto"/>
        <w:tabs>
          <w:tab w:leader="none" w:pos="105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or any other Credit Document, Administrative Agent, Collateral Agent, each other Agent, each Lender, each other Secured Party and each participant agrees to cooperate with each Gaming Authority and each Liquor Authority (and, in each case, to be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Collateral Agent, any other Agent, any of the Lenders, any other Secured Party or any participants, Borrower and its Subsidiaries or to the Credit Documents.</w:t>
      </w:r>
    </w:p>
    <w:p>
      <w:pPr>
        <w:spacing w:after="0" w:line="193" w:lineRule="exact"/>
        <w:rPr>
          <w:rFonts w:ascii="Arial" w:cs="Arial" w:eastAsia="Arial" w:hAnsi="Arial"/>
          <w:sz w:val="18"/>
          <w:szCs w:val="18"/>
          <w:color w:val="auto"/>
        </w:rPr>
      </w:pPr>
    </w:p>
    <w:p>
      <w:pPr>
        <w:jc w:val="both"/>
        <w:ind w:firstLine="656"/>
        <w:spacing w:after="0" w:line="255" w:lineRule="auto"/>
        <w:tabs>
          <w:tab w:leader="none" w:pos="1028"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of this Agreement) shall be deemed not to apply to such assets.</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13.14. USA Patriot Act</w:t>
      </w:r>
      <w:r>
        <w:rPr>
          <w:rFonts w:ascii="Arial" w:cs="Arial" w:eastAsia="Arial" w:hAnsi="Arial"/>
          <w:sz w:val="18"/>
          <w:szCs w:val="18"/>
          <w:color w:val="auto"/>
        </w:rPr>
        <w:t>. Each Lender that is subject to the Act (as hereinafter defined) to the extent required hereby, notifies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Guarantors that pursuant to the requirements of the USA Patriot 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584" w:right="239" w:bottom="1440" w:gutter="0" w:footer="0" w:header="0"/>
        </w:sectPr>
      </w:pPr>
    </w:p>
    <w:bookmarkStart w:id="383" w:name="page384"/>
    <w:bookmarkEnd w:id="383"/>
    <w:p>
      <w:pPr>
        <w:jc w:val="both"/>
        <w:spacing w:after="0" w:line="261" w:lineRule="auto"/>
        <w:rPr>
          <w:sz w:val="20"/>
          <w:szCs w:val="20"/>
          <w:color w:val="auto"/>
        </w:rPr>
      </w:pPr>
      <w:r>
        <w:rPr>
          <w:rFonts w:ascii="Arial" w:cs="Arial" w:eastAsia="Arial" w:hAnsi="Arial"/>
          <w:sz w:val="18"/>
          <w:szCs w:val="18"/>
          <w:color w:val="auto"/>
        </w:rPr>
        <w:t>(Title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0"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055" w:val="left"/>
        </w:tabs>
        <w:numPr>
          <w:ilvl w:val="0"/>
          <w:numId w:val="450"/>
        </w:numPr>
        <w:rPr>
          <w:rFonts w:ascii="Arial" w:cs="Arial" w:eastAsia="Arial" w:hAnsi="Arial"/>
          <w:sz w:val="17"/>
          <w:szCs w:val="17"/>
          <w:color w:val="auto"/>
        </w:rPr>
      </w:pPr>
      <w:r>
        <w:rPr>
          <w:rFonts w:ascii="Arial" w:cs="Arial" w:eastAsia="Arial" w:hAnsi="Arial"/>
          <w:sz w:val="17"/>
          <w:szCs w:val="17"/>
          <w:color w:val="auto"/>
        </w:rPr>
        <w:t>Borrower’s obligations hereunder and under the other Credit Documents to make payments in Dollars (the “</w:t>
      </w:r>
      <w:r>
        <w:rPr>
          <w:rFonts w:ascii="Arial" w:cs="Arial" w:eastAsia="Arial" w:hAnsi="Arial"/>
          <w:sz w:val="17"/>
          <w:szCs w:val="17"/>
          <w:b w:val="1"/>
          <w:bCs w:val="1"/>
          <w:color w:val="auto"/>
        </w:rPr>
        <w:t>Obligation Currency</w:t>
      </w:r>
      <w:r>
        <w:rPr>
          <w:rFonts w:ascii="Arial" w:cs="Arial" w:eastAsia="Arial" w:hAnsi="Arial"/>
          <w:sz w:val="17"/>
          <w:szCs w:val="17"/>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Arial" w:cs="Arial" w:eastAsia="Arial" w:hAnsi="Arial"/>
          <w:sz w:val="17"/>
          <w:szCs w:val="17"/>
          <w:b w:val="1"/>
          <w:bCs w:val="1"/>
          <w:color w:val="auto"/>
        </w:rPr>
        <w:t>Judgment Currency Conversion Date</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038" w:val="left"/>
        </w:tabs>
        <w:numPr>
          <w:ilvl w:val="0"/>
          <w:numId w:val="450"/>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8" w:lineRule="exact"/>
        <w:rPr>
          <w:rFonts w:ascii="Arial" w:cs="Arial" w:eastAsia="Arial" w:hAnsi="Arial"/>
          <w:sz w:val="18"/>
          <w:szCs w:val="18"/>
          <w:color w:val="auto"/>
        </w:rPr>
      </w:pPr>
    </w:p>
    <w:p>
      <w:pPr>
        <w:ind w:firstLine="656"/>
        <w:spacing w:after="0" w:line="277" w:lineRule="auto"/>
        <w:tabs>
          <w:tab w:leader="none" w:pos="1122" w:val="left"/>
        </w:tabs>
        <w:numPr>
          <w:ilvl w:val="0"/>
          <w:numId w:val="450"/>
        </w:numPr>
        <w:rPr>
          <w:rFonts w:ascii="Arial" w:cs="Arial" w:eastAsia="Arial" w:hAnsi="Arial"/>
          <w:sz w:val="18"/>
          <w:szCs w:val="18"/>
          <w:color w:val="auto"/>
        </w:rPr>
      </w:pPr>
      <w:r>
        <w:rPr>
          <w:rFonts w:ascii="Arial" w:cs="Arial" w:eastAsia="Arial" w:hAnsi="Arial"/>
          <w:sz w:val="18"/>
          <w:szCs w:val="18"/>
          <w:color w:val="auto"/>
        </w:rPr>
        <w:t xml:space="preserve">For purposes of determining the Dollar Equivalent or any other rate of exchange for this </w:t>
      </w:r>
      <w:r>
        <w:rPr>
          <w:rFonts w:ascii="Arial" w:cs="Arial" w:eastAsia="Arial" w:hAnsi="Arial"/>
          <w:sz w:val="18"/>
          <w:szCs w:val="18"/>
          <w:u w:val="single" w:color="auto"/>
          <w:color w:val="auto"/>
        </w:rPr>
        <w:t>Section 13.15</w:t>
      </w:r>
      <w:r>
        <w:rPr>
          <w:rFonts w:ascii="Arial" w:cs="Arial" w:eastAsia="Arial" w:hAnsi="Arial"/>
          <w:sz w:val="18"/>
          <w:szCs w:val="18"/>
          <w:color w:val="auto"/>
        </w:rPr>
        <w:t>, such amounts shall include any premium and costs payable in connection with the purchase of the Obligation Currency.</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13.16. Waiver of Claims</w:t>
      </w:r>
      <w:r>
        <w:rPr>
          <w:rFonts w:ascii="Arial" w:cs="Arial" w:eastAsia="Arial" w:hAnsi="Arial"/>
          <w:sz w:val="17"/>
          <w:szCs w:val="17"/>
          <w:color w:val="auto"/>
        </w:rPr>
        <w:t>. Notwithstanding anything in this Agreement or the other Credit Documents to the contrary,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13.17.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Administrative Agent, Collateral Agent, the Lead Arrangers, and the Lenders are arm’s-length commercial transactions between Borrower, each other Credit Party and their respective Affiliates, on the one hand, and Administrative Agent, Collateral Agent, the Lead Arrangers, and the Lenders, on the other hand,</w:t>
      </w:r>
    </w:p>
    <w:p>
      <w:pPr>
        <w:spacing w:after="0" w:line="2" w:lineRule="exact"/>
        <w:rPr>
          <w:sz w:val="20"/>
          <w:szCs w:val="20"/>
          <w:color w:val="auto"/>
        </w:rPr>
      </w:pPr>
    </w:p>
    <w:p>
      <w:pPr>
        <w:jc w:val="both"/>
        <w:ind w:firstLine="8"/>
        <w:spacing w:after="0" w:line="253" w:lineRule="auto"/>
        <w:tabs>
          <w:tab w:leader="none" w:pos="28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each of Borrower and the other Credit Parties has consulted its own legal, accounting, regulatory and tax advisors to the extent it has deemed appropriate, and (C) Borrower and each other Credit Party is capable of evaluating, and understands and accepts, the terms, risks and conditions of the transactions contemplated hereby and by the other Credit Documents; (ii) (A) Administrative Agent, Collateral Agent, the Lead Arrangers, and the Lenders is and has been acting solely as a principal and, except as expressly agreed in writing by the relevant parties, has not been, is not, and will not be acting as an advisor, agent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580" w:right="239" w:bottom="1440" w:gutter="0" w:footer="0" w:header="0"/>
        </w:sectPr>
      </w:pPr>
    </w:p>
    <w:bookmarkStart w:id="384" w:name="page385"/>
    <w:bookmarkEnd w:id="384"/>
    <w:p>
      <w:pPr>
        <w:jc w:val="both"/>
        <w:spacing w:after="0" w:line="286" w:lineRule="auto"/>
        <w:rPr>
          <w:sz w:val="20"/>
          <w:szCs w:val="20"/>
          <w:color w:val="auto"/>
        </w:rPr>
      </w:pPr>
      <w:r>
        <w:rPr>
          <w:rFonts w:ascii="Arial" w:cs="Arial" w:eastAsia="Arial" w:hAnsi="Arial"/>
          <w:sz w:val="16"/>
          <w:szCs w:val="16"/>
          <w:color w:val="auto"/>
        </w:rPr>
        <w:t>or fiduciary for Borrower, any other Credit Party or any of their respective Affiliates, or any other Person and (B) none of Administrative Agent, Collateral Agent, the Lead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Administrative Agent, Collateral Agent, the Lead Arrangers, or any Lender on one hand and Borrower, any other Credit Party or any of their respective Affiliates on the other hand; and (iii) Administrative Agent, Collateral Agent, the Lead Arrangers, and the Lenders and their respective Affiliates may be engaged in a broad range of transactions that involve interests that differ from, or conflict with, those of Borrower, the other Credit Parties and their respective Affiliates, and none of Administrative Agent, Collateral Agent, the Lead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Administrative Agent, Collateral Agent, the Lead Arrangers, and the Lenders, on the one hand, and such Credit Party, its stockholders or its affiliates, on the other. To the fullest extent permitted by law, each of Borrower and each other Credit Party hereby waives and releases any claims that it may have against Administrative Agent, Collateral Agent, the Lead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7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13.18. Lender Action</w:t>
      </w:r>
      <w:r>
        <w:rPr>
          <w:rFonts w:ascii="Arial" w:cs="Arial" w:eastAsia="Arial" w:hAnsi="Arial"/>
          <w:sz w:val="17"/>
          <w:szCs w:val="17"/>
          <w:color w:val="auto"/>
        </w:rPr>
        <w:t>. Each Lender agrees that it shall not take or institute any actions or proceedings, judicial or otherwise,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w:t>
      </w:r>
      <w:r>
        <w:rPr>
          <w:rFonts w:ascii="Arial" w:cs="Arial" w:eastAsia="Arial" w:hAnsi="Arial"/>
          <w:sz w:val="17"/>
          <w:szCs w:val="17"/>
          <w:u w:val="single" w:color="auto"/>
          <w:color w:val="auto"/>
        </w:rPr>
        <w:t>Section 13.18</w:t>
      </w:r>
      <w:r>
        <w:rPr>
          <w:rFonts w:ascii="Arial" w:cs="Arial" w:eastAsia="Arial" w:hAnsi="Arial"/>
          <w:sz w:val="17"/>
          <w:szCs w:val="17"/>
          <w:color w:val="auto"/>
        </w:rPr>
        <w:t xml:space="preserve"> are for the sole benefit of the Agents and the Lenders and shall not afford any right to, or constitute a defense available to, any Credit Party.</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13.19. Interest Rate Limitation</w:t>
      </w:r>
      <w:r>
        <w:rPr>
          <w:rFonts w:ascii="Arial" w:cs="Arial" w:eastAsia="Arial" w:hAnsi="Arial"/>
          <w:sz w:val="16"/>
          <w:szCs w:val="16"/>
          <w:color w:val="auto"/>
        </w:rPr>
        <w:t>. Notwithstanding anything to the contrary contained in any Credit Document, the interest paid or</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be paid under the Credit Documents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xml:space="preserve">”).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w:t>
      </w:r>
      <w:r>
        <w:rPr>
          <w:rFonts w:ascii="Arial" w:cs="Arial" w:eastAsia="Arial" w:hAnsi="Arial"/>
          <w:sz w:val="16"/>
          <w:szCs w:val="16"/>
          <w:u w:val="single" w:color="auto"/>
          <w:color w:val="auto"/>
        </w:rPr>
        <w:t>Section 13.19</w:t>
      </w:r>
      <w:r>
        <w:rPr>
          <w:rFonts w:ascii="Arial" w:cs="Arial" w:eastAsia="Arial" w:hAnsi="Arial"/>
          <w:sz w:val="16"/>
          <w:szCs w:val="16"/>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w:t>
      </w:r>
      <w:r>
        <w:rPr>
          <w:rFonts w:ascii="Arial" w:cs="Arial" w:eastAsia="Arial" w:hAnsi="Arial"/>
          <w:sz w:val="16"/>
          <w:szCs w:val="16"/>
          <w:u w:val="single" w:color="auto"/>
          <w:color w:val="auto"/>
        </w:rPr>
        <w:t>Section 13.19</w:t>
      </w:r>
      <w:r>
        <w:rPr>
          <w:rFonts w:ascii="Arial" w:cs="Arial" w:eastAsia="Arial" w:hAnsi="Arial"/>
          <w:sz w:val="16"/>
          <w:szCs w:val="16"/>
          <w:color w:val="auto"/>
        </w:rPr>
        <w:t xml:space="preserve">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w:t>
      </w:r>
      <w:r>
        <w:rPr>
          <w:rFonts w:ascii="Arial" w:cs="Arial" w:eastAsia="Arial" w:hAnsi="Arial"/>
          <w:sz w:val="16"/>
          <w:szCs w:val="16"/>
          <w:u w:val="single" w:color="auto"/>
          <w:color w:val="auto"/>
        </w:rPr>
        <w:t>Section 13.19</w:t>
      </w:r>
      <w:r>
        <w:rPr>
          <w:rFonts w:ascii="Arial" w:cs="Arial" w:eastAsia="Arial" w:hAnsi="Arial"/>
          <w:sz w:val="16"/>
          <w:szCs w:val="16"/>
          <w:color w:val="auto"/>
        </w:rPr>
        <w:t xml:space="preserve">, such interest shall be calculated at a daily rate equal to the Maximum Rate divided by the number of days in the year in which such calculation is made. If, notwithstanding the provisions of this </w:t>
      </w:r>
      <w:r>
        <w:rPr>
          <w:rFonts w:ascii="Arial" w:cs="Arial" w:eastAsia="Arial" w:hAnsi="Arial"/>
          <w:sz w:val="16"/>
          <w:szCs w:val="16"/>
          <w:u w:val="single" w:color="auto"/>
          <w:color w:val="auto"/>
        </w:rPr>
        <w:t>Section 13.19</w:t>
      </w:r>
      <w:r>
        <w:rPr>
          <w:rFonts w:ascii="Arial" w:cs="Arial" w:eastAsia="Arial" w:hAnsi="Arial"/>
          <w:sz w:val="16"/>
          <w:szCs w:val="16"/>
          <w:color w:val="auto"/>
        </w:rPr>
        <w:t>,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13.20. Payments Set Aside</w:t>
      </w:r>
      <w:r>
        <w:rPr>
          <w:rFonts w:ascii="Arial" w:cs="Arial" w:eastAsia="Arial" w:hAnsi="Arial"/>
          <w:sz w:val="18"/>
          <w:szCs w:val="18"/>
          <w:color w:val="auto"/>
        </w:rPr>
        <w:t>. To the extent that any payment by or on behalf of Borrower is made to any Agent, any L/C Lender or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or any Agent, any L/C Lender or any Lender exercises its right of setoff,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584" w:right="239" w:bottom="1440" w:gutter="0" w:footer="0" w:header="0"/>
        </w:sectPr>
      </w:pPr>
    </w:p>
    <w:bookmarkStart w:id="385" w:name="page386"/>
    <w:bookmarkEnd w:id="385"/>
    <w:p>
      <w:pPr>
        <w:jc w:val="both"/>
        <w:spacing w:after="0" w:line="270" w:lineRule="auto"/>
        <w:rPr>
          <w:sz w:val="20"/>
          <w:szCs w:val="20"/>
          <w:color w:val="auto"/>
        </w:rPr>
      </w:pPr>
      <w:r>
        <w:rPr>
          <w:rFonts w:ascii="Arial" w:cs="Arial" w:eastAsia="Arial" w:hAnsi="Arial"/>
          <w:sz w:val="17"/>
          <w:szCs w:val="17"/>
          <w:color w:val="auto"/>
        </w:rPr>
        <w:t xml:space="preserve">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13.21. Acknowledgement and Consent to Bail-In of EEA Financial Institutions</w:t>
      </w:r>
      <w:r>
        <w:rPr>
          <w:rFonts w:ascii="Arial" w:cs="Arial" w:eastAsia="Arial" w:hAnsi="Arial"/>
          <w:sz w:val="17"/>
          <w:szCs w:val="17"/>
          <w:color w:val="auto"/>
        </w:rPr>
        <w:t>. Notwithstanding anything to the contrary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Document 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69" w:lineRule="exact"/>
        <w:rPr>
          <w:sz w:val="20"/>
          <w:szCs w:val="20"/>
          <w:color w:val="auto"/>
        </w:rPr>
      </w:pPr>
    </w:p>
    <w:p>
      <w:pPr>
        <w:ind w:right="20" w:firstLine="656"/>
        <w:spacing w:after="0" w:line="277" w:lineRule="auto"/>
        <w:tabs>
          <w:tab w:leader="none" w:pos="1082"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735" w:val="left"/>
        </w:tabs>
        <w:numPr>
          <w:ilvl w:val="1"/>
          <w:numId w:val="452"/>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65" w:lineRule="exact"/>
        <w:rPr>
          <w:rFonts w:ascii="Arial" w:cs="Arial" w:eastAsia="Arial" w:hAnsi="Arial"/>
          <w:sz w:val="17"/>
          <w:szCs w:val="17"/>
          <w:color w:val="auto"/>
        </w:rPr>
      </w:pPr>
    </w:p>
    <w:p>
      <w:pPr>
        <w:ind w:left="660" w:firstLine="645"/>
        <w:spacing w:after="0" w:line="277" w:lineRule="auto"/>
        <w:tabs>
          <w:tab w:leader="none" w:pos="1812"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13.22. Acknowledgement Regarding any Supported QFCs</w:t>
      </w:r>
      <w:r>
        <w:rPr>
          <w:rFonts w:ascii="Arial" w:cs="Arial" w:eastAsia="Arial" w:hAnsi="Arial"/>
          <w:sz w:val="17"/>
          <w:szCs w:val="17"/>
          <w:color w:val="auto"/>
        </w:rPr>
        <w:t>. To the extent that the Credit Documents provide support, through a</w:t>
      </w:r>
      <w:r>
        <w:rPr>
          <w:rFonts w:ascii="Arial" w:cs="Arial" w:eastAsia="Arial" w:hAnsi="Arial"/>
          <w:sz w:val="17"/>
          <w:szCs w:val="17"/>
          <w:b w:val="1"/>
          <w:bCs w:val="1"/>
          <w:color w:val="auto"/>
        </w:rPr>
        <w:t xml:space="preserve"> </w:t>
      </w:r>
      <w:r>
        <w:rPr>
          <w:rFonts w:ascii="Arial" w:cs="Arial" w:eastAsia="Arial" w:hAnsi="Arial"/>
          <w:sz w:val="17"/>
          <w:szCs w:val="17"/>
          <w:color w:val="auto"/>
        </w:rPr>
        <w:t>guarantee or otherwise, for swap agreements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 “</w:t>
      </w:r>
      <w:r>
        <w:rPr>
          <w:rFonts w:ascii="Arial" w:cs="Arial" w:eastAsia="Arial" w:hAnsi="Arial"/>
          <w:sz w:val="17"/>
          <w:szCs w:val="17"/>
          <w:b w:val="1"/>
          <w:bCs w:val="1"/>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b w:val="1"/>
          <w:bCs w:val="1"/>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b w:val="1"/>
          <w:bCs w:val="1"/>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584" w:right="239" w:bottom="1440" w:gutter="0" w:footer="0" w:header="0"/>
        </w:sectPr>
      </w:pPr>
    </w:p>
    <w:bookmarkStart w:id="386" w:name="page387"/>
    <w:bookmarkEnd w:id="386"/>
    <w:p>
      <w:pPr>
        <w:jc w:val="both"/>
        <w:spacing w:after="0" w:line="297" w:lineRule="auto"/>
        <w:rPr>
          <w:sz w:val="20"/>
          <w:szCs w:val="20"/>
          <w:color w:val="auto"/>
        </w:rPr>
      </w:pPr>
      <w:r>
        <w:rPr>
          <w:rFonts w:ascii="Arial" w:cs="Arial" w:eastAsia="Arial" w:hAnsi="Arial"/>
          <w:sz w:val="16"/>
          <w:szCs w:val="16"/>
          <w:color w:val="auto"/>
        </w:rPr>
        <w:t>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585" w:right="239" w:bottom="1440" w:gutter="0" w:footer="0" w:header="0"/>
        </w:sectPr>
      </w:pPr>
    </w:p>
    <w:bookmarkStart w:id="387" w:name="page388"/>
    <w:bookmarkEnd w:id="387"/>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as of the day and year first above written.</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BORROWER:</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WYNN RESORTS FINANCE, LLC</w:t>
      </w:r>
    </w:p>
    <w:p>
      <w:pPr>
        <w:spacing w:after="0" w:line="10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 Wynn Resorts Holdings, LLC, its sole member</w:t>
      </w:r>
    </w:p>
    <w:p>
      <w:pPr>
        <w:spacing w:after="0" w:line="10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 Wynn Resorts, Limited, its sole member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420" w:val="left"/>
        </w:tabs>
        <w:rPr>
          <w:sz w:val="20"/>
          <w:szCs w:val="20"/>
          <w:color w:val="auto"/>
        </w:rPr>
      </w:pPr>
      <w:r>
        <w:rPr>
          <w:rFonts w:ascii="Arial" w:cs="Arial" w:eastAsia="Arial" w:hAnsi="Arial"/>
          <w:sz w:val="20"/>
          <w:szCs w:val="20"/>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12426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 Craig S. Billings</w:t>
      </w:r>
    </w:p>
    <w:p>
      <w:pPr>
        <w:ind w:left="3900"/>
        <w:spacing w:after="0"/>
        <w:rPr>
          <w:sz w:val="20"/>
          <w:szCs w:val="20"/>
          <w:color w:val="auto"/>
        </w:rPr>
      </w:pPr>
      <w:r>
        <w:rPr>
          <w:rFonts w:ascii="Arial" w:cs="Arial" w:eastAsia="Arial" w:hAnsi="Arial"/>
          <w:sz w:val="20"/>
          <w:szCs w:val="20"/>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1420"/>
          </w:cols>
          <w:pgMar w:left="240" w:top="582" w:right="239" w:bottom="1440" w:gutter="0" w:footer="0" w:header="0"/>
        </w:sectPr>
      </w:pPr>
    </w:p>
    <w:bookmarkStart w:id="388" w:name="page389"/>
    <w:bookmarkEnd w:id="388"/>
    <w:p>
      <w:pPr>
        <w:ind w:left="2700"/>
        <w:spacing w:after="0"/>
        <w:rPr>
          <w:sz w:val="20"/>
          <w:szCs w:val="20"/>
          <w:color w:val="auto"/>
        </w:rPr>
      </w:pPr>
      <w:r>
        <w:rPr>
          <w:rFonts w:ascii="Arial" w:cs="Arial" w:eastAsia="Arial" w:hAnsi="Arial"/>
          <w:sz w:val="20"/>
          <w:szCs w:val="20"/>
          <w:color w:val="auto"/>
        </w:rPr>
        <w:t>SUBSIDIARY GUARANTORS:</w:t>
      </w: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EVERETT PROPERTY, LLC</w:t>
      </w:r>
    </w:p>
    <w:p>
      <w:pPr>
        <w:spacing w:after="0" w:line="108"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By: Wynn America Group, LLC, its sole member</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WYNN MA, LLC</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 Wynn America Group, LLC, its sole member</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2" w:right="1440" w:bottom="1440" w:gutter="0" w:footer="0" w:header="0"/>
        </w:sectPr>
      </w:pPr>
    </w:p>
    <w:bookmarkStart w:id="389" w:name="page390"/>
    <w:bookmarkEnd w:id="389"/>
    <w:p>
      <w:pPr>
        <w:ind w:left="2680"/>
        <w:spacing w:after="0"/>
        <w:rPr>
          <w:sz w:val="20"/>
          <w:szCs w:val="20"/>
          <w:color w:val="auto"/>
        </w:rPr>
      </w:pPr>
      <w:r>
        <w:rPr>
          <w:rFonts w:ascii="Arial" w:cs="Arial" w:eastAsia="Arial" w:hAnsi="Arial"/>
          <w:sz w:val="20"/>
          <w:szCs w:val="20"/>
          <w:color w:val="auto"/>
        </w:rPr>
        <w:t>EBH HOLDINGS, LLC</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By: Wynn MA, LLC, its sole member</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 Wynn America Group, LLC, its sole member</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EBH MA PROPERTY, LLC</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By: Wynn MA, LLC, its managing member</w:t>
      </w:r>
    </w:p>
    <w:p>
      <w:pPr>
        <w:spacing w:after="0" w:line="22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 Wynn America Group, LLC, its sole member</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WYNN AMERICA GROUP, LLC</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811" w:right="1440" w:bottom="1440" w:gutter="0" w:footer="0" w:header="0"/>
        </w:sectPr>
      </w:pPr>
    </w:p>
    <w:bookmarkStart w:id="390" w:name="page391"/>
    <w:bookmarkEnd w:id="390"/>
    <w:p>
      <w:pPr>
        <w:ind w:left="2680"/>
        <w:spacing w:after="0"/>
        <w:rPr>
          <w:sz w:val="20"/>
          <w:szCs w:val="20"/>
          <w:color w:val="auto"/>
        </w:rPr>
      </w:pPr>
      <w:r>
        <w:rPr>
          <w:rFonts w:ascii="Arial" w:cs="Arial" w:eastAsia="Arial" w:hAnsi="Arial"/>
          <w:sz w:val="20"/>
          <w:szCs w:val="20"/>
          <w:color w:val="auto"/>
        </w:rPr>
        <w:t>WYNN LAS VEGAS HOLDINGS, LLC</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WYNN LAS VEGAS, LLC</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66"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WYNN SUNRISE, LLC</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By: Wynn Las Vegas, LLC its sole member</w:t>
      </w:r>
    </w:p>
    <w:p>
      <w:pPr>
        <w:spacing w:after="0" w:line="22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Wynn Las Vegas Holdings, LLC, its sole member</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Finance, LLC, its sole member</w:t>
      </w:r>
    </w:p>
    <w:p>
      <w:pPr>
        <w:spacing w:after="0" w:line="241"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By: Wynn Resorts Holdings, LLC, its sole member</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Wynn Resorts, Limited, its sole member</w:t>
      </w: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18"/>
          <w:szCs w:val="18"/>
          <w:color w:val="auto"/>
        </w:rPr>
        <w:t>Title: President, Chief Financial Officer and Treasurer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2" w:right="1440" w:bottom="1440" w:gutter="0" w:footer="0" w:header="0"/>
        </w:sectPr>
      </w:pPr>
    </w:p>
    <w:bookmarkStart w:id="391" w:name="page392"/>
    <w:bookmarkEnd w:id="391"/>
    <w:p>
      <w:pPr>
        <w:ind w:left="2680"/>
        <w:spacing w:after="0"/>
        <w:rPr>
          <w:sz w:val="20"/>
          <w:szCs w:val="20"/>
          <w:color w:val="auto"/>
        </w:rPr>
      </w:pPr>
      <w:r>
        <w:rPr>
          <w:rFonts w:ascii="Arial" w:cs="Arial" w:eastAsia="Arial" w:hAnsi="Arial"/>
          <w:sz w:val="20"/>
          <w:szCs w:val="20"/>
          <w:color w:val="auto"/>
        </w:rPr>
        <w:t>WYNN GROUP ASIA, INC.</w:t>
      </w: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169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Craig S. Billings</w:t>
      </w:r>
    </w:p>
    <w:p>
      <w:pPr>
        <w:ind w:left="26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2" w:right="1440" w:bottom="1440" w:gutter="0" w:footer="0" w:header="0"/>
        </w:sectPr>
      </w:pPr>
    </w:p>
    <w:bookmarkStart w:id="392" w:name="page393"/>
    <w:bookmarkEnd w:id="392"/>
    <w:p>
      <w:pPr>
        <w:ind w:left="2700"/>
        <w:spacing w:after="0"/>
        <w:rPr>
          <w:sz w:val="20"/>
          <w:szCs w:val="20"/>
          <w:color w:val="auto"/>
        </w:rPr>
      </w:pPr>
      <w:r>
        <w:rPr>
          <w:rFonts w:ascii="Arial" w:cs="Arial" w:eastAsia="Arial" w:hAnsi="Arial"/>
          <w:sz w:val="17"/>
          <w:szCs w:val="17"/>
          <w:color w:val="auto"/>
        </w:rPr>
        <w:t>DEUTSCHE BANK AG NEW YORK BRANCH, as Administrative Agent and Collateral Agent</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820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Michael Strobel</w:t>
      </w:r>
    </w:p>
    <w:p>
      <w:pPr>
        <w:ind w:left="2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9074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90741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Yumi Okabe</w:t>
      </w:r>
    </w:p>
    <w:p>
      <w:pPr>
        <w:ind w:left="2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8"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700"/>
          </w:cols>
          <w:pgMar w:left="1440" w:top="584" w:right="759" w:bottom="1440" w:gutter="0" w:footer="0" w:header="0"/>
        </w:sectPr>
      </w:pPr>
    </w:p>
    <w:bookmarkStart w:id="393" w:name="page394"/>
    <w:bookmarkEnd w:id="393"/>
    <w:p>
      <w:pPr>
        <w:ind w:left="2700"/>
        <w:spacing w:after="0"/>
        <w:rPr>
          <w:sz w:val="20"/>
          <w:szCs w:val="20"/>
          <w:color w:val="auto"/>
        </w:rPr>
      </w:pPr>
      <w:r>
        <w:rPr>
          <w:rFonts w:ascii="Arial" w:cs="Arial" w:eastAsia="Arial" w:hAnsi="Arial"/>
          <w:sz w:val="17"/>
          <w:szCs w:val="17"/>
          <w:color w:val="auto"/>
        </w:rPr>
        <w:t>DEUTSCHE BANK AG NEW YORK BRANCH, as L/C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820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Michael Strobel</w:t>
      </w:r>
    </w:p>
    <w:p>
      <w:pPr>
        <w:ind w:left="2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9074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90741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Yumi Okabe</w:t>
      </w:r>
    </w:p>
    <w:p>
      <w:pPr>
        <w:ind w:left="2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394" w:name="page395"/>
    <w:bookmarkEnd w:id="394"/>
    <w:p>
      <w:pPr>
        <w:ind w:left="2700"/>
        <w:spacing w:after="0"/>
        <w:rPr>
          <w:sz w:val="20"/>
          <w:szCs w:val="20"/>
          <w:color w:val="auto"/>
        </w:rPr>
      </w:pPr>
      <w:r>
        <w:rPr>
          <w:rFonts w:ascii="Arial" w:cs="Arial" w:eastAsia="Arial" w:hAnsi="Arial"/>
          <w:sz w:val="17"/>
          <w:szCs w:val="17"/>
          <w:color w:val="auto"/>
        </w:rPr>
        <w:t>DEUTSCHE BANK AG NEW YORK BRANCH, as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82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Michael Strobel</w:t>
      </w:r>
    </w:p>
    <w:p>
      <w:pPr>
        <w:ind w:left="2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9074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90741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Yumi Okabe</w:t>
      </w:r>
    </w:p>
    <w:p>
      <w:pPr>
        <w:ind w:left="270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395" w:name="page396"/>
    <w:bookmarkEnd w:id="395"/>
    <w:p>
      <w:pPr>
        <w:ind w:left="2700"/>
        <w:spacing w:after="0"/>
        <w:rPr>
          <w:sz w:val="20"/>
          <w:szCs w:val="20"/>
          <w:color w:val="auto"/>
        </w:rPr>
      </w:pPr>
      <w:r>
        <w:rPr>
          <w:rFonts w:ascii="Arial" w:cs="Arial" w:eastAsia="Arial" w:hAnsi="Arial"/>
          <w:sz w:val="17"/>
          <w:szCs w:val="17"/>
          <w:color w:val="auto"/>
        </w:rPr>
        <w:t>GOLDMAN SACHS BANK USA, as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Charles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2915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Charles D. Johnston</w:t>
      </w:r>
    </w:p>
    <w:p>
      <w:pPr>
        <w:ind w:left="26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396" w:name="page397"/>
    <w:bookmarkEnd w:id="396"/>
    <w:p>
      <w:pPr>
        <w:jc w:val="center"/>
        <w:spacing w:after="0"/>
        <w:rPr>
          <w:sz w:val="20"/>
          <w:szCs w:val="20"/>
          <w:color w:val="auto"/>
        </w:rPr>
      </w:pPr>
      <w:r>
        <w:rPr>
          <w:rFonts w:ascii="Arial" w:cs="Arial" w:eastAsia="Arial" w:hAnsi="Arial"/>
          <w:sz w:val="17"/>
          <w:szCs w:val="17"/>
          <w:color w:val="auto"/>
        </w:rPr>
        <w:t>GOLDMAN SACHS BANK USA, as L/C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Charles D.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2915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Charles D. Johnston</w:t>
      </w:r>
    </w:p>
    <w:p>
      <w:pPr>
        <w:ind w:left="26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397" w:name="page398"/>
    <w:bookmarkEnd w:id="397"/>
    <w:p>
      <w:pPr>
        <w:ind w:left="2700"/>
        <w:spacing w:after="0"/>
        <w:rPr>
          <w:sz w:val="20"/>
          <w:szCs w:val="20"/>
          <w:color w:val="auto"/>
        </w:rPr>
      </w:pPr>
      <w:r>
        <w:rPr>
          <w:rFonts w:ascii="Arial" w:cs="Arial" w:eastAsia="Arial" w:hAnsi="Arial"/>
          <w:sz w:val="17"/>
          <w:szCs w:val="17"/>
          <w:color w:val="auto"/>
        </w:rPr>
        <w:t>THE BANK OF NOVA SCOTIA, as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Winston 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9309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93091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Winston Lug</w:t>
      </w:r>
    </w:p>
    <w:p>
      <w:pPr>
        <w:ind w:left="26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Credit Agreement</w:t>
      </w:r>
    </w:p>
    <w:p>
      <w:pPr>
        <w:sectPr>
          <w:pgSz w:w="11900" w:h="16838" w:orient="portrait"/>
          <w:cols w:equalWidth="0" w:num="1">
            <w:col w:w="9019"/>
          </w:cols>
          <w:pgMar w:left="1440" w:top="584" w:right="1440" w:bottom="1440" w:gutter="0" w:footer="0" w:header="0"/>
        </w:sectPr>
      </w:pPr>
    </w:p>
    <w:bookmarkStart w:id="398" w:name="page399"/>
    <w:bookmarkEnd w:id="398"/>
    <w:p>
      <w:pPr>
        <w:jc w:val="center"/>
        <w:ind w:right="79"/>
        <w:spacing w:after="0"/>
        <w:rPr>
          <w:sz w:val="20"/>
          <w:szCs w:val="20"/>
          <w:color w:val="auto"/>
        </w:rPr>
      </w:pPr>
      <w:r>
        <w:rPr>
          <w:rFonts w:ascii="Arial" w:cs="Arial" w:eastAsia="Arial" w:hAnsi="Arial"/>
          <w:sz w:val="17"/>
          <w:szCs w:val="17"/>
          <w:color w:val="auto"/>
        </w:rPr>
        <w:t>THE BANK OF NOVA SCOTIA, as L/C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Winston Lug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9309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93091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Winston Lug</w:t>
      </w:r>
    </w:p>
    <w:p>
      <w:pPr>
        <w:ind w:left="26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399" w:name="page400"/>
    <w:bookmarkEnd w:id="399"/>
    <w:p>
      <w:pPr>
        <w:ind w:left="2700"/>
        <w:spacing w:after="0"/>
        <w:rPr>
          <w:sz w:val="20"/>
          <w:szCs w:val="20"/>
          <w:color w:val="auto"/>
        </w:rPr>
      </w:pPr>
      <w:r>
        <w:rPr>
          <w:rFonts w:ascii="Arial" w:cs="Arial" w:eastAsia="Arial" w:hAnsi="Arial"/>
          <w:sz w:val="18"/>
          <w:szCs w:val="18"/>
          <w:color w:val="auto"/>
        </w:rPr>
        <w:t>BANK OF AMERICA, N.A., as Lender</w:t>
      </w: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890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Brian D. Corum</w:t>
      </w:r>
    </w:p>
    <w:p>
      <w:pPr>
        <w:ind w:left="2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4" w:right="1440" w:bottom="1440" w:gutter="0" w:footer="0" w:header="0"/>
        </w:sectPr>
      </w:pPr>
    </w:p>
    <w:bookmarkStart w:id="400" w:name="page401"/>
    <w:bookmarkEnd w:id="400"/>
    <w:p>
      <w:pPr>
        <w:ind w:left="2700"/>
        <w:spacing w:after="0"/>
        <w:rPr>
          <w:sz w:val="20"/>
          <w:szCs w:val="20"/>
          <w:color w:val="auto"/>
        </w:rPr>
      </w:pPr>
      <w:r>
        <w:rPr>
          <w:rFonts w:ascii="Arial" w:cs="Arial" w:eastAsia="Arial" w:hAnsi="Arial"/>
          <w:sz w:val="17"/>
          <w:szCs w:val="17"/>
          <w:color w:val="auto"/>
        </w:rPr>
        <w:t>BANK OF AMERICA, N.A., as an L/C Lender of Existing Letters of Credit</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890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Brian D. Corum</w:t>
      </w:r>
    </w:p>
    <w:p>
      <w:pPr>
        <w:ind w:left="2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401" w:name="page402"/>
    <w:bookmarkEnd w:id="401"/>
    <w:p>
      <w:pPr>
        <w:ind w:left="2700"/>
        <w:spacing w:after="0"/>
        <w:rPr>
          <w:sz w:val="20"/>
          <w:szCs w:val="20"/>
          <w:color w:val="auto"/>
        </w:rPr>
      </w:pPr>
      <w:r>
        <w:rPr>
          <w:rFonts w:ascii="Arial" w:cs="Arial" w:eastAsia="Arial" w:hAnsi="Arial"/>
          <w:sz w:val="18"/>
          <w:szCs w:val="18"/>
          <w:color w:val="auto"/>
        </w:rPr>
        <w:t>BNP PARIBAS, as Lender</w:t>
      </w: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Aadil Zuberi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9213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Aadil Zuberi</w:t>
      </w:r>
    </w:p>
    <w:p>
      <w:pPr>
        <w:ind w:left="2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David L.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93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109347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David L. Berger</w:t>
      </w:r>
    </w:p>
    <w:p>
      <w:pPr>
        <w:ind w:left="2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4" w:right="1440" w:bottom="1440" w:gutter="0" w:footer="0" w:header="0"/>
        </w:sectPr>
      </w:pPr>
    </w:p>
    <w:bookmarkStart w:id="402" w:name="page403"/>
    <w:bookmarkEnd w:id="402"/>
    <w:p>
      <w:pPr>
        <w:ind w:left="2700"/>
        <w:spacing w:after="0"/>
        <w:rPr>
          <w:sz w:val="20"/>
          <w:szCs w:val="20"/>
          <w:color w:val="auto"/>
        </w:rPr>
      </w:pPr>
      <w:r>
        <w:rPr>
          <w:rFonts w:ascii="Arial" w:cs="Arial" w:eastAsia="Arial" w:hAnsi="Arial"/>
          <w:sz w:val="18"/>
          <w:szCs w:val="18"/>
          <w:color w:val="auto"/>
        </w:rPr>
        <w:t>FIFTH THIRD BANK, as Lender</w:t>
      </w: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Andy Tessema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172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Andy Tessema</w:t>
      </w:r>
    </w:p>
    <w:p>
      <w:pPr>
        <w:ind w:left="26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4" w:right="1440" w:bottom="1440" w:gutter="0" w:footer="0" w:header="0"/>
        </w:sectPr>
      </w:pPr>
    </w:p>
    <w:bookmarkStart w:id="403" w:name="page404"/>
    <w:bookmarkEnd w:id="403"/>
    <w:p>
      <w:pPr>
        <w:jc w:val="center"/>
        <w:ind w:right="219"/>
        <w:spacing w:after="0"/>
        <w:rPr>
          <w:sz w:val="20"/>
          <w:szCs w:val="20"/>
          <w:color w:val="auto"/>
        </w:rPr>
      </w:pPr>
      <w:r>
        <w:rPr>
          <w:rFonts w:ascii="Arial" w:cs="Arial" w:eastAsia="Arial" w:hAnsi="Arial"/>
          <w:sz w:val="17"/>
          <w:szCs w:val="17"/>
          <w:color w:val="auto"/>
        </w:rPr>
        <w:t>JPMORGAN CHASE BANK, N.A., as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Nadeige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9982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Nadeige Dang</w:t>
      </w:r>
    </w:p>
    <w:p>
      <w:pPr>
        <w:ind w:left="26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404" w:name="page405"/>
    <w:bookmarkEnd w:id="404"/>
    <w:p>
      <w:pPr>
        <w:ind w:left="2700"/>
        <w:spacing w:after="0"/>
        <w:rPr>
          <w:sz w:val="20"/>
          <w:szCs w:val="20"/>
          <w:color w:val="auto"/>
        </w:rPr>
      </w:pPr>
      <w:r>
        <w:rPr>
          <w:rFonts w:ascii="Arial" w:cs="Arial" w:eastAsia="Arial" w:hAnsi="Arial"/>
          <w:sz w:val="17"/>
          <w:szCs w:val="17"/>
          <w:color w:val="auto"/>
        </w:rPr>
        <w:t>SUMITOMO MITSUI BANKING CORPORATION, as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Keith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547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Keith Connolly</w:t>
      </w:r>
    </w:p>
    <w:p>
      <w:pPr>
        <w:ind w:left="2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5" w:right="1440" w:bottom="1440" w:gutter="0" w:footer="0" w:header="0"/>
        </w:sectPr>
      </w:pPr>
    </w:p>
    <w:bookmarkStart w:id="405" w:name="page406"/>
    <w:bookmarkEnd w:id="405"/>
    <w:p>
      <w:pPr>
        <w:ind w:left="2700"/>
        <w:spacing w:after="0"/>
        <w:rPr>
          <w:sz w:val="20"/>
          <w:szCs w:val="20"/>
          <w:color w:val="auto"/>
        </w:rPr>
      </w:pPr>
      <w:r>
        <w:rPr>
          <w:rFonts w:ascii="Arial" w:cs="Arial" w:eastAsia="Arial" w:hAnsi="Arial"/>
          <w:sz w:val="18"/>
          <w:szCs w:val="18"/>
          <w:color w:val="auto"/>
        </w:rPr>
        <w:t>SUNTRUST BANK, as Lender</w:t>
      </w: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Thomas Parrott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541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Thomas Parrott</w:t>
      </w:r>
    </w:p>
    <w:p>
      <w:pPr>
        <w:ind w:left="2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4" w:right="1440" w:bottom="1440" w:gutter="0" w:footer="0" w:header="0"/>
        </w:sectPr>
      </w:pPr>
    </w:p>
    <w:bookmarkStart w:id="406" w:name="page407"/>
    <w:bookmarkEnd w:id="406"/>
    <w:p>
      <w:pPr>
        <w:ind w:left="2700"/>
        <w:spacing w:after="0"/>
        <w:rPr>
          <w:sz w:val="20"/>
          <w:szCs w:val="20"/>
          <w:color w:val="auto"/>
        </w:rPr>
      </w:pPr>
      <w:r>
        <w:rPr>
          <w:rFonts w:ascii="Arial" w:cs="Arial" w:eastAsia="Arial" w:hAnsi="Arial"/>
          <w:sz w:val="17"/>
          <w:szCs w:val="17"/>
          <w:color w:val="auto"/>
        </w:rPr>
        <w:t>CITIZENS BANK, NATIONAL ASSOCIATION, as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Sean McWhinnie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151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Sean McWhinnie</w:t>
      </w:r>
    </w:p>
    <w:p>
      <w:pPr>
        <w:ind w:left="26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407" w:name="page408"/>
    <w:bookmarkEnd w:id="407"/>
    <w:p>
      <w:pPr>
        <w:ind w:left="2700"/>
        <w:spacing w:after="0"/>
        <w:rPr>
          <w:sz w:val="20"/>
          <w:szCs w:val="20"/>
          <w:color w:val="auto"/>
        </w:rPr>
      </w:pPr>
      <w:r>
        <w:rPr>
          <w:rFonts w:ascii="Arial" w:cs="Arial" w:eastAsia="Arial" w:hAnsi="Arial"/>
          <w:sz w:val="17"/>
          <w:szCs w:val="17"/>
          <w:color w:val="auto"/>
        </w:rPr>
        <w:t>CREDIT AGRICOLE CORPORATE AND INVESTMENT BANK, as Lender</w:t>
      </w:r>
    </w:p>
    <w:p>
      <w:pPr>
        <w:spacing w:after="0" w:line="200" w:lineRule="exact"/>
        <w:rPr>
          <w:sz w:val="20"/>
          <w:szCs w:val="20"/>
          <w:color w:val="auto"/>
        </w:rPr>
      </w:pPr>
    </w:p>
    <w:p>
      <w:pPr>
        <w:spacing w:after="0" w:line="277"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Steven Jonassen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960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09601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Steven Jonassen</w:t>
      </w:r>
    </w:p>
    <w:p>
      <w:pPr>
        <w:ind w:left="26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43"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Hayden Arnoux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10820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Hayden Arnoux</w:t>
      </w:r>
    </w:p>
    <w:p>
      <w:pPr>
        <w:ind w:left="26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019"/>
          </w:cols>
          <w:pgMar w:left="1440" w:top="584" w:right="1440" w:bottom="1440" w:gutter="0" w:footer="0" w:header="0"/>
        </w:sectPr>
      </w:pPr>
    </w:p>
    <w:bookmarkStart w:id="408" w:name="page409"/>
    <w:bookmarkEnd w:id="408"/>
    <w:p>
      <w:pPr>
        <w:ind w:left="2700"/>
        <w:spacing w:after="0"/>
        <w:rPr>
          <w:sz w:val="20"/>
          <w:szCs w:val="20"/>
          <w:color w:val="auto"/>
        </w:rPr>
      </w:pPr>
      <w:r>
        <w:rPr>
          <w:rFonts w:ascii="Arial" w:cs="Arial" w:eastAsia="Arial" w:hAnsi="Arial"/>
          <w:sz w:val="18"/>
          <w:szCs w:val="18"/>
          <w:color w:val="auto"/>
        </w:rPr>
        <w:t>MIZUHO BANK, LTD., as Lender</w:t>
      </w: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By:/s/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-14605</wp:posOffset>
            </wp:positionV>
            <wp:extent cx="8934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89344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20"/>
          <w:szCs w:val="20"/>
          <w:color w:val="auto"/>
        </w:rPr>
        <w:t>Name: John Davies</w:t>
      </w:r>
    </w:p>
    <w:p>
      <w:pPr>
        <w:ind w:left="26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584" w:right="1440"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171" w:lineRule="exact"/>
        <w:rPr>
          <w:sz w:val="20"/>
          <w:szCs w:val="20"/>
          <w:color w:val="auto"/>
        </w:rPr>
      </w:pPr>
    </w:p>
    <w:p>
      <w:pPr>
        <w:ind w:left="820" w:hanging="812"/>
        <w:spacing w:after="0"/>
        <w:tabs>
          <w:tab w:leader="none" w:pos="8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4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4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4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Director, 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2"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4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4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4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2019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Matt Maddox</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Director,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6, 2019</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President, 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6, 2019</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636063"/>
    <w:multiLevelType w:val="hybridMultilevel"/>
    <w:lvl w:ilvl="0">
      <w:lvlJc w:val="left"/>
      <w:lvlText w:val="☒"/>
      <w:numFmt w:val="bullet"/>
      <w:start w:val="1"/>
    </w:lvl>
  </w:abstractNum>
  <w:abstractNum w:abstractNumId="1">
    <w:nsid w:val="215641AF"/>
    <w:multiLevelType w:val="hybridMultilevel"/>
    <w:lvl w:ilvl="0">
      <w:lvlJc w:val="left"/>
      <w:lvlText w:val="☐"/>
      <w:numFmt w:val="bullet"/>
      <w:start w:val="1"/>
    </w:lvl>
  </w:abstractNum>
  <w:abstractNum w:abstractNumId="2">
    <w:nsid w:val="53280662"/>
    <w:multiLevelType w:val="hybridMultilevel"/>
    <w:lvl w:ilvl="0">
      <w:lvlJc w:val="left"/>
      <w:lvlText w:val="•"/>
      <w:numFmt w:val="bullet"/>
      <w:start w:val="1"/>
    </w:lvl>
  </w:abstractNum>
  <w:abstractNum w:abstractNumId="3">
    <w:nsid w:val="46B24DBC"/>
    <w:multiLevelType w:val="hybridMultilevel"/>
    <w:lvl w:ilvl="0">
      <w:lvlJc w:val="left"/>
      <w:lvlText w:val="•"/>
      <w:numFmt w:val="bullet"/>
      <w:start w:val="1"/>
    </w:lvl>
  </w:abstractNum>
  <w:abstractNum w:abstractNumId="4">
    <w:nsid w:val="75B52783"/>
    <w:multiLevelType w:val="hybridMultilevel"/>
    <w:lvl w:ilvl="0">
      <w:lvlJc w:val="left"/>
      <w:lvlText w:val="(%1)"/>
      <w:numFmt w:val="decimal"/>
      <w:start w:val="1"/>
    </w:lvl>
  </w:abstractNum>
  <w:abstractNum w:abstractNumId="5">
    <w:nsid w:val="57CE66B4"/>
    <w:multiLevelType w:val="hybridMultilevel"/>
    <w:lvl w:ilvl="0">
      <w:lvlJc w:val="left"/>
      <w:lvlText w:val="(%1)"/>
      <w:numFmt w:val="decimal"/>
      <w:start w:val="1"/>
    </w:lvl>
  </w:abstractNum>
  <w:abstractNum w:abstractNumId="6">
    <w:nsid w:val="67A70B69"/>
    <w:multiLevelType w:val="hybridMultilevel"/>
    <w:lvl w:ilvl="0">
      <w:lvlJc w:val="left"/>
      <w:lvlText w:val="(%1)"/>
      <w:numFmt w:val="decimal"/>
      <w:start w:val="1"/>
    </w:lvl>
  </w:abstractNum>
  <w:abstractNum w:abstractNumId="7">
    <w:nsid w:val="5953172F"/>
    <w:multiLevelType w:val="hybridMultilevel"/>
    <w:lvl w:ilvl="0">
      <w:lvlJc w:val="left"/>
      <w:lvlText w:val="(%1)"/>
      <w:numFmt w:val="decimal"/>
      <w:start w:val="1"/>
    </w:lvl>
  </w:abstractNum>
  <w:abstractNum w:abstractNumId="8">
    <w:nsid w:val="27EDFE3A"/>
    <w:multiLevelType w:val="hybridMultilevel"/>
    <w:lvl w:ilvl="0">
      <w:lvlJc w:val="left"/>
      <w:lvlText w:val="(%1)"/>
      <w:numFmt w:val="decimal"/>
      <w:start w:val="1"/>
    </w:lvl>
  </w:abstractNum>
  <w:abstractNum w:abstractNumId="9">
    <w:nsid w:val="52AC7DFF"/>
    <w:multiLevelType w:val="hybridMultilevel"/>
    <w:lvl w:ilvl="0">
      <w:lvlJc w:val="left"/>
      <w:lvlText w:val="•"/>
      <w:numFmt w:val="bullet"/>
      <w:start w:val="1"/>
    </w:lvl>
  </w:abstractNum>
  <w:abstractNum w:abstractNumId="10">
    <w:nsid w:val="C4C3AF"/>
    <w:multiLevelType w:val="hybridMultilevel"/>
    <w:lvl w:ilvl="0">
      <w:lvlJc w:val="left"/>
      <w:lvlText w:val="•"/>
      <w:numFmt w:val="bullet"/>
      <w:start w:val="1"/>
    </w:lvl>
  </w:abstractNum>
  <w:abstractNum w:abstractNumId="11">
    <w:nsid w:val="44380727"/>
    <w:multiLevelType w:val="hybridMultilevel"/>
    <w:lvl w:ilvl="0">
      <w:lvlJc w:val="left"/>
      <w:lvlText w:val="•"/>
      <w:numFmt w:val="bullet"/>
      <w:start w:val="1"/>
    </w:lvl>
  </w:abstractNum>
  <w:abstractNum w:abstractNumId="12">
    <w:nsid w:val="6C053B16"/>
    <w:multiLevelType w:val="hybridMultilevel"/>
    <w:lvl w:ilvl="0">
      <w:lvlJc w:val="left"/>
      <w:lvlText w:val="•"/>
      <w:numFmt w:val="bullet"/>
      <w:start w:val="1"/>
    </w:lvl>
  </w:abstractNum>
  <w:abstractNum w:abstractNumId="13">
    <w:nsid w:val="4F294393"/>
    <w:multiLevelType w:val="hybridMultilevel"/>
    <w:lvl w:ilvl="0">
      <w:lvlJc w:val="left"/>
      <w:lvlText w:val="•"/>
      <w:numFmt w:val="bullet"/>
      <w:start w:val="1"/>
    </w:lvl>
  </w:abstractNum>
  <w:abstractNum w:abstractNumId="14">
    <w:nsid w:val="5243BFAC"/>
    <w:multiLevelType w:val="hybridMultilevel"/>
    <w:lvl w:ilvl="0">
      <w:lvlJc w:val="left"/>
      <w:lvlText w:val="•"/>
      <w:numFmt w:val="bullet"/>
      <w:start w:val="1"/>
    </w:lvl>
  </w:abstractNum>
  <w:abstractNum w:abstractNumId="15">
    <w:nsid w:val="425EB207"/>
    <w:multiLevelType w:val="hybridMultilevel"/>
    <w:lvl w:ilvl="0">
      <w:lvlJc w:val="left"/>
      <w:lvlText w:val="•"/>
      <w:numFmt w:val="bullet"/>
      <w:start w:val="1"/>
    </w:lvl>
  </w:abstractNum>
  <w:abstractNum w:abstractNumId="16">
    <w:nsid w:val="334A6F1F"/>
    <w:multiLevelType w:val="hybridMultilevel"/>
    <w:lvl w:ilvl="0">
      <w:lvlJc w:val="left"/>
      <w:lvlText w:val="(%1)"/>
      <w:numFmt w:val="decimal"/>
      <w:start w:val="1"/>
    </w:lvl>
  </w:abstractNum>
  <w:abstractNum w:abstractNumId="17">
    <w:nsid w:val="2E5B12B8"/>
    <w:multiLevelType w:val="hybridMultilevel"/>
    <w:lvl w:ilvl="0">
      <w:lvlJc w:val="left"/>
      <w:lvlText w:val="(%1)"/>
      <w:numFmt w:val="lowerLetter"/>
      <w:start w:val="1"/>
    </w:lvl>
  </w:abstractNum>
  <w:abstractNum w:abstractNumId="18">
    <w:nsid w:val="5C03D76D"/>
    <w:multiLevelType w:val="hybridMultilevel"/>
    <w:lvl w:ilvl="0">
      <w:lvlJc w:val="left"/>
      <w:lvlText w:val="%1"/>
      <w:numFmt w:val="decimal"/>
      <w:start w:val="101"/>
    </w:lvl>
  </w:abstractNum>
  <w:abstractNum w:abstractNumId="19">
    <w:nsid w:val="66A48D11"/>
    <w:multiLevelType w:val="hybridMultilevel"/>
    <w:lvl w:ilvl="0">
      <w:lvlJc w:val="left"/>
      <w:lvlText w:val="*"/>
      <w:numFmt w:val="bullet"/>
      <w:start w:val="1"/>
    </w:lvl>
  </w:abstractNum>
  <w:abstractNum w:abstractNumId="20">
    <w:nsid w:val="56C28E34"/>
    <w:multiLevelType w:val="hybridMultilevel"/>
    <w:lvl w:ilvl="0">
      <w:lvlJc w:val="left"/>
      <w:lvlText w:val="(%1)"/>
      <w:numFmt w:val="lowerRoman"/>
      <w:start w:val="1"/>
    </w:lvl>
  </w:abstractNum>
  <w:abstractNum w:abstractNumId="21">
    <w:nsid w:val="13916F2D"/>
    <w:multiLevelType w:val="hybridMultilevel"/>
    <w:lvl w:ilvl="0">
      <w:lvlJc w:val="left"/>
      <w:lvlText w:val="(%1)"/>
      <w:numFmt w:val="decimal"/>
      <w:start w:val="1"/>
    </w:lvl>
  </w:abstractNum>
  <w:abstractNum w:abstractNumId="22">
    <w:nsid w:val="435D38D"/>
    <w:multiLevelType w:val="hybridMultilevel"/>
    <w:lvl w:ilvl="0">
      <w:lvlJc w:val="left"/>
      <w:lvlText w:val="(%1)"/>
      <w:numFmt w:val="decimal"/>
      <w:start w:val="1"/>
    </w:lvl>
  </w:abstractNum>
  <w:abstractNum w:abstractNumId="23">
    <w:nsid w:val="822C0EF"/>
    <w:multiLevelType w:val="hybridMultilevel"/>
    <w:lvl w:ilvl="0">
      <w:lvlJc w:val="left"/>
      <w:lvlText w:val="(%1)"/>
      <w:numFmt w:val="decimal"/>
      <w:start w:val="3"/>
    </w:lvl>
  </w:abstractNum>
  <w:abstractNum w:abstractNumId="24">
    <w:nsid w:val="57C5BB4F"/>
    <w:multiLevelType w:val="hybridMultilevel"/>
    <w:lvl w:ilvl="0">
      <w:lvlJc w:val="left"/>
      <w:lvlText w:val="(%1)"/>
      <w:numFmt w:val="decimal"/>
      <w:start w:val="4"/>
    </w:lvl>
  </w:abstractNum>
  <w:abstractNum w:abstractNumId="25">
    <w:nsid w:val="1803D089"/>
    <w:multiLevelType w:val="hybridMultilevel"/>
    <w:lvl w:ilvl="0">
      <w:lvlJc w:val="left"/>
      <w:lvlText w:val="(%1)"/>
      <w:numFmt w:val="lowerLetter"/>
      <w:start w:val="25"/>
    </w:lvl>
  </w:abstractNum>
  <w:abstractNum w:abstractNumId="26">
    <w:nsid w:val="4F3A06D4"/>
    <w:multiLevelType w:val="hybridMultilevel"/>
    <w:lvl w:ilvl="0">
      <w:lvlJc w:val="left"/>
      <w:lvlText w:val="(%1)"/>
      <w:numFmt w:val="lowerLetter"/>
      <w:start w:val="3"/>
    </w:lvl>
  </w:abstractNum>
  <w:abstractNum w:abstractNumId="27">
    <w:nsid w:val="59A377B6"/>
    <w:multiLevelType w:val="hybridMultilevel"/>
    <w:lvl w:ilvl="0">
      <w:lvlJc w:val="left"/>
      <w:lvlText w:val="(%1)"/>
      <w:numFmt w:val="decimal"/>
      <w:start w:val="1"/>
    </w:lvl>
  </w:abstractNum>
  <w:abstractNum w:abstractNumId="28">
    <w:nsid w:val="48AEB063"/>
    <w:multiLevelType w:val="hybridMultilevel"/>
    <w:lvl w:ilvl="0">
      <w:lvlJc w:val="left"/>
      <w:lvlText w:val="(%1)"/>
      <w:numFmt w:val="decimal"/>
      <w:start w:val="3"/>
    </w:lvl>
  </w:abstractNum>
  <w:abstractNum w:abstractNumId="29">
    <w:nsid w:val="24E135"/>
    <w:multiLevelType w:val="hybridMultilevel"/>
    <w:lvl w:ilvl="0">
      <w:lvlJc w:val="left"/>
      <w:lvlText w:val="(%1)"/>
      <w:numFmt w:val="decimal"/>
      <w:start w:val="1"/>
    </w:lvl>
  </w:abstractNum>
  <w:abstractNum w:abstractNumId="30">
    <w:nsid w:val="BB13C1"/>
    <w:multiLevelType w:val="hybridMultilevel"/>
    <w:lvl w:ilvl="0">
      <w:lvlJc w:val="left"/>
      <w:lvlText w:val="(%1)"/>
      <w:numFmt w:val="lowerLetter"/>
      <w:start w:val="1"/>
    </w:lvl>
  </w:abstractNum>
  <w:abstractNum w:abstractNumId="31">
    <w:nsid w:val="271210C7"/>
    <w:multiLevelType w:val="hybridMultilevel"/>
    <w:lvl w:ilvl="0">
      <w:lvlJc w:val="left"/>
      <w:lvlText w:val="(%1)"/>
      <w:numFmt w:val="lowerRoman"/>
      <w:start w:val="2"/>
    </w:lvl>
  </w:abstractNum>
  <w:abstractNum w:abstractNumId="32">
    <w:nsid w:val="217B22E4"/>
    <w:multiLevelType w:val="hybridMultilevel"/>
    <w:lvl w:ilvl="0">
      <w:lvlJc w:val="left"/>
      <w:lvlText w:val="%1"/>
      <w:numFmt w:val="lowerRoman"/>
      <w:start w:val="1"/>
    </w:lvl>
    <w:lvl w:ilvl="1">
      <w:lvlJc w:val="left"/>
      <w:lvlText w:val="(%2)"/>
      <w:numFmt w:val="lowerRoman"/>
      <w:start w:val="10"/>
    </w:lvl>
  </w:abstractNum>
  <w:abstractNum w:abstractNumId="33">
    <w:nsid w:val="53E31A24"/>
    <w:multiLevelType w:val="hybridMultilevel"/>
    <w:lvl w:ilvl="0">
      <w:lvlJc w:val="left"/>
      <w:lvlText w:val="(%1)"/>
      <w:numFmt w:val="lowerRoman"/>
      <w:start w:val="5"/>
    </w:lvl>
    <w:lvl w:ilvl="1">
      <w:lvlJc w:val="left"/>
      <w:lvlText w:val="%2"/>
      <w:numFmt w:val="lowerRoman"/>
      <w:start w:val="1"/>
    </w:lvl>
  </w:abstractNum>
  <w:abstractNum w:abstractNumId="34">
    <w:nsid w:val="6DC45E83"/>
    <w:multiLevelType w:val="hybridMultilevel"/>
    <w:lvl w:ilvl="0">
      <w:lvlJc w:val="left"/>
      <w:lvlText w:val="(%1)"/>
      <w:numFmt w:val="lowerLetter"/>
      <w:start w:val="2"/>
    </w:lvl>
  </w:abstractNum>
  <w:abstractNum w:abstractNumId="35">
    <w:nsid w:val="17304A67"/>
    <w:multiLevelType w:val="hybridMultilevel"/>
    <w:lvl w:ilvl="0">
      <w:lvlJc w:val="left"/>
      <w:lvlText w:val="(%1)"/>
      <w:numFmt w:val="lowerRoman"/>
      <w:start w:val="1"/>
    </w:lvl>
  </w:abstractNum>
  <w:abstractNum w:abstractNumId="36">
    <w:nsid w:val="2BB180D8"/>
    <w:multiLevelType w:val="hybridMultilevel"/>
    <w:lvl w:ilvl="0">
      <w:lvlJc w:val="left"/>
      <w:lvlText w:val="(%1)"/>
      <w:numFmt w:val="lowerLetter"/>
      <w:start w:val="3"/>
    </w:lvl>
  </w:abstractNum>
  <w:abstractNum w:abstractNumId="37">
    <w:nsid w:val="556B69ED"/>
    <w:multiLevelType w:val="hybridMultilevel"/>
    <w:lvl w:ilvl="0">
      <w:lvlJc w:val="left"/>
      <w:lvlText w:val="(%1)"/>
      <w:numFmt w:val="lowerLetter"/>
      <w:start w:val="5"/>
    </w:lvl>
  </w:abstractNum>
  <w:abstractNum w:abstractNumId="38">
    <w:nsid w:val="70836196"/>
    <w:multiLevelType w:val="hybridMultilevel"/>
    <w:lvl w:ilvl="0">
      <w:lvlJc w:val="left"/>
      <w:lvlText w:val="(%1)"/>
      <w:numFmt w:val="upperLetter"/>
      <w:start w:val="1"/>
    </w:lvl>
  </w:abstractNum>
  <w:abstractNum w:abstractNumId="39">
    <w:nsid w:val="539F7F12"/>
    <w:multiLevelType w:val="hybridMultilevel"/>
    <w:lvl w:ilvl="0">
      <w:lvlJc w:val="left"/>
      <w:lvlText w:val="(%1)"/>
      <w:numFmt w:val="upperLetter"/>
      <w:start w:val="5"/>
    </w:lvl>
  </w:abstractNum>
  <w:abstractNum w:abstractNumId="40">
    <w:nsid w:val="2817E7EC"/>
    <w:multiLevelType w:val="hybridMultilevel"/>
    <w:lvl w:ilvl="0">
      <w:lvlJc w:val="left"/>
      <w:lvlText w:val="(%1)"/>
      <w:numFmt w:val="lowerLetter"/>
      <w:start w:val="26"/>
    </w:lvl>
  </w:abstractNum>
  <w:abstractNum w:abstractNumId="41">
    <w:nsid w:val="71482545"/>
    <w:multiLevelType w:val="hybridMultilevel"/>
    <w:lvl w:ilvl="0">
      <w:lvlJc w:val="left"/>
      <w:lvlText w:val="(%1)"/>
      <w:numFmt w:val="lowerLetter"/>
      <w:start w:val="2"/>
    </w:lvl>
  </w:abstractNum>
  <w:abstractNum w:abstractNumId="42">
    <w:nsid w:val="17D78639"/>
    <w:multiLevelType w:val="hybridMultilevel"/>
    <w:lvl w:ilvl="0">
      <w:lvlJc w:val="left"/>
      <w:lvlText w:val="(%1)"/>
      <w:numFmt w:val="lowerLetter"/>
      <w:start w:val="1"/>
    </w:lvl>
  </w:abstractNum>
  <w:abstractNum w:abstractNumId="43">
    <w:nsid w:val="141D2302"/>
    <w:multiLevelType w:val="hybridMultilevel"/>
    <w:lvl w:ilvl="0">
      <w:lvlJc w:val="left"/>
      <w:lvlText w:val="(%1)"/>
      <w:numFmt w:val="lowerLetter"/>
      <w:start w:val="8"/>
    </w:lvl>
  </w:abstractNum>
  <w:abstractNum w:abstractNumId="44">
    <w:nsid w:val="407168D8"/>
    <w:multiLevelType w:val="hybridMultilevel"/>
    <w:lvl w:ilvl="0">
      <w:lvlJc w:val="left"/>
      <w:lvlText w:val="(%1)"/>
      <w:numFmt w:val="lowerLetter"/>
      <w:start w:val="25"/>
    </w:lvl>
  </w:abstractNum>
  <w:abstractNum w:abstractNumId="45">
    <w:nsid w:val="6A1B45E5"/>
    <w:multiLevelType w:val="hybridMultilevel"/>
    <w:lvl w:ilvl="0">
      <w:lvlJc w:val="left"/>
      <w:lvlText w:val="(%1)"/>
      <w:numFmt w:val="lowerLetter"/>
      <w:start w:val="2"/>
    </w:lvl>
  </w:abstractNum>
  <w:abstractNum w:abstractNumId="46">
    <w:nsid w:val="567BD50A"/>
    <w:multiLevelType w:val="hybridMultilevel"/>
    <w:lvl w:ilvl="0">
      <w:lvlJc w:val="left"/>
      <w:lvlText w:val="(%1)"/>
      <w:numFmt w:val="decimal"/>
      <w:start w:val="1"/>
    </w:lvl>
  </w:abstractNum>
  <w:abstractNum w:abstractNumId="47">
    <w:nsid w:val="73BBD7F8"/>
    <w:multiLevelType w:val="hybridMultilevel"/>
    <w:lvl w:ilvl="0">
      <w:lvlJc w:val="left"/>
      <w:lvlText w:val="(%1)"/>
      <w:numFmt w:val="decimal"/>
      <w:start w:val="2"/>
    </w:lvl>
  </w:abstractNum>
  <w:abstractNum w:abstractNumId="48">
    <w:nsid w:val="1876589D"/>
    <w:multiLevelType w:val="hybridMultilevel"/>
    <w:lvl w:ilvl="0">
      <w:lvlJc w:val="left"/>
      <w:lvlText w:val="(%1)"/>
      <w:numFmt w:val="decimal"/>
      <w:start w:val="1"/>
    </w:lvl>
  </w:abstractNum>
  <w:abstractNum w:abstractNumId="49">
    <w:nsid w:val="327FAC77"/>
    <w:multiLevelType w:val="hybridMultilevel"/>
    <w:lvl w:ilvl="0">
      <w:lvlJc w:val="left"/>
      <w:lvlText w:val="(%1)"/>
      <w:numFmt w:val="decimal"/>
      <w:start w:val="1"/>
    </w:lvl>
  </w:abstractNum>
  <w:abstractNum w:abstractNumId="50">
    <w:nsid w:val="5A606509"/>
    <w:multiLevelType w:val="hybridMultilevel"/>
    <w:lvl w:ilvl="0">
      <w:lvlJc w:val="left"/>
      <w:lvlText w:val="(%1)"/>
      <w:numFmt w:val="decimal"/>
      <w:start w:val="1"/>
    </w:lvl>
  </w:abstractNum>
  <w:abstractNum w:abstractNumId="51">
    <w:nsid w:val="6F38E6D1"/>
    <w:multiLevelType w:val="hybridMultilevel"/>
    <w:lvl w:ilvl="0">
      <w:lvlJc w:val="left"/>
      <w:lvlText w:val="(%1)"/>
      <w:numFmt w:val="decimal"/>
      <w:start w:val="1"/>
    </w:lvl>
    <w:lvl w:ilvl="1">
      <w:lvlJc w:val="left"/>
      <w:lvlText w:val="(%2)"/>
      <w:numFmt w:val="lowerLetter"/>
      <w:start w:val="1"/>
    </w:lvl>
  </w:abstractNum>
  <w:abstractNum w:abstractNumId="52">
    <w:nsid w:val="46111BA5"/>
    <w:multiLevelType w:val="hybridMultilevel"/>
    <w:lvl w:ilvl="0">
      <w:lvlJc w:val="left"/>
      <w:lvlText w:val="(%1)"/>
      <w:numFmt w:val="decimal"/>
      <w:start w:val="1"/>
    </w:lvl>
  </w:abstractNum>
  <w:abstractNum w:abstractNumId="53">
    <w:nsid w:val="5E963896"/>
    <w:multiLevelType w:val="hybridMultilevel"/>
    <w:lvl w:ilvl="0">
      <w:lvlJc w:val="left"/>
      <w:lvlText w:val="(%1)"/>
      <w:numFmt w:val="decimal"/>
      <w:start w:val="1"/>
    </w:lvl>
  </w:abstractNum>
  <w:abstractNum w:abstractNumId="54">
    <w:nsid w:val="775BA7C1"/>
    <w:multiLevelType w:val="hybridMultilevel"/>
    <w:lvl w:ilvl="0">
      <w:lvlJc w:val="left"/>
      <w:lvlText w:val="(%1)"/>
      <w:numFmt w:val="decimal"/>
      <w:start w:val="3"/>
    </w:lvl>
  </w:abstractNum>
  <w:abstractNum w:abstractNumId="55">
    <w:nsid w:val="1DD6D6F4"/>
    <w:multiLevelType w:val="hybridMultilevel"/>
    <w:lvl w:ilvl="0">
      <w:lvlJc w:val="left"/>
      <w:lvlText w:val="(%1)"/>
      <w:numFmt w:val="decimal"/>
      <w:start w:val="1"/>
    </w:lvl>
  </w:abstractNum>
  <w:abstractNum w:abstractNumId="56">
    <w:nsid w:val="769A091F"/>
    <w:multiLevelType w:val="hybridMultilevel"/>
    <w:lvl w:ilvl="0">
      <w:lvlJc w:val="left"/>
      <w:lvlText w:val="(%1)"/>
      <w:numFmt w:val="decimal"/>
      <w:start w:val="7"/>
    </w:lvl>
  </w:abstractNum>
  <w:abstractNum w:abstractNumId="57">
    <w:nsid w:val="4695AE95"/>
    <w:multiLevelType w:val="hybridMultilevel"/>
    <w:lvl w:ilvl="0">
      <w:lvlJc w:val="left"/>
      <w:lvlText w:val="(%1)"/>
      <w:numFmt w:val="decimal"/>
      <w:start w:val="1"/>
    </w:lvl>
  </w:abstractNum>
  <w:abstractNum w:abstractNumId="58">
    <w:nsid w:val="777A4EAA"/>
    <w:multiLevelType w:val="hybridMultilevel"/>
    <w:lvl w:ilvl="0">
      <w:lvlJc w:val="left"/>
      <w:lvlText w:val="(%1)"/>
      <w:numFmt w:val="lowerLetter"/>
      <w:start w:val="5"/>
    </w:lvl>
  </w:abstractNum>
  <w:abstractNum w:abstractNumId="59">
    <w:nsid w:val="3F48B982"/>
    <w:multiLevelType w:val="hybridMultilevel"/>
    <w:lvl w:ilvl="0">
      <w:lvlJc w:val="left"/>
      <w:lvlText w:val="(%1)"/>
      <w:numFmt w:val="decimal"/>
      <w:start w:val="1"/>
    </w:lvl>
  </w:abstractNum>
  <w:abstractNum w:abstractNumId="60">
    <w:nsid w:val="46BA8FCA"/>
    <w:multiLevelType w:val="hybridMultilevel"/>
    <w:lvl w:ilvl="0">
      <w:lvlJc w:val="left"/>
      <w:lvlText w:val="(%1)"/>
      <w:numFmt w:val="decimal"/>
      <w:start w:val="3"/>
    </w:lvl>
  </w:abstractNum>
  <w:abstractNum w:abstractNumId="61">
    <w:nsid w:val="7835626C"/>
    <w:multiLevelType w:val="hybridMultilevel"/>
    <w:lvl w:ilvl="0">
      <w:lvlJc w:val="left"/>
      <w:lvlText w:val="(%1)"/>
      <w:numFmt w:val="decimal"/>
      <w:start w:val="1"/>
    </w:lvl>
  </w:abstractNum>
  <w:abstractNum w:abstractNumId="62">
    <w:nsid w:val="665ACA49"/>
    <w:multiLevelType w:val="hybridMultilevel"/>
    <w:lvl w:ilvl="0">
      <w:lvlJc w:val="left"/>
      <w:lvlText w:val="(%1)"/>
      <w:numFmt w:val="decimal"/>
      <w:start w:val="9"/>
    </w:lvl>
  </w:abstractNum>
  <w:abstractNum w:abstractNumId="63">
    <w:nsid w:val="6835B2AE"/>
    <w:multiLevelType w:val="hybridMultilevel"/>
    <w:lvl w:ilvl="0">
      <w:lvlJc w:val="left"/>
      <w:lvlText w:val="(%1)"/>
      <w:numFmt w:val="lowerLetter"/>
      <w:start w:val="1"/>
    </w:lvl>
  </w:abstractNum>
  <w:abstractNum w:abstractNumId="64">
    <w:nsid w:val="4C187C90"/>
    <w:multiLevelType w:val="hybridMultilevel"/>
    <w:lvl w:ilvl="0">
      <w:lvlJc w:val="left"/>
      <w:lvlText w:val="(%1)"/>
      <w:numFmt w:val="lowerLetter"/>
      <w:start w:val="2"/>
    </w:lvl>
  </w:abstractNum>
  <w:abstractNum w:abstractNumId="65">
    <w:nsid w:val="541F28CD"/>
    <w:multiLevelType w:val="hybridMultilevel"/>
    <w:lvl w:ilvl="0">
      <w:lvlJc w:val="left"/>
      <w:lvlText w:val="(%1)"/>
      <w:numFmt w:val="decimal"/>
      <w:start w:val="1"/>
    </w:lvl>
  </w:abstractNum>
  <w:abstractNum w:abstractNumId="66">
    <w:nsid w:val="7F65FD16"/>
    <w:multiLevelType w:val="hybridMultilevel"/>
    <w:lvl w:ilvl="0">
      <w:lvlJc w:val="left"/>
      <w:lvlText w:val="(%1)"/>
      <w:numFmt w:val="lowerLetter"/>
      <w:start w:val="4"/>
    </w:lvl>
  </w:abstractNum>
  <w:abstractNum w:abstractNumId="67">
    <w:nsid w:val="77C9FD68"/>
    <w:multiLevelType w:val="hybridMultilevel"/>
    <w:lvl w:ilvl="0">
      <w:lvlJc w:val="left"/>
      <w:lvlText w:val="(%1)"/>
      <w:numFmt w:val="lowerLetter"/>
      <w:start w:val="1"/>
    </w:lvl>
    <w:lvl w:ilvl="1">
      <w:lvlJc w:val="left"/>
      <w:lvlText w:val="(%2)"/>
      <w:numFmt w:val="decimal"/>
      <w:start w:val="1"/>
    </w:lvl>
  </w:abstractNum>
  <w:abstractNum w:abstractNumId="68">
    <w:nsid w:val="298A92BA"/>
    <w:multiLevelType w:val="hybridMultilevel"/>
    <w:lvl w:ilvl="0">
      <w:lvlJc w:val="left"/>
      <w:lvlText w:val="(%1)"/>
      <w:numFmt w:val="lowerLetter"/>
      <w:start w:val="2"/>
    </w:lvl>
  </w:abstractNum>
  <w:abstractNum w:abstractNumId="69">
    <w:nsid w:val="6FE95EAC"/>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70">
    <w:nsid w:val="4B697C7A"/>
    <w:multiLevelType w:val="hybridMultilevel"/>
    <w:lvl w:ilvl="0">
      <w:lvlJc w:val="left"/>
      <w:lvlText w:val="(%1)"/>
      <w:numFmt w:val="decimal"/>
      <w:start w:val="3"/>
    </w:lvl>
    <w:lvl w:ilvl="1">
      <w:lvlJc w:val="left"/>
      <w:lvlText w:val="(%2)"/>
      <w:numFmt w:val="upperLetter"/>
      <w:start w:val="1"/>
    </w:lvl>
  </w:abstractNum>
  <w:abstractNum w:abstractNumId="71">
    <w:nsid w:val="51A27AA6"/>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72">
    <w:nsid w:val="613183F2"/>
    <w:multiLevelType w:val="hybridMultilevel"/>
    <w:lvl w:ilvl="0">
      <w:lvlJc w:val="left"/>
      <w:lvlText w:val="(%1)"/>
      <w:numFmt w:val="upperLetter"/>
      <w:start w:val="6"/>
    </w:lvl>
  </w:abstractNum>
  <w:abstractNum w:abstractNumId="73">
    <w:nsid w:val="634102B4"/>
    <w:multiLevelType w:val="hybridMultilevel"/>
    <w:lvl w:ilvl="0">
      <w:lvlJc w:val="left"/>
      <w:lvlText w:val="(%1)"/>
      <w:numFmt w:val="decimal"/>
      <w:start w:val="2"/>
    </w:lvl>
    <w:lvl w:ilvl="1">
      <w:lvlJc w:val="left"/>
      <w:lvlText w:val="(%2)"/>
      <w:numFmt w:val="lowerRoman"/>
      <w:start w:val="1"/>
    </w:lvl>
  </w:abstractNum>
  <w:abstractNum w:abstractNumId="74">
    <w:nsid w:val="65BF9D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upperLetter"/>
      <w:start w:val="1"/>
    </w:lvl>
  </w:abstractNum>
  <w:abstractNum w:abstractNumId="75">
    <w:nsid w:val="21A2ECCA"/>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upperLetter"/>
      <w:start w:val="1"/>
    </w:lvl>
  </w:abstractNum>
  <w:abstractNum w:abstractNumId="76">
    <w:nsid w:val="4D5C4899"/>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upperLetter"/>
      <w:start w:val="4"/>
    </w:lvl>
  </w:abstractNum>
  <w:abstractNum w:abstractNumId="77">
    <w:nsid w:val="3C3B72B2"/>
    <w:multiLevelType w:val="hybridMultilevel"/>
    <w:lvl w:ilvl="0">
      <w:lvlJc w:val="left"/>
      <w:lvlText w:val="(%1)"/>
      <w:numFmt w:val="upperLetter"/>
      <w:start w:val="6"/>
    </w:lvl>
  </w:abstractNum>
  <w:abstractNum w:abstractNumId="78">
    <w:nsid w:val="155EC4C2"/>
    <w:multiLevelType w:val="hybridMultilevel"/>
    <w:lvl w:ilvl="0">
      <w:lvlJc w:val="left"/>
      <w:lvlText w:val="(%1)"/>
      <w:numFmt w:val="decimal"/>
      <w:start w:val="2"/>
    </w:lvl>
    <w:lvl w:ilvl="1">
      <w:lvlJc w:val="left"/>
      <w:lvlText w:val="(%2)"/>
      <w:numFmt w:val="upperLetter"/>
      <w:start w:val="1"/>
    </w:lvl>
  </w:abstractNum>
  <w:abstractNum w:abstractNumId="79">
    <w:nsid w:val="65D2A137"/>
    <w:multiLevelType w:val="hybridMultilevel"/>
    <w:lvl w:ilvl="0">
      <w:lvlJc w:val="left"/>
      <w:lvlText w:val="(%1)"/>
      <w:numFmt w:val="decimal"/>
      <w:start w:val="3"/>
    </w:lvl>
  </w:abstractNum>
  <w:abstractNum w:abstractNumId="80">
    <w:nsid w:val="6EBB1F2A"/>
    <w:multiLevelType w:val="hybridMultilevel"/>
    <w:lvl w:ilvl="0">
      <w:lvlJc w:val="left"/>
      <w:lvlText w:val="(%1)"/>
      <w:numFmt w:val="decimal"/>
      <w:start w:val="2"/>
    </w:lvl>
  </w:abstractNum>
  <w:abstractNum w:abstractNumId="81">
    <w:nsid w:val="6FBF29CB"/>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82">
    <w:nsid w:val="550B8808"/>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83">
    <w:nsid w:val="34CC3ACF"/>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84">
    <w:nsid w:val="4E556261"/>
    <w:multiLevelType w:val="hybridMultilevel"/>
    <w:lvl w:ilvl="0">
      <w:lvlJc w:val="left"/>
      <w:lvlText w:val="%1"/>
      <w:numFmt w:val="decimal"/>
      <w:start w:val="1"/>
    </w:lvl>
    <w:lvl w:ilvl="1">
      <w:lvlJc w:val="left"/>
      <w:lvlText w:val="(%2)"/>
      <w:numFmt w:val="upperLetter"/>
      <w:start w:val="2"/>
    </w:lvl>
  </w:abstractNum>
  <w:abstractNum w:abstractNumId="85">
    <w:nsid w:val="4C672FC9"/>
    <w:multiLevelType w:val="hybridMultilevel"/>
    <w:lvl w:ilvl="0">
      <w:lvlJc w:val="left"/>
      <w:lvlText w:val="(%1)"/>
      <w:numFmt w:val="decimal"/>
      <w:start w:val="2"/>
    </w:lvl>
    <w:lvl w:ilvl="1">
      <w:lvlJc w:val="left"/>
      <w:lvlText w:val="%2"/>
      <w:numFmt w:val="upperLetter"/>
      <w:start w:val="1"/>
    </w:lvl>
  </w:abstractNum>
  <w:abstractNum w:abstractNumId="86">
    <w:nsid w:val="52A311C3"/>
    <w:multiLevelType w:val="hybridMultilevel"/>
    <w:lvl w:ilvl="0">
      <w:lvlJc w:val="left"/>
      <w:lvlText w:val="(%1)"/>
      <w:numFmt w:val="decimal"/>
      <w:start w:val="3"/>
    </w:lvl>
  </w:abstractNum>
  <w:abstractNum w:abstractNumId="87">
    <w:nsid w:val="44EF6B80"/>
    <w:multiLevelType w:val="hybridMultilevel"/>
    <w:lvl w:ilvl="0">
      <w:lvlJc w:val="left"/>
      <w:lvlText w:val="(%1)"/>
      <w:numFmt w:val="lowerLetter"/>
      <w:start w:val="7"/>
    </w:lvl>
    <w:lvl w:ilvl="1">
      <w:lvlJc w:val="left"/>
      <w:lvlText w:val="(%2)"/>
      <w:numFmt w:val="decimal"/>
      <w:start w:val="1"/>
    </w:lvl>
  </w:abstractNum>
  <w:abstractNum w:abstractNumId="88">
    <w:nsid w:val="12FCDE5E"/>
    <w:multiLevelType w:val="hybridMultilevel"/>
    <w:lvl w:ilvl="0">
      <w:lvlJc w:val="left"/>
      <w:lvlText w:val="(%1)"/>
      <w:numFmt w:val="decimal"/>
      <w:start w:val="5"/>
    </w:lvl>
    <w:lvl w:ilvl="1">
      <w:lvlJc w:val="left"/>
      <w:lvlText w:val="(%2)"/>
      <w:numFmt w:val="upperLetter"/>
      <w:start w:val="1"/>
    </w:lvl>
  </w:abstractNum>
  <w:abstractNum w:abstractNumId="89">
    <w:nsid w:val="4A1D606E"/>
    <w:multiLevelType w:val="hybridMultilevel"/>
    <w:lvl w:ilvl="0">
      <w:lvlJc w:val="left"/>
      <w:lvlText w:val="(%1)"/>
      <w:numFmt w:val="lowerLetter"/>
      <w:start w:val="1"/>
    </w:lvl>
  </w:abstractNum>
  <w:abstractNum w:abstractNumId="90">
    <w:nsid w:val="4382503"/>
    <w:multiLevelType w:val="hybridMultilevel"/>
    <w:lvl w:ilvl="0">
      <w:lvlJc w:val="left"/>
      <w:lvlText w:val="(%1)"/>
      <w:numFmt w:val="lowerLetter"/>
      <w:start w:val="2"/>
    </w:lvl>
  </w:abstractNum>
  <w:abstractNum w:abstractNumId="91">
    <w:nsid w:val="59B76E28"/>
    <w:multiLevelType w:val="hybridMultilevel"/>
    <w:lvl w:ilvl="0">
      <w:lvlJc w:val="left"/>
      <w:lvlText w:val="(%1)"/>
      <w:numFmt w:val="lowerLetter"/>
      <w:start w:val="3"/>
    </w:lvl>
  </w:abstractNum>
  <w:abstractNum w:abstractNumId="92">
    <w:nsid w:val="4252C2DA"/>
    <w:multiLevelType w:val="hybridMultilevel"/>
    <w:lvl w:ilvl="0">
      <w:lvlJc w:val="left"/>
      <w:lvlText w:val="(%1)"/>
      <w:numFmt w:val="lowerLetter"/>
      <w:start w:val="4"/>
    </w:lvl>
  </w:abstractNum>
  <w:abstractNum w:abstractNumId="93">
    <w:nsid w:val="6A92EF4C"/>
    <w:multiLevelType w:val="hybridMultilevel"/>
    <w:lvl w:ilvl="0">
      <w:lvlJc w:val="left"/>
      <w:lvlText w:val="(%1)"/>
      <w:numFmt w:val="lowerLetter"/>
      <w:start w:val="1"/>
    </w:lvl>
  </w:abstractNum>
  <w:abstractNum w:abstractNumId="94">
    <w:nsid w:val="41ED20D7"/>
    <w:multiLevelType w:val="hybridMultilevel"/>
    <w:lvl w:ilvl="0">
      <w:lvlJc w:val="left"/>
      <w:lvlText w:val="(%1)"/>
      <w:numFmt w:val="lowerLetter"/>
      <w:start w:val="1"/>
    </w:lvl>
  </w:abstractNum>
  <w:abstractNum w:abstractNumId="95">
    <w:nsid w:val="E6B3F6A"/>
    <w:multiLevelType w:val="hybridMultilevel"/>
    <w:lvl w:ilvl="0">
      <w:lvlJc w:val="left"/>
      <w:lvlText w:val="(%1)"/>
      <w:numFmt w:val="lowerLetter"/>
      <w:start w:val="1"/>
    </w:lvl>
  </w:abstractNum>
  <w:abstractNum w:abstractNumId="96">
    <w:nsid w:val="3EB21819"/>
    <w:multiLevelType w:val="hybridMultilevel"/>
    <w:lvl w:ilvl="0">
      <w:lvlJc w:val="left"/>
      <w:lvlText w:val="(%1)"/>
      <w:numFmt w:val="lowerLetter"/>
      <w:start w:val="1"/>
    </w:lvl>
    <w:lvl w:ilvl="1">
      <w:lvlJc w:val="left"/>
      <w:lvlText w:val="(%2)"/>
      <w:numFmt w:val="decimal"/>
      <w:start w:val="1"/>
    </w:lvl>
  </w:abstractNum>
  <w:abstractNum w:abstractNumId="97">
    <w:nsid w:val="41531DED"/>
    <w:multiLevelType w:val="hybridMultilevel"/>
    <w:lvl w:ilvl="0">
      <w:lvlJc w:val="left"/>
      <w:lvlText w:val="(%1)"/>
      <w:numFmt w:val="decimal"/>
      <w:start w:val="2"/>
    </w:lvl>
  </w:abstractNum>
  <w:abstractNum w:abstractNumId="98">
    <w:nsid w:val="6353CD2"/>
    <w:multiLevelType w:val="hybridMultilevel"/>
    <w:lvl w:ilvl="0">
      <w:lvlJc w:val="left"/>
      <w:lvlText w:val="(%1)"/>
      <w:numFmt w:val="lowerLetter"/>
      <w:start w:val="2"/>
    </w:lvl>
  </w:abstractNum>
  <w:abstractNum w:abstractNumId="99">
    <w:nsid w:val="683CAAD3"/>
    <w:multiLevelType w:val="hybridMultilevel"/>
    <w:lvl w:ilvl="0">
      <w:lvlJc w:val="left"/>
      <w:lvlText w:val="(%1)"/>
      <w:numFmt w:val="lowerLetter"/>
      <w:start w:val="1"/>
    </w:lvl>
    <w:lvl w:ilvl="1">
      <w:lvlJc w:val="left"/>
      <w:lvlText w:val="(%2)"/>
      <w:numFmt w:val="decimal"/>
      <w:start w:val="1"/>
    </w:lvl>
  </w:abstractNum>
  <w:abstractNum w:abstractNumId="100">
    <w:nsid w:val="313C7C99"/>
    <w:multiLevelType w:val="hybridMultilevel"/>
    <w:lvl w:ilvl="0">
      <w:lvlJc w:val="left"/>
      <w:lvlText w:val="(%1)"/>
      <w:numFmt w:val="decimal"/>
      <w:start w:val="2"/>
    </w:lvl>
    <w:lvl w:ilvl="1">
      <w:lvlJc w:val="left"/>
      <w:lvlText w:val="(%2)"/>
      <w:numFmt w:val="upperLetter"/>
      <w:start w:val="1"/>
    </w:lvl>
  </w:abstractNum>
  <w:abstractNum w:abstractNumId="101">
    <w:nsid w:val="519EB94C"/>
    <w:multiLevelType w:val="hybridMultilevel"/>
    <w:lvl w:ilvl="0">
      <w:lvlJc w:val="left"/>
      <w:lvlText w:val="(%1)"/>
      <w:numFmt w:val="lowerLetter"/>
      <w:start w:val="1"/>
    </w:lvl>
  </w:abstractNum>
  <w:abstractNum w:abstractNumId="102">
    <w:nsid w:val="39DF2579"/>
    <w:multiLevelType w:val="hybridMultilevel"/>
    <w:lvl w:ilvl="0">
      <w:lvlJc w:val="left"/>
      <w:lvlText w:val="(%1)"/>
      <w:numFmt w:val="decimal"/>
      <w:start w:val="1"/>
    </w:lvl>
  </w:abstractNum>
  <w:abstractNum w:abstractNumId="103">
    <w:nsid w:val="126E008B"/>
    <w:multiLevelType w:val="hybridMultilevel"/>
    <w:lvl w:ilvl="0">
      <w:lvlJc w:val="left"/>
      <w:lvlText w:val="(%1)"/>
      <w:numFmt w:val="lowerLetter"/>
      <w:start w:val="1"/>
    </w:lvl>
  </w:abstractNum>
  <w:abstractNum w:abstractNumId="104">
    <w:nsid w:val="34DFBC00"/>
    <w:multiLevelType w:val="hybridMultilevel"/>
    <w:lvl w:ilvl="0">
      <w:lvlJc w:val="left"/>
      <w:lvlText w:val="(%1)"/>
      <w:numFmt w:val="lowerLetter"/>
      <w:start w:val="3"/>
    </w:lvl>
  </w:abstractNum>
  <w:abstractNum w:abstractNumId="105">
    <w:nsid w:val="1F9EC322"/>
    <w:multiLevelType w:val="hybridMultilevel"/>
    <w:lvl w:ilvl="0">
      <w:lvlJc w:val="left"/>
      <w:lvlText w:val="(%1)"/>
      <w:numFmt w:val="decimal"/>
      <w:start w:val="2"/>
    </w:lvl>
  </w:abstractNum>
  <w:abstractNum w:abstractNumId="106">
    <w:nsid w:val="3410ED56"/>
    <w:multiLevelType w:val="hybridMultilevel"/>
    <w:lvl w:ilvl="0">
      <w:lvlJc w:val="left"/>
      <w:lvlText w:val="(%1)"/>
      <w:numFmt w:val="lowerLetter"/>
      <w:start w:val="1"/>
    </w:lvl>
  </w:abstractNum>
  <w:abstractNum w:abstractNumId="107">
    <w:nsid w:val="23C049A"/>
    <w:multiLevelType w:val="hybridMultilevel"/>
    <w:lvl w:ilvl="0">
      <w:lvlJc w:val="left"/>
      <w:lvlText w:val="(%1)"/>
      <w:numFmt w:val="decimal"/>
      <w:start w:val="3"/>
    </w:lvl>
  </w:abstractNum>
  <w:abstractNum w:abstractNumId="108">
    <w:nsid w:val="5BDA35D4"/>
    <w:multiLevelType w:val="hybridMultilevel"/>
    <w:lvl w:ilvl="0">
      <w:lvlJc w:val="left"/>
      <w:lvlText w:val="(%1)"/>
      <w:numFmt w:val="lowerLetter"/>
      <w:start w:val="1"/>
    </w:lvl>
  </w:abstractNum>
  <w:abstractNum w:abstractNumId="109">
    <w:nsid w:val="496FB218"/>
    <w:multiLevelType w:val="hybridMultilevel"/>
    <w:lvl w:ilvl="0">
      <w:lvlJc w:val="left"/>
      <w:lvlText w:val="(%1)"/>
      <w:numFmt w:val="lowerLetter"/>
      <w:start w:val="3"/>
    </w:lvl>
  </w:abstractNum>
  <w:abstractNum w:abstractNumId="110">
    <w:nsid w:val="680EA5D1"/>
    <w:multiLevelType w:val="hybridMultilevel"/>
    <w:lvl w:ilvl="0">
      <w:lvlJc w:val="left"/>
      <w:lvlText w:val="(%1)"/>
      <w:numFmt w:val="lowerLetter"/>
      <w:start w:val="1"/>
    </w:lvl>
  </w:abstractNum>
  <w:abstractNum w:abstractNumId="111">
    <w:nsid w:val="4A9554FE"/>
    <w:multiLevelType w:val="hybridMultilevel"/>
    <w:lvl w:ilvl="0">
      <w:lvlJc w:val="left"/>
      <w:lvlText w:val="(%1)"/>
      <w:numFmt w:val="lowerLetter"/>
      <w:start w:val="3"/>
    </w:lvl>
  </w:abstractNum>
  <w:abstractNum w:abstractNumId="112">
    <w:nsid w:val="392EDBE4"/>
    <w:multiLevelType w:val="hybridMultilevel"/>
    <w:lvl w:ilvl="0">
      <w:lvlJc w:val="left"/>
      <w:lvlText w:val="(%1)"/>
      <w:numFmt w:val="lowerLetter"/>
      <w:start w:val="14"/>
    </w:lvl>
  </w:abstractNum>
  <w:abstractNum w:abstractNumId="113">
    <w:nsid w:val="3D1A2DD9"/>
    <w:multiLevelType w:val="hybridMultilevel"/>
    <w:lvl w:ilvl="0">
      <w:lvlJc w:val="left"/>
      <w:lvlText w:val="(%1)"/>
      <w:numFmt w:val="lowerLetter"/>
      <w:start w:val="1"/>
    </w:lvl>
  </w:abstractNum>
  <w:abstractNum w:abstractNumId="114">
    <w:nsid w:val="7F618FCD"/>
    <w:multiLevelType w:val="hybridMultilevel"/>
    <w:lvl w:ilvl="0">
      <w:lvlJc w:val="left"/>
      <w:lvlText w:val="(%1)"/>
      <w:numFmt w:val="lowerLetter"/>
      <w:start w:val="1"/>
    </w:lvl>
  </w:abstractNum>
  <w:abstractNum w:abstractNumId="115">
    <w:nsid w:val="7843E45"/>
    <w:multiLevelType w:val="hybridMultilevel"/>
    <w:lvl w:ilvl="0">
      <w:lvlJc w:val="left"/>
      <w:lvlText w:val="(%1)"/>
      <w:numFmt w:val="lowerLetter"/>
      <w:start w:val="1"/>
    </w:lvl>
    <w:lvl w:ilvl="1">
      <w:lvlJc w:val="left"/>
      <w:lvlText w:val="(%2)"/>
      <w:numFmt w:val="decimal"/>
      <w:start w:val="1"/>
    </w:lvl>
  </w:abstractNum>
  <w:abstractNum w:abstractNumId="116">
    <w:nsid w:val="9815DA3"/>
    <w:multiLevelType w:val="hybridMultilevel"/>
    <w:lvl w:ilvl="0">
      <w:lvlJc w:val="left"/>
      <w:lvlText w:val="(%1)"/>
      <w:numFmt w:val="decimal"/>
      <w:start w:val="6"/>
    </w:lvl>
  </w:abstractNum>
  <w:abstractNum w:abstractNumId="117">
    <w:nsid w:val="5204A191"/>
    <w:multiLevelType w:val="hybridMultilevel"/>
    <w:lvl w:ilvl="0">
      <w:lvlJc w:val="left"/>
      <w:lvlText w:val="(%1)"/>
      <w:numFmt w:val="lowerLetter"/>
      <w:start w:val="2"/>
    </w:lvl>
    <w:lvl w:ilvl="1">
      <w:lvlJc w:val="left"/>
      <w:lvlText w:val="(%2)"/>
      <w:numFmt w:val="decimal"/>
      <w:start w:val="1"/>
    </w:lvl>
  </w:abstractNum>
  <w:abstractNum w:abstractNumId="118">
    <w:nsid w:val="4C73A9C6"/>
    <w:multiLevelType w:val="hybridMultilevel"/>
    <w:lvl w:ilvl="0">
      <w:lvlJc w:val="left"/>
      <w:lvlText w:val="(%1)"/>
      <w:numFmt w:val="lowerLetter"/>
      <w:start w:val="3"/>
    </w:lvl>
  </w:abstractNum>
  <w:abstractNum w:abstractNumId="119">
    <w:nsid w:val="1C7E3C01"/>
    <w:multiLevelType w:val="hybridMultilevel"/>
    <w:lvl w:ilvl="0">
      <w:lvlJc w:val="left"/>
      <w:lvlText w:val="(%1)"/>
      <w:numFmt w:val="lowerLetter"/>
      <w:start w:val="4"/>
    </w:lvl>
  </w:abstractNum>
  <w:abstractNum w:abstractNumId="120">
    <w:nsid w:val="1C2201FF"/>
    <w:multiLevelType w:val="hybridMultilevel"/>
    <w:lvl w:ilvl="0">
      <w:lvlJc w:val="left"/>
      <w:lvlText w:val="(%1)"/>
      <w:numFmt w:val="lowerLetter"/>
      <w:start w:val="1"/>
    </w:lvl>
  </w:abstractNum>
  <w:abstractNum w:abstractNumId="121">
    <w:nsid w:val="50ABCEC9"/>
    <w:multiLevelType w:val="hybridMultilevel"/>
    <w:lvl w:ilvl="0">
      <w:lvlJc w:val="left"/>
      <w:lvlText w:val="(%1)"/>
      <w:numFmt w:val="lowerLetter"/>
      <w:start w:val="1"/>
    </w:lvl>
    <w:lvl w:ilvl="1">
      <w:lvlJc w:val="left"/>
      <w:lvlText w:val="(%2)"/>
      <w:numFmt w:val="decimal"/>
      <w:start w:val="1"/>
    </w:lvl>
  </w:abstractNum>
  <w:abstractNum w:abstractNumId="122">
    <w:nsid w:val="7635AA2A"/>
    <w:multiLevelType w:val="hybridMultilevel"/>
    <w:lvl w:ilvl="0">
      <w:lvlJc w:val="left"/>
      <w:lvlText w:val="(%1)"/>
      <w:numFmt w:val="lowerLetter"/>
      <w:start w:val="6"/>
    </w:lvl>
    <w:lvl w:ilvl="1">
      <w:lvlJc w:val="left"/>
      <w:lvlText w:val="(%2)"/>
      <w:numFmt w:val="decimal"/>
      <w:start w:val="1"/>
    </w:lvl>
  </w:abstractNum>
  <w:abstractNum w:abstractNumId="123">
    <w:nsid w:val="5E74C4D9"/>
    <w:multiLevelType w:val="hybridMultilevel"/>
    <w:lvl w:ilvl="0">
      <w:lvlJc w:val="left"/>
      <w:lvlText w:val="(%1)"/>
      <w:numFmt w:val="lowerLetter"/>
      <w:start w:val="1"/>
    </w:lvl>
  </w:abstractNum>
  <w:abstractNum w:abstractNumId="124">
    <w:nsid w:val="3B3EBE15"/>
    <w:multiLevelType w:val="hybridMultilevel"/>
    <w:lvl w:ilvl="0">
      <w:lvlJc w:val="left"/>
      <w:lvlText w:val="(%1)"/>
      <w:numFmt w:val="lowerLetter"/>
      <w:start w:val="2"/>
    </w:lvl>
  </w:abstractNum>
  <w:abstractNum w:abstractNumId="125">
    <w:nsid w:val="3822CB01"/>
    <w:multiLevelType w:val="hybridMultilevel"/>
    <w:lvl w:ilvl="0">
      <w:lvlJc w:val="left"/>
      <w:lvlText w:val="(%1)"/>
      <w:numFmt w:val="lowerLetter"/>
      <w:start w:val="1"/>
    </w:lvl>
    <w:lvl w:ilvl="1">
      <w:lvlJc w:val="left"/>
      <w:lvlText w:val="(%2)"/>
      <w:numFmt w:val="decimal"/>
      <w:start w:val="1"/>
    </w:lvl>
  </w:abstractNum>
  <w:abstractNum w:abstractNumId="126">
    <w:nsid w:val="6CE00443"/>
    <w:multiLevelType w:val="hybridMultilevel"/>
    <w:lvl w:ilvl="0">
      <w:lvlJc w:val="left"/>
      <w:lvlText w:val="%1"/>
      <w:numFmt w:val="lowerLetter"/>
      <w:start w:val="1"/>
    </w:lvl>
    <w:lvl w:ilvl="1">
      <w:lvlJc w:val="left"/>
      <w:lvlText w:val="(%2)"/>
      <w:numFmt w:val="decimal"/>
      <w:start w:val="1"/>
    </w:lvl>
  </w:abstractNum>
  <w:abstractNum w:abstractNumId="127">
    <w:nsid w:val="79F0D62F"/>
    <w:multiLevelType w:val="hybridMultilevel"/>
    <w:lvl w:ilvl="0">
      <w:lvlJc w:val="left"/>
      <w:lvlText w:val="(%1)"/>
      <w:numFmt w:val="lowerLetter"/>
      <w:start w:val="4"/>
    </w:lvl>
    <w:lvl w:ilvl="1">
      <w:lvlJc w:val="left"/>
      <w:lvlText w:val="%2"/>
      <w:numFmt w:val="decimal"/>
      <w:start w:val="1"/>
    </w:lvl>
  </w:abstractNum>
  <w:abstractNum w:abstractNumId="128">
    <w:nsid w:val="7975E8EE"/>
    <w:multiLevelType w:val="hybridMultilevel"/>
    <w:lvl w:ilvl="0">
      <w:lvlJc w:val="left"/>
      <w:lvlText w:val="(%1)"/>
      <w:numFmt w:val="lowerLetter"/>
      <w:start w:val="1"/>
    </w:lvl>
  </w:abstractNum>
  <w:abstractNum w:abstractNumId="129">
    <w:nsid w:val="73154115"/>
    <w:multiLevelType w:val="hybridMultilevel"/>
    <w:lvl w:ilvl="0">
      <w:lvlJc w:val="left"/>
      <w:lvlText w:val="(%1)"/>
      <w:numFmt w:val="lowerLetter"/>
      <w:start w:val="7"/>
    </w:lvl>
  </w:abstractNum>
  <w:abstractNum w:abstractNumId="130">
    <w:nsid w:val="622D8102"/>
    <w:multiLevelType w:val="hybridMultilevel"/>
    <w:lvl w:ilvl="0">
      <w:lvlJc w:val="left"/>
      <w:lvlText w:val="(%1)"/>
      <w:numFmt w:val="lowerLetter"/>
      <w:start w:val="1"/>
    </w:lvl>
  </w:abstractNum>
  <w:abstractNum w:abstractNumId="131">
    <w:nsid w:val="2AB26587"/>
    <w:multiLevelType w:val="hybridMultilevel"/>
    <w:lvl w:ilvl="0">
      <w:lvlJc w:val="left"/>
      <w:lvlText w:val="(%1)"/>
      <w:numFmt w:val="lowerLetter"/>
      <w:start w:val="5"/>
    </w:lvl>
  </w:abstractNum>
  <w:abstractNum w:abstractNumId="132">
    <w:nsid w:val="44B3FA61"/>
    <w:multiLevelType w:val="hybridMultilevel"/>
    <w:lvl w:ilvl="0">
      <w:lvlJc w:val="left"/>
      <w:lvlText w:val="(%1)"/>
      <w:numFmt w:val="lowerLetter"/>
      <w:start w:val="1"/>
    </w:lvl>
    <w:lvl w:ilvl="1">
      <w:lvlJc w:val="left"/>
      <w:lvlText w:val="(%2)"/>
      <w:numFmt w:val="decimal"/>
      <w:start w:val="1"/>
    </w:lvl>
  </w:abstractNum>
  <w:abstractNum w:abstractNumId="133">
    <w:nsid w:val="1C0CA67C"/>
    <w:multiLevelType w:val="hybridMultilevel"/>
    <w:lvl w:ilvl="0">
      <w:lvlJc w:val="left"/>
      <w:lvlText w:val="(%1)"/>
      <w:numFmt w:val="lowerLetter"/>
      <w:start w:val="1"/>
    </w:lvl>
  </w:abstractNum>
  <w:abstractNum w:abstractNumId="134">
    <w:nsid w:val="3D206613"/>
    <w:multiLevelType w:val="hybridMultilevel"/>
    <w:lvl w:ilvl="0">
      <w:lvlJc w:val="left"/>
      <w:lvlText w:val="(%1)"/>
      <w:numFmt w:val="lowerLetter"/>
      <w:start w:val="1"/>
    </w:lvl>
  </w:abstractNum>
  <w:abstractNum w:abstractNumId="135">
    <w:nsid w:val="7993B662"/>
    <w:multiLevelType w:val="hybridMultilevel"/>
    <w:lvl w:ilvl="0">
      <w:lvlJc w:val="left"/>
      <w:lvlText w:val="(%1)"/>
      <w:numFmt w:val="lowerLetter"/>
      <w:start w:val="1"/>
    </w:lvl>
  </w:abstractNum>
  <w:abstractNum w:abstractNumId="136">
    <w:nsid w:val="3BAB699E"/>
    <w:multiLevelType w:val="hybridMultilevel"/>
    <w:lvl w:ilvl="0">
      <w:lvlJc w:val="left"/>
      <w:lvlText w:val="(%1)"/>
      <w:numFmt w:val="lowerLetter"/>
      <w:start w:val="7"/>
    </w:lvl>
  </w:abstractNum>
  <w:abstractNum w:abstractNumId="137">
    <w:nsid w:val="71315369"/>
    <w:multiLevelType w:val="hybridMultilevel"/>
    <w:lvl w:ilvl="0">
      <w:lvlJc w:val="left"/>
      <w:lvlText w:val="(%1)"/>
      <w:numFmt w:val="lowerLetter"/>
      <w:start w:val="1"/>
    </w:lvl>
  </w:abstractNum>
  <w:abstractNum w:abstractNumId="138">
    <w:nsid w:val="7BCFBAFC"/>
    <w:multiLevelType w:val="hybridMultilevel"/>
    <w:lvl w:ilvl="0">
      <w:lvlJc w:val="left"/>
      <w:lvlText w:val="(%1)"/>
      <w:numFmt w:val="lowerLetter"/>
      <w:start w:val="7"/>
    </w:lvl>
  </w:abstractNum>
  <w:abstractNum w:abstractNumId="139">
    <w:nsid w:val="17859F72"/>
    <w:multiLevelType w:val="hybridMultilevel"/>
    <w:lvl w:ilvl="0">
      <w:lvlJc w:val="left"/>
      <w:lvlText w:val="(%1)"/>
      <w:numFmt w:val="lowerLetter"/>
      <w:start w:val="1"/>
    </w:lvl>
  </w:abstractNum>
  <w:abstractNum w:abstractNumId="140">
    <w:nsid w:val="3AA10581"/>
    <w:multiLevelType w:val="hybridMultilevel"/>
    <w:lvl w:ilvl="0">
      <w:lvlJc w:val="left"/>
      <w:lvlText w:val="(%1)"/>
      <w:numFmt w:val="lowerLetter"/>
      <w:start w:val="8"/>
    </w:lvl>
  </w:abstractNum>
  <w:abstractNum w:abstractNumId="141">
    <w:nsid w:val="63DE60CD"/>
    <w:multiLevelType w:val="hybridMultilevel"/>
    <w:lvl w:ilvl="0">
      <w:lvlJc w:val="left"/>
      <w:lvlText w:val="(%1)"/>
      <w:numFmt w:val="lowerLetter"/>
      <w:start w:val="1"/>
    </w:lvl>
    <w:lvl w:ilvl="1">
      <w:lvlJc w:val="left"/>
      <w:lvlText w:val="(%2)"/>
      <w:numFmt w:val="decimal"/>
      <w:start w:val="1"/>
    </w:lvl>
  </w:abstractNum>
  <w:abstractNum w:abstractNumId="142">
    <w:nsid w:val="621AF471"/>
    <w:multiLevelType w:val="hybridMultilevel"/>
    <w:lvl w:ilvl="0">
      <w:lvlJc w:val="left"/>
      <w:lvlText w:val="(%1)"/>
      <w:numFmt w:val="lowerLetter"/>
      <w:start w:val="2"/>
    </w:lvl>
  </w:abstractNum>
  <w:abstractNum w:abstractNumId="143">
    <w:nsid w:val="73CFE165"/>
    <w:multiLevelType w:val="hybridMultilevel"/>
    <w:lvl w:ilvl="0">
      <w:lvlJc w:val="left"/>
      <w:lvlText w:val="(%1)"/>
      <w:numFmt w:val="lowerLetter"/>
      <w:start w:val="1"/>
    </w:lvl>
    <w:lvl w:ilvl="1">
      <w:lvlJc w:val="left"/>
      <w:lvlText w:val="(%2)"/>
      <w:numFmt w:val="decimal"/>
      <w:start w:val="1"/>
    </w:lvl>
  </w:abstractNum>
  <w:abstractNum w:abstractNumId="144">
    <w:nsid w:val="20F88EA6"/>
    <w:multiLevelType w:val="hybridMultilevel"/>
    <w:lvl w:ilvl="0">
      <w:lvlJc w:val="left"/>
      <w:lvlText w:val="(%1)"/>
      <w:numFmt w:val="lowerLetter"/>
      <w:start w:val="1"/>
    </w:lvl>
  </w:abstractNum>
  <w:abstractNum w:abstractNumId="145">
    <w:nsid w:val="617C843E"/>
    <w:multiLevelType w:val="hybridMultilevel"/>
    <w:lvl w:ilvl="0">
      <w:lvlJc w:val="left"/>
      <w:lvlText w:val="(%1)"/>
      <w:numFmt w:val="lowerLetter"/>
      <w:start w:val="3"/>
    </w:lvl>
  </w:abstractNum>
  <w:abstractNum w:abstractNumId="146">
    <w:nsid w:val="7B541FAB"/>
    <w:multiLevelType w:val="hybridMultilevel"/>
    <w:lvl w:ilvl="0">
      <w:lvlJc w:val="left"/>
      <w:lvlText w:val="(%1)"/>
      <w:numFmt w:val="lowerLetter"/>
      <w:start w:val="1"/>
    </w:lvl>
    <w:lvl w:ilvl="1">
      <w:lvlJc w:val="left"/>
      <w:lvlText w:val="(%2)"/>
      <w:numFmt w:val="decimal"/>
      <w:start w:val="1"/>
    </w:lvl>
  </w:abstractNum>
  <w:abstractNum w:abstractNumId="147">
    <w:nsid w:val="2A79EC49"/>
    <w:multiLevelType w:val="hybridMultilevel"/>
    <w:lvl w:ilvl="0">
      <w:lvlJc w:val="left"/>
      <w:lvlText w:val="(%1)"/>
      <w:numFmt w:val="lowerLetter"/>
      <w:start w:val="3"/>
    </w:lvl>
  </w:abstractNum>
  <w:abstractNum w:abstractNumId="148">
    <w:nsid w:val="338125CF"/>
    <w:multiLevelType w:val="hybridMultilevel"/>
    <w:lvl w:ilvl="0">
      <w:lvlJc w:val="left"/>
      <w:lvlText w:val="(%1)"/>
      <w:numFmt w:val="lowerLetter"/>
      <w:start w:val="1"/>
    </w:lvl>
  </w:abstractNum>
  <w:abstractNum w:abstractNumId="149">
    <w:nsid w:val="47C7C971"/>
    <w:multiLevelType w:val="hybridMultilevel"/>
    <w:lvl w:ilvl="0">
      <w:lvlJc w:val="left"/>
      <w:lvlText w:val="(%1)"/>
      <w:numFmt w:val="lowerLetter"/>
      <w:start w:val="2"/>
    </w:lvl>
  </w:abstractNum>
  <w:abstractNum w:abstractNumId="150">
    <w:nsid w:val="46F8284B"/>
    <w:multiLevelType w:val="hybridMultilevel"/>
    <w:lvl w:ilvl="0">
      <w:lvlJc w:val="left"/>
      <w:lvlText w:val="(%1)"/>
      <w:numFmt w:val="lowerLetter"/>
      <w:start w:val="3"/>
    </w:lvl>
  </w:abstractNum>
  <w:abstractNum w:abstractNumId="151">
    <w:nsid w:val="4FA327CE"/>
    <w:multiLevelType w:val="hybridMultilevel"/>
    <w:lvl w:ilvl="0">
      <w:lvlJc w:val="left"/>
      <w:lvlText w:val="(%1)"/>
      <w:numFmt w:val="lowerLetter"/>
      <w:start w:val="1"/>
    </w:lvl>
  </w:abstractNum>
  <w:abstractNum w:abstractNumId="152">
    <w:nsid w:val="1873983A"/>
    <w:multiLevelType w:val="hybridMultilevel"/>
    <w:lvl w:ilvl="0">
      <w:lvlJc w:val="left"/>
      <w:lvlText w:val="(%1)"/>
      <w:numFmt w:val="lowerLetter"/>
      <w:start w:val="1"/>
    </w:lvl>
  </w:abstractNum>
  <w:abstractNum w:abstractNumId="153">
    <w:nsid w:val="3D2DD275"/>
    <w:multiLevelType w:val="hybridMultilevel"/>
    <w:lvl w:ilvl="0">
      <w:lvlJc w:val="left"/>
      <w:lvlText w:val="(%1)"/>
      <w:numFmt w:val="decimal"/>
      <w:start w:val="1"/>
    </w:lvl>
  </w:abstractNum>
  <w:abstractNum w:abstractNumId="154">
    <w:nsid w:val="2E17ECA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5">
    <w:nsid w:val="53B2564F"/>
    <w:multiLevelType w:val="hybridMultilevel"/>
    <w:lvl w:ilvl="0">
      <w:lvlJc w:val="left"/>
      <w:lvlText w:val="(%1)"/>
      <w:numFmt w:val="lowerLetter"/>
      <w:start w:val="2"/>
    </w:lvl>
  </w:abstractNum>
  <w:abstractNum w:abstractNumId="156">
    <w:nsid w:val="75509D76"/>
    <w:multiLevelType w:val="hybridMultilevel"/>
    <w:lvl w:ilvl="0">
      <w:lvlJc w:val="left"/>
      <w:lvlText w:val="(%1)"/>
      <w:numFmt w:val="decimal"/>
      <w:start w:val="6"/>
    </w:lvl>
  </w:abstractNum>
  <w:abstractNum w:abstractNumId="157">
    <w:nsid w:val="1AF7F0EA"/>
    <w:multiLevelType w:val="hybridMultilevel"/>
    <w:lvl w:ilvl="0">
      <w:lvlJc w:val="left"/>
      <w:lvlText w:val="(%1)"/>
      <w:numFmt w:val="decimal"/>
      <w:start w:val="8"/>
    </w:lvl>
    <w:lvl w:ilvl="1">
      <w:lvlJc w:val="left"/>
      <w:lvlText w:val="(%2)"/>
      <w:numFmt w:val="lowerLetter"/>
      <w:start w:val="1"/>
    </w:lvl>
  </w:abstractNum>
  <w:abstractNum w:abstractNumId="158">
    <w:nsid w:val="4DA32C7E"/>
    <w:multiLevelType w:val="hybridMultilevel"/>
    <w:lvl w:ilvl="0">
      <w:lvlJc w:val="left"/>
      <w:lvlText w:val="%1"/>
      <w:numFmt w:val="decimal"/>
      <w:start w:val="1"/>
    </w:lvl>
    <w:lvl w:ilvl="1">
      <w:lvlJc w:val="left"/>
      <w:lvlText w:val="(%2)"/>
      <w:numFmt w:val="lowerLetter"/>
      <w:start w:val="3"/>
    </w:lvl>
  </w:abstractNum>
  <w:abstractNum w:abstractNumId="159">
    <w:nsid w:val="6EC68664"/>
    <w:multiLevelType w:val="hybridMultilevel"/>
    <w:lvl w:ilvl="0">
      <w:lvlJc w:val="left"/>
      <w:lvlText w:val="(%1)"/>
      <w:numFmt w:val="decimal"/>
      <w:start w:val="13"/>
    </w:lvl>
    <w:lvl w:ilvl="1">
      <w:lvlJc w:val="left"/>
      <w:lvlText w:val="%2"/>
      <w:numFmt w:val="lowerLetter"/>
      <w:start w:val="1"/>
    </w:lvl>
  </w:abstractNum>
  <w:abstractNum w:abstractNumId="160">
    <w:nsid w:val="E0D31FF"/>
    <w:multiLevelType w:val="hybridMultilevel"/>
    <w:lvl w:ilvl="0">
      <w:lvlJc w:val="left"/>
      <w:lvlText w:val="(%1)"/>
      <w:numFmt w:val="lowerRoman"/>
      <w:start w:val="1"/>
    </w:lvl>
  </w:abstractNum>
  <w:abstractNum w:abstractNumId="161">
    <w:nsid w:val="2FD0AD81"/>
    <w:multiLevelType w:val="hybridMultilevel"/>
    <w:lvl w:ilvl="0">
      <w:lvlJc w:val="left"/>
      <w:lvlText w:val="(%1)"/>
      <w:numFmt w:val="lowerLetter"/>
      <w:start w:val="2"/>
    </w:lvl>
    <w:lvl w:ilvl="1">
      <w:lvlJc w:val="left"/>
      <w:lvlText w:val="(%2)"/>
      <w:numFmt w:val="decimal"/>
      <w:start w:val="14"/>
    </w:lvl>
  </w:abstractNum>
  <w:abstractNum w:abstractNumId="162">
    <w:nsid w:val="1978EBEB"/>
    <w:multiLevelType w:val="hybridMultilevel"/>
    <w:lvl w:ilvl="0">
      <w:lvlJc w:val="left"/>
      <w:lvlText w:val="(%1)"/>
      <w:numFmt w:val="decimal"/>
      <w:start w:val="15"/>
    </w:lvl>
  </w:abstractNum>
  <w:abstractNum w:abstractNumId="163">
    <w:nsid w:val="52C12C61"/>
    <w:multiLevelType w:val="hybridMultilevel"/>
    <w:lvl w:ilvl="0">
      <w:lvlJc w:val="left"/>
      <w:lvlText w:val="*"/>
      <w:numFmt w:val="bullet"/>
      <w:start w:val="1"/>
    </w:lvl>
  </w:abstractNum>
  <w:abstractNum w:abstractNumId="164">
    <w:nsid w:val="4BDD53FD"/>
    <w:multiLevelType w:val="hybridMultilevel"/>
    <w:lvl w:ilvl="0">
      <w:lvlJc w:val="left"/>
      <w:lvlText w:val="*"/>
      <w:numFmt w:val="bullet"/>
      <w:start w:val="1"/>
    </w:lvl>
  </w:abstractNum>
  <w:abstractNum w:abstractNumId="165">
    <w:nsid w:val="569951FE"/>
    <w:multiLevelType w:val="hybridMultilevel"/>
    <w:lvl w:ilvl="0">
      <w:lvlJc w:val="left"/>
      <w:lvlText w:val="*"/>
      <w:numFmt w:val="bullet"/>
      <w:start w:val="1"/>
    </w:lvl>
  </w:abstractNum>
  <w:abstractNum w:abstractNumId="166">
    <w:nsid w:val="4C54E2C3"/>
    <w:multiLevelType w:val="hybridMultilevel"/>
    <w:lvl w:ilvl="0">
      <w:lvlJc w:val="left"/>
      <w:lvlText w:val="(%1)"/>
      <w:numFmt w:val="decimal"/>
      <w:start w:val="1"/>
    </w:lvl>
  </w:abstractNum>
  <w:abstractNum w:abstractNumId="167">
    <w:nsid w:val="788BD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8">
    <w:nsid w:val="47CAA567"/>
    <w:multiLevelType w:val="hybridMultilevel"/>
    <w:lvl w:ilvl="0">
      <w:lvlJc w:val="left"/>
      <w:lvlText w:val="(%1)"/>
      <w:numFmt w:val="lowerLetter"/>
      <w:start w:val="2"/>
    </w:lvl>
  </w:abstractNum>
  <w:abstractNum w:abstractNumId="169">
    <w:nsid w:val="48249DBF"/>
    <w:multiLevelType w:val="hybridMultilevel"/>
    <w:lvl w:ilvl="0">
      <w:lvlJc w:val="left"/>
      <w:lvlText w:val="(%1)"/>
      <w:numFmt w:val="decimal"/>
      <w:start w:val="6"/>
    </w:lvl>
  </w:abstractNum>
  <w:abstractNum w:abstractNumId="170">
    <w:nsid w:val="1F0E5D0D"/>
    <w:multiLevelType w:val="hybridMultilevel"/>
    <w:lvl w:ilvl="0">
      <w:lvlJc w:val="left"/>
      <w:lvlText w:val="(%1)"/>
      <w:numFmt w:val="decimal"/>
      <w:start w:val="8"/>
    </w:lvl>
  </w:abstractNum>
  <w:abstractNum w:abstractNumId="171">
    <w:nsid w:val="26BAAE9"/>
    <w:multiLevelType w:val="hybridMultilevel"/>
    <w:lvl w:ilvl="0">
      <w:lvlJc w:val="left"/>
      <w:lvlText w:val="(%1)"/>
      <w:numFmt w:val="decimal"/>
      <w:start w:val="11"/>
    </w:lvl>
  </w:abstractNum>
  <w:abstractNum w:abstractNumId="172">
    <w:nsid w:val="2C02FE8C"/>
    <w:multiLevelType w:val="hybridMultilevel"/>
    <w:lvl w:ilvl="0">
      <w:lvlJc w:val="left"/>
      <w:lvlText w:val="(%1)"/>
      <w:numFmt w:val="lowerLetter"/>
      <w:start w:val="1"/>
    </w:lvl>
  </w:abstractNum>
  <w:abstractNum w:abstractNumId="173">
    <w:nsid w:val="129517E"/>
    <w:multiLevelType w:val="hybridMultilevel"/>
    <w:lvl w:ilvl="0">
      <w:lvlJc w:val="left"/>
      <w:lvlText w:val="(%1)"/>
      <w:numFmt w:val="decimal"/>
      <w:start w:val="13"/>
    </w:lvl>
  </w:abstractNum>
  <w:abstractNum w:abstractNumId="174">
    <w:nsid w:val="763B8C4E"/>
    <w:multiLevelType w:val="hybridMultilevel"/>
    <w:lvl w:ilvl="0">
      <w:lvlJc w:val="left"/>
      <w:lvlText w:val="(%1)"/>
      <w:numFmt w:val="lowerLetter"/>
      <w:start w:val="2"/>
    </w:lvl>
  </w:abstractNum>
  <w:abstractNum w:abstractNumId="175">
    <w:nsid w:val="4CFB8D32"/>
    <w:multiLevelType w:val="hybridMultilevel"/>
    <w:lvl w:ilvl="0">
      <w:lvlJc w:val="left"/>
      <w:lvlText w:val="(%1)"/>
      <w:numFmt w:val="decimal"/>
      <w:start w:val="14"/>
    </w:lvl>
  </w:abstractNum>
  <w:abstractNum w:abstractNumId="176">
    <w:nsid w:val="62A5D5BD"/>
    <w:multiLevelType w:val="hybridMultilevel"/>
    <w:lvl w:ilvl="0">
      <w:lvlJc w:val="left"/>
      <w:lvlText w:val="*"/>
      <w:numFmt w:val="bullet"/>
      <w:start w:val="1"/>
    </w:lvl>
  </w:abstractNum>
  <w:abstractNum w:abstractNumId="177">
    <w:nsid w:val="718FABF9"/>
    <w:multiLevelType w:val="hybridMultilevel"/>
    <w:lvl w:ilvl="0">
      <w:lvlJc w:val="left"/>
      <w:lvlText w:val="*"/>
      <w:numFmt w:val="bullet"/>
      <w:start w:val="1"/>
    </w:lvl>
  </w:abstractNum>
  <w:abstractNum w:abstractNumId="178">
    <w:nsid w:val="7775797C"/>
    <w:multiLevelType w:val="hybridMultilevel"/>
    <w:lvl w:ilvl="0">
      <w:lvlJc w:val="left"/>
      <w:lvlText w:val="*"/>
      <w:numFmt w:val="bullet"/>
      <w:start w:val="1"/>
    </w:lvl>
  </w:abstractNum>
  <w:abstractNum w:abstractNumId="179">
    <w:nsid w:val="1626FB8C"/>
    <w:multiLevelType w:val="hybridMultilevel"/>
    <w:lvl w:ilvl="0">
      <w:lvlJc w:val="left"/>
      <w:lvlText w:val="%1."/>
      <w:numFmt w:val="decimal"/>
      <w:start w:val="1"/>
    </w:lvl>
  </w:abstractNum>
  <w:abstractNum w:abstractNumId="180">
    <w:nsid w:val="3957756A"/>
    <w:multiLevelType w:val="hybridMultilevel"/>
    <w:lvl w:ilvl="0">
      <w:lvlJc w:val="left"/>
      <w:lvlText w:val="%1."/>
      <w:numFmt w:val="decimal"/>
      <w:start w:val="2"/>
    </w:lvl>
    <w:lvl w:ilvl="1">
      <w:lvlJc w:val="left"/>
      <w:lvlText w:val="(%2)"/>
      <w:numFmt w:val="lowerLetter"/>
      <w:start w:val="1"/>
    </w:lvl>
  </w:abstractNum>
  <w:abstractNum w:abstractNumId="181">
    <w:nsid w:val="3E6DA1C7"/>
    <w:multiLevelType w:val="hybridMultilevel"/>
    <w:lvl w:ilvl="0">
      <w:lvlJc w:val="left"/>
      <w:lvlText w:val="(%1)"/>
      <w:numFmt w:val="lowerLetter"/>
      <w:start w:val="2"/>
    </w:lvl>
  </w:abstractNum>
  <w:abstractNum w:abstractNumId="182">
    <w:nsid w:val="65CA235B"/>
    <w:multiLevelType w:val="hybridMultilevel"/>
    <w:lvl w:ilvl="0">
      <w:lvlJc w:val="left"/>
      <w:lvlText w:val="%1."/>
      <w:numFmt w:val="decimal"/>
      <w:start w:val="4"/>
    </w:lvl>
    <w:lvl w:ilvl="1">
      <w:lvlJc w:val="left"/>
      <w:lvlText w:val="(%2)"/>
      <w:numFmt w:val="lowerLetter"/>
      <w:start w:val="1"/>
    </w:lvl>
  </w:abstractNum>
  <w:abstractNum w:abstractNumId="183">
    <w:nsid w:val="51CB0D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4">
    <w:nsid w:val="7B9B743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5">
    <w:nsid w:val="13E21002"/>
    <w:multiLevelType w:val="hybridMultilevel"/>
    <w:lvl w:ilvl="0">
      <w:lvlJc w:val="left"/>
      <w:lvlText w:val="(%1)"/>
      <w:numFmt w:val="lowerLetter"/>
      <w:start w:val="1"/>
    </w:lvl>
    <w:lvl w:ilvl="1">
      <w:lvlJc w:val="left"/>
      <w:lvlText w:val="(%2)"/>
      <w:numFmt w:val="lowerRoman"/>
      <w:start w:val="1"/>
    </w:lvl>
  </w:abstractNum>
  <w:abstractNum w:abstractNumId="186">
    <w:nsid w:val="257D63F4"/>
    <w:multiLevelType w:val="hybridMultilevel"/>
    <w:lvl w:ilvl="0">
      <w:lvlJc w:val="left"/>
      <w:lvlText w:val="%1."/>
      <w:numFmt w:val="decimal"/>
      <w:start w:val="1"/>
    </w:lvl>
  </w:abstractNum>
  <w:abstractNum w:abstractNumId="187">
    <w:nsid w:val="70EC11B2"/>
    <w:multiLevelType w:val="hybridMultilevel"/>
    <w:lvl w:ilvl="0">
      <w:lvlJc w:val="left"/>
      <w:lvlText w:val="(%1)"/>
      <w:numFmt w:val="lowerLetter"/>
      <w:start w:val="1"/>
    </w:lvl>
  </w:abstractNum>
  <w:abstractNum w:abstractNumId="188">
    <w:nsid w:val="2EDA00ED"/>
    <w:multiLevelType w:val="hybridMultilevel"/>
    <w:lvl w:ilvl="0">
      <w:lvlJc w:val="left"/>
      <w:lvlText w:val="(%1)"/>
      <w:numFmt w:val="lowerLetter"/>
      <w:start w:val="2"/>
    </w:lvl>
  </w:abstractNum>
  <w:abstractNum w:abstractNumId="189">
    <w:nsid w:val="73209072"/>
    <w:multiLevelType w:val="hybridMultilevel"/>
    <w:lvl w:ilvl="0">
      <w:lvlJc w:val="left"/>
      <w:lvlText w:val="%1."/>
      <w:numFmt w:val="decimal"/>
      <w:start w:val="2"/>
    </w:lvl>
  </w:abstractNum>
  <w:abstractNum w:abstractNumId="190">
    <w:nsid w:val="5FB29816"/>
    <w:multiLevelType w:val="hybridMultilevel"/>
    <w:lvl w:ilvl="0">
      <w:lvlJc w:val="left"/>
      <w:lvlText w:val="(%1)"/>
      <w:numFmt w:val="lowerLetter"/>
      <w:start w:val="1"/>
    </w:lvl>
  </w:abstractNum>
  <w:abstractNum w:abstractNumId="191">
    <w:nsid w:val="3CE732EC"/>
    <w:multiLevelType w:val="hybridMultilevel"/>
    <w:lvl w:ilvl="0">
      <w:lvlJc w:val="left"/>
      <w:lvlText w:val="(%1)"/>
      <w:numFmt w:val="lowerLetter"/>
      <w:start w:val="2"/>
    </w:lvl>
  </w:abstractNum>
  <w:abstractNum w:abstractNumId="192">
    <w:nsid w:val="22F13DF3"/>
    <w:multiLevelType w:val="hybridMultilevel"/>
    <w:lvl w:ilvl="0">
      <w:lvlJc w:val="left"/>
      <w:lvlText w:val="(%1)"/>
      <w:numFmt w:val="lowerLetter"/>
      <w:start w:val="1"/>
    </w:lvl>
  </w:abstractNum>
  <w:abstractNum w:abstractNumId="193">
    <w:nsid w:val="792B8401"/>
    <w:multiLevelType w:val="hybridMultilevel"/>
    <w:lvl w:ilvl="0">
      <w:lvlJc w:val="left"/>
      <w:lvlText w:val="%1."/>
      <w:numFmt w:val="decimal"/>
      <w:start w:val="1"/>
    </w:lvl>
  </w:abstractNum>
  <w:abstractNum w:abstractNumId="194">
    <w:nsid w:val="FA85F4D"/>
    <w:multiLevelType w:val="hybridMultilevel"/>
    <w:lvl w:ilvl="0">
      <w:lvlJc w:val="left"/>
      <w:lvlText w:val="%1."/>
      <w:numFmt w:val="decimal"/>
      <w:start w:val="3"/>
    </w:lvl>
  </w:abstractNum>
  <w:abstractNum w:abstractNumId="195">
    <w:nsid w:val="6ECE91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6">
    <w:nsid w:val="4FC4D600"/>
    <w:multiLevelType w:val="hybridMultilevel"/>
    <w:lvl w:ilvl="0">
      <w:lvlJc w:val="left"/>
      <w:lvlText w:val="(%1)"/>
      <w:numFmt w:val="lowerRoman"/>
      <w:start w:val="2"/>
    </w:lvl>
  </w:abstractNum>
  <w:abstractNum w:abstractNumId="197">
    <w:nsid w:val="5BFD4210"/>
    <w:multiLevelType w:val="hybridMultilevel"/>
    <w:lvl w:ilvl="0">
      <w:lvlJc w:val="left"/>
      <w:lvlText w:val="(%1)"/>
      <w:numFmt w:val="lowerLetter"/>
      <w:start w:val="2"/>
    </w:lvl>
  </w:abstractNum>
  <w:abstractNum w:abstractNumId="198">
    <w:nsid w:val="76574F8B"/>
    <w:multiLevelType w:val="hybridMultilevel"/>
    <w:lvl w:ilvl="0">
      <w:lvlJc w:val="left"/>
      <w:lvlText w:val="%1"/>
      <w:numFmt w:val="decimal"/>
      <w:start w:val="1"/>
    </w:lvl>
    <w:lvl w:ilvl="1">
      <w:lvlJc w:val="left"/>
      <w:lvlText w:val="(%2)"/>
      <w:numFmt w:val="lowerLetter"/>
      <w:start w:val="8"/>
    </w:lvl>
  </w:abstractNum>
  <w:abstractNum w:abstractNumId="199">
    <w:nsid w:val="178F7B67"/>
    <w:multiLevelType w:val="hybridMultilevel"/>
    <w:lvl w:ilvl="0">
      <w:lvlJc w:val="left"/>
      <w:lvlText w:val="%1."/>
      <w:numFmt w:val="decimal"/>
      <w:start w:val="3"/>
    </w:lvl>
    <w:lvl w:ilvl="1">
      <w:lvlJc w:val="left"/>
      <w:lvlText w:val="(%2)"/>
      <w:numFmt w:val="lowerLetter"/>
      <w:start w:val="1"/>
    </w:lvl>
  </w:abstractNum>
  <w:abstractNum w:abstractNumId="200">
    <w:nsid w:val="2421DFCF"/>
    <w:multiLevelType w:val="hybridMultilevel"/>
    <w:lvl w:ilvl="0">
      <w:lvlJc w:val="left"/>
      <w:lvlText w:val="%1."/>
      <w:numFmt w:val="decimal"/>
      <w:start w:val="6"/>
    </w:lvl>
  </w:abstractNum>
  <w:abstractNum w:abstractNumId="201">
    <w:nsid w:val="1565AC99"/>
    <w:multiLevelType w:val="hybridMultilevel"/>
    <w:lvl w:ilvl="0">
      <w:lvlJc w:val="left"/>
      <w:lvlText w:val="%1."/>
      <w:numFmt w:val="decimal"/>
      <w:start w:val="8"/>
    </w:lvl>
  </w:abstractNum>
  <w:abstractNum w:abstractNumId="202">
    <w:nsid w:val="19FB2650"/>
    <w:multiLevelType w:val="hybridMultilevel"/>
    <w:lvl w:ilvl="0">
      <w:lvlJc w:val="left"/>
      <w:lvlText w:val="(%1)"/>
      <w:numFmt w:val="lowerLetter"/>
      <w:start w:val="2"/>
    </w:lvl>
  </w:abstractNum>
  <w:abstractNum w:abstractNumId="203">
    <w:nsid w:val="5024DE5B"/>
    <w:multiLevelType w:val="hybridMultilevel"/>
    <w:lvl w:ilvl="0">
      <w:lvlJc w:val="left"/>
      <w:lvlText w:val="(%1)"/>
      <w:numFmt w:val="lowerLetter"/>
      <w:start w:val="4"/>
    </w:lvl>
  </w:abstractNum>
  <w:abstractNum w:abstractNumId="204">
    <w:nsid w:val="168EFE17"/>
    <w:multiLevelType w:val="hybridMultilevel"/>
    <w:lvl w:ilvl="0">
      <w:lvlJc w:val="left"/>
      <w:lvlText w:val="%1"/>
      <w:numFmt w:val="lowerLetter"/>
      <w:start w:val="1"/>
    </w:lvl>
    <w:lvl w:ilvl="1">
      <w:lvlJc w:val="left"/>
      <w:lvlText w:val="(%2)"/>
      <w:numFmt w:val="lowerLetter"/>
      <w:start w:val="9"/>
    </w:lvl>
  </w:abstractNum>
  <w:abstractNum w:abstractNumId="205">
    <w:nsid w:val="1036B29F"/>
    <w:multiLevelType w:val="hybridMultilevel"/>
    <w:lvl w:ilvl="0">
      <w:lvlJc w:val="left"/>
      <w:lvlText w:val="(%1)"/>
      <w:numFmt w:val="lowerLetter"/>
      <w:start w:val="2"/>
    </w:lvl>
    <w:lvl w:ilvl="1">
      <w:lvlJc w:val="left"/>
      <w:lvlText w:val="(%2)"/>
      <w:numFmt w:val="lowerLetter"/>
      <w:start w:val="35"/>
    </w:lvl>
  </w:abstractNum>
  <w:abstractNum w:abstractNumId="206">
    <w:nsid w:val="1D206B8E"/>
    <w:multiLevelType w:val="hybridMultilevel"/>
    <w:lvl w:ilvl="0">
      <w:lvlJc w:val="left"/>
      <w:lvlText w:val="(%1)"/>
      <w:numFmt w:val="lowerLetter"/>
      <w:start w:val="1"/>
    </w:lvl>
  </w:abstractNum>
  <w:abstractNum w:abstractNumId="207">
    <w:nsid w:val="7934D3D4"/>
    <w:multiLevelType w:val="hybridMultilevel"/>
    <w:lvl w:ilvl="0">
      <w:lvlJc w:val="left"/>
      <w:lvlText w:val="(%1)"/>
      <w:numFmt w:val="lowerLetter"/>
      <w:start w:val="1"/>
    </w:lvl>
  </w:abstractNum>
  <w:abstractNum w:abstractNumId="208">
    <w:nsid w:val="1C65E98"/>
    <w:multiLevelType w:val="hybridMultilevel"/>
    <w:lvl w:ilvl="0">
      <w:lvlJc w:val="left"/>
      <w:lvlText w:val="(%1)"/>
      <w:numFmt w:val="lowerLetter"/>
      <w:start w:val="4"/>
    </w:lvl>
  </w:abstractNum>
  <w:abstractNum w:abstractNumId="209">
    <w:nsid w:val="1495E50A"/>
    <w:multiLevelType w:val="hybridMultilevel"/>
    <w:lvl w:ilvl="0">
      <w:lvlJc w:val="left"/>
      <w:lvlText w:val="(%1)"/>
      <w:numFmt w:val="lowerLetter"/>
      <w:start w:val="8"/>
    </w:lvl>
  </w:abstractNum>
  <w:abstractNum w:abstractNumId="210">
    <w:nsid w:val="F5BCF61"/>
    <w:multiLevelType w:val="hybridMultilevel"/>
    <w:lvl w:ilvl="0">
      <w:lvlJc w:val="left"/>
      <w:lvlText w:val="(%1)"/>
      <w:numFmt w:val="lowerLetter"/>
      <w:start w:val="1"/>
    </w:lvl>
  </w:abstractNum>
  <w:abstractNum w:abstractNumId="211">
    <w:nsid w:val="3B1DD403"/>
    <w:multiLevelType w:val="hybridMultilevel"/>
    <w:lvl w:ilvl="0">
      <w:lvlJc w:val="left"/>
      <w:lvlText w:val="(%1)"/>
      <w:numFmt w:val="lowerLetter"/>
      <w:start w:val="1"/>
    </w:lvl>
    <w:lvl w:ilvl="1">
      <w:lvlJc w:val="left"/>
      <w:lvlText w:val="(%2)"/>
      <w:numFmt w:val="lowerRoman"/>
      <w:start w:val="1"/>
    </w:lvl>
  </w:abstractNum>
  <w:abstractNum w:abstractNumId="212">
    <w:nsid w:val="530386D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8"/>
    </w:lvl>
  </w:abstractNum>
  <w:abstractNum w:abstractNumId="213">
    <w:nsid w:val="7525F2BC"/>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14">
    <w:nsid w:val="CE8E1A7"/>
    <w:multiLevelType w:val="hybridMultilevel"/>
    <w:lvl w:ilvl="0">
      <w:lvlJc w:val="left"/>
      <w:lvlText w:val="(%1)"/>
      <w:numFmt w:val="lowerLetter"/>
      <w:start w:val="5"/>
    </w:lvl>
  </w:abstractNum>
  <w:abstractNum w:abstractNumId="215">
    <w:nsid w:val="4E9EFB0D"/>
    <w:multiLevelType w:val="hybridMultilevel"/>
    <w:lvl w:ilvl="0">
      <w:lvlJc w:val="left"/>
      <w:lvlText w:val="(%1)"/>
      <w:numFmt w:val="upperLetter"/>
      <w:start w:val="1"/>
    </w:lvl>
  </w:abstractNum>
  <w:abstractNum w:abstractNumId="216">
    <w:nsid w:val="90802BE"/>
    <w:multiLevelType w:val="hybridMultilevel"/>
    <w:lvl w:ilvl="0">
      <w:lvlJc w:val="left"/>
      <w:lvlText w:val="(%1)"/>
      <w:numFmt w:val="upperLetter"/>
      <w:start w:val="6"/>
    </w:lvl>
  </w:abstractNum>
  <w:abstractNum w:abstractNumId="217">
    <w:nsid w:val="3266459B"/>
    <w:multiLevelType w:val="hybridMultilevel"/>
    <w:lvl w:ilvl="0">
      <w:lvlJc w:val="left"/>
      <w:lvlText w:val="(%1)"/>
      <w:numFmt w:val="lowerLetter"/>
      <w:start w:val="2"/>
    </w:lvl>
  </w:abstractNum>
  <w:abstractNum w:abstractNumId="218">
    <w:nsid w:val="3F8B0CBF"/>
    <w:multiLevelType w:val="hybridMultilevel"/>
    <w:lvl w:ilvl="0">
      <w:lvlJc w:val="left"/>
      <w:lvlText w:val="(%1)"/>
      <w:numFmt w:val="lowerLetter"/>
      <w:start w:val="2"/>
    </w:lvl>
  </w:abstractNum>
  <w:abstractNum w:abstractNumId="219">
    <w:nsid w:val="37E203AB"/>
    <w:multiLevelType w:val="hybridMultilevel"/>
    <w:lvl w:ilvl="0">
      <w:lvlJc w:val="left"/>
      <w:lvlText w:val="(%1)"/>
      <w:numFmt w:val="lowerRoman"/>
      <w:start w:val="3"/>
    </w:lvl>
  </w:abstractNum>
  <w:abstractNum w:abstractNumId="220">
    <w:nsid w:val="2586D60E"/>
    <w:multiLevelType w:val="hybridMultilevel"/>
    <w:lvl w:ilvl="0">
      <w:lvlJc w:val="left"/>
      <w:lvlText w:val="(%1)"/>
      <w:numFmt w:val="lowerLetter"/>
      <w:start w:val="1"/>
    </w:lvl>
  </w:abstractNum>
  <w:abstractNum w:abstractNumId="221">
    <w:nsid w:val="1F3DA4D5"/>
    <w:multiLevelType w:val="hybridMultilevel"/>
    <w:lvl w:ilvl="0">
      <w:lvlJc w:val="left"/>
      <w:lvlText w:val="(%1)"/>
      <w:numFmt w:val="lowerLetter"/>
      <w:start w:val="5"/>
    </w:lvl>
  </w:abstractNum>
  <w:abstractNum w:abstractNumId="222">
    <w:nsid w:val="74C93698"/>
    <w:multiLevelType w:val="hybridMultilevel"/>
    <w:lvl w:ilvl="0">
      <w:lvlJc w:val="left"/>
      <w:lvlText w:val="§"/>
      <w:numFmt w:val="bullet"/>
      <w:start w:val="1"/>
    </w:lvl>
  </w:abstractNum>
  <w:abstractNum w:abstractNumId="223">
    <w:nsid w:val="48781401"/>
    <w:multiLevelType w:val="hybridMultilevel"/>
    <w:lvl w:ilvl="0">
      <w:lvlJc w:val="left"/>
      <w:lvlText w:val="(%1)"/>
      <w:numFmt w:val="decimal"/>
      <w:start w:val="2"/>
    </w:lvl>
  </w:abstractNum>
  <w:abstractNum w:abstractNumId="224">
    <w:nsid w:val="186928D6"/>
    <w:multiLevelType w:val="hybridMultilevel"/>
    <w:lvl w:ilvl="0">
      <w:lvlJc w:val="left"/>
      <w:lvlText w:val="(%1)"/>
      <w:numFmt w:val="lowerLetter"/>
      <w:start w:val="1"/>
    </w:lvl>
  </w:abstractNum>
  <w:abstractNum w:abstractNumId="225">
    <w:nsid w:val="47195E5"/>
    <w:multiLevelType w:val="hybridMultilevel"/>
    <w:lvl w:ilvl="0">
      <w:lvlJc w:val="left"/>
      <w:lvlText w:val="(%1)"/>
      <w:numFmt w:val="lowerLetter"/>
      <w:start w:val="1"/>
    </w:lvl>
  </w:abstractNum>
  <w:abstractNum w:abstractNumId="226">
    <w:nsid w:val="3746A5F2"/>
    <w:multiLevelType w:val="hybridMultilevel"/>
    <w:lvl w:ilvl="0">
      <w:lvlJc w:val="left"/>
      <w:lvlText w:val="(%1)"/>
      <w:numFmt w:val="lowerLetter"/>
      <w:start w:val="6"/>
    </w:lvl>
  </w:abstractNum>
  <w:abstractNum w:abstractNumId="227">
    <w:nsid w:val="682DFED6"/>
    <w:multiLevelType w:val="hybridMultilevel"/>
    <w:lvl w:ilvl="0">
      <w:lvlJc w:val="left"/>
      <w:lvlText w:val="(%1)"/>
      <w:numFmt w:val="lowerLetter"/>
      <w:start w:val="10"/>
    </w:lvl>
  </w:abstractNum>
  <w:abstractNum w:abstractNumId="228">
    <w:nsid w:val="606ED7F6"/>
    <w:multiLevelType w:val="hybridMultilevel"/>
    <w:lvl w:ilvl="0">
      <w:lvlJc w:val="left"/>
      <w:lvlText w:val="(%1)"/>
      <w:numFmt w:val="lowerLetter"/>
      <w:start w:val="1"/>
    </w:lvl>
  </w:abstractNum>
  <w:abstractNum w:abstractNumId="229">
    <w:nsid w:val="2D9DF57D"/>
    <w:multiLevelType w:val="hybridMultilevel"/>
    <w:lvl w:ilvl="0">
      <w:lvlJc w:val="left"/>
      <w:lvlText w:val="(%1)"/>
      <w:numFmt w:val="lowerLetter"/>
      <w:start w:val="4"/>
    </w:lvl>
  </w:abstractNum>
  <w:abstractNum w:abstractNumId="230">
    <w:nsid w:val="7FBD7A3E"/>
    <w:multiLevelType w:val="hybridMultilevel"/>
    <w:lvl w:ilvl="0">
      <w:lvlJc w:val="left"/>
      <w:lvlText w:val="(%1)"/>
      <w:numFmt w:val="lowerLetter"/>
      <w:start w:val="9"/>
    </w:lvl>
  </w:abstractNum>
  <w:abstractNum w:abstractNumId="231">
    <w:nsid w:val="490B7C5"/>
    <w:multiLevelType w:val="hybridMultilevel"/>
    <w:lvl w:ilvl="0">
      <w:lvlJc w:val="left"/>
      <w:lvlText w:val="(%1)"/>
      <w:numFmt w:val="lowerLetter"/>
      <w:start w:val="2"/>
    </w:lvl>
  </w:abstractNum>
  <w:abstractNum w:abstractNumId="232">
    <w:nsid w:val="4303A216"/>
    <w:multiLevelType w:val="hybridMultilevel"/>
    <w:lvl w:ilvl="0">
      <w:lvlJc w:val="left"/>
      <w:lvlText w:val="(%1)"/>
      <w:numFmt w:val="lowerLetter"/>
      <w:start w:val="1"/>
    </w:lvl>
  </w:abstractNum>
  <w:abstractNum w:abstractNumId="233">
    <w:nsid w:val="19B8A08E"/>
    <w:multiLevelType w:val="hybridMultilevel"/>
    <w:lvl w:ilvl="0">
      <w:lvlJc w:val="left"/>
      <w:lvlText w:val="(%1)"/>
      <w:numFmt w:val="lowerLetter"/>
      <w:start w:val="3"/>
    </w:lvl>
  </w:abstractNum>
  <w:abstractNum w:abstractNumId="234">
    <w:nsid w:val="54B59621"/>
    <w:multiLevelType w:val="hybridMultilevel"/>
    <w:lvl w:ilvl="0">
      <w:lvlJc w:val="left"/>
      <w:lvlText w:val="(%1)"/>
      <w:numFmt w:val="lowerLetter"/>
      <w:start w:val="61"/>
    </w:lvl>
  </w:abstractNum>
  <w:abstractNum w:abstractNumId="235">
    <w:nsid w:val="5992A02E"/>
    <w:multiLevelType w:val="hybridMultilevel"/>
    <w:lvl w:ilvl="0">
      <w:lvlJc w:val="left"/>
      <w:lvlText w:val="(%1)"/>
      <w:numFmt w:val="lowerLetter"/>
      <w:start w:val="1"/>
    </w:lvl>
  </w:abstractNum>
  <w:abstractNum w:abstractNumId="236">
    <w:nsid w:val="29EF532D"/>
    <w:multiLevelType w:val="hybridMultilevel"/>
    <w:lvl w:ilvl="0">
      <w:lvlJc w:val="left"/>
      <w:lvlText w:val="(%1)"/>
      <w:numFmt w:val="lowerRoman"/>
      <w:start w:val="1"/>
    </w:lvl>
  </w:abstractNum>
  <w:abstractNum w:abstractNumId="237">
    <w:nsid w:val="71D601AF"/>
    <w:multiLevelType w:val="hybridMultilevel"/>
    <w:lvl w:ilvl="0">
      <w:lvlJc w:val="left"/>
      <w:lvlText w:val="(%1)"/>
      <w:numFmt w:val="lowerLetter"/>
      <w:start w:val="3"/>
    </w:lvl>
    <w:lvl w:ilvl="1">
      <w:lvlJc w:val="left"/>
      <w:lvlText w:val="(%2)"/>
      <w:numFmt w:val="lowerRoman"/>
      <w:start w:val="1"/>
    </w:lvl>
  </w:abstractNum>
  <w:abstractNum w:abstractNumId="238">
    <w:nsid w:val="52C77402"/>
    <w:multiLevelType w:val="hybridMultilevel"/>
    <w:lvl w:ilvl="0">
      <w:lvlJc w:val="left"/>
      <w:lvlText w:val="(%1)"/>
      <w:numFmt w:val="lowerRoman"/>
      <w:start w:val="3"/>
    </w:lvl>
  </w:abstractNum>
  <w:abstractNum w:abstractNumId="239">
    <w:nsid w:val="2BB5B1C6"/>
    <w:multiLevelType w:val="hybridMultilevel"/>
    <w:lvl w:ilvl="0">
      <w:lvlJc w:val="left"/>
      <w:lvlText w:val="(%1)"/>
      <w:numFmt w:val="lowerLetter"/>
      <w:start w:val="2"/>
    </w:lvl>
  </w:abstractNum>
  <w:abstractNum w:abstractNumId="240">
    <w:nsid w:val="66BE6B9"/>
    <w:multiLevelType w:val="hybridMultilevel"/>
    <w:lvl w:ilvl="0">
      <w:lvlJc w:val="left"/>
      <w:lvlText w:val="(%1)"/>
      <w:numFmt w:val="lowerLetter"/>
      <w:start w:val="3"/>
    </w:lvl>
  </w:abstractNum>
  <w:abstractNum w:abstractNumId="241">
    <w:nsid w:val="62234363"/>
    <w:multiLevelType w:val="hybridMultilevel"/>
    <w:lvl w:ilvl="0">
      <w:lvlJc w:val="left"/>
      <w:lvlText w:val="(%1)"/>
      <w:numFmt w:val="lowerLetter"/>
      <w:start w:val="1"/>
    </w:lvl>
  </w:abstractNum>
  <w:abstractNum w:abstractNumId="242">
    <w:nsid w:val="66D385C9"/>
    <w:multiLevelType w:val="hybridMultilevel"/>
    <w:lvl w:ilvl="0">
      <w:lvlJc w:val="left"/>
      <w:lvlText w:val="(%1)"/>
      <w:numFmt w:val="lowerLetter"/>
      <w:start w:val="3"/>
    </w:lvl>
  </w:abstractNum>
  <w:abstractNum w:abstractNumId="243">
    <w:nsid w:val="596F6D8A"/>
    <w:multiLevelType w:val="hybridMultilevel"/>
    <w:lvl w:ilvl="0">
      <w:lvlJc w:val="left"/>
      <w:lvlText w:val="(%1)"/>
      <w:numFmt w:val="lowerRoman"/>
      <w:start w:val="5"/>
    </w:lvl>
  </w:abstractNum>
  <w:abstractNum w:abstractNumId="244">
    <w:nsid w:val="5749361F"/>
    <w:multiLevelType w:val="hybridMultilevel"/>
    <w:lvl w:ilvl="0">
      <w:lvlJc w:val="left"/>
      <w:lvlText w:val="(%1)"/>
      <w:numFmt w:val="lowerRoman"/>
      <w:start w:val="1"/>
    </w:lvl>
  </w:abstractNum>
  <w:abstractNum w:abstractNumId="245">
    <w:nsid w:val="73BC6770"/>
    <w:multiLevelType w:val="hybridMultilevel"/>
    <w:lvl w:ilvl="0">
      <w:lvlJc w:val="left"/>
      <w:lvlText w:val="(%1)"/>
      <w:numFmt w:val="lowerRoman"/>
      <w:start w:val="3"/>
    </w:lvl>
  </w:abstractNum>
  <w:abstractNum w:abstractNumId="246">
    <w:nsid w:val="280E6897"/>
    <w:multiLevelType w:val="hybridMultilevel"/>
    <w:lvl w:ilvl="0">
      <w:lvlJc w:val="left"/>
      <w:lvlText w:val="(%1)"/>
      <w:numFmt w:val="lowerLetter"/>
      <w:start w:val="3"/>
    </w:lvl>
  </w:abstractNum>
  <w:abstractNum w:abstractNumId="247">
    <w:nsid w:val="605138DE"/>
    <w:multiLevelType w:val="hybridMultilevel"/>
    <w:lvl w:ilvl="0">
      <w:lvlJc w:val="left"/>
      <w:lvlText w:val="(%1)"/>
      <w:numFmt w:val="lowerLetter"/>
      <w:start w:val="1"/>
    </w:lvl>
  </w:abstractNum>
  <w:abstractNum w:abstractNumId="248">
    <w:nsid w:val="2622AD0C"/>
    <w:multiLevelType w:val="hybridMultilevel"/>
    <w:lvl w:ilvl="0">
      <w:lvlJc w:val="left"/>
      <w:lvlText w:val="(%1)"/>
      <w:numFmt w:val="lowerLetter"/>
      <w:start w:val="2"/>
    </w:lvl>
  </w:abstractNum>
  <w:abstractNum w:abstractNumId="249">
    <w:nsid w:val="67997556"/>
    <w:multiLevelType w:val="hybridMultilevel"/>
    <w:lvl w:ilvl="0">
      <w:lvlJc w:val="left"/>
      <w:lvlText w:val="(%1)"/>
      <w:numFmt w:val="lowerLetter"/>
      <w:start w:val="3"/>
    </w:lvl>
  </w:abstractNum>
  <w:abstractNum w:abstractNumId="250">
    <w:nsid w:val="18333C89"/>
    <w:multiLevelType w:val="hybridMultilevel"/>
    <w:lvl w:ilvl="0">
      <w:lvlJc w:val="left"/>
      <w:lvlText w:val="%1"/>
      <w:numFmt w:val="lowerLetter"/>
      <w:start w:val="1"/>
    </w:lvl>
    <w:lvl w:ilvl="1">
      <w:lvlJc w:val="left"/>
      <w:lvlText w:val="(%2)"/>
      <w:numFmt w:val="lowerLetter"/>
      <w:start w:val="1"/>
    </w:lvl>
  </w:abstractNum>
  <w:abstractNum w:abstractNumId="251">
    <w:nsid w:val="4BA9831A"/>
    <w:multiLevelType w:val="hybridMultilevel"/>
    <w:lvl w:ilvl="0">
      <w:lvlJc w:val="left"/>
      <w:lvlText w:val="(%1)"/>
      <w:numFmt w:val="lowerLetter"/>
      <w:start w:val="9"/>
    </w:lvl>
    <w:lvl w:ilvl="1">
      <w:lvlJc w:val="left"/>
      <w:lvlText w:val="%2"/>
      <w:numFmt w:val="lowerLetter"/>
      <w:start w:val="1"/>
    </w:lvl>
  </w:abstractNum>
  <w:abstractNum w:abstractNumId="252">
    <w:nsid w:val="6D71A2B"/>
    <w:multiLevelType w:val="hybridMultilevel"/>
    <w:lvl w:ilvl="0">
      <w:lvlJc w:val="left"/>
      <w:lvlText w:val="(%1)"/>
      <w:numFmt w:val="lowerRoman"/>
      <w:start w:val="6"/>
    </w:lvl>
    <w:lvl w:ilvl="1">
      <w:lvlJc w:val="left"/>
      <w:lvlText w:val="(%2)"/>
      <w:numFmt w:val="lowerLetter"/>
      <w:start w:val="3"/>
    </w:lvl>
  </w:abstractNum>
  <w:abstractNum w:abstractNumId="253">
    <w:nsid w:val="CFC7321"/>
    <w:multiLevelType w:val="hybridMultilevel"/>
    <w:lvl w:ilvl="0">
      <w:lvlJc w:val="left"/>
      <w:lvlText w:val="(%1)"/>
      <w:numFmt w:val="lowerRoman"/>
      <w:start w:val="3"/>
    </w:lvl>
    <w:lvl w:ilvl="1">
      <w:lvlJc w:val="left"/>
      <w:lvlText w:val="(%2)"/>
      <w:numFmt w:val="lowerLetter"/>
      <w:start w:val="5"/>
    </w:lvl>
  </w:abstractNum>
  <w:abstractNum w:abstractNumId="254">
    <w:nsid w:val="1421971B"/>
    <w:multiLevelType w:val="hybridMultilevel"/>
    <w:lvl w:ilvl="0">
      <w:lvlJc w:val="left"/>
      <w:lvlText w:val="(%1)"/>
      <w:numFmt w:val="lowerLetter"/>
      <w:start w:val="1"/>
    </w:lvl>
  </w:abstractNum>
  <w:abstractNum w:abstractNumId="255">
    <w:nsid w:val="1F404301"/>
    <w:multiLevelType w:val="hybridMultilevel"/>
    <w:lvl w:ilvl="0">
      <w:lvlJc w:val="left"/>
      <w:lvlText w:val="(%1)"/>
      <w:numFmt w:val="lowerLetter"/>
      <w:start w:val="1"/>
    </w:lvl>
  </w:abstractNum>
  <w:abstractNum w:abstractNumId="256">
    <w:nsid w:val="116E0907"/>
    <w:multiLevelType w:val="hybridMultilevel"/>
    <w:lvl w:ilvl="0">
      <w:lvlJc w:val="left"/>
      <w:lvlText w:val="(%1)"/>
      <w:numFmt w:val="lowerLetter"/>
      <w:start w:val="2"/>
    </w:lvl>
  </w:abstractNum>
  <w:abstractNum w:abstractNumId="257">
    <w:nsid w:val="4B683D0D"/>
    <w:multiLevelType w:val="hybridMultilevel"/>
    <w:lvl w:ilvl="0">
      <w:lvlJc w:val="left"/>
      <w:lvlText w:val="(%1)"/>
      <w:numFmt w:val="lowerLetter"/>
      <w:start w:val="1"/>
    </w:lvl>
  </w:abstractNum>
  <w:abstractNum w:abstractNumId="258">
    <w:nsid w:val="76E41D8"/>
    <w:multiLevelType w:val="hybridMultilevel"/>
    <w:lvl w:ilvl="0">
      <w:lvlJc w:val="left"/>
      <w:lvlText w:val="(%1)"/>
      <w:numFmt w:val="lowerLetter"/>
      <w:start w:val="2"/>
    </w:lvl>
  </w:abstractNum>
  <w:abstractNum w:abstractNumId="259">
    <w:nsid w:val="71DCE0FD"/>
    <w:multiLevelType w:val="hybridMultilevel"/>
    <w:lvl w:ilvl="0">
      <w:lvlJc w:val="left"/>
      <w:lvlText w:val="(%1)"/>
      <w:numFmt w:val="lowerLetter"/>
      <w:start w:val="1"/>
    </w:lvl>
  </w:abstractNum>
  <w:abstractNum w:abstractNumId="260">
    <w:nsid w:val="7906328B"/>
    <w:multiLevelType w:val="hybridMultilevel"/>
    <w:lvl w:ilvl="0">
      <w:lvlJc w:val="left"/>
      <w:lvlText w:val="(%1)"/>
      <w:numFmt w:val="lowerLetter"/>
      <w:start w:val="1"/>
    </w:lvl>
  </w:abstractNum>
  <w:abstractNum w:abstractNumId="261">
    <w:nsid w:val="72BBC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2">
    <w:nsid w:val="766D98C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3">
    <w:nsid w:val="3C09D4A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64">
    <w:nsid w:val="20E45CA4"/>
    <w:multiLevelType w:val="hybridMultilevel"/>
    <w:lvl w:ilvl="0">
      <w:lvlJc w:val="left"/>
      <w:lvlText w:val="(%1)"/>
      <w:numFmt w:val="upperLetter"/>
      <w:start w:val="1"/>
    </w:lvl>
    <w:lvl w:ilvl="1">
      <w:lvlJc w:val="left"/>
      <w:lvlText w:val="(%2)"/>
      <w:numFmt w:val="lowerLetter"/>
      <w:start w:val="3"/>
    </w:lvl>
  </w:abstractNum>
  <w:abstractNum w:abstractNumId="265">
    <w:nsid w:val="4B232EE3"/>
    <w:multiLevelType w:val="hybridMultilevel"/>
    <w:lvl w:ilvl="0">
      <w:lvlJc w:val="left"/>
      <w:lvlText w:val="%1"/>
      <w:numFmt w:val="lowerLetter"/>
      <w:start w:val="1"/>
    </w:lvl>
    <w:lvl w:ilvl="1">
      <w:lvlJc w:val="left"/>
      <w:lvlText w:val="(%2)"/>
      <w:numFmt w:val="lowerLetter"/>
      <w:start w:val="5"/>
    </w:lvl>
  </w:abstractNum>
  <w:abstractNum w:abstractNumId="266">
    <w:nsid w:val="159C74CF"/>
    <w:multiLevelType w:val="hybridMultilevel"/>
    <w:lvl w:ilvl="0">
      <w:lvlJc w:val="left"/>
      <w:lvlText w:val="(%1)"/>
      <w:numFmt w:val="lowerLetter"/>
      <w:start w:val="61"/>
    </w:lvl>
    <w:lvl w:ilvl="1">
      <w:lvlJc w:val="left"/>
      <w:lvlText w:val="(%2)"/>
      <w:numFmt w:val="lowerLetter"/>
      <w:start w:val="7"/>
    </w:lvl>
  </w:abstractNum>
  <w:abstractNum w:abstractNumId="267">
    <w:nsid w:val="4AD3AFD2"/>
    <w:multiLevelType w:val="hybridMultilevel"/>
    <w:lvl w:ilvl="0">
      <w:lvlJc w:val="left"/>
      <w:lvlText w:val="(%1)"/>
      <w:numFmt w:val="lowerLetter"/>
      <w:start w:val="8"/>
    </w:lvl>
  </w:abstractNum>
  <w:abstractNum w:abstractNumId="268">
    <w:nsid w:val="3CF93092"/>
    <w:multiLevelType w:val="hybridMultilevel"/>
    <w:lvl w:ilvl="0">
      <w:lvlJc w:val="left"/>
      <w:lvlText w:val="(%1)"/>
      <w:numFmt w:val="lowerLetter"/>
      <w:start w:val="11"/>
    </w:lvl>
    <w:lvl w:ilvl="1">
      <w:lvlJc w:val="left"/>
      <w:lvlText w:val="(%2)"/>
      <w:numFmt w:val="lowerRoman"/>
      <w:start w:val="1"/>
    </w:lvl>
  </w:abstractNum>
  <w:abstractNum w:abstractNumId="269">
    <w:nsid w:val="6863E8D2"/>
    <w:multiLevelType w:val="hybridMultilevel"/>
    <w:lvl w:ilvl="0">
      <w:lvlJc w:val="left"/>
      <w:lvlText w:val="(%1)"/>
      <w:numFmt w:val="lowerRoman"/>
      <w:start w:val="8"/>
    </w:lvl>
  </w:abstractNum>
  <w:abstractNum w:abstractNumId="270">
    <w:nsid w:val="76896198"/>
    <w:multiLevelType w:val="hybridMultilevel"/>
    <w:lvl w:ilvl="0">
      <w:lvlJc w:val="left"/>
      <w:lvlText w:val="(%1)"/>
      <w:numFmt w:val="lowerLetter"/>
      <w:start w:val="14"/>
    </w:lvl>
  </w:abstractNum>
  <w:abstractNum w:abstractNumId="271">
    <w:nsid w:val="4365174B"/>
    <w:multiLevelType w:val="hybridMultilevel"/>
    <w:lvl w:ilvl="0">
      <w:lvlJc w:val="left"/>
      <w:lvlText w:val="(%1)"/>
      <w:numFmt w:val="lowerLetter"/>
      <w:start w:val="16"/>
    </w:lvl>
  </w:abstractNum>
  <w:abstractNum w:abstractNumId="272">
    <w:nsid w:val="4A872C35"/>
    <w:multiLevelType w:val="hybridMultilevel"/>
    <w:lvl w:ilvl="0">
      <w:lvlJc w:val="left"/>
      <w:lvlText w:val="(%1)"/>
      <w:numFmt w:val="lowerLetter"/>
      <w:start w:val="1"/>
    </w:lvl>
    <w:lvl w:ilvl="1">
      <w:lvlJc w:val="left"/>
      <w:lvlText w:val="(%2)"/>
      <w:numFmt w:val="lowerRoman"/>
      <w:start w:val="2"/>
    </w:lvl>
  </w:abstractNum>
  <w:abstractNum w:abstractNumId="273">
    <w:nsid w:val="5D5CE761"/>
    <w:multiLevelType w:val="hybridMultilevel"/>
    <w:lvl w:ilvl="0">
      <w:lvlJc w:val="left"/>
      <w:lvlText w:val="(%1)"/>
      <w:numFmt w:val="lowerLetter"/>
      <w:start w:val="3"/>
    </w:lvl>
  </w:abstractNum>
  <w:abstractNum w:abstractNumId="274">
    <w:nsid w:val="1CD484D5"/>
    <w:multiLevelType w:val="hybridMultilevel"/>
    <w:lvl w:ilvl="0">
      <w:lvlJc w:val="left"/>
      <w:lvlText w:val="(%1)"/>
      <w:numFmt w:val="lowerLetter"/>
      <w:start w:val="1"/>
    </w:lvl>
  </w:abstractNum>
  <w:abstractNum w:abstractNumId="275">
    <w:nsid w:val="21D06255"/>
    <w:multiLevelType w:val="hybridMultilevel"/>
    <w:lvl w:ilvl="0">
      <w:lvlJc w:val="left"/>
      <w:lvlText w:val="(%1)"/>
      <w:numFmt w:val="lowerLetter"/>
      <w:start w:val="1"/>
    </w:lvl>
  </w:abstractNum>
  <w:abstractNum w:abstractNumId="276">
    <w:nsid w:val="51194ED1"/>
    <w:multiLevelType w:val="hybridMultilevel"/>
    <w:lvl w:ilvl="0">
      <w:lvlJc w:val="left"/>
      <w:lvlText w:val="(%1)"/>
      <w:numFmt w:val="lowerLetter"/>
      <w:start w:val="2"/>
    </w:lvl>
  </w:abstractNum>
  <w:abstractNum w:abstractNumId="277">
    <w:nsid w:val="44E2ED6C"/>
    <w:multiLevelType w:val="hybridMultilevel"/>
    <w:lvl w:ilvl="0">
      <w:lvlJc w:val="left"/>
      <w:lvlText w:val="(%1)"/>
      <w:numFmt w:val="lowerLetter"/>
      <w:start w:val="1"/>
    </w:lvl>
    <w:lvl w:ilvl="1">
      <w:lvlJc w:val="left"/>
      <w:lvlText w:val="(%2)"/>
      <w:numFmt w:val="lowerRoman"/>
      <w:start w:val="1"/>
    </w:lvl>
  </w:abstractNum>
  <w:abstractNum w:abstractNumId="278">
    <w:nsid w:val="2219B3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279">
    <w:nsid w:val="773BFBDD"/>
    <w:multiLevelType w:val="hybridMultilevel"/>
    <w:lvl w:ilvl="0">
      <w:lvlJc w:val="left"/>
      <w:lvlText w:val="(%1)"/>
      <w:numFmt w:val="lowerLetter"/>
      <w:start w:val="25"/>
    </w:lvl>
  </w:abstractNum>
  <w:abstractNum w:abstractNumId="280">
    <w:nsid w:val="2C7C62C2"/>
    <w:multiLevelType w:val="hybridMultilevel"/>
    <w:lvl w:ilvl="0">
      <w:lvlJc w:val="left"/>
      <w:lvlText w:val="(%1)"/>
      <w:numFmt w:val="lowerRoman"/>
      <w:start w:val="2"/>
    </w:lvl>
    <w:lvl w:ilvl="1">
      <w:lvlJc w:val="left"/>
      <w:lvlText w:val="(%2)"/>
      <w:numFmt w:val="lowerLetter"/>
      <w:start w:val="24"/>
    </w:lvl>
  </w:abstractNum>
  <w:abstractNum w:abstractNumId="281">
    <w:nsid w:val="1A54D7BC"/>
    <w:multiLevelType w:val="hybridMultilevel"/>
    <w:lvl w:ilvl="0">
      <w:lvlJc w:val="left"/>
      <w:lvlText w:val="(%1)"/>
      <w:numFmt w:val="lowerRoman"/>
      <w:start w:val="4"/>
    </w:lvl>
  </w:abstractNum>
  <w:abstractNum w:abstractNumId="282">
    <w:nsid w:val="42E57EF7"/>
    <w:multiLevelType w:val="hybridMultilevel"/>
    <w:lvl w:ilvl="0">
      <w:lvlJc w:val="left"/>
      <w:lvlText w:val="%1"/>
      <w:numFmt w:val="lowerLetter"/>
      <w:start w:val="1"/>
    </w:lvl>
    <w:lvl w:ilvl="1">
      <w:lvlJc w:val="left"/>
      <w:lvlText w:val="(%2)"/>
      <w:numFmt w:val="lowerLetter"/>
      <w:start w:val="22"/>
    </w:lvl>
  </w:abstractNum>
  <w:abstractNum w:abstractNumId="283">
    <w:nsid w:val="33537CED"/>
    <w:multiLevelType w:val="hybridMultilevel"/>
    <w:lvl w:ilvl="0">
      <w:lvlJc w:val="left"/>
      <w:lvlText w:val="(%1)"/>
      <w:numFmt w:val="lowerLetter"/>
      <w:start w:val="2"/>
    </w:lvl>
    <w:lvl w:ilvl="1">
      <w:lvlJc w:val="left"/>
      <w:lvlText w:val="(%2)"/>
      <w:numFmt w:val="lowerLetter"/>
      <w:start w:val="9"/>
    </w:lvl>
  </w:abstractNum>
  <w:abstractNum w:abstractNumId="284">
    <w:nsid w:val="27514ADE"/>
    <w:multiLevelType w:val="hybridMultilevel"/>
    <w:lvl w:ilvl="0">
      <w:lvlJc w:val="left"/>
      <w:lvlText w:val="(%1)"/>
      <w:numFmt w:val="lowerRoman"/>
      <w:start w:val="2"/>
    </w:lvl>
  </w:abstractNum>
  <w:abstractNum w:abstractNumId="285">
    <w:nsid w:val="57071613"/>
    <w:multiLevelType w:val="hybridMultilevel"/>
    <w:lvl w:ilvl="0">
      <w:lvlJc w:val="left"/>
      <w:lvlText w:val="%1"/>
      <w:numFmt w:val="lowerLetter"/>
      <w:start w:val="1"/>
    </w:lvl>
    <w:lvl w:ilvl="1">
      <w:lvlJc w:val="left"/>
      <w:lvlText w:val="(%2)"/>
      <w:numFmt w:val="lowerLetter"/>
      <w:start w:val="3"/>
    </w:lvl>
  </w:abstractNum>
  <w:abstractNum w:abstractNumId="286">
    <w:nsid w:val="5293BFEF"/>
    <w:multiLevelType w:val="hybridMultilevel"/>
    <w:lvl w:ilvl="0">
      <w:lvlJc w:val="left"/>
      <w:lvlText w:val="(%1)"/>
      <w:numFmt w:val="lowerLetter"/>
      <w:start w:val="25"/>
    </w:lvl>
    <w:lvl w:ilvl="1">
      <w:lvlJc w:val="left"/>
      <w:lvlText w:val="%2"/>
      <w:numFmt w:val="lowerLetter"/>
      <w:start w:val="1"/>
    </w:lvl>
  </w:abstractNum>
  <w:abstractNum w:abstractNumId="287">
    <w:nsid w:val="38BF53E5"/>
    <w:multiLevelType w:val="hybridMultilevel"/>
    <w:lvl w:ilvl="0">
      <w:lvlJc w:val="left"/>
      <w:lvlText w:val="(%1)"/>
      <w:numFmt w:val="lowerLetter"/>
      <w:start w:val="1"/>
    </w:lvl>
  </w:abstractNum>
  <w:abstractNum w:abstractNumId="288">
    <w:nsid w:val="226F5320"/>
    <w:multiLevelType w:val="hybridMultilevel"/>
    <w:lvl w:ilvl="0">
      <w:lvlJc w:val="left"/>
      <w:lvlText w:val="(%1)"/>
      <w:numFmt w:val="lowerRoman"/>
      <w:start w:val="2"/>
    </w:lvl>
    <w:lvl w:ilvl="1">
      <w:lvlJc w:val="left"/>
      <w:lvlText w:val="(%2)"/>
      <w:numFmt w:val="lowerLetter"/>
      <w:start w:val="2"/>
    </w:lvl>
  </w:abstractNum>
  <w:abstractNum w:abstractNumId="289">
    <w:nsid w:val="5A0201C7"/>
    <w:multiLevelType w:val="hybridMultilevel"/>
    <w:lvl w:ilvl="0">
      <w:lvlJc w:val="left"/>
      <w:lvlText w:val="(%1)"/>
      <w:numFmt w:val="lowerRoman"/>
      <w:start w:val="1"/>
    </w:lvl>
    <w:lvl w:ilvl="1">
      <w:lvlJc w:val="left"/>
      <w:lvlText w:val="%2"/>
      <w:numFmt w:val="lowerLetter"/>
      <w:start w:val="1"/>
    </w:lvl>
  </w:abstractNum>
  <w:abstractNum w:abstractNumId="290">
    <w:nsid w:val="2A9C34E2"/>
    <w:multiLevelType w:val="hybridMultilevel"/>
    <w:lvl w:ilvl="0">
      <w:lvlJc w:val="left"/>
      <w:lvlText w:val="(%1)"/>
      <w:numFmt w:val="lowerLetter"/>
      <w:start w:val="1"/>
    </w:lvl>
  </w:abstractNum>
  <w:abstractNum w:abstractNumId="291">
    <w:nsid w:val="1B7585AB"/>
    <w:multiLevelType w:val="hybridMultilevel"/>
    <w:lvl w:ilvl="0">
      <w:lvlJc w:val="left"/>
      <w:lvlText w:val="(%1)"/>
      <w:numFmt w:val="lowerLetter"/>
      <w:start w:val="2"/>
    </w:lvl>
    <w:lvl w:ilvl="1">
      <w:lvlJc w:val="left"/>
      <w:lvlText w:val="(%2)"/>
      <w:numFmt w:val="lowerRoman"/>
      <w:start w:val="1"/>
    </w:lvl>
  </w:abstractNum>
  <w:abstractNum w:abstractNumId="292">
    <w:nsid w:val="612DBDDD"/>
    <w:multiLevelType w:val="hybridMultilevel"/>
    <w:lvl w:ilvl="0">
      <w:lvlJc w:val="left"/>
      <w:lvlText w:val="(%1)"/>
      <w:numFmt w:val="lowerRoman"/>
      <w:start w:val="5"/>
    </w:lvl>
  </w:abstractNum>
  <w:abstractNum w:abstractNumId="293">
    <w:nsid w:val="2109CDA4"/>
    <w:multiLevelType w:val="hybridMultilevel"/>
    <w:lvl w:ilvl="0">
      <w:lvlJc w:val="left"/>
      <w:lvlText w:val="(%1)"/>
      <w:numFmt w:val="lowerRoman"/>
      <w:start w:val="10"/>
    </w:lvl>
  </w:abstractNum>
  <w:abstractNum w:abstractNumId="294">
    <w:nsid w:val="577F5A4D"/>
    <w:multiLevelType w:val="hybridMultilevel"/>
    <w:lvl w:ilvl="0">
      <w:lvlJc w:val="left"/>
      <w:lvlText w:val="(%1)"/>
      <w:numFmt w:val="lowerLetter"/>
      <w:start w:val="3"/>
    </w:lvl>
  </w:abstractNum>
  <w:abstractNum w:abstractNumId="295">
    <w:nsid w:val="2121A81"/>
    <w:multiLevelType w:val="hybridMultilevel"/>
    <w:lvl w:ilvl="0">
      <w:lvlJc w:val="left"/>
      <w:lvlText w:val="(%1)"/>
      <w:numFmt w:val="lowerLetter"/>
      <w:start w:val="5"/>
    </w:lvl>
  </w:abstractNum>
  <w:abstractNum w:abstractNumId="296">
    <w:nsid w:val="6C2CFC88"/>
    <w:multiLevelType w:val="hybridMultilevel"/>
    <w:lvl w:ilvl="0">
      <w:lvlJc w:val="left"/>
      <w:lvlText w:val="(%1)"/>
      <w:numFmt w:val="lowerLetter"/>
      <w:start w:val="1"/>
    </w:lvl>
  </w:abstractNum>
  <w:abstractNum w:abstractNumId="297">
    <w:nsid w:val="6D1BCF1C"/>
    <w:multiLevelType w:val="hybridMultilevel"/>
    <w:lvl w:ilvl="0">
      <w:lvlJc w:val="left"/>
      <w:lvlText w:val="(%1)"/>
      <w:numFmt w:val="lowerLetter"/>
      <w:start w:val="2"/>
    </w:lvl>
  </w:abstractNum>
  <w:abstractNum w:abstractNumId="298">
    <w:nsid w:val="4CE5CA53"/>
    <w:multiLevelType w:val="hybridMultilevel"/>
    <w:lvl w:ilvl="0">
      <w:lvlJc w:val="left"/>
      <w:lvlText w:val="(%1)"/>
      <w:numFmt w:val="lowerLetter"/>
      <w:start w:val="3"/>
    </w:lvl>
  </w:abstractNum>
  <w:abstractNum w:abstractNumId="299">
    <w:nsid w:val="29262D1A"/>
    <w:multiLevelType w:val="hybridMultilevel"/>
    <w:lvl w:ilvl="0">
      <w:lvlJc w:val="left"/>
      <w:lvlText w:val="(%1)"/>
      <w:numFmt w:val="lowerLetter"/>
      <w:start w:val="1"/>
    </w:lvl>
    <w:lvl w:ilvl="1">
      <w:lvlJc w:val="left"/>
      <w:lvlText w:val="(%2)"/>
      <w:numFmt w:val="lowerRoman"/>
      <w:start w:val="1"/>
    </w:lvl>
  </w:abstractNum>
  <w:abstractNum w:abstractNumId="300">
    <w:nsid w:val="557FB7EE"/>
    <w:multiLevelType w:val="hybridMultilevel"/>
    <w:lvl w:ilvl="0">
      <w:lvlJc w:val="left"/>
      <w:lvlText w:val="(%1)"/>
      <w:numFmt w:val="lowerLetter"/>
      <w:start w:val="2"/>
    </w:lvl>
  </w:abstractNum>
  <w:abstractNum w:abstractNumId="301">
    <w:nsid w:val="436F2BEB"/>
    <w:multiLevelType w:val="hybridMultilevel"/>
    <w:lvl w:ilvl="0">
      <w:lvlJc w:val="left"/>
      <w:lvlText w:val="(%1)"/>
      <w:numFmt w:val="lowerLetter"/>
      <w:start w:val="1"/>
    </w:lvl>
  </w:abstractNum>
  <w:abstractNum w:abstractNumId="302">
    <w:nsid w:val="6C8B4466"/>
    <w:multiLevelType w:val="hybridMultilevel"/>
    <w:lvl w:ilvl="0">
      <w:lvlJc w:val="left"/>
      <w:lvlText w:val="(%1)"/>
      <w:numFmt w:val="decimal"/>
      <w:start w:val="1"/>
    </w:lvl>
    <w:lvl w:ilvl="1">
      <w:lvlJc w:val="left"/>
      <w:lvlText w:val="(%2)"/>
      <w:numFmt w:val="lowerLetter"/>
      <w:start w:val="3"/>
    </w:lvl>
  </w:abstractNum>
  <w:abstractNum w:abstractNumId="303">
    <w:nsid w:val="2006E424"/>
    <w:multiLevelType w:val="hybridMultilevel"/>
    <w:lvl w:ilvl="0">
      <w:lvlJc w:val="left"/>
      <w:lvlText w:val="(%1)"/>
      <w:numFmt w:val="lowerLetter"/>
      <w:start w:val="1"/>
    </w:lvl>
  </w:abstractNum>
  <w:abstractNum w:abstractNumId="304">
    <w:nsid w:val="20CC134C"/>
    <w:multiLevelType w:val="hybridMultilevel"/>
    <w:lvl w:ilvl="0">
      <w:lvlJc w:val="left"/>
      <w:lvlText w:val="(%1)"/>
      <w:numFmt w:val="lowerLetter"/>
      <w:start w:val="2"/>
    </w:lvl>
  </w:abstractNum>
  <w:abstractNum w:abstractNumId="305">
    <w:nsid w:val="95FC93B"/>
    <w:multiLevelType w:val="hybridMultilevel"/>
    <w:lvl w:ilvl="0">
      <w:lvlJc w:val="left"/>
      <w:lvlText w:val="(%1)"/>
      <w:numFmt w:val="lowerLetter"/>
      <w:start w:val="1"/>
    </w:lvl>
  </w:abstractNum>
  <w:abstractNum w:abstractNumId="306">
    <w:nsid w:val="41D74679"/>
    <w:multiLevelType w:val="hybridMultilevel"/>
    <w:lvl w:ilvl="0">
      <w:lvlJc w:val="left"/>
      <w:lvlText w:val="(%1)"/>
      <w:numFmt w:val="lowerLetter"/>
      <w:start w:val="3"/>
    </w:lvl>
  </w:abstractNum>
  <w:abstractNum w:abstractNumId="307">
    <w:nsid w:val="71E5621E"/>
    <w:multiLevelType w:val="hybridMultilevel"/>
    <w:lvl w:ilvl="0">
      <w:lvlJc w:val="left"/>
      <w:lvlText w:val="(%1)"/>
      <w:numFmt w:val="lowerLetter"/>
      <w:start w:val="1"/>
    </w:lvl>
    <w:lvl w:ilvl="1">
      <w:lvlJc w:val="left"/>
      <w:lvlText w:val="(%2)"/>
      <w:numFmt w:val="lowerRoman"/>
      <w:start w:val="1"/>
    </w:lvl>
  </w:abstractNum>
  <w:abstractNum w:abstractNumId="308">
    <w:nsid w:val="4E42B6A8"/>
    <w:multiLevelType w:val="hybridMultilevel"/>
    <w:lvl w:ilvl="0">
      <w:lvlJc w:val="left"/>
      <w:lvlText w:val="(%1)"/>
      <w:numFmt w:val="lowerLetter"/>
      <w:start w:val="3"/>
    </w:lvl>
  </w:abstractNum>
  <w:abstractNum w:abstractNumId="309">
    <w:nsid w:val="43F8E1AC"/>
    <w:multiLevelType w:val="hybridMultilevel"/>
    <w:lvl w:ilvl="0">
      <w:lvlJc w:val="left"/>
      <w:lvlText w:val="(%1)"/>
      <w:numFmt w:val="lowerLetter"/>
      <w:start w:val="1"/>
    </w:lvl>
  </w:abstractNum>
  <w:abstractNum w:abstractNumId="310">
    <w:nsid w:val="69215DFB"/>
    <w:multiLevelType w:val="hybridMultilevel"/>
    <w:lvl w:ilvl="0">
      <w:lvlJc w:val="left"/>
      <w:lvlText w:val="(%1)"/>
      <w:numFmt w:val="lowerLetter"/>
      <w:start w:val="1"/>
    </w:lvl>
  </w:abstractNum>
  <w:abstractNum w:abstractNumId="311">
    <w:nsid w:val="7ABF196A"/>
    <w:multiLevelType w:val="hybridMultilevel"/>
    <w:lvl w:ilvl="0">
      <w:lvlJc w:val="left"/>
      <w:lvlText w:val="(%1)"/>
      <w:numFmt w:val="lowerLetter"/>
      <w:start w:val="1"/>
    </w:lvl>
  </w:abstractNum>
  <w:abstractNum w:abstractNumId="312">
    <w:nsid w:val="5E4DB968"/>
    <w:multiLevelType w:val="hybridMultilevel"/>
    <w:lvl w:ilvl="0">
      <w:lvlJc w:val="left"/>
      <w:lvlText w:val="%1"/>
      <w:numFmt w:val="lowerLetter"/>
      <w:start w:val="1"/>
    </w:lvl>
    <w:lvl w:ilvl="1">
      <w:lvlJc w:val="left"/>
      <w:lvlText w:val="(%2)"/>
      <w:numFmt w:val="lowerLetter"/>
      <w:start w:val="3"/>
    </w:lvl>
  </w:abstractNum>
  <w:abstractNum w:abstractNumId="313">
    <w:nsid w:val="2C06DCF3"/>
    <w:multiLevelType w:val="hybridMultilevel"/>
    <w:lvl w:ilvl="0">
      <w:lvlJc w:val="left"/>
      <w:lvlText w:val="(%1)"/>
      <w:numFmt w:val="lowerLetter"/>
      <w:start w:val="9"/>
    </w:lvl>
    <w:lvl w:ilvl="1">
      <w:lvlJc w:val="left"/>
      <w:lvlText w:val="%2"/>
      <w:numFmt w:val="lowerLetter"/>
      <w:start w:val="1"/>
    </w:lvl>
  </w:abstractNum>
  <w:abstractNum w:abstractNumId="314">
    <w:nsid w:val="2E129658"/>
    <w:multiLevelType w:val="hybridMultilevel"/>
    <w:lvl w:ilvl="0">
      <w:lvlJc w:val="left"/>
      <w:lvlText w:val="(%1)"/>
      <w:numFmt w:val="lowerLetter"/>
      <w:start w:val="1"/>
    </w:lvl>
    <w:lvl w:ilvl="1">
      <w:lvlJc w:val="left"/>
      <w:lvlText w:val="(%2)"/>
      <w:numFmt w:val="lowerRoman"/>
      <w:start w:val="1"/>
    </w:lvl>
  </w:abstractNum>
  <w:abstractNum w:abstractNumId="315">
    <w:nsid w:val="59F0446"/>
    <w:multiLevelType w:val="hybridMultilevel"/>
    <w:lvl w:ilvl="0">
      <w:lvlJc w:val="left"/>
      <w:lvlText w:val="(%1)"/>
      <w:numFmt w:val="lowerLetter"/>
      <w:start w:val="2"/>
    </w:lvl>
  </w:abstractNum>
  <w:abstractNum w:abstractNumId="316">
    <w:nsid w:val="30DF306"/>
    <w:multiLevelType w:val="hybridMultilevel"/>
    <w:lvl w:ilvl="0">
      <w:lvlJc w:val="left"/>
      <w:lvlText w:val="(%1)"/>
      <w:numFmt w:val="lowerLetter"/>
      <w:start w:val="1"/>
    </w:lvl>
  </w:abstractNum>
  <w:abstractNum w:abstractNumId="317">
    <w:nsid w:val="A65647"/>
    <w:multiLevelType w:val="hybridMultilevel"/>
    <w:lvl w:ilvl="0">
      <w:lvlJc w:val="left"/>
      <w:lvlText w:val="(%1)"/>
      <w:numFmt w:val="lowerLetter"/>
      <w:start w:val="3"/>
    </w:lvl>
  </w:abstractNum>
  <w:abstractNum w:abstractNumId="318">
    <w:nsid w:val="3E5E582B"/>
    <w:multiLevelType w:val="hybridMultilevel"/>
    <w:lvl w:ilvl="0">
      <w:lvlJc w:val="left"/>
      <w:lvlText w:val="(%1)"/>
      <w:numFmt w:val="lowerRoman"/>
      <w:start w:val="1"/>
    </w:lvl>
  </w:abstractNum>
  <w:abstractNum w:abstractNumId="319">
    <w:nsid w:val="257D4626"/>
    <w:multiLevelType w:val="hybridMultilevel"/>
    <w:lvl w:ilvl="0">
      <w:lvlJc w:val="left"/>
      <w:lvlText w:val="(%1)"/>
      <w:numFmt w:val="lowerRoman"/>
      <w:start w:val="2"/>
    </w:lvl>
  </w:abstractNum>
  <w:abstractNum w:abstractNumId="320">
    <w:nsid w:val="5AA8580E"/>
    <w:multiLevelType w:val="hybridMultilevel"/>
    <w:lvl w:ilvl="0">
      <w:lvlJc w:val="left"/>
      <w:lvlText w:val="(%1)"/>
      <w:numFmt w:val="lowerLetter"/>
      <w:start w:val="1"/>
    </w:lvl>
  </w:abstractNum>
  <w:abstractNum w:abstractNumId="321">
    <w:nsid w:val="68FA8D0D"/>
    <w:multiLevelType w:val="hybridMultilevel"/>
    <w:lvl w:ilvl="0">
      <w:lvlJc w:val="left"/>
      <w:lvlText w:val="(%1)"/>
      <w:numFmt w:val="lowerLetter"/>
      <w:start w:val="1"/>
    </w:lvl>
  </w:abstractNum>
  <w:abstractNum w:abstractNumId="322">
    <w:nsid w:val="40F2CBD2"/>
    <w:multiLevelType w:val="hybridMultilevel"/>
    <w:lvl w:ilvl="0">
      <w:lvlJc w:val="left"/>
      <w:lvlText w:val="(%1)"/>
      <w:numFmt w:val="lowerLetter"/>
      <w:start w:val="2"/>
    </w:lvl>
    <w:lvl w:ilvl="1">
      <w:lvlJc w:val="left"/>
      <w:lvlText w:val="(%2)"/>
      <w:numFmt w:val="lowerLetter"/>
      <w:start w:val="35"/>
    </w:lvl>
  </w:abstractNum>
  <w:abstractNum w:abstractNumId="323">
    <w:nsid w:val="3BD615EB"/>
    <w:multiLevelType w:val="hybridMultilevel"/>
    <w:lvl w:ilvl="0">
      <w:lvlJc w:val="left"/>
      <w:lvlText w:val="%1"/>
      <w:numFmt w:val="lowerLetter"/>
      <w:start w:val="1"/>
    </w:lvl>
    <w:lvl w:ilvl="1">
      <w:lvlJc w:val="left"/>
      <w:lvlText w:val="(%2)"/>
      <w:numFmt w:val="lowerRoman"/>
      <w:start w:val="3"/>
    </w:lvl>
  </w:abstractNum>
  <w:abstractNum w:abstractNumId="324">
    <w:nsid w:val="A045AB2"/>
    <w:multiLevelType w:val="hybridMultilevel"/>
    <w:lvl w:ilvl="0">
      <w:lvlJc w:val="left"/>
      <w:lvlText w:val="(%1)"/>
      <w:numFmt w:val="lowerLetter"/>
      <w:start w:val="4"/>
    </w:lvl>
    <w:lvl w:ilvl="1">
      <w:lvlJc w:val="left"/>
      <w:lvlText w:val="%2"/>
      <w:numFmt w:val="lowerRoman"/>
      <w:start w:val="1"/>
    </w:lvl>
  </w:abstractNum>
  <w:abstractNum w:abstractNumId="325">
    <w:nsid w:val="1872261F"/>
    <w:multiLevelType w:val="hybridMultilevel"/>
    <w:lvl w:ilvl="0">
      <w:lvlJc w:val="left"/>
      <w:lvlText w:val="(%1)"/>
      <w:numFmt w:val="lowerLetter"/>
      <w:start w:val="7"/>
    </w:lvl>
  </w:abstractNum>
  <w:abstractNum w:abstractNumId="326">
    <w:nsid w:val="3DE8306C"/>
    <w:multiLevelType w:val="hybridMultilevel"/>
    <w:lvl w:ilvl="0">
      <w:lvlJc w:val="left"/>
      <w:lvlText w:val="(%1)"/>
      <w:numFmt w:val="lowerRoman"/>
      <w:start w:val="1"/>
    </w:lvl>
  </w:abstractNum>
  <w:abstractNum w:abstractNumId="327">
    <w:nsid w:val="7631573A"/>
    <w:multiLevelType w:val="hybridMultilevel"/>
    <w:lvl w:ilvl="0">
      <w:lvlJc w:val="left"/>
      <w:lvlText w:val="(%1)"/>
      <w:numFmt w:val="lowerRoman"/>
      <w:start w:val="5"/>
    </w:lvl>
  </w:abstractNum>
  <w:abstractNum w:abstractNumId="328">
    <w:nsid w:val="58DF53B"/>
    <w:multiLevelType w:val="hybridMultilevel"/>
    <w:lvl w:ilvl="0">
      <w:lvlJc w:val="left"/>
      <w:lvlText w:val="(%1)"/>
      <w:numFmt w:val="lowerRoman"/>
      <w:start w:val="2"/>
    </w:lvl>
  </w:abstractNum>
  <w:abstractNum w:abstractNumId="329">
    <w:nsid w:val="ACDFAC0"/>
    <w:multiLevelType w:val="hybridMultilevel"/>
    <w:lvl w:ilvl="0">
      <w:lvlJc w:val="left"/>
      <w:lvlText w:val="(%1)"/>
      <w:numFmt w:val="lowerLetter"/>
      <w:start w:val="1"/>
    </w:lvl>
  </w:abstractNum>
  <w:abstractNum w:abstractNumId="330">
    <w:nsid w:val="1F578454"/>
    <w:multiLevelType w:val="hybridMultilevel"/>
    <w:lvl w:ilvl="0">
      <w:lvlJc w:val="left"/>
      <w:lvlText w:val="(%1)"/>
      <w:numFmt w:val="lowerLetter"/>
      <w:start w:val="2"/>
    </w:lvl>
    <w:lvl w:ilvl="1">
      <w:lvlJc w:val="left"/>
      <w:lvlText w:val="(%2)"/>
      <w:numFmt w:val="lowerRoman"/>
      <w:start w:val="1"/>
    </w:lvl>
  </w:abstractNum>
  <w:abstractNum w:abstractNumId="331">
    <w:nsid w:val="5B0DAD2A"/>
    <w:multiLevelType w:val="hybridMultilevel"/>
    <w:lvl w:ilvl="0">
      <w:lvlJc w:val="left"/>
      <w:lvlText w:val="(%1)"/>
      <w:numFmt w:val="lowerLetter"/>
      <w:start w:val="11"/>
    </w:lvl>
  </w:abstractNum>
  <w:abstractNum w:abstractNumId="332">
    <w:nsid w:val="4E3D26AB"/>
    <w:multiLevelType w:val="hybridMultilevel"/>
    <w:lvl w:ilvl="0">
      <w:lvlJc w:val="left"/>
      <w:lvlText w:val="(%1)"/>
      <w:numFmt w:val="lowerLetter"/>
      <w:start w:val="1"/>
    </w:lvl>
    <w:lvl w:ilvl="1">
      <w:lvlJc w:val="left"/>
      <w:lvlText w:val="(%2)"/>
      <w:numFmt w:val="lowerLetter"/>
      <w:start w:val="9"/>
    </w:lvl>
  </w:abstractNum>
  <w:abstractNum w:abstractNumId="333">
    <w:nsid w:val="BE2C8BA"/>
    <w:multiLevelType w:val="hybridMultilevel"/>
    <w:lvl w:ilvl="0">
      <w:lvlJc w:val="left"/>
      <w:lvlText w:val="(%1)"/>
      <w:numFmt w:val="lowerLetter"/>
      <w:start w:val="25"/>
    </w:lvl>
    <w:lvl w:ilvl="1">
      <w:lvlJc w:val="left"/>
      <w:lvlText w:val="%2"/>
      <w:numFmt w:val="lowerLetter"/>
      <w:start w:val="1"/>
    </w:lvl>
  </w:abstractNum>
  <w:abstractNum w:abstractNumId="334">
    <w:nsid w:val="7B14914E"/>
    <w:multiLevelType w:val="hybridMultilevel"/>
    <w:lvl w:ilvl="0">
      <w:lvlJc w:val="left"/>
      <w:lvlText w:val="%1"/>
      <w:numFmt w:val="lowerLetter"/>
      <w:start w:val="1"/>
    </w:lvl>
    <w:lvl w:ilvl="1">
      <w:lvlJc w:val="left"/>
      <w:lvlText w:val="(%2)"/>
      <w:numFmt w:val="lowerRoman"/>
      <w:start w:val="2"/>
    </w:lvl>
  </w:abstractNum>
  <w:abstractNum w:abstractNumId="335">
    <w:nsid w:val="6F0939F8"/>
    <w:multiLevelType w:val="hybridMultilevel"/>
    <w:lvl w:ilvl="0">
      <w:lvlJc w:val="left"/>
      <w:lvlText w:val="(%1)"/>
      <w:numFmt w:val="lowerLetter"/>
      <w:start w:val="2"/>
    </w:lvl>
    <w:lvl w:ilvl="1">
      <w:lvlJc w:val="left"/>
      <w:lvlText w:val="%2"/>
      <w:numFmt w:val="lowerRoman"/>
      <w:start w:val="1"/>
    </w:lvl>
  </w:abstractNum>
  <w:abstractNum w:abstractNumId="336">
    <w:nsid w:val="154291F6"/>
    <w:multiLevelType w:val="hybridMultilevel"/>
    <w:lvl w:ilvl="0">
      <w:lvlJc w:val="left"/>
      <w:lvlText w:val="(%1)"/>
      <w:numFmt w:val="lowerLetter"/>
      <w:start w:val="1"/>
    </w:lvl>
  </w:abstractNum>
  <w:abstractNum w:abstractNumId="337">
    <w:nsid w:val="3CEBD7C7"/>
    <w:multiLevelType w:val="hybridMultilevel"/>
    <w:lvl w:ilvl="0">
      <w:lvlJc w:val="left"/>
      <w:lvlText w:val="(%1)"/>
      <w:numFmt w:val="lowerLetter"/>
      <w:start w:val="2"/>
    </w:lvl>
  </w:abstractNum>
  <w:abstractNum w:abstractNumId="338">
    <w:nsid w:val="60EE9C16"/>
    <w:multiLevelType w:val="hybridMultilevel"/>
    <w:lvl w:ilvl="0">
      <w:lvlJc w:val="left"/>
      <w:lvlText w:val="(%1)"/>
      <w:numFmt w:val="lowerLetter"/>
      <w:start w:val="1"/>
    </w:lvl>
  </w:abstractNum>
  <w:abstractNum w:abstractNumId="339">
    <w:nsid w:val="6385489E"/>
    <w:multiLevelType w:val="hybridMultilevel"/>
    <w:lvl w:ilvl="0">
      <w:lvlJc w:val="left"/>
      <w:lvlText w:val="%1"/>
      <w:numFmt w:val="lowerLetter"/>
      <w:start w:val="1"/>
    </w:lvl>
    <w:lvl w:ilvl="1">
      <w:lvlJc w:val="left"/>
      <w:lvlText w:val="(%2)"/>
      <w:numFmt w:val="lowerRoman"/>
      <w:start w:val="1"/>
    </w:lvl>
  </w:abstractNum>
  <w:abstractNum w:abstractNumId="340">
    <w:nsid w:val="E4B973"/>
    <w:multiLevelType w:val="hybridMultilevel"/>
    <w:lvl w:ilvl="0">
      <w:lvlJc w:val="left"/>
      <w:lvlText w:val="(%1)"/>
      <w:numFmt w:val="lowerLetter"/>
      <w:start w:val="2"/>
    </w:lvl>
    <w:lvl w:ilvl="1">
      <w:lvlJc w:val="left"/>
      <w:lvlText w:val="%2"/>
      <w:numFmt w:val="lowerRoman"/>
      <w:start w:val="1"/>
    </w:lvl>
  </w:abstractNum>
  <w:abstractNum w:abstractNumId="341">
    <w:nsid w:val="4A0FFA11"/>
    <w:multiLevelType w:val="hybridMultilevel"/>
    <w:lvl w:ilvl="0">
      <w:lvlJc w:val="left"/>
      <w:lvlText w:val="(%1)"/>
      <w:numFmt w:val="lowerLetter"/>
      <w:start w:val="1"/>
    </w:lvl>
  </w:abstractNum>
  <w:abstractNum w:abstractNumId="342">
    <w:nsid w:val="5E446208"/>
    <w:multiLevelType w:val="hybridMultilevel"/>
    <w:lvl w:ilvl="0">
      <w:lvlJc w:val="left"/>
      <w:lvlText w:val="(%1)"/>
      <w:numFmt w:val="lowerLetter"/>
      <w:start w:val="1"/>
    </w:lvl>
  </w:abstractNum>
  <w:abstractNum w:abstractNumId="343">
    <w:nsid w:val="5F3272DB"/>
    <w:multiLevelType w:val="hybridMultilevel"/>
    <w:lvl w:ilvl="0">
      <w:lvlJc w:val="left"/>
      <w:lvlText w:val="(%1)"/>
      <w:numFmt w:val="lowerLetter"/>
      <w:start w:val="1"/>
    </w:lvl>
    <w:lvl w:ilvl="1">
      <w:lvlJc w:val="left"/>
      <w:lvlText w:val="(%2)"/>
      <w:numFmt w:val="lowerRoman"/>
      <w:start w:val="1"/>
    </w:lvl>
  </w:abstractNum>
  <w:abstractNum w:abstractNumId="344">
    <w:nsid w:val="7616D704"/>
    <w:multiLevelType w:val="hybridMultilevel"/>
    <w:lvl w:ilvl="0">
      <w:lvlJc w:val="left"/>
      <w:lvlText w:val="(%1)"/>
      <w:numFmt w:val="lowerLetter"/>
      <w:start w:val="1"/>
    </w:lvl>
  </w:abstractNum>
  <w:abstractNum w:abstractNumId="345">
    <w:nsid w:val="C56F860"/>
    <w:multiLevelType w:val="hybridMultilevel"/>
    <w:lvl w:ilvl="0">
      <w:lvlJc w:val="left"/>
      <w:lvlText w:val="(%1)"/>
      <w:numFmt w:val="lowerLetter"/>
      <w:start w:val="1"/>
    </w:lvl>
  </w:abstractNum>
  <w:abstractNum w:abstractNumId="346">
    <w:nsid w:val="64D17722"/>
    <w:multiLevelType w:val="hybridMultilevel"/>
    <w:lvl w:ilvl="0">
      <w:lvlJc w:val="left"/>
      <w:lvlText w:val="(%1)"/>
      <w:numFmt w:val="lowerLetter"/>
      <w:start w:val="1"/>
    </w:lvl>
  </w:abstractNum>
  <w:abstractNum w:abstractNumId="347">
    <w:nsid w:val="7924CA0A"/>
    <w:multiLevelType w:val="hybridMultilevel"/>
    <w:lvl w:ilvl="0">
      <w:lvlJc w:val="left"/>
      <w:lvlText w:val="(%1)"/>
      <w:numFmt w:val="lowerLetter"/>
      <w:start w:val="1"/>
    </w:lvl>
  </w:abstractNum>
  <w:abstractNum w:abstractNumId="348">
    <w:nsid w:val="CFD4EA7"/>
    <w:multiLevelType w:val="hybridMultilevel"/>
    <w:lvl w:ilvl="0">
      <w:lvlJc w:val="left"/>
      <w:lvlText w:val="%1"/>
      <w:numFmt w:val="lowerLetter"/>
      <w:start w:val="1"/>
    </w:lvl>
    <w:lvl w:ilvl="1">
      <w:lvlJc w:val="left"/>
      <w:lvlText w:val="(%2)"/>
      <w:numFmt w:val="lowerLetter"/>
      <w:start w:val="2"/>
    </w:lvl>
  </w:abstractNum>
  <w:abstractNum w:abstractNumId="349">
    <w:nsid w:val="232FCF4D"/>
    <w:multiLevelType w:val="hybridMultilevel"/>
    <w:lvl w:ilvl="0">
      <w:lvlJc w:val="left"/>
      <w:lvlText w:val="(%1)"/>
      <w:numFmt w:val="lowerLetter"/>
      <w:start w:val="9"/>
    </w:lvl>
    <w:lvl w:ilvl="1">
      <w:lvlJc w:val="left"/>
      <w:lvlText w:val="(%2)"/>
      <w:numFmt w:val="lowerLetter"/>
      <w:start w:val="3"/>
    </w:lvl>
  </w:abstractNum>
  <w:abstractNum w:abstractNumId="350">
    <w:nsid w:val="1EA21031"/>
    <w:multiLevelType w:val="hybridMultilevel"/>
    <w:lvl w:ilvl="0">
      <w:lvlJc w:val="left"/>
      <w:lvlText w:val="%1"/>
      <w:numFmt w:val="lowerLetter"/>
      <w:start w:val="1"/>
    </w:lvl>
    <w:lvl w:ilvl="1">
      <w:lvlJc w:val="left"/>
      <w:lvlText w:val="(%2)"/>
      <w:numFmt w:val="lowerRoman"/>
      <w:start w:val="1"/>
    </w:lvl>
  </w:abstractNum>
  <w:abstractNum w:abstractNumId="351">
    <w:nsid w:val="67A5A6B5"/>
    <w:multiLevelType w:val="hybridMultilevel"/>
    <w:lvl w:ilvl="0">
      <w:lvlJc w:val="left"/>
      <w:lvlText w:val="(%1)"/>
      <w:numFmt w:val="lowerLetter"/>
      <w:start w:val="9"/>
    </w:lvl>
    <w:lvl w:ilvl="1">
      <w:lvlJc w:val="left"/>
      <w:lvlText w:val="%2"/>
      <w:numFmt w:val="lowerRoman"/>
      <w:start w:val="1"/>
    </w:lvl>
  </w:abstractNum>
  <w:abstractNum w:abstractNumId="352">
    <w:nsid w:val="C2A5C5B"/>
    <w:multiLevelType w:val="hybridMultilevel"/>
    <w:lvl w:ilvl="0">
      <w:lvlJc w:val="left"/>
      <w:lvlText w:val="(%1)"/>
      <w:numFmt w:val="lowerRoman"/>
      <w:start w:val="2"/>
    </w:lvl>
  </w:abstractNum>
  <w:abstractNum w:abstractNumId="353">
    <w:nsid w:val="5F94DC03"/>
    <w:multiLevelType w:val="hybridMultilevel"/>
    <w:lvl w:ilvl="0">
      <w:lvlJc w:val="left"/>
      <w:lvlText w:val="(%1)"/>
      <w:numFmt w:val="lowerRoman"/>
      <w:start w:val="3"/>
    </w:lvl>
  </w:abstractNum>
  <w:abstractNum w:abstractNumId="354">
    <w:nsid w:val="237BBCA0"/>
    <w:multiLevelType w:val="hybridMultilevel"/>
    <w:lvl w:ilvl="0">
      <w:lvlJc w:val="left"/>
      <w:lvlText w:val="(%1)"/>
      <w:numFmt w:val="lowerRoman"/>
      <w:start w:val="1"/>
    </w:lvl>
  </w:abstractNum>
  <w:abstractNum w:abstractNumId="355">
    <w:nsid w:val="162EB70D"/>
    <w:multiLevelType w:val="hybridMultilevel"/>
    <w:lvl w:ilvl="0">
      <w:lvlJc w:val="left"/>
      <w:lvlText w:val="(%1)"/>
      <w:numFmt w:val="lowerLetter"/>
      <w:start w:val="1"/>
    </w:lvl>
  </w:abstractNum>
  <w:abstractNum w:abstractNumId="356">
    <w:nsid w:val="78070222"/>
    <w:multiLevelType w:val="hybridMultilevel"/>
    <w:lvl w:ilvl="0">
      <w:lvlJc w:val="left"/>
      <w:lvlText w:val="(%1)"/>
      <w:numFmt w:val="lowerLetter"/>
      <w:start w:val="2"/>
    </w:lvl>
    <w:lvl w:ilvl="1">
      <w:lvlJc w:val="left"/>
      <w:lvlText w:val="(%2)"/>
      <w:numFmt w:val="decimal"/>
      <w:start w:val="1"/>
    </w:lvl>
  </w:abstractNum>
  <w:abstractNum w:abstractNumId="357">
    <w:nsid w:val="6163ED0D"/>
    <w:multiLevelType w:val="hybridMultilevel"/>
    <w:lvl w:ilvl="0">
      <w:lvlJc w:val="left"/>
      <w:lvlText w:val="(%1)"/>
      <w:numFmt w:val="upperLetter"/>
      <w:start w:val="1"/>
    </w:lvl>
  </w:abstractNum>
  <w:abstractNum w:abstractNumId="358">
    <w:nsid w:val="C600E47"/>
    <w:multiLevelType w:val="hybridMultilevel"/>
    <w:lvl w:ilvl="0">
      <w:lvlJc w:val="left"/>
      <w:lvlText w:val="(%1)"/>
      <w:numFmt w:val="lowerLetter"/>
      <w:start w:val="3"/>
    </w:lvl>
  </w:abstractNum>
  <w:abstractNum w:abstractNumId="359">
    <w:nsid w:val="7D94F75D"/>
    <w:multiLevelType w:val="hybridMultilevel"/>
    <w:lvl w:ilvl="0">
      <w:lvlJc w:val="left"/>
      <w:lvlText w:val="(%1)"/>
      <w:numFmt w:val="lowerLetter"/>
      <w:start w:val="1"/>
    </w:lvl>
    <w:lvl w:ilvl="1">
      <w:lvlJc w:val="left"/>
      <w:lvlText w:val="(%2)"/>
      <w:numFmt w:val="lowerRoman"/>
      <w:start w:val="1"/>
    </w:lvl>
  </w:abstractNum>
  <w:abstractNum w:abstractNumId="360">
    <w:nsid w:val="6C31E7CD"/>
    <w:multiLevelType w:val="hybridMultilevel"/>
    <w:lvl w:ilvl="0">
      <w:lvlJc w:val="left"/>
      <w:lvlText w:val="(%1)"/>
      <w:numFmt w:val="lowerLetter"/>
      <w:start w:val="2"/>
    </w:lvl>
    <w:lvl w:ilvl="1">
      <w:lvlJc w:val="left"/>
      <w:lvlText w:val="(%2)"/>
      <w:numFmt w:val="lowerRoman"/>
      <w:start w:val="1"/>
    </w:lvl>
  </w:abstractNum>
  <w:abstractNum w:abstractNumId="361">
    <w:nsid w:val="2BB7929B"/>
    <w:multiLevelType w:val="hybridMultilevel"/>
    <w:lvl w:ilvl="0">
      <w:lvlJc w:val="left"/>
      <w:lvlText w:val="(%1)"/>
      <w:numFmt w:val="lowerLetter"/>
      <w:start w:val="1"/>
    </w:lvl>
  </w:abstractNum>
  <w:abstractNum w:abstractNumId="362">
    <w:nsid w:val="58A2A487"/>
    <w:multiLevelType w:val="hybridMultilevel"/>
    <w:lvl w:ilvl="0">
      <w:lvlJc w:val="left"/>
      <w:lvlText w:val="(%1)"/>
      <w:numFmt w:val="lowerLetter"/>
      <w:start w:val="1"/>
    </w:lvl>
  </w:abstractNum>
  <w:abstractNum w:abstractNumId="363">
    <w:nsid w:val="3A6F0E78"/>
    <w:multiLevelType w:val="hybridMultilevel"/>
    <w:lvl w:ilvl="0">
      <w:lvlJc w:val="left"/>
      <w:lvlText w:val="(%1)"/>
      <w:numFmt w:val="lowerLetter"/>
      <w:start w:val="1"/>
    </w:lvl>
  </w:abstractNum>
  <w:abstractNum w:abstractNumId="364">
    <w:nsid w:val="379A5B56"/>
    <w:multiLevelType w:val="hybridMultilevel"/>
    <w:lvl w:ilvl="0">
      <w:lvlJc w:val="left"/>
      <w:lvlText w:val="%1"/>
      <w:numFmt w:val="lowerLetter"/>
      <w:start w:val="1"/>
    </w:lvl>
    <w:lvl w:ilvl="1">
      <w:lvlJc w:val="left"/>
      <w:lvlText w:val="(%2)"/>
      <w:numFmt w:val="lowerLetter"/>
      <w:start w:val="13"/>
    </w:lvl>
  </w:abstractNum>
  <w:abstractNum w:abstractNumId="365">
    <w:nsid w:val="53B735D5"/>
    <w:multiLevelType w:val="hybridMultilevel"/>
    <w:lvl w:ilvl="0">
      <w:lvlJc w:val="left"/>
      <w:lvlText w:val="(%1)"/>
      <w:numFmt w:val="lowerLetter"/>
      <w:start w:val="35"/>
    </w:lvl>
    <w:lvl w:ilvl="1">
      <w:lvlJc w:val="left"/>
      <w:lvlText w:val="(%2)"/>
      <w:numFmt w:val="lowerLetter"/>
      <w:start w:val="15"/>
    </w:lvl>
  </w:abstractNum>
  <w:abstractNum w:abstractNumId="366">
    <w:nsid w:val="29784870"/>
    <w:multiLevelType w:val="hybridMultilevel"/>
    <w:lvl w:ilvl="0">
      <w:lvlJc w:val="left"/>
      <w:lvlText w:val="(%1)"/>
      <w:numFmt w:val="lowerLetter"/>
      <w:start w:val="9"/>
    </w:lvl>
    <w:lvl w:ilvl="1">
      <w:lvlJc w:val="left"/>
      <w:lvlText w:val="(%2)"/>
      <w:numFmt w:val="lowerLetter"/>
      <w:start w:val="18"/>
    </w:lvl>
  </w:abstractNum>
  <w:abstractNum w:abstractNumId="367">
    <w:nsid w:val="4CDCED4C"/>
    <w:multiLevelType w:val="hybridMultilevel"/>
    <w:lvl w:ilvl="0">
      <w:lvlJc w:val="left"/>
      <w:lvlText w:val="(%1)"/>
      <w:numFmt w:val="lowerLetter"/>
      <w:start w:val="21"/>
    </w:lvl>
  </w:abstractNum>
  <w:abstractNum w:abstractNumId="368">
    <w:nsid w:val="10A30D9C"/>
    <w:multiLevelType w:val="hybridMultilevel"/>
    <w:lvl w:ilvl="0">
      <w:lvlJc w:val="left"/>
      <w:lvlText w:val="(%1)"/>
      <w:numFmt w:val="lowerLetter"/>
      <w:start w:val="27"/>
    </w:lvl>
  </w:abstractNum>
  <w:abstractNum w:abstractNumId="369">
    <w:nsid w:val="A66E486"/>
    <w:multiLevelType w:val="hybridMultilevel"/>
    <w:lvl w:ilvl="0">
      <w:lvlJc w:val="left"/>
      <w:lvlText w:val="(%1)"/>
      <w:numFmt w:val="lowerLetter"/>
      <w:start w:val="29"/>
    </w:lvl>
  </w:abstractNum>
  <w:abstractNum w:abstractNumId="370">
    <w:nsid w:val="306235EA"/>
    <w:multiLevelType w:val="hybridMultilevel"/>
    <w:lvl w:ilvl="0">
      <w:lvlJc w:val="left"/>
      <w:lvlText w:val="(%1)"/>
      <w:numFmt w:val="lowerLetter"/>
      <w:start w:val="1"/>
    </w:lvl>
  </w:abstractNum>
  <w:abstractNum w:abstractNumId="371">
    <w:nsid w:val="1187C70F"/>
    <w:multiLevelType w:val="hybridMultilevel"/>
    <w:lvl w:ilvl="0">
      <w:lvlJc w:val="left"/>
      <w:lvlText w:val="%1"/>
      <w:numFmt w:val="lowerLetter"/>
      <w:start w:val="1"/>
    </w:lvl>
    <w:lvl w:ilvl="1">
      <w:lvlJc w:val="left"/>
      <w:lvlText w:val="(%2)"/>
      <w:numFmt w:val="lowerLetter"/>
      <w:start w:val="2"/>
    </w:lvl>
  </w:abstractNum>
  <w:abstractNum w:abstractNumId="372">
    <w:nsid w:val="5476DE98"/>
    <w:multiLevelType w:val="hybridMultilevel"/>
    <w:lvl w:ilvl="0">
      <w:lvlJc w:val="left"/>
      <w:lvlText w:val="(%1)"/>
      <w:numFmt w:val="lowerLetter"/>
      <w:start w:val="9"/>
    </w:lvl>
    <w:lvl w:ilvl="1">
      <w:lvlJc w:val="left"/>
      <w:lvlText w:val="(%2)"/>
      <w:numFmt w:val="lowerLetter"/>
      <w:start w:val="5"/>
    </w:lvl>
  </w:abstractNum>
  <w:abstractNum w:abstractNumId="373">
    <w:nsid w:val="EA697F2"/>
    <w:multiLevelType w:val="hybridMultilevel"/>
    <w:lvl w:ilvl="0">
      <w:lvlJc w:val="left"/>
      <w:lvlText w:val="(%1)"/>
      <w:numFmt w:val="lowerLetter"/>
      <w:start w:val="24"/>
    </w:lvl>
    <w:lvl w:ilvl="1">
      <w:lvlJc w:val="left"/>
      <w:lvlText w:val="%2"/>
      <w:numFmt w:val="lowerLetter"/>
      <w:start w:val="1"/>
    </w:lvl>
  </w:abstractNum>
  <w:abstractNum w:abstractNumId="374">
    <w:nsid w:val="70BA39EB"/>
    <w:multiLevelType w:val="hybridMultilevel"/>
    <w:lvl w:ilvl="0">
      <w:lvlJc w:val="left"/>
      <w:lvlText w:val="%1"/>
      <w:numFmt w:val="lowerLetter"/>
      <w:start w:val="1"/>
    </w:lvl>
    <w:lvl w:ilvl="1">
      <w:lvlJc w:val="left"/>
      <w:lvlText w:val="(%2)"/>
      <w:numFmt w:val="lowerLetter"/>
      <w:start w:val="8"/>
    </w:lvl>
  </w:abstractNum>
  <w:abstractNum w:abstractNumId="375">
    <w:nsid w:val="4A8DB59C"/>
    <w:multiLevelType w:val="hybridMultilevel"/>
    <w:lvl w:ilvl="0">
      <w:lvlJc w:val="left"/>
      <w:lvlText w:val="(%1)"/>
      <w:numFmt w:val="lowerLetter"/>
      <w:start w:val="61"/>
    </w:lvl>
    <w:lvl w:ilvl="1">
      <w:lvlJc w:val="left"/>
      <w:lvlText w:val="(%2)"/>
      <w:numFmt w:val="lowerLetter"/>
      <w:start w:val="11"/>
    </w:lvl>
  </w:abstractNum>
  <w:abstractNum w:abstractNumId="376">
    <w:nsid w:val="1AFD9053"/>
    <w:multiLevelType w:val="hybridMultilevel"/>
    <w:lvl w:ilvl="0">
      <w:lvlJc w:val="left"/>
      <w:lvlText w:val="%1"/>
      <w:numFmt w:val="lowerLetter"/>
      <w:start w:val="1"/>
    </w:lvl>
    <w:lvl w:ilvl="1">
      <w:lvlJc w:val="left"/>
      <w:lvlText w:val="(%2)"/>
      <w:numFmt w:val="lowerLetter"/>
      <w:start w:val="15"/>
    </w:lvl>
  </w:abstractNum>
  <w:abstractNum w:abstractNumId="377">
    <w:nsid w:val="558BB10D"/>
    <w:multiLevelType w:val="hybridMultilevel"/>
    <w:lvl w:ilvl="0">
      <w:lvlJc w:val="left"/>
      <w:lvlText w:val="(%1)"/>
      <w:numFmt w:val="lowerLetter"/>
      <w:start w:val="35"/>
    </w:lvl>
    <w:lvl w:ilvl="1">
      <w:lvlJc w:val="left"/>
      <w:lvlText w:val="(%2)"/>
      <w:numFmt w:val="lowerLetter"/>
      <w:start w:val="23"/>
    </w:lvl>
  </w:abstractNum>
  <w:abstractNum w:abstractNumId="378">
    <w:nsid w:val="43B27FA7"/>
    <w:multiLevelType w:val="hybridMultilevel"/>
    <w:lvl w:ilvl="0">
      <w:lvlJc w:val="left"/>
      <w:lvlText w:val="(%1)"/>
      <w:numFmt w:val="lowerLetter"/>
      <w:start w:val="27"/>
    </w:lvl>
  </w:abstractNum>
  <w:abstractNum w:abstractNumId="379">
    <w:nsid w:val="27FADEFA"/>
    <w:multiLevelType w:val="hybridMultilevel"/>
    <w:lvl w:ilvl="0">
      <w:lvlJc w:val="left"/>
      <w:lvlText w:val="%1"/>
      <w:numFmt w:val="upperLetter"/>
      <w:start w:val="1"/>
    </w:lvl>
    <w:lvl w:ilvl="1">
      <w:lvlJc w:val="left"/>
      <w:lvlText w:val="(%2)"/>
      <w:numFmt w:val="lowerLetter"/>
      <w:start w:val="30"/>
    </w:lvl>
  </w:abstractNum>
  <w:abstractNum w:abstractNumId="380">
    <w:nsid w:val="78BB805A"/>
    <w:multiLevelType w:val="hybridMultilevel"/>
    <w:lvl w:ilvl="0">
      <w:lvlJc w:val="left"/>
      <w:lvlText w:val="(%1)"/>
      <w:numFmt w:val="upperLetter"/>
      <w:start w:val="1"/>
    </w:lvl>
    <w:lvl w:ilvl="1">
      <w:lvlJc w:val="left"/>
      <w:lvlText w:val="%2"/>
      <w:numFmt w:val="lowerLetter"/>
      <w:start w:val="1"/>
    </w:lvl>
  </w:abstractNum>
  <w:abstractNum w:abstractNumId="381">
    <w:nsid w:val="62548FD8"/>
    <w:multiLevelType w:val="hybridMultilevel"/>
    <w:lvl w:ilvl="0">
      <w:lvlJc w:val="left"/>
      <w:lvlText w:val="%1"/>
      <w:numFmt w:val="lowerLetter"/>
      <w:start w:val="1"/>
    </w:lvl>
    <w:lvl w:ilvl="1">
      <w:lvlJc w:val="left"/>
      <w:lvlText w:val="(%2)"/>
      <w:numFmt w:val="lowerLetter"/>
      <w:start w:val="1"/>
    </w:lvl>
  </w:abstractNum>
  <w:abstractNum w:abstractNumId="382">
    <w:nsid w:val="FA085B0"/>
    <w:multiLevelType w:val="hybridMultilevel"/>
    <w:lvl w:ilvl="0">
      <w:lvlJc w:val="left"/>
      <w:lvlText w:val="(%1)"/>
      <w:numFmt w:val="lowerLetter"/>
      <w:start w:val="61"/>
    </w:lvl>
    <w:lvl w:ilvl="1">
      <w:lvlJc w:val="left"/>
      <w:lvlText w:val="(%2)"/>
      <w:numFmt w:val="lowerLetter"/>
      <w:start w:val="5"/>
    </w:lvl>
  </w:abstractNum>
  <w:abstractNum w:abstractNumId="383">
    <w:nsid w:val="4E5DCB5"/>
    <w:multiLevelType w:val="hybridMultilevel"/>
    <w:lvl w:ilvl="0">
      <w:lvlJc w:val="left"/>
      <w:lvlText w:val="(%1)"/>
      <w:numFmt w:val="lowerLetter"/>
      <w:start w:val="12"/>
    </w:lvl>
  </w:abstractNum>
  <w:abstractNum w:abstractNumId="384">
    <w:nsid w:val="41E96BDB"/>
    <w:multiLevelType w:val="hybridMultilevel"/>
    <w:lvl w:ilvl="0">
      <w:lvlJc w:val="left"/>
      <w:lvlText w:val="(%1)"/>
      <w:numFmt w:val="lowerLetter"/>
      <w:start w:val="24"/>
    </w:lvl>
  </w:abstractNum>
  <w:abstractNum w:abstractNumId="385">
    <w:nsid w:val="331C4250"/>
    <w:multiLevelType w:val="hybridMultilevel"/>
    <w:lvl w:ilvl="0">
      <w:lvlJc w:val="left"/>
      <w:lvlText w:val="(%1)"/>
      <w:numFmt w:val="lowerLetter"/>
      <w:start w:val="27"/>
    </w:lvl>
  </w:abstractNum>
  <w:abstractNum w:abstractNumId="386">
    <w:nsid w:val="1B1493C2"/>
    <w:multiLevelType w:val="hybridMultilevel"/>
    <w:lvl w:ilvl="0">
      <w:lvlJc w:val="left"/>
      <w:lvlText w:val="(%1)"/>
      <w:numFmt w:val="lowerLetter"/>
      <w:start w:val="1"/>
    </w:lvl>
  </w:abstractNum>
  <w:abstractNum w:abstractNumId="387">
    <w:nsid w:val="39F06DFD"/>
    <w:multiLevelType w:val="hybridMultilevel"/>
    <w:lvl w:ilvl="0">
      <w:lvlJc w:val="left"/>
      <w:lvlText w:val="%1"/>
      <w:numFmt w:val="lowerLetter"/>
      <w:start w:val="1"/>
    </w:lvl>
    <w:lvl w:ilvl="1">
      <w:lvlJc w:val="left"/>
      <w:lvlText w:val="(%2)"/>
      <w:numFmt w:val="lowerLetter"/>
      <w:start w:val="2"/>
    </w:lvl>
  </w:abstractNum>
  <w:abstractNum w:abstractNumId="388">
    <w:nsid w:val="14802F5D"/>
    <w:multiLevelType w:val="hybridMultilevel"/>
    <w:lvl w:ilvl="0">
      <w:lvlJc w:val="left"/>
      <w:lvlText w:val="(%1)"/>
      <w:numFmt w:val="lowerLetter"/>
      <w:start w:val="35"/>
    </w:lvl>
    <w:lvl w:ilvl="1">
      <w:lvlJc w:val="left"/>
      <w:lvlText w:val="%2"/>
      <w:numFmt w:val="lowerLetter"/>
      <w:start w:val="1"/>
    </w:lvl>
  </w:abstractNum>
  <w:abstractNum w:abstractNumId="389">
    <w:nsid w:val="2774A209"/>
    <w:multiLevelType w:val="hybridMultilevel"/>
    <w:lvl w:ilvl="0">
      <w:lvlJc w:val="left"/>
      <w:lvlText w:val="(%1)"/>
      <w:numFmt w:val="lowerLetter"/>
      <w:start w:val="25"/>
    </w:lvl>
    <w:lvl w:ilvl="1">
      <w:lvlJc w:val="left"/>
      <w:lvlText w:val="(%2)"/>
      <w:numFmt w:val="lowerLetter"/>
      <w:start w:val="4"/>
    </w:lvl>
  </w:abstractNum>
  <w:abstractNum w:abstractNumId="390">
    <w:nsid w:val="3785655A"/>
    <w:multiLevelType w:val="hybridMultilevel"/>
    <w:lvl w:ilvl="0">
      <w:lvlJc w:val="left"/>
      <w:lvlText w:val="(%1)"/>
      <w:numFmt w:val="lowerLetter"/>
      <w:start w:val="9"/>
    </w:lvl>
  </w:abstractNum>
  <w:abstractNum w:abstractNumId="391">
    <w:nsid w:val="B2172A"/>
    <w:multiLevelType w:val="hybridMultilevel"/>
    <w:lvl w:ilvl="0">
      <w:lvlJc w:val="left"/>
      <w:lvlText w:val="(%1)"/>
      <w:numFmt w:val="lowerLetter"/>
      <w:start w:val="20"/>
    </w:lvl>
  </w:abstractNum>
  <w:abstractNum w:abstractNumId="392">
    <w:nsid w:val="532C34A5"/>
    <w:multiLevelType w:val="hybridMultilevel"/>
    <w:lvl w:ilvl="0">
      <w:lvlJc w:val="left"/>
      <w:lvlText w:val="(%1)"/>
      <w:numFmt w:val="lowerLetter"/>
      <w:start w:val="1"/>
    </w:lvl>
  </w:abstractNum>
  <w:abstractNum w:abstractNumId="393">
    <w:nsid w:val="102809E2"/>
    <w:multiLevelType w:val="hybridMultilevel"/>
    <w:lvl w:ilvl="0">
      <w:lvlJc w:val="left"/>
      <w:lvlText w:val="(%1)"/>
      <w:numFmt w:val="lowerLetter"/>
      <w:start w:val="7"/>
    </w:lvl>
  </w:abstractNum>
  <w:abstractNum w:abstractNumId="394">
    <w:nsid w:val="3B2125A3"/>
    <w:multiLevelType w:val="hybridMultilevel"/>
    <w:lvl w:ilvl="0">
      <w:lvlJc w:val="left"/>
      <w:lvlText w:val="(%1)"/>
      <w:numFmt w:val="lowerLetter"/>
      <w:start w:val="19"/>
    </w:lvl>
  </w:abstractNum>
  <w:abstractNum w:abstractNumId="395">
    <w:nsid w:val="AC68FFB"/>
    <w:multiLevelType w:val="hybridMultilevel"/>
    <w:lvl w:ilvl="0">
      <w:lvlJc w:val="left"/>
      <w:lvlText w:val="(%1)"/>
      <w:numFmt w:val="lowerRoman"/>
      <w:start w:val="2"/>
    </w:lvl>
  </w:abstractNum>
  <w:abstractNum w:abstractNumId="396">
    <w:nsid w:val="63DF3FB7"/>
    <w:multiLevelType w:val="hybridMultilevel"/>
    <w:lvl w:ilvl="0">
      <w:lvlJc w:val="left"/>
      <w:lvlText w:val="(%1)"/>
      <w:numFmt w:val="lowerLetter"/>
      <w:start w:val="1"/>
    </w:lvl>
  </w:abstractNum>
  <w:abstractNum w:abstractNumId="397">
    <w:nsid w:val="64996E13"/>
    <w:multiLevelType w:val="hybridMultilevel"/>
    <w:lvl w:ilvl="0">
      <w:lvlJc w:val="left"/>
      <w:lvlText w:val="(%1)"/>
      <w:numFmt w:val="lowerLetter"/>
      <w:start w:val="1"/>
    </w:lvl>
  </w:abstractNum>
  <w:abstractNum w:abstractNumId="398">
    <w:nsid w:val="57A37D47"/>
    <w:multiLevelType w:val="hybridMultilevel"/>
    <w:lvl w:ilvl="0">
      <w:lvlJc w:val="left"/>
      <w:lvlText w:val="(%1)"/>
      <w:numFmt w:val="lowerLetter"/>
      <w:start w:val="11"/>
    </w:lvl>
  </w:abstractNum>
  <w:abstractNum w:abstractNumId="399">
    <w:nsid w:val="74824D54"/>
    <w:multiLevelType w:val="hybridMultilevel"/>
    <w:lvl w:ilvl="0">
      <w:lvlJc w:val="left"/>
      <w:lvlText w:val="%1"/>
      <w:numFmt w:val="lowerLetter"/>
      <w:start w:val="1"/>
    </w:lvl>
    <w:lvl w:ilvl="1">
      <w:lvlJc w:val="left"/>
      <w:lvlText w:val="(%2)"/>
      <w:numFmt w:val="lowerLetter"/>
      <w:start w:val="1"/>
    </w:lvl>
  </w:abstractNum>
  <w:abstractNum w:abstractNumId="400">
    <w:nsid w:val="6F00529A"/>
    <w:multiLevelType w:val="hybridMultilevel"/>
    <w:lvl w:ilvl="0">
      <w:lvlJc w:val="left"/>
      <w:lvlText w:val="(%1)"/>
      <w:numFmt w:val="lowerLetter"/>
      <w:start w:val="35"/>
    </w:lvl>
    <w:lvl w:ilvl="1">
      <w:lvlJc w:val="left"/>
      <w:lvlText w:val="%2"/>
      <w:numFmt w:val="lowerLetter"/>
      <w:start w:val="1"/>
    </w:lvl>
  </w:abstractNum>
  <w:abstractNum w:abstractNumId="401">
    <w:nsid w:val="805B331"/>
    <w:multiLevelType w:val="hybridMultilevel"/>
    <w:lvl w:ilvl="0">
      <w:lvlJc w:val="left"/>
      <w:lvlText w:val="(%1)"/>
      <w:numFmt w:val="lowerLetter"/>
      <w:start w:val="3"/>
    </w:lvl>
  </w:abstractNum>
  <w:abstractNum w:abstractNumId="402">
    <w:nsid w:val="60A1463"/>
    <w:multiLevelType w:val="hybridMultilevel"/>
    <w:lvl w:ilvl="0">
      <w:lvlJc w:val="left"/>
      <w:lvlText w:val="%1"/>
      <w:numFmt w:val="lowerLetter"/>
      <w:start w:val="1"/>
    </w:lvl>
    <w:lvl w:ilvl="1">
      <w:lvlJc w:val="left"/>
      <w:lvlText w:val="(%2)"/>
      <w:numFmt w:val="lowerLetter"/>
      <w:start w:val="9"/>
    </w:lvl>
  </w:abstractNum>
  <w:abstractNum w:abstractNumId="403">
    <w:nsid w:val="43773132"/>
    <w:multiLevelType w:val="hybridMultilevel"/>
    <w:lvl w:ilvl="0">
      <w:lvlJc w:val="left"/>
      <w:lvlText w:val="(%1)"/>
      <w:numFmt w:val="lowerLetter"/>
      <w:start w:val="24"/>
    </w:lvl>
    <w:lvl w:ilvl="1">
      <w:lvlJc w:val="left"/>
      <w:lvlText w:val="(%2)"/>
      <w:numFmt w:val="lowerLetter"/>
      <w:start w:val="16"/>
    </w:lvl>
  </w:abstractNum>
  <w:abstractNum w:abstractNumId="404">
    <w:nsid w:val="16AC4B23"/>
    <w:multiLevelType w:val="hybridMultilevel"/>
    <w:lvl w:ilvl="0">
      <w:lvlJc w:val="left"/>
      <w:lvlText w:val="(%1)"/>
      <w:numFmt w:val="lowerLetter"/>
      <w:start w:val="1"/>
    </w:lvl>
  </w:abstractNum>
  <w:abstractNum w:abstractNumId="405">
    <w:nsid w:val="76C44E4E"/>
    <w:multiLevelType w:val="hybridMultilevel"/>
    <w:lvl w:ilvl="0">
      <w:lvlJc w:val="left"/>
      <w:lvlText w:val="(%1)"/>
      <w:numFmt w:val="lowerLetter"/>
      <w:start w:val="5"/>
    </w:lvl>
  </w:abstractNum>
  <w:abstractNum w:abstractNumId="406">
    <w:nsid w:val="E04E6CE"/>
    <w:multiLevelType w:val="hybridMultilevel"/>
    <w:lvl w:ilvl="0">
      <w:lvlJc w:val="left"/>
      <w:lvlText w:val="(%1)"/>
      <w:numFmt w:val="lowerLetter"/>
      <w:start w:val="3"/>
    </w:lvl>
  </w:abstractNum>
  <w:abstractNum w:abstractNumId="407">
    <w:nsid w:val="31A9DB76"/>
    <w:multiLevelType w:val="hybridMultilevel"/>
    <w:lvl w:ilvl="0">
      <w:lvlJc w:val="left"/>
      <w:lvlText w:val="(%1)"/>
      <w:numFmt w:val="lowerLetter"/>
      <w:start w:val="1"/>
    </w:lvl>
  </w:abstractNum>
  <w:abstractNum w:abstractNumId="408">
    <w:nsid w:val="4C4FFF5B"/>
    <w:multiLevelType w:val="hybridMultilevel"/>
    <w:lvl w:ilvl="0">
      <w:lvlJc w:val="left"/>
      <w:lvlText w:val="(%1)"/>
      <w:numFmt w:val="lowerLetter"/>
      <w:start w:val="1"/>
    </w:lvl>
  </w:abstractNum>
  <w:abstractNum w:abstractNumId="409">
    <w:nsid w:val="51B76675"/>
    <w:multiLevelType w:val="hybridMultilevel"/>
    <w:lvl w:ilvl="0">
      <w:lvlJc w:val="left"/>
      <w:lvlText w:val="%1"/>
      <w:numFmt w:val="lowerLetter"/>
      <w:start w:val="1"/>
    </w:lvl>
    <w:lvl w:ilvl="1">
      <w:lvlJc w:val="left"/>
      <w:lvlText w:val="(%2)"/>
      <w:numFmt w:val="lowerLetter"/>
      <w:start w:val="2"/>
    </w:lvl>
  </w:abstractNum>
  <w:abstractNum w:abstractNumId="410">
    <w:nsid w:val="59A4BA71"/>
    <w:multiLevelType w:val="hybridMultilevel"/>
    <w:lvl w:ilvl="0">
      <w:lvlJc w:val="left"/>
      <w:lvlText w:val="(%1)"/>
      <w:numFmt w:val="lowerLetter"/>
      <w:start w:val="3"/>
    </w:lvl>
    <w:lvl w:ilvl="1">
      <w:lvlJc w:val="left"/>
      <w:lvlText w:val="%2"/>
      <w:numFmt w:val="lowerLetter"/>
      <w:start w:val="1"/>
    </w:lvl>
  </w:abstractNum>
  <w:abstractNum w:abstractNumId="411">
    <w:nsid w:val="450B7FB6"/>
    <w:multiLevelType w:val="hybridMultilevel"/>
    <w:lvl w:ilvl="0">
      <w:lvlJc w:val="left"/>
      <w:lvlText w:val="(%1)"/>
      <w:numFmt w:val="lowerLetter"/>
      <w:start w:val="5"/>
    </w:lvl>
  </w:abstractNum>
  <w:abstractNum w:abstractNumId="412">
    <w:nsid w:val="340BF64D"/>
    <w:multiLevelType w:val="hybridMultilevel"/>
    <w:lvl w:ilvl="0">
      <w:lvlJc w:val="left"/>
      <w:lvlText w:val="%1"/>
      <w:numFmt w:val="lowerLetter"/>
      <w:start w:val="1"/>
    </w:lvl>
    <w:lvl w:ilvl="1">
      <w:lvlJc w:val="left"/>
      <w:lvlText w:val="(%2)"/>
      <w:numFmt w:val="lowerLetter"/>
      <w:start w:val="1"/>
    </w:lvl>
  </w:abstractNum>
  <w:abstractNum w:abstractNumId="413">
    <w:nsid w:val="69454021"/>
    <w:multiLevelType w:val="hybridMultilevel"/>
    <w:lvl w:ilvl="0">
      <w:lvlJc w:val="left"/>
      <w:lvlText w:val="(%1)"/>
      <w:numFmt w:val="lowerLetter"/>
      <w:start w:val="35"/>
    </w:lvl>
    <w:lvl w:ilvl="1">
      <w:lvlJc w:val="left"/>
      <w:lvlText w:val="%2"/>
      <w:numFmt w:val="lowerLetter"/>
      <w:start w:val="1"/>
    </w:lvl>
  </w:abstractNum>
  <w:abstractNum w:abstractNumId="414">
    <w:nsid w:val="49F15C6B"/>
    <w:multiLevelType w:val="hybridMultilevel"/>
    <w:lvl w:ilvl="0">
      <w:lvlJc w:val="left"/>
      <w:lvlText w:val="(%1)"/>
      <w:numFmt w:val="lowerLetter"/>
      <w:start w:val="1"/>
    </w:lvl>
  </w:abstractNum>
  <w:abstractNum w:abstractNumId="415">
    <w:nsid w:val="75F56228"/>
    <w:multiLevelType w:val="hybridMultilevel"/>
    <w:lvl w:ilvl="0">
      <w:lvlJc w:val="left"/>
      <w:lvlText w:val="(%1)"/>
      <w:numFmt w:val="lowerLetter"/>
      <w:start w:val="1"/>
    </w:lvl>
  </w:abstractNum>
  <w:abstractNum w:abstractNumId="416">
    <w:nsid w:val="1C618271"/>
    <w:multiLevelType w:val="hybridMultilevel"/>
    <w:lvl w:ilvl="0">
      <w:lvlJc w:val="left"/>
      <w:lvlText w:val="(%1)"/>
      <w:numFmt w:val="lowerLetter"/>
      <w:start w:val="1"/>
    </w:lvl>
    <w:lvl w:ilvl="1">
      <w:lvlJc w:val="left"/>
      <w:lvlText w:val="(%2)"/>
      <w:numFmt w:val="lowerRoman"/>
      <w:start w:val="1"/>
    </w:lvl>
  </w:abstractNum>
  <w:abstractNum w:abstractNumId="417">
    <w:nsid w:val="6505F02E"/>
    <w:multiLevelType w:val="hybridMultilevel"/>
    <w:lvl w:ilvl="0">
      <w:lvlJc w:val="left"/>
      <w:lvlText w:val="%1"/>
      <w:numFmt w:val="lowerLetter"/>
      <w:start w:val="1"/>
    </w:lvl>
    <w:lvl w:ilvl="1">
      <w:lvlJc w:val="left"/>
      <w:lvlText w:val="(%2)"/>
      <w:numFmt w:val="lowerLetter"/>
      <w:start w:val="61"/>
    </w:lvl>
  </w:abstractNum>
  <w:abstractNum w:abstractNumId="418">
    <w:nsid w:val="2FE5D025"/>
    <w:multiLevelType w:val="hybridMultilevel"/>
    <w:lvl w:ilvl="0">
      <w:lvlJc w:val="left"/>
      <w:lvlText w:val="(%1)"/>
      <w:numFmt w:val="lowerLetter"/>
      <w:start w:val="7"/>
    </w:lvl>
    <w:lvl w:ilvl="1">
      <w:lvlJc w:val="left"/>
      <w:lvlText w:val="%2"/>
      <w:numFmt w:val="lowerLetter"/>
      <w:start w:val="1"/>
    </w:lvl>
  </w:abstractNum>
  <w:abstractNum w:abstractNumId="419">
    <w:nsid w:val="30E1B1CF"/>
    <w:multiLevelType w:val="hybridMultilevel"/>
    <w:lvl w:ilvl="0">
      <w:lvlJc w:val="left"/>
      <w:lvlText w:val="%1"/>
      <w:numFmt w:val="lowerLetter"/>
      <w:start w:val="1"/>
    </w:lvl>
    <w:lvl w:ilvl="1">
      <w:lvlJc w:val="left"/>
      <w:lvlText w:val="(%2)"/>
      <w:numFmt w:val="lowerRoman"/>
      <w:start w:val="4"/>
    </w:lvl>
  </w:abstractNum>
  <w:abstractNum w:abstractNumId="420">
    <w:nsid w:val="C7A9237"/>
    <w:multiLevelType w:val="hybridMultilevel"/>
    <w:lvl w:ilvl="0">
      <w:lvlJc w:val="left"/>
      <w:lvlText w:val="(%1)"/>
      <w:numFmt w:val="lowerLetter"/>
      <w:start w:val="2"/>
    </w:lvl>
    <w:lvl w:ilvl="1">
      <w:lvlJc w:val="left"/>
      <w:lvlText w:val="%2"/>
      <w:numFmt w:val="lowerRoman"/>
      <w:start w:val="1"/>
    </w:lvl>
  </w:abstractNum>
  <w:abstractNum w:abstractNumId="421">
    <w:nsid w:val="676B3580"/>
    <w:multiLevelType w:val="hybridMultilevel"/>
    <w:lvl w:ilvl="0">
      <w:lvlJc w:val="left"/>
      <w:lvlText w:val="(%1)"/>
      <w:numFmt w:val="lowerLetter"/>
      <w:start w:val="1"/>
    </w:lvl>
    <w:lvl w:ilvl="1">
      <w:lvlJc w:val="left"/>
      <w:lvlText w:val="(%2)"/>
      <w:numFmt w:val="lowerLetter"/>
      <w:start w:val="9"/>
    </w:lvl>
  </w:abstractNum>
  <w:abstractNum w:abstractNumId="422">
    <w:nsid w:val="3193C8F9"/>
    <w:multiLevelType w:val="hybridMultilevel"/>
    <w:lvl w:ilvl="0">
      <w:lvlJc w:val="left"/>
      <w:lvlText w:val="(%1)"/>
      <w:numFmt w:val="lowerRoman"/>
      <w:start w:val="2"/>
    </w:lvl>
  </w:abstractNum>
  <w:abstractNum w:abstractNumId="423">
    <w:nsid w:val="5FA6C6DC"/>
    <w:multiLevelType w:val="hybridMultilevel"/>
    <w:lvl w:ilvl="0">
      <w:lvlJc w:val="left"/>
      <w:lvlText w:val="(%1)"/>
      <w:numFmt w:val="lowerLetter"/>
      <w:start w:val="2"/>
    </w:lvl>
  </w:abstractNum>
  <w:abstractNum w:abstractNumId="424">
    <w:nsid w:val="77933F62"/>
    <w:multiLevelType w:val="hybridMultilevel"/>
    <w:lvl w:ilvl="0">
      <w:lvlJc w:val="left"/>
      <w:lvlText w:val="(%1)"/>
      <w:numFmt w:val="lowerLetter"/>
      <w:start w:val="3"/>
    </w:lvl>
  </w:abstractNum>
  <w:abstractNum w:abstractNumId="425">
    <w:nsid w:val="6CB4EE9C"/>
    <w:multiLevelType w:val="hybridMultilevel"/>
    <w:lvl w:ilvl="0">
      <w:lvlJc w:val="left"/>
      <w:lvlText w:val="(%1)"/>
      <w:numFmt w:val="lowerLetter"/>
      <w:start w:val="1"/>
    </w:lvl>
    <w:lvl w:ilvl="1">
      <w:lvlJc w:val="left"/>
      <w:lvlText w:val="(%2)"/>
      <w:numFmt w:val="lowerRoman"/>
      <w:start w:val="1"/>
    </w:lvl>
  </w:abstractNum>
  <w:abstractNum w:abstractNumId="426">
    <w:nsid w:val="6A6D56D7"/>
    <w:multiLevelType w:val="hybridMultilevel"/>
    <w:lvl w:ilvl="0">
      <w:lvlJc w:val="left"/>
      <w:lvlText w:val="(%1)"/>
      <w:numFmt w:val="lowerLetter"/>
      <w:start w:val="2"/>
    </w:lvl>
  </w:abstractNum>
  <w:abstractNum w:abstractNumId="427">
    <w:nsid w:val="5B727F19"/>
    <w:multiLevelType w:val="hybridMultilevel"/>
    <w:lvl w:ilvl="0">
      <w:lvlJc w:val="left"/>
      <w:lvlText w:val="(%1)"/>
      <w:numFmt w:val="lowerLetter"/>
      <w:start w:val="1"/>
    </w:lvl>
    <w:lvl w:ilvl="1">
      <w:lvlJc w:val="left"/>
      <w:lvlText w:val="(%2)"/>
      <w:numFmt w:val="lowerRoman"/>
      <w:start w:val="1"/>
    </w:lvl>
  </w:abstractNum>
  <w:abstractNum w:abstractNumId="428">
    <w:nsid w:val="514E5CB0"/>
    <w:multiLevelType w:val="hybridMultilevel"/>
    <w:lvl w:ilvl="0">
      <w:lvlJc w:val="left"/>
      <w:lvlText w:val="(%1)"/>
      <w:numFmt w:val="lowerLetter"/>
      <w:start w:val="25"/>
    </w:lvl>
    <w:lvl w:ilvl="1">
      <w:lvlJc w:val="left"/>
      <w:lvlText w:val="(%2)"/>
      <w:numFmt w:val="lowerRoman"/>
      <w:start w:val="4"/>
    </w:lvl>
  </w:abstractNum>
  <w:abstractNum w:abstractNumId="429">
    <w:nsid w:val="4210D41E"/>
    <w:multiLevelType w:val="hybridMultilevel"/>
    <w:lvl w:ilvl="0">
      <w:lvlJc w:val="left"/>
      <w:lvlText w:val="(%1)"/>
      <w:numFmt w:val="lowerRoman"/>
      <w:start w:val="5"/>
    </w:lvl>
  </w:abstractNum>
  <w:abstractNum w:abstractNumId="430">
    <w:nsid w:val="4FF4CC6D"/>
    <w:multiLevelType w:val="hybridMultilevel"/>
    <w:lvl w:ilvl="0">
      <w:lvlJc w:val="left"/>
      <w:lvlText w:val="(%1)"/>
      <w:numFmt w:val="upperLetter"/>
      <w:start w:val="4"/>
    </w:lvl>
  </w:abstractNum>
  <w:abstractNum w:abstractNumId="431">
    <w:nsid w:val="404EAF4A"/>
    <w:multiLevelType w:val="hybridMultilevel"/>
    <w:lvl w:ilvl="0">
      <w:lvlJc w:val="left"/>
      <w:lvlText w:val="(%1)"/>
      <w:numFmt w:val="lowerLetter"/>
      <w:start w:val="2"/>
    </w:lvl>
    <w:lvl w:ilvl="1">
      <w:lvlJc w:val="left"/>
      <w:lvlText w:val="(%2)"/>
      <w:numFmt w:val="upperLetter"/>
      <w:start w:val="1"/>
    </w:lvl>
  </w:abstractNum>
  <w:abstractNum w:abstractNumId="432">
    <w:nsid w:val="4A16874F"/>
    <w:multiLevelType w:val="hybridMultilevel"/>
    <w:lvl w:ilvl="0">
      <w:lvlJc w:val="left"/>
      <w:lvlText w:val="(%1)"/>
      <w:numFmt w:val="lowerLetter"/>
      <w:start w:val="3"/>
    </w:lvl>
  </w:abstractNum>
  <w:abstractNum w:abstractNumId="433">
    <w:nsid w:val="55FEE0D1"/>
    <w:multiLevelType w:val="hybridMultilevel"/>
    <w:lvl w:ilvl="0">
      <w:lvlJc w:val="left"/>
      <w:lvlText w:val="(%1)"/>
      <w:numFmt w:val="lowerLetter"/>
      <w:start w:val="6"/>
    </w:lvl>
  </w:abstractNum>
  <w:abstractNum w:abstractNumId="434">
    <w:nsid w:val="3C5E07C"/>
    <w:multiLevelType w:val="hybridMultilevel"/>
    <w:lvl w:ilvl="0">
      <w:lvlJc w:val="left"/>
      <w:lvlText w:val="(%1)"/>
      <w:numFmt w:val="lowerLetter"/>
      <w:start w:val="4"/>
    </w:lvl>
  </w:abstractNum>
  <w:abstractNum w:abstractNumId="435">
    <w:nsid w:val="60C2D273"/>
    <w:multiLevelType w:val="hybridMultilevel"/>
    <w:lvl w:ilvl="0">
      <w:lvlJc w:val="left"/>
      <w:lvlText w:val="(%1)"/>
      <w:numFmt w:val="upperLetter"/>
      <w:start w:val="1"/>
    </w:lvl>
    <w:lvl w:ilvl="1">
      <w:lvlJc w:val="left"/>
      <w:lvlText w:val="(%2)"/>
      <w:numFmt w:val="lowerLetter"/>
      <w:start w:val="5"/>
    </w:lvl>
  </w:abstractNum>
  <w:abstractNum w:abstractNumId="436">
    <w:nsid w:val="4CC32F1F"/>
    <w:multiLevelType w:val="hybridMultilevel"/>
    <w:lvl w:ilvl="0">
      <w:lvlJc w:val="left"/>
      <w:lvlText w:val="(%1)"/>
      <w:numFmt w:val="lowerLetter"/>
      <w:start w:val="6"/>
    </w:lvl>
  </w:abstractNum>
  <w:abstractNum w:abstractNumId="437">
    <w:nsid w:val="11CAC74A"/>
    <w:multiLevelType w:val="hybridMultilevel"/>
    <w:lvl w:ilvl="0">
      <w:lvlJc w:val="left"/>
      <w:lvlText w:val="(%1)"/>
      <w:numFmt w:val="lowerLetter"/>
      <w:start w:val="1"/>
    </w:lvl>
  </w:abstractNum>
  <w:abstractNum w:abstractNumId="438">
    <w:nsid w:val="126CADE9"/>
    <w:multiLevelType w:val="hybridMultilevel"/>
    <w:lvl w:ilvl="0">
      <w:lvlJc w:val="left"/>
      <w:lvlText w:val="(%1)"/>
      <w:numFmt w:val="lowerLetter"/>
      <w:start w:val="2"/>
    </w:lvl>
  </w:abstractNum>
  <w:abstractNum w:abstractNumId="439">
    <w:nsid w:val="19132E7B"/>
    <w:multiLevelType w:val="hybridMultilevel"/>
    <w:lvl w:ilvl="0">
      <w:lvlJc w:val="left"/>
      <w:lvlText w:val="(%1)"/>
      <w:numFmt w:val="lowerLetter"/>
      <w:start w:val="3"/>
    </w:lvl>
    <w:lvl w:ilvl="1">
      <w:lvlJc w:val="left"/>
      <w:lvlText w:val="(%2)"/>
      <w:numFmt w:val="lowerRoman"/>
      <w:start w:val="1"/>
    </w:lvl>
  </w:abstractNum>
  <w:abstractNum w:abstractNumId="440">
    <w:nsid w:val="63822DC0"/>
    <w:multiLevelType w:val="hybridMultilevel"/>
    <w:lvl w:ilvl="0">
      <w:lvlJc w:val="left"/>
      <w:lvlText w:val="(%1)"/>
      <w:numFmt w:val="lowerRoman"/>
      <w:start w:val="4"/>
    </w:lvl>
  </w:abstractNum>
  <w:abstractNum w:abstractNumId="441">
    <w:nsid w:val="6C11685A"/>
    <w:multiLevelType w:val="hybridMultilevel"/>
    <w:lvl w:ilvl="0">
      <w:lvlJc w:val="left"/>
      <w:lvlText w:val="(%1)"/>
      <w:numFmt w:val="lowerLetter"/>
      <w:start w:val="5"/>
    </w:lvl>
  </w:abstractNum>
  <w:abstractNum w:abstractNumId="442">
    <w:nsid w:val="5E1EAE31"/>
    <w:multiLevelType w:val="hybridMultilevel"/>
    <w:lvl w:ilvl="0">
      <w:lvlJc w:val="left"/>
      <w:lvlText w:val="(%1)"/>
      <w:numFmt w:val="lowerLetter"/>
      <w:start w:val="7"/>
    </w:lvl>
    <w:lvl w:ilvl="1">
      <w:lvlJc w:val="left"/>
      <w:lvlText w:val="(%2)"/>
      <w:numFmt w:val="lowerRoman"/>
      <w:start w:val="2"/>
    </w:lvl>
  </w:abstractNum>
  <w:abstractNum w:abstractNumId="443">
    <w:nsid w:val="178E240D"/>
    <w:multiLevelType w:val="hybridMultilevel"/>
    <w:lvl w:ilvl="0">
      <w:lvlJc w:val="left"/>
      <w:lvlText w:val="(%1)"/>
      <w:numFmt w:val="lowerRoman"/>
      <w:start w:val="4"/>
    </w:lvl>
  </w:abstractNum>
  <w:abstractNum w:abstractNumId="444">
    <w:nsid w:val="5556A87B"/>
    <w:multiLevelType w:val="hybridMultilevel"/>
    <w:lvl w:ilvl="0">
      <w:lvlJc w:val="left"/>
      <w:lvlText w:val="(%1)"/>
      <w:numFmt w:val="lowerLetter"/>
      <w:start w:val="1"/>
    </w:lvl>
  </w:abstractNum>
  <w:abstractNum w:abstractNumId="445">
    <w:nsid w:val="28100A9C"/>
    <w:multiLevelType w:val="hybridMultilevel"/>
    <w:lvl w:ilvl="0">
      <w:lvlJc w:val="left"/>
      <w:lvlText w:val="(%1)"/>
      <w:numFmt w:val="lowerLetter"/>
      <w:start w:val="3"/>
    </w:lvl>
  </w:abstractNum>
  <w:abstractNum w:abstractNumId="446">
    <w:nsid w:val="D838636"/>
    <w:multiLevelType w:val="hybridMultilevel"/>
    <w:lvl w:ilvl="0">
      <w:lvlJc w:val="left"/>
      <w:lvlText w:val="(%1)"/>
      <w:numFmt w:val="lowerLetter"/>
      <w:start w:val="4"/>
    </w:lvl>
  </w:abstractNum>
  <w:abstractNum w:abstractNumId="447">
    <w:nsid w:val="71B82AED"/>
    <w:multiLevelType w:val="hybridMultilevel"/>
    <w:lvl w:ilvl="0">
      <w:lvlJc w:val="left"/>
      <w:lvlText w:val="(%1)"/>
      <w:numFmt w:val="lowerLetter"/>
      <w:start w:val="6"/>
    </w:lvl>
  </w:abstractNum>
  <w:abstractNum w:abstractNumId="448">
    <w:nsid w:val="D15FACA"/>
    <w:multiLevelType w:val="hybridMultilevel"/>
    <w:lvl w:ilvl="0">
      <w:lvlJc w:val="left"/>
      <w:lvlText w:val="(%1)"/>
      <w:numFmt w:val="lowerLetter"/>
      <w:start w:val="1"/>
    </w:lvl>
  </w:abstractNum>
  <w:abstractNum w:abstractNumId="449">
    <w:nsid w:val="3D69565B"/>
    <w:multiLevelType w:val="hybridMultilevel"/>
    <w:lvl w:ilvl="0">
      <w:lvlJc w:val="left"/>
      <w:lvlText w:val="(%1)"/>
      <w:numFmt w:val="lowerLetter"/>
      <w:start w:val="1"/>
    </w:lvl>
  </w:abstractNum>
  <w:abstractNum w:abstractNumId="450">
    <w:nsid w:val="2299DCBC"/>
    <w:multiLevelType w:val="hybridMultilevel"/>
    <w:lvl w:ilvl="0">
      <w:lvlJc w:val="left"/>
      <w:lvlText w:val="(%1)"/>
      <w:numFmt w:val="upperLetter"/>
      <w:start w:val="2"/>
    </w:lvl>
  </w:abstractNum>
  <w:abstractNum w:abstractNumId="451">
    <w:nsid w:val="19908D02"/>
    <w:multiLevelType w:val="hybridMultilevel"/>
    <w:lvl w:ilvl="0">
      <w:lvlJc w:val="left"/>
      <w:lvlText w:val="(%1)"/>
      <w:numFmt w:val="lowerLetter"/>
      <w:start w:val="1"/>
    </w:lvl>
    <w:lvl w:ilvl="1">
      <w:lvlJc w:val="left"/>
      <w:lvlText w:val="(%2)"/>
      <w:numFmt w:val="lowerRoman"/>
      <w:start w:val="1"/>
    </w:lvl>
  </w:abstractNum>
  <w:abstractNum w:abstractNumId="452">
    <w:nsid w:val="24D48BDB"/>
    <w:multiLevelType w:val="hybridMultilevel"/>
    <w:lvl w:ilvl="0">
      <w:lvlJc w:val="left"/>
      <w:lvlText w:val="%1."/>
      <w:numFmt w:val="decimal"/>
      <w:start w:val="1"/>
    </w:lvl>
    <w:lvl w:ilvl="1">
      <w:lvlJc w:val="left"/>
      <w:lvlText w:val="%2."/>
      <w:numFmt w:val="lowerLetter"/>
      <w:start w:val="1"/>
    </w:lvl>
  </w:abstractNum>
  <w:abstractNum w:abstractNumId="453">
    <w:nsid w:val="542DA5B5"/>
    <w:multiLevelType w:val="hybridMultilevel"/>
    <w:lvl w:ilvl="0">
      <w:lvlJc w:val="left"/>
      <w:lvlText w:val="%1."/>
      <w:numFmt w:val="decimal"/>
      <w:start w:val="1"/>
    </w:lvl>
    <w:lvl w:ilvl="1">
      <w:lvlJc w:val="left"/>
      <w:lvlText w:val="%2."/>
      <w:numFmt w:val="lowerLetter"/>
      <w:start w:val="1"/>
    </w:lvl>
  </w:abstractNum>
  <w:abstractNum w:abstractNumId="454">
    <w:nsid w:val="793753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45" Type="http://schemas.openxmlformats.org/officeDocument/2006/relationships/hyperlink" Target="http://www.sec.gov/Archives/edgar/data/1174922/000117492215000044/ex-31.htm" TargetMode="External"/><Relationship Id="rId46" Type="http://schemas.openxmlformats.org/officeDocument/2006/relationships/hyperlink" Target="http://www.sec.gov/Archives/edgar/data/1174922/000117492215000106/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2019-12-28T02:58:49Z</dcterms:created>
  <dcterms:modified xsi:type="dcterms:W3CDTF">2019-12-28T02:58:49Z</dcterms:modified>
</cp:coreProperties>
</file>