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0"/>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rPr>
              <w:t>Commission File Number: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98"/>
        </w:trPr>
        <w:tc>
          <w:tcPr>
            <w:tcW w:w="1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1"/>
              </w:rPr>
              <w:t>Act.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6"/>
        </w:trPr>
        <w:tc>
          <w:tcPr>
            <w:tcW w:w="1800" w:type="dxa"/>
            <w:vAlign w:val="bottom"/>
          </w:tcPr>
          <w:p>
            <w:pPr>
              <w:spacing w:after="0"/>
              <w:rPr>
                <w:sz w:val="15"/>
                <w:szCs w:val="15"/>
                <w:color w:val="auto"/>
              </w:rPr>
            </w:pPr>
          </w:p>
        </w:tc>
        <w:tc>
          <w:tcPr>
            <w:tcW w:w="6920" w:type="dxa"/>
            <w:vAlign w:val="bottom"/>
            <w:gridSpan w:val="2"/>
          </w:tcPr>
          <w:p>
            <w:pPr>
              <w:jc w:val="center"/>
              <w:ind w:right="6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 at April 30, 2026</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3"/>
        </w:trPr>
        <w:tc>
          <w:tcPr>
            <w:tcW w:w="872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103,786,729</w:t>
            </w:r>
          </w:p>
        </w:tc>
        <w:tc>
          <w:tcPr>
            <w:tcW w:w="520" w:type="dxa"/>
            <w:vAlign w:val="bottom"/>
          </w:tcPr>
          <w:p>
            <w:pPr>
              <w:spacing w:after="0"/>
              <w:rPr>
                <w:sz w:val="22"/>
                <w:szCs w:val="22"/>
                <w:color w:val="auto"/>
              </w:rPr>
            </w:pPr>
          </w:p>
        </w:tc>
      </w:tr>
      <w:tr>
        <w:trPr>
          <w:trHeight w:val="520"/>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4"/>
          </w:tcPr>
          <w:p>
            <w:pPr>
              <w:ind w:left="800"/>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2026 (unaudited) and December 31,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Three Months Ended March 31,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Months Ended March 31, 2026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and 2025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Months Ended March 31, 2026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2025</w:t>
            </w:r>
          </w:p>
        </w:tc>
        <w:tc>
          <w:tcPr>
            <w:tcW w:w="3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 - Three Months Ended March 31, 2026 and 2025</w:t>
            </w:r>
          </w:p>
        </w:tc>
        <w:tc>
          <w:tcPr>
            <w:tcW w:w="96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4"/>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1,187,644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1,463,442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607,583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601,756</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$50,142 and $45,645, respectively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388,504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402,641</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91,603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153,773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127,204</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2,429,107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2,683,521</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6,604,217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6,625,922</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95,733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224,242</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1,772,691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1,778,052</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400,928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409,070</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1,055,289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948,156</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267,601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274,907</w:t>
            </w: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12,905,298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222,887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498,486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569,603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215,581</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178,333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245,550</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132,772</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547,841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196,643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214,955</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1,956,440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1,643,178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9,976,664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10,537,402</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1,635,360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1,629,117</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279,174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329,699</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13,847,638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14,139,396</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ind w:left="360"/>
              <w:spacing w:after="0" w:line="157" w:lineRule="exact"/>
              <w:rPr>
                <w:sz w:val="20"/>
                <w:szCs w:val="20"/>
                <w:color w:val="auto"/>
              </w:rPr>
            </w:pPr>
            <w:r>
              <w:rPr>
                <w:rFonts w:ascii="Times New Roman" w:cs="Times New Roman" w:eastAsia="Times New Roman" w:hAnsi="Times New Roman"/>
                <w:sz w:val="16"/>
                <w:szCs w:val="16"/>
                <w:color w:val="auto"/>
              </w:rPr>
              <w:t>Common stock, par value $0.01; 400,000,000 shares authorized; 134,770,204 and 134,326,464 shares issued;</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103,745,164 and 103,989,787 shares outstanding,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stock, at cost; 31,025,040 and 30,336,677 shares, respectively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(2,621,394)</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3,834,138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3,801,934</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(1,454,239)</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(211,822)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(275,492)</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(755,787)</w:t>
            </w:r>
          </w:p>
        </w:tc>
        <w:tc>
          <w:tcPr>
            <w:tcW w:w="0" w:type="dxa"/>
            <w:vAlign w:val="bottom"/>
          </w:tcPr>
          <w:p>
            <w:pPr>
              <w:spacing w:after="0"/>
              <w:rPr>
                <w:sz w:val="1"/>
                <w:szCs w:val="1"/>
                <w:color w:val="auto"/>
              </w:rPr>
            </w:pPr>
          </w:p>
        </w:tc>
      </w:tr>
      <w:tr>
        <w:trPr>
          <w:trHeight w:val="206"/>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(942,340)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(1,031,279)</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12,905,298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274,521</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249,879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1,856,762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1,700,397</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634,833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84,097</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155,421</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1,574,158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1,431,808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268,589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(157,608)</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(176,162)</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92,427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81,405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72,747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105,492</w:t>
            </w:r>
          </w:p>
        </w:tc>
        <w:tc>
          <w:tcPr>
            <w:tcW w:w="0" w:type="dxa"/>
            <w:vAlign w:val="bottom"/>
          </w:tcPr>
          <w:p>
            <w:pPr>
              <w:spacing w:after="0"/>
              <w:rPr>
                <w:sz w:val="1"/>
                <w:szCs w:val="1"/>
                <w:color w:val="auto"/>
              </w:rPr>
            </w:pPr>
          </w:p>
        </w:tc>
      </w:tr>
      <w:tr>
        <w:trPr>
          <w:trHeight w:val="234"/>
        </w:trPr>
        <w:tc>
          <w:tcPr>
            <w:tcW w:w="8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105,730</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81,405</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163,054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85,035</w:t>
            </w: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Wynn Resorts, Limited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75,374</w:t>
            </w:r>
          </w:p>
        </w:tc>
      </w:tr>
      <w:tr>
        <w:trPr>
          <w:trHeight w:val="21"/>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March 31, 2026</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103,989,787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(2,621,394)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3,801,934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(1,454,239)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(275,492)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(755,787)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(1,031,279)</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120,454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150,538</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9,113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12,516</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(688,363)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(26,070)</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(8,333)</w:t>
            </w:r>
          </w:p>
        </w:tc>
        <w:tc>
          <w:tcPr>
            <w:tcW w:w="0" w:type="dxa"/>
            <w:vAlign w:val="bottom"/>
          </w:tcPr>
          <w:p>
            <w:pPr>
              <w:spacing w:after="0"/>
              <w:rPr>
                <w:sz w:val="1"/>
                <w:szCs w:val="1"/>
                <w:color w:val="auto"/>
              </w:rPr>
            </w:pPr>
          </w:p>
        </w:tc>
      </w:tr>
      <w:tr>
        <w:trPr>
          <w:trHeight w:val="127"/>
        </w:trPr>
        <w:tc>
          <w:tcPr>
            <w:tcW w:w="2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25,583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25,583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26,958</w:t>
            </w:r>
          </w:p>
        </w:tc>
        <w:tc>
          <w:tcPr>
            <w:tcW w:w="0" w:type="dxa"/>
            <w:vAlign w:val="bottom"/>
          </w:tcPr>
          <w:p>
            <w:pPr>
              <w:spacing w:after="0"/>
              <w:rPr>
                <w:sz w:val="1"/>
                <w:szCs w:val="1"/>
                <w:color w:val="auto"/>
              </w:rPr>
            </w:pPr>
          </w:p>
        </w:tc>
      </w:tr>
      <w:tr>
        <w:trPr>
          <w:trHeight w:val="20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103,745,164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(2,693,428)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3,834,138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(1,359,857)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(211,822)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(730,518)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(942,340)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March 31, 2025</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107,821,567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(2,241,607)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3,698,800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(1,676,990)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(224,161)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(744,442)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(968,603)</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72,747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81,405</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7,917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7,922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7,922</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2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(2,504,560)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(213,527)</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(26,588)</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w:t>
            </w:r>
          </w:p>
        </w:tc>
        <w:tc>
          <w:tcPr>
            <w:tcW w:w="0" w:type="dxa"/>
            <w:vAlign w:val="bottom"/>
          </w:tcPr>
          <w:p>
            <w:pPr>
              <w:spacing w:after="0"/>
              <w:rPr>
                <w:sz w:val="1"/>
                <w:szCs w:val="1"/>
                <w:color w:val="auto"/>
              </w:rPr>
            </w:pPr>
          </w:p>
        </w:tc>
      </w:tr>
      <w:tr>
        <w:trPr>
          <w:trHeight w:val="127"/>
        </w:trPr>
        <w:tc>
          <w:tcPr>
            <w:tcW w:w="2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1,558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18,744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20,126</w:t>
            </w:r>
          </w:p>
        </w:tc>
        <w:tc>
          <w:tcPr>
            <w:tcW w:w="0" w:type="dxa"/>
            <w:vAlign w:val="bottom"/>
          </w:tcPr>
          <w:p>
            <w:pPr>
              <w:spacing w:after="0"/>
              <w:rPr>
                <w:sz w:val="1"/>
                <w:szCs w:val="1"/>
                <w:color w:val="auto"/>
              </w:rPr>
            </w:pPr>
          </w:p>
        </w:tc>
      </w:tr>
      <w:tr>
        <w:trPr>
          <w:trHeight w:val="20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105,869,624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(2,455,134)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3,727,019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(1,630,831)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(360,678)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(741,243)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(1,101,921)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150,538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81,405</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155,421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10,110</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(18,861)</w:t>
            </w: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(16,184)</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(143,628)</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153,455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133,774</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(159,931)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investments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(287,738)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(221,511)</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(212,048)</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(26,793)</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(137,954)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(266,951)</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(1,629)</w:t>
            </w: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(276,718)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(356,317)</w:t>
            </w:r>
          </w:p>
        </w:tc>
      </w:tr>
      <w:tr>
        <w:trPr>
          <w:trHeight w:val="21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1,560,095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2,521,793</w:t>
            </w:r>
          </w:p>
        </w:tc>
      </w:tr>
      <w:tr>
        <w:trPr>
          <w:trHeight w:val="234"/>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1,283,377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2,165,476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has a 40% equity interest in Island 3 AMI FZ-LLC ("Island 3"), an unconsolidated affiliate, which is constructing an integrated resort property ("Wynn Al Marjan Island") in Ras Al Khaimah, United Arab Emirates, currently expected to open in 2027.</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United States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2026 are not necessarily indicative of results to be expected for any other interim period or the full fiscal year ending December 31, 2026. These condensed consolidated financial statements should be read in conjunction with the consolidated financial statements and notes thereto in the Company's Annual Report on Form 10-K for the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$514.5 million and $440.7 million for the three months ended March 31, 2026 and 2025,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held $475.0 million in fixed deposits, recorded at fair value within Investments, and $133.5 million and $64.0 million in U.S. treasuries (including accrued interest), recorded at amortized cost within Investments and Long-term investments, respectively, in the Condensed Consolidated Balance Sheets. The estimated fair value of the Company's U.S. treasuries as of March 31, 2026 was approximately $197.2 million, as determined based on quoted market prices in active markets (Level 1 inputs), and the unrecognized holding loss was $0.3 million.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held $475.0 million in fixed deposits, recorded at fair value within Investments, and $127.3 million and $67.6 million in U.S. treasuries (including accrued interest), recorded at amortized cost within Investments and Long-term investments, respectively, in the Condensed Consolidated Balance Sheets. The estimated fair value of the Company's U.S. treasuries as of December 31, 2025 was approximately $194.4 million, as determined based on quoted market prices in active markets (Level 1 inputs), and the unrecognized holding loss was $0.5 million.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months ended March 31, 2026, the Company recorded no allowance for credit losses related to its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2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 in Island 3 and affiliated ventures (the "Al Marjan Joint Venture") using the equity method. Under the equity method, the investment's carrying value is adjusted for the Company’s share of the investee's earnings and losses, capital contributions to and distributions from the investee, and capitalization of interest cost incurred by the Company during the investee's initial development period.</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its share of income and loss on investments in unconsolidated affiliates as a component of Operating income within the Company's accompanying Condensed Consolidated Statements of Operations, as the Company’s investments in unconsolidated affiliates are an extension of the Company's core business operations. The Company recognized a loss on investments in unconsolidated affiliates of $7.5 million and $3.3 million for the three months ended March 31, 2026 and 2025, respectively, recorded in Pre-opening expenses within the Company's accompanying Condensed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(the "FASB") issued Accounting Standards Update ("ASU")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 Reporting Comprehensive Income — Expense Disaggregation Disclosures (Subtopic 220-40) </w:t>
      </w:r>
      <w:r>
        <w:rPr>
          <w:rFonts w:ascii="Times New Roman" w:cs="Times New Roman" w:eastAsia="Times New Roman" w:hAnsi="Times New Roman"/>
          <w:sz w:val="18"/>
          <w:szCs w:val="18"/>
          <w:color w:val="auto"/>
        </w:rPr>
        <w:t>("ASU 2024-03"). The standard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expanded disclosures related to the disaggregation of income statement expenses. The standard specifically requires additional disclosure of certain costs and expenses, including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Company's adoption of ASU 2024-03 will result in additional disclosures but is not expected to have an impact on the Company’s financial condition, results of operations and cash flows.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("ASU 2025-05"), which provides a practical expedient for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ASU 2025-05 is effective for annual periods beginning after December 15, 2025, and interim periods within those annual reporting periods and should be applied prospectively. The Company adopted ASU 2025-05 as of January 1, 2026 on a prospective basis. The adoption of ASU 2025-05 did not have a material impact on the Company's financial statements.</w:t>
      </w:r>
    </w:p>
    <w:p>
      <w:pPr>
        <w:spacing w:after="0" w:line="21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("ASU 2025-06"), which revises the approach to accounting for internal-use software costs by eliminating all references to the stages of software development projects, thereby making the guidance adaptable to a variety of software development methodologies. ASU 2025-06 will be effective for annual periods beginning after December 15, 2027, and interim periods within those annual reporting periods, on a prospective, modified or retrospective basis, with early adoption permitted. The Company is currently evaluating the impact that this guidance will have on the Company's consolidated financial statements and related disclosures.</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6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1,087,509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1,297,417</w:t>
            </w:r>
          </w:p>
        </w:tc>
      </w:tr>
      <w:tr>
        <w:trPr>
          <w:trHeight w:val="230"/>
        </w:trPr>
        <w:tc>
          <w:tcPr>
            <w:tcW w:w="796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166,025</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1,187,644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1,463,442</w:t>
            </w:r>
          </w:p>
        </w:tc>
      </w:tr>
      <w:tr>
        <w:trPr>
          <w:trHeight w:val="230"/>
        </w:trPr>
        <w:tc>
          <w:tcPr>
            <w:tcW w:w="7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96,653</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1,283,377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1,560,095</w:t>
            </w:r>
          </w:p>
        </w:tc>
      </w:tr>
      <w:tr>
        <w:trPr>
          <w:trHeight w:val="21"/>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17" w:lineRule="exact"/>
        <w:rPr>
          <w:rFonts w:ascii="Times New Roman" w:cs="Times New Roman" w:eastAsia="Times New Roman" w:hAnsi="Times New Roman"/>
          <w:sz w:val="14"/>
          <w:szCs w:val="14"/>
          <w:color w:val="auto"/>
        </w:rPr>
      </w:pPr>
    </w:p>
    <w:p>
      <w:pPr>
        <w:ind w:left="340" w:hanging="332"/>
        <w:spacing w:after="0" w:line="259" w:lineRule="auto"/>
        <w:tabs>
          <w:tab w:leader="none" w:pos="34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U.S. government treasuries and money market funds and excludes $607.6 million of short-term investments described in Note 2 - "Basis of Presentation and Significant Accounting Policies."</w:t>
      </w:r>
    </w:p>
    <w:p>
      <w:pPr>
        <w:jc w:val="both"/>
        <w:ind w:left="340" w:hanging="332"/>
        <w:spacing w:after="0" w:line="272" w:lineRule="auto"/>
        <w:tabs>
          <w:tab w:leader="none" w:pos="35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trusts in accordance with WML's share award plans, and as of March 31, 2026 and December 31, 2025 includes $86.7 million and $87.3 million, respectively, in the form of a first demand bank guarantee in favor of the Macau government to support the legal and contractual obligations of Wynn Resorts (Macau) S.A. ("Wynn Macau SA") through the term of Wynn Macau SA's gaming concession contract.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disclosures of the Company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177,005</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85,748</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94,527</w:t>
            </w: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448,286</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388,504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402,641</w:t>
            </w:r>
          </w:p>
        </w:tc>
      </w:tr>
      <w:tr>
        <w:trPr>
          <w:trHeight w:val="21"/>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approximately 73.9% and 77.5%, respectively, of the Company's markers were due from customers residing outside the U.S.,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Company’s allowance for casino credit losses was 15.9% and 14.3% of gross casino receivables as of March 31, 2026 and December 31, 2025, respectively. Although the Company believes that its allowance is adequate, it is possible the estimated amounts of cash collections with respect to receivables could change. The Company’s allowances for credit losses from its hotel and other receivables were not material.</w:t>
      </w:r>
    </w:p>
    <w:p>
      <w:pPr>
        <w:spacing w:after="0" w:line="2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37,694</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50,142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40,623</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7"/>
                <w:szCs w:val="17"/>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8,788,796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8,708,210</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1,226,834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3,662,869</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187,597</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14,222,622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14,135,796</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(7,618,405)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(7,509,874)</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6,604,217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6,625,922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construction in progress consisted primarily of costs capitalized for various capital enhancements at the Company's properties.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$147.6 million and $142.6 million,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WM Cayman II Revolver, due 2028</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1,149,597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6 3/4% Senior Notes, due 2034</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WML 4 1/2% Convertible Bonds, due 2029</w:t>
            </w:r>
            <w:r>
              <w:rPr>
                <w:rFonts w:ascii="Times New Roman" w:cs="Times New Roman" w:eastAsia="Times New Roman" w:hAnsi="Times New Roman"/>
                <w:sz w:val="23"/>
                <w:szCs w:val="23"/>
                <w:color w:val="auto"/>
                <w:vertAlign w:val="superscript"/>
              </w:rPr>
              <w:t>(2)(3)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57"/>
        </w:trPr>
        <w:tc>
          <w:tcPr>
            <w:tcW w:w="7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WRF Credit Facilities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2030</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752,813</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6 1/4% Senior Notes, due 2033</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7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Retail Term Loan, due 2027</w:t>
            </w:r>
            <w:r>
              <w:rPr>
                <w:rFonts w:ascii="Times New Roman" w:cs="Times New Roman" w:eastAsia="Times New Roman" w:hAnsi="Times New Roman"/>
                <w:sz w:val="23"/>
                <w:szCs w:val="23"/>
                <w:color w:val="auto"/>
                <w:vertAlign w:val="superscript"/>
              </w:rPr>
              <w:t>(5)</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10,626,070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10,632,410</w:t>
            </w:r>
          </w:p>
        </w:tc>
      </w:tr>
      <w:tr>
        <w:trPr>
          <w:trHeight w:val="229"/>
        </w:trPr>
        <w:tc>
          <w:tcPr>
            <w:tcW w:w="7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WML Convertible Bond Conversion Option Derivative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r>
      <w:tr>
        <w:trPr>
          <w:trHeight w:val="223"/>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10,524,505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10,546,812</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9,976,664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10,537,402</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40" w:hanging="332"/>
        <w:spacing w:after="0" w:line="268" w:lineRule="auto"/>
        <w:tabs>
          <w:tab w:leader="none" w:pos="32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$904.2 million of the WM Cayman II Revolver bears interest at a rate of Term SOFR plus 1.975% per year and HIBOR plus 1.875% per year, respectively. As of March 31, 2026, the weighted average interest rate was approximately 4.43%. As of March 31, 2026, the available borrowing capacity under the WM Cayman II Revolver was $1.35 billion.</w:t>
      </w:r>
    </w:p>
    <w:p>
      <w:pPr>
        <w:spacing w:after="0" w:line="15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5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carrying amount of the WML Convertible Bonds, together with the WML Convertible Bond Conversion Option Derivative, is included in Current portion of long-term debt as of March 31, 2026. WML may be required to redeem all or a portion of the WML Convertible Bonds at the option of bond holders on March 7, 2027.</w:t>
      </w:r>
    </w:p>
    <w:p>
      <w:pPr>
        <w:jc w:val="both"/>
        <w:ind w:left="340" w:hanging="332"/>
        <w:spacing w:after="0" w:line="254" w:lineRule="auto"/>
        <w:tabs>
          <w:tab w:leader="none" w:pos="3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2026, the net carrying amount of the WML Convertible Bonds was $524.7 million, with unamortized debt discount and debt issuance costs of $75.3 million. The Company recorded contractual interest expense of $6.8 million in each of the three months ended March 31, 2026 and 2025 and amortization of discounts and issuance costs of $5.5 million and $5.0 million during the three months ended March 31, 2026 and 2025, respectively.</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Term SOFR plus 1.75% per year. As of March 31, 2026, the weighted average interest rate was approximately 5.42%. Additionally, as of March 31, 2026, the available borrowing capacity under the WRF Revolver was $1.24 billion, net of $14.3 million in outstanding letters of credit.</w:t>
      </w:r>
    </w:p>
    <w:p>
      <w:pPr>
        <w:ind w:left="340" w:right="20" w:hanging="332"/>
        <w:spacing w:after="0" w:line="263" w:lineRule="auto"/>
        <w:tabs>
          <w:tab w:leader="none" w:pos="3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adjusted daily simple secured overnight financing rate ("SOFR") plus 2.15% per year. As of March 31, 2026, the effective interest rate was 5.54%.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management believes the Company was in compliance with all debt covenants.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March 31, 2026 and December 31, 2025 was approximately $10.52 billion and $10.74 billion, respectively, compared to its carrying value, excluding debt issuance costs and original issue discount and premium, of $10.63 billion for each period. The estimated fair value of the Company's long-term debt is based on recent trades, if available, and indicative pricing from market information (Level 2 inputs).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 Conversion Option</w:t>
      </w:r>
    </w:p>
    <w:p>
      <w:pPr>
        <w:spacing w:after="0" w:line="2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Operations. The following table sets forth the inputs to the lattice models that were used to value the WML Convertible Bond Conversion Option Derivative: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Dividend yield</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72" w:lineRule="exact"/>
        <w:rPr>
          <w:sz w:val="20"/>
          <w:szCs w:val="20"/>
          <w:color w:val="auto"/>
        </w:rPr>
      </w:pPr>
    </w:p>
    <w:p>
      <w:pPr>
        <w:ind w:left="340" w:hanging="332"/>
        <w:spacing w:after="0" w:line="282" w:lineRule="auto"/>
        <w:tabs>
          <w:tab w:leader="none" w:pos="39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yield is assumed to be zero in the lattice model used to value the WML Convertible Bond Conversion Option Derivative, due to a dividend protection feature in the WML Convertible Bond Agreement.</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fair value of the embedded derivative was $9.0 million recorded in Current portion of long-term debt and $32.6 million recorded in Long-term debt in the accompanying Condensed Consolidated Balance Sheets as of March 31, 2026 and December 31, 2025, respectively. In connection with the change in fair value, the Company recorded a gain of $23.6 million and loss of $16.0 million for the three months ended March 31, 2026 and 2025, respectively, within Change in derivatives fair value in the accompanying Condensed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foreign currency swap agreements (the "Foreign Currency Swaps") with the objective of managing foreign currency exchange rate risk associated with the outstanding U.S. dollar denominated WML Senior Notes. The Foreign Currency Swaps exchange predetermined amounts of Hong Kong dollars for U.S. dollars at a contractual spot rate, and as of March 31, 2026, have an aggregate notional amount of $4.10 billion, and have maturities between October 2027 and August 2030.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net fair value of the Foreign Currency Swaps was a liability of $20.2 million, with $17.7 million recorded in Prepaid expenses and other and $37.9 million recorded in Other long-term liabilities in the accompanying Condensed Consolidated Balance Sheets. As of December 31, 2025, the net fair value of the Foreign Currency Swaps was a liability of $36.0 million, with $17.0 million recorded in Prepaid expenses and other and $53.0 million recorded in Other long-term liabilities in the accompanying Condensed Consolidated Balance Sheets.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the Foreign Currency Swaps were estimated based on discounted future cash flows, incorporating foreign currency spot rates and market yield curves (Level 2 inputs). Gains and losses on the Foreign Currency Swaps are recorded in earnings, as these instruments are not designated as hedges. The Company recorded a gain of $21.7 million and a loss of $9.3 million in the three months ended March 31, 2026 and 2025, respectively, within Change in derivatives fair value in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528,667 shares of its common stock at an average price of $101.72 per share for an aggregate cost of $53.8 million under the equity repurchase program. During the three months ended March 31, 2025, the Company repurchased 2,360,194 shares of its common stock at an average price of $84.76 per share for an aggregate cost of $200.0 million under the equity repurchase program. As of March 31, 2026, the Company had $401.1 million in repurchase authority remaining under the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during each of the three month periods ended March 31, 2026 and 2025 and recorded $26.1 million and $26.6 million against accumulated deficit, respectively.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7, 2026, the Company's Board of Directors declared a cash dividend of $0.25 per share on its common stock, payable on May 29, 2026 to stockholders of record as of May 18,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2026, the WML Board of Directors recommended the payment of a final dividend for the year ended December 31, 2025 of HK$0.223 per share on its common stock payable on June 16, 2026 to stockholders of record as of June 5, 2026. The payment of the final dividend is conditional upon shareholder approval at WML's 2026 Annual General Meeting which is currently scheduled to be held on May 28, 2026.</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79,774,985 WML shares under the Securities Lending Agreement.</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Retail Joint Venture made aggregate distributions of $8.3 million and $6.3 million during the three months ended March 31, 2026 and 2025, respectively,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 (see Note 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37,923</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3" w:lineRule="exact"/>
        <w:rPr>
          <w:sz w:val="20"/>
          <w:szCs w:val="20"/>
          <w:color w:val="auto"/>
        </w:rPr>
      </w:pPr>
    </w:p>
    <w:p>
      <w:pPr>
        <w:ind w:left="20" w:right="520"/>
        <w:spacing w:after="0" w:line="234" w:lineRule="auto"/>
        <w:rPr>
          <w:sz w:val="20"/>
          <w:szCs w:val="20"/>
          <w:color w:val="auto"/>
        </w:rPr>
      </w:pPr>
      <w:r>
        <w:rPr>
          <w:rFonts w:ascii="Times New Roman" w:cs="Times New Roman" w:eastAsia="Times New Roman" w:hAnsi="Times New Roman"/>
          <w:sz w:val="18"/>
          <w:szCs w:val="18"/>
          <w:color w:val="auto"/>
        </w:rPr>
        <w:t>WML Convertible Bond Conversion Option Derivative (see Note 7)</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 swap</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32,586</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315"/>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53,036</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53,036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-556895</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-145415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1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66"/>
        </w:trPr>
        <w:tc>
          <w:tcPr>
            <w:tcW w:w="37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Casino outstanding chips and front money</w:t>
            </w: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deposits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Advance room deposits and ticket sales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gaming-related liabilities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Loyalty program and related liabilities</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593,361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515,392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340" w:hanging="332"/>
        <w:spacing w:after="0" w:line="262" w:lineRule="auto"/>
        <w:tabs>
          <w:tab w:leader="none" w:pos="34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40" w:hanging="332"/>
        <w:spacing w:after="0" w:line="254" w:lineRule="auto"/>
        <w:tabs>
          <w:tab w:leader="none" w:pos="3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340" w:hanging="332"/>
        <w:spacing w:after="0" w:line="278"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r>
      <w:tr>
        <w:trPr>
          <w:trHeight w:val="223"/>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19,400</w:t>
            </w: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20,782</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expense of $10.1 million and $11.0 million for the three months ended March 31, 2026 and 2025, respectively, primarily related to its U.S.-based operating profits.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statutory tax rate of 21% and the effective tax rate of 6.3% is due to the exemption from Macau's 12% Complementary Tax on casino gaming profits earned by Wynn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share-based awards outstanding under the Wynn Resorts, Limited Second Amended and Restated 2014 Omnibus Incentive Plan.</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120,454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72,747</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Assumed conversion of WML Convertible Bonds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72,747</w:t>
            </w:r>
          </w:p>
        </w:tc>
        <w:tc>
          <w:tcPr>
            <w:tcW w:w="0" w:type="dxa"/>
            <w:vAlign w:val="bottom"/>
          </w:tcPr>
          <w:p>
            <w:pPr>
              <w:spacing w:after="0"/>
              <w:rPr>
                <w:sz w:val="1"/>
                <w:szCs w:val="1"/>
                <w:color w:val="auto"/>
              </w:rPr>
            </w:pPr>
          </w:p>
        </w:tc>
      </w:tr>
      <w:tr>
        <w:trPr>
          <w:trHeight w:val="270"/>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Potential dilutive effect of stock options, nonvested, and performance nonvested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common and common equivalent shares outstanding</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103,800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105,730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 shares excluded from the calculation of</w:t>
            </w: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assumed conversion of the WML Convertible Bonds had an anti-dilutive impact for the three months ended March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36,460</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51,527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Island Funding Commitments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construction of Wynn Al Marjan Island and surrounding developments, including Janu Al Marjan Island, a hotel and residential development to be operated by Aman Group, the Company is required to contribute capital to the Al Marjan Joint Venture to fund 40% of the project design and development costs in exchange for a pro-rata share of equity. During the three months ended March 31, 2026, the Company contributed $100.1 million of cash into the Al Marjan Joint Venture, bringing our life-to-date cash contributions to $1.01 billion. The remaining 40% pro-rata share of the required cash contributions for Wynn Al Marjan Island and the surrounding development projects, including Janu Al-Marjan, is currently estimated to be between $350 million and $450 million inclusive of capitalized interest, fees, and certain improvements on the island.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Facility Completion Guarantee</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 (as provided in the Al Marjan Facility Agreement), taking place no later than June 30, 2028.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DCP Completion Guarantee and Share Pledge</w:t>
      </w:r>
    </w:p>
    <w:p>
      <w:pPr>
        <w:spacing w:after="0" w:line="2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7"/>
          <w:szCs w:val="17"/>
          <w:color w:val="auto"/>
        </w:rPr>
        <w:t>In February 2026, DCP AMI 3 FZ-LLC ("DCP"), an unconsolidated affiliate included in the Al Marjan Joint Venture, entered into a financing agreement for a U.S. dollar equivalent of approximately $45.1 million (the "DCP Financing"). DCP will construct and operate a district cooling plant serving Wynn Al Marjan Island and surrounding developments. In connection with the DCP Financing, the Al Marjan Guarantors entered into a completion guarantee, pursuant to which the Al Marjan Guarantors may be required to fund shortfalls necessary to achieve practical completion of the cooling plant by September 30, 2026. As of March 31, 2026, construction is substantially complete and the cooling plant is operational. Pursuant to a shareholder side letter, the Al Marjan Guarantors are required to pledge their equity interests in DCP as collateral for the DCP Financing. As of March 31, 2026, the Company's investment in DCP was $27.5 million and is presented in Investments in unconsolidated affiliates in Condensed Consolidated Balance Sheet.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Retail Joint Venture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Retail Joint Venture had total assets of $95.4 million and $96.5 million, respectively, and total liabilities of $607.6 million and $607.3 million, respectively. As of March 31, 2026 and December 31, 2025, the Retail Joint Venture's liabilities included long-term debt of $598.6 million and $598.4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("CEO"). The primary profitability measure used by the Company's CEO to review segment operating results and allocate resources is Adjusted Property EBITDAR.</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20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20" w:type="dxa"/>
            <w:vAlign w:val="bottom"/>
          </w:tcPr>
          <w:p>
            <w:pPr>
              <w:spacing w:after="0"/>
              <w:rPr>
                <w:sz w:val="11"/>
                <w:szCs w:val="11"/>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178,191</w:t>
            </w:r>
          </w:p>
        </w:tc>
        <w:tc>
          <w:tcPr>
            <w:tcW w:w="8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157,393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1,177,233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290,381</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130,129</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661,909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205,663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1,856,762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203,822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562,417</w:t>
            </w: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160,527</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282,604</w:t>
            </w:r>
          </w:p>
        </w:tc>
        <w:tc>
          <w:tcPr>
            <w:tcW w:w="0" w:type="dxa"/>
            <w:vAlign w:val="bottom"/>
          </w:tcPr>
          <w:p>
            <w:pPr>
              <w:spacing w:after="0"/>
              <w:rPr>
                <w:sz w:val="1"/>
                <w:szCs w:val="1"/>
                <w:color w:val="auto"/>
              </w:rPr>
            </w:pPr>
          </w:p>
        </w:tc>
      </w:tr>
      <w:tr>
        <w:trPr>
          <w:trHeight w:val="250"/>
        </w:trPr>
        <w:tc>
          <w:tcPr>
            <w:tcW w:w="5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(121,934)</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160,670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150,538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120,454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65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1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80" w:type="dxa"/>
            <w:vAlign w:val="bottom"/>
          </w:tcPr>
          <w:p>
            <w:pPr>
              <w:spacing w:after="0"/>
              <w:rPr>
                <w:sz w:val="11"/>
                <w:szCs w:val="11"/>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160,993</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249,879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135,567</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535,929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1,700,397</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223,361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532,899</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155,421</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36,581</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268,589</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(176,162)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92,427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81,405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72,747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14, "Leases."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payroll, cost of goods sold, marketing, promotional, facilities, taxes and licenses (excluding gaming taxes) and other operating expenses.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Las Vegas Operations, includes table and slot license fees.</w:t>
      </w: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6" w:lineRule="exact"/>
        <w:rPr>
          <w:sz w:val="20"/>
          <w:szCs w:val="20"/>
          <w:color w:val="auto"/>
        </w:rPr>
      </w:pPr>
    </w:p>
    <w:p>
      <w:pPr>
        <w:jc w:val="both"/>
        <w:ind w:left="340" w:hanging="332"/>
        <w:spacing w:after="0" w:line="260" w:lineRule="auto"/>
        <w:tabs>
          <w:tab w:leader="none" w:pos="34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53,178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37,765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90,943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65,589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56,150</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33,507</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179,064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159,931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18"/>
        </w:trPr>
        <w:tc>
          <w:tcPr>
            <w:tcW w:w="8060" w:type="dxa"/>
            <w:vAlign w:val="bottom"/>
          </w:tcPr>
          <w:p>
            <w:pPr>
              <w:spacing w:after="0"/>
              <w:rPr>
                <w:sz w:val="24"/>
                <w:szCs w:val="24"/>
                <w:color w:val="auto"/>
              </w:rPr>
            </w:pPr>
          </w:p>
        </w:tc>
        <w:tc>
          <w:tcPr>
            <w:tcW w:w="16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2,748,643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2,817,363</w:t>
            </w: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1,329,671</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1,042,997</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1,013,979</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5,051,265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5,161,013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3,252,007</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1,930,262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1,946,783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2,642,980</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2,748,314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12,905,298</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13,108,117</w:t>
            </w:r>
          </w:p>
        </w:tc>
      </w:tr>
      <w:tr>
        <w:trPr>
          <w:trHeight w:val="21"/>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2025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caused by, and the impact on regional demand for casino resorts and inbound tourism and the travel and leisure industry more generally from, events outside of our control, including an outbreak of an infectious disease, public incidents of violence, mass shootings, riots, demonstrations, extreme weather patterns or natural disasters, military conflicts, civil unrest, and any future security alerts or terrorist attacks;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regulatory and other macroeconomic or geopolitical risks associated with our current and future construction projects or co-investments in such projects;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30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spacing w:after="0" w:line="2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("Island 3") and affiliated ventures (collectively, the "Al Marjan Joint Venture"), which is constructing an integrated resort property ("Wynn Al Marjan Island") in Ras Al Khaimah, United Arab Emirates.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right="20" w:hanging="644"/>
        <w:spacing w:after="0" w:line="261"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first quarter 2026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1,856,762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operating revenues for the three months ended March 31, 2026 was largely driven by increased operating revenues of $123.4 million at Wynn Palace as a result of higher VIP and mass market table games win and $36.6 million at our Las Vegas Operations due to higher table games win and higher room revenues.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net income attributable to Wynn Resorts, Limited for the three months ended March 31, 2026 was primarily attributable to a $136.8 million increase in casino revenues and a $15.9 million increase in room revenues, partially offset by an increase in operating expenses. In addition, we recorded a gain in change in derivatives fair value of $46.8 million in the three months ended March 31, 2026 compared to a loss in change in derivatives fair value of $29.5 million in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March 31, 2026 compared to the three months ended March 31,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123,301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1,856,762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1,700,397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1,177,233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1,040,430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136,803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659,967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19,562</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1,856,762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1,700,397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156,365</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three months ended March 31, 2026 were 63.4% of operating revenues, compared to 61.2% for the same period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three months ended March 31, 2026 were 36.6% of operating revenues, compared to 38.8% for the same period of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Casino revenues increased primarily due to higher VIP and mass market table games volume at Wynn Palace and higher casino volumes at our Las Vegas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444,508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4,316,314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4,005,041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311,273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1,971,051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1,704,398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422,392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860,523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734,869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35,456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276,732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585,886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1,437,047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(851,161)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1,903,561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1,542,885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360,676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1,239,093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853,407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24,367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178,191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160,993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685,300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592,527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172,406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1,815,479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1,778,087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120,334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123,244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157,393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159,379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324,276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340,062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65,423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1,345,079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1,357,199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109,580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107,482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36,615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21,320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212,561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 revenues increased $15.9 million, primarily due to higher ADR at our Las Vegas Operations.</w:t>
      </w:r>
    </w:p>
    <w:p>
      <w:pPr>
        <w:spacing w:after="0" w:line="25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$9.1 million, primarily due to higher restaurant covers and average check amounts at our Las Vegas Operations.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revenues decreased $5.4 million, primarily as a result of lower entertainment venue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142,350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the increase in casino expenses at our Macau Operations, primarily driven by an increase in gaming tax expense, and an increase in food and beverage expense at our Las Vegas Operations and Wynn Palace.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Casino expense increased $74.8 million and $11.3 million at Wynn Palace and Wynn Macau, respectively, which includes increases of $66.9 million and $5.5 million in gaming tax expense at Wynn Palace and Wynn Macau, respectively. Casino expenses increased $10.3 million at our Las Vegas Operations, primarily driven by higher payroll and related costs, including stock-based compensation expense from stock awards granted in connection with the 20th anniversary of the opening of Wynn Las Vegas ("20th Anniversary").</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Rooms expense increased $4.8 million at our Las Vegas Operations, primarily related to higher payroll and related costs, including higher stock-based compensation expense as a result of stock awards granted in connection with the 20th Anniversary.</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Food and beverage expense increased $8.4 million at Wynn Palace, primarily as a result of increased cost of sales, and $18.9 million at our Las Vegas Operations largely due to costs associated with new food and beverage offerings and higher payroll and related costs, including higher stock-based compensation expense as a result of stock awards granted in connection with the 20th Anniversary.</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Pre-opening expense increased $6.5 million largely due to pre-opening costs associated with Wynn Al Marjan Island.</w:t>
      </w:r>
    </w:p>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Property charges and other expenses for the three months ended March 31, 2026 consisted primarily of asset abandonments and disposals of $4.3 million and $4.1 million at our Las Vegas Operations and our Macau Operations, respectively, and contract termination costs of $1.7 million at Encore Boston Harbor. Property charges and other expenses for the three months ended March 31, 2025 consisted primarily of asset abandonments of $4.8 million at our Macau Operations and contract termination costs of $5.8 million at Encore Boston Harbor.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Interest expense, net of amounts capitalized, decreased $5.2 million, primarily as a result of capitalized interest of $17.0 million in the three months ended March 31, 2026 compared to $10.2 million capitalized in the three months ended 2025.</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$13.1 million and $19.4 million in the three months ended March 31, 2026 and 2025, respectively, primarily related to interest earned on cash and cash equivalents held at financial institutions.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foreign currency remeasurement losses of $29.4 million and $8.4 million for the three months ended March 31, 2026 and 2025,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recorded a gain of $46.8 million for the three months ended March 31, 2026, from change in derivatives fair value, which includes a gain of $23.6 million related to the conversion feature on the WML Convertible Bonds and a gain of $21.7 million related to foreign currency swaps. We recorded a loss of $29.5 million for the three months ended March 31, 2025, from change in derivatives fair value, primarily related to the conversion feature on the WML Convertible Bonds and foreign currency swaps. For more information on the Company's derivative instruments, refer to Item 1—"Notes to Condensed Consolidated Financial Statements," Note 7, "Derivative Instruments."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$10.1 million and $11.0 million for the three months ended March 31, 2026 and 2025, respectively, primarily related to our U.S.-based operating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recognized net income attributable to noncontrolling interests of $30.1 million and $8.7 million for the three months ended March 31, 2026 and 2025, respectively, primarily related to the noncontrolling interest's share of net income from WML.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comparability may be limited.</w:t>
      </w:r>
    </w:p>
    <w:p>
      <w:pPr>
        <w:spacing w:after="0" w:line="2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EBITDAR (dollars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EBITDAR to net income attributable to Wynn Resorts, Limited.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Adjusted Property EBITDAR at Wynn Palace increased $41.9 million for the three months ended March 31, 2026, largely from an increase in casino revenue of $120.4 million, partially offset by increased casino expense, inclusive of gaming taxes.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Adjusted Property EBITDAR at Wynn Macau decreased $14.6 million for the three months ended March 31, 2026, primarily due to an increase in casino expense, inclusive of gaming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our Las Vegas Operations for the three months ended March 31, 2026 increased $9.1 million due to an increase in operating revenues of $36.6 million, partially offset by an increase in operating expenses.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Adjusted Property EBITDAR at Encore Boston Harbor decreased $6.9 million for the three months ended March 31, 2026, primarily due to a $3.6 million decrease in operating revenues.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133,774</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(61,484)</w:t>
            </w:r>
          </w:p>
        </w:tc>
        <w:tc>
          <w:tcPr>
            <w:tcW w:w="0" w:type="dxa"/>
            <w:vAlign w:val="bottom"/>
          </w:tcPr>
          <w:p>
            <w:pPr>
              <w:spacing w:after="0"/>
              <w:rPr>
                <w:sz w:val="1"/>
                <w:szCs w:val="1"/>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79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(287,738)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(221,511)</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(266,951)</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(276,718)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(356,317)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increase in cash flows from operating activities was largely driven by increased operating revenues of $123.4 million at Wynn Palace as a result of higher VIP and mass market table games win and $36.6 million at our Las Vegas Operations due to higher table games win and higher room revenues, partially offset by commensurate increases in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incurred capital expenditures of $84.4 million at our Las Vegas Operations, $53.2 million at Wynn Palace, $37.8 million at Wynn Macau, and $3.6 million at Encore Boston Harbor, primarily related to enhancements at our properties and maintenance capital expenditures, and $0.2 million at Corporate and other. In addition, during the three months ended March 31, 2026, we invested $114.6 million, including $100.1 million of cash contributions, in the Al Marjan Joint Venture, purchased $29.1 million of U.S. treasuries, and received proceeds of $27.1 million upon the maturity of investments.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incurred capital expenditures of $56.2 million at our Las Vegas Operations, $50.1 million at Wynn Palace, $15.5 million at Wynn Macau, and $4.7 million at Encore Boston Harbor primarily related to enhancements at our properties and maintenance capital expenditures, and $33.5 million at Corporate and other primarily related to future development projects. In addition, during the three months ended March 31, 2025, we invested $58.2 million, including $51.2 million of cash contributions, in the Al Marjan Joint Venture.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688,363 shares of our common stock for an aggregate cost of $70.0 million, including 528,667 shares of our common stock repurchased pursuant to our publicly announced equity repurchase program for an aggregate cost of $53.8 million. We also made dividend payments of $26.9 million, finance lease payments of $6.9 million, and used cash of $8.3 million for distributions to noncontrolling interest holders of the Retail Joint Venture.</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we made a scheduled amortization payment of $10.3 million on the WRF Term Loan, due in 2027. In addition, during the three months ended March 31, 2025, we repurchased 2,504,560 shares of our common stock for an aggregate cost of $212.0 million, including 2,360,194 shares of our common stock repurchased pursuant to our publicly announced equity repurchase program for an aggregate cost of $200.0 million. We also made dividend payments of $26.8 million and used cash of $6.3 million for distributions to noncontrolling interest holders of the Retail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presented by significant financing entity as of March 31, 2026 (in thousands):</w:t>
      </w:r>
    </w:p>
    <w:tbl>
      <w:tblPr>
        <w:tblLayout w:type="fixed"/>
        <w:tblInd w:w="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240" w:type="dxa"/>
            <w:vAlign w:val="bottom"/>
          </w:tcPr>
          <w:p>
            <w:pPr>
              <w:spacing w:after="0"/>
              <w:rPr>
                <w:sz w:val="12"/>
                <w:szCs w:val="12"/>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Revolver Borrowing</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1,347,227</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Wynn Resorts Finance, LLC</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1,235,705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1,187,644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607,583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2,582,932</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U.S. treasuries and fixed deposits maturing in less than one year and exclude long-term investments of $64.0 million.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spacing w:after="0" w:line="20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constructing the Enclave at Wynn Palace, a 432-key, all-suite hotel tower to be developed adjacent to Wynn Palace’s east entrance. The estimated project budget for the Enclave at Wynn Palace is between $900 million and $950 million, inclusive of capitalized interest. Construction is expected to begin in the second half of 2026 and span 2.5 years. Total project capital expenditures for the Enclave at Wynn Palace and other enhancements at our Macau Operations are expected to be between $400 million and $450 million during 2026 and between $700 million and $750 million during 2027. Maintenance capital expenditures at our Macau Operations are expected to be between $70 million and $80 million during 2026.</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2026, the WML Board of Directors recommended the payment of a final dividend for the year ended December 31, 2025 of HK$0.223 per share on its common stock payable on June 16, 2026 to stockholders of record as of June 5, 2026. The payment of the final dividend is conditional upon shareholder approval at WML's 2026 Annual General Meeting which is currently scheduled to be held on May 28, 2026.</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our portion of cash available for repatriation was repatriated on March 31, 2026, it would be subject to minimal U.S. taxes.</w:t>
      </w:r>
    </w:p>
    <w:p>
      <w:pPr>
        <w:spacing w:after="0" w:line="2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to pay dividends or distributions to Wynn Resorts, and to fund working capital and capital expenditure requirements as needed.</w:t>
      </w:r>
    </w:p>
    <w:p>
      <w:pPr>
        <w:spacing w:after="0" w:line="2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make estimated project capital expenditures between $375 million and $400 million during 2026 and between $150 million and $175 million during 2027 related to enhancements at our Las Vegas Operations. We expect to make total maintenance capital expenditures at our Las Vegas Operations and Encore Boston Harbor between $90 million and $115 million, on a combined basis, during 2026.</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or distributions to Wynn Resorts is dependent on WRF receiving distributions from its subsidiaries. The WRF Credit Agreement contains customary negative and financial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including, but not limited to, covenants that restrict WRF's ability to pay dividends or distributions and incur additional indebtedness.</w:t>
      </w:r>
    </w:p>
    <w:p>
      <w:pPr>
        <w:spacing w:after="0" w:line="25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2026. We expect to use cash held by Wynn Resorts, Limited and other to service our Retail Term Loan, to fund working capital needs of our subsidiaries, pay dividends, make required capital contributions to the Al Marjan Joint Venture, and for general corporate purposes.</w:t>
      </w:r>
    </w:p>
    <w:p>
      <w:pPr>
        <w:spacing w:after="0" w:line="2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2026, the Company contributed $100.1 million of cash into Wynn Al Marjan Island and surrounding developments, including Janu Al Marjan Island, a hotel and residential development operated by Aman Group, bringing our life-to-date cash contributions to $1.01 billion. We estimate our remaining 40% pro-rata share of the required equity for the development projects is between $350 million and $450 million, inclusive of capitalized interest, fees, and certain improvements on the island. Wynn Al Marjan Island is currently expected to open in 2027 and Janu Al Marjan Island is expected to open in 2028.</w:t>
      </w: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in the quarter ended March 31, 2026 and recorded $26.1 million against accumulated deficit.</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7, 2026, the Company announced that its Board of Directors declared a cash dividend of $0.25 per share, payable on May 29, 2026 to stockholders of record as of May 18, 2026.</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March 31, 2026, we had $401.1 million in repurchase authority remaining under the program.</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except as described below, there have been no material changes to the contractual obligations previously reported in our Annual Report on Form 10-K for the year ended December 31, 2025.</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 subsidiary of Island 3 is party to a facility agreement which provides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Additionally, the Company and certain partners in the Al Marjan Joint Venture entered into a completion guarantee, pursuant to which the Company may be required to fund shortfalls necessary to achieve practical completion of a district cooling plant serving Wynn Al Marjan Island. For additional information, refer to Note 15, "Commitments and Contingencies" of Part I in this Quarterly Report on Form 10-Q.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three months ended March 31,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approximately 82% of our long-term debt was based on fixed rates. Based on our outstanding borrowings as of March 31, 2026 and after giving effect to the interest rate swap on the Retail Term Loan, an assumed 100 basis point change in the variable rates would cause our annual interest expense to change by $19.0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the exchange rates resulting in weakening of the Macau pataca or the Hong Kong dollar in relation to the U.S. dollar could have materially adverse effects on our results, financial condition and ability to service debt.</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a party to foreign currency swap agreements with the objective of managing foreign currency exchange rate risk associated with the outstanding U.S. dollar denominated WML Senior Notes. The foreign currency swaps exchange predetermined amounts of Hong Kong dollars for U.S. dollars at a contractual spot rate, and as of March 31, 2026, have an aggregate notional amount of $4.10 billion, and have maturities between October 2027 and August 2030. For additional information, refer to Note 7, "Derivative Instruments" of Part I in this Quarterly Report on Form 10-Q.</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Based on our balances as of March 31, 2026 and after giving effect to our foreign currency swaps, an assumed 1% change in the U.S. dollar/Hong Kong dollar exchange rate would cause a foreign currency gain/loss of $4.4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party to lawsuits in the ordinary course of business.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2025. There were no material changes to those risk factors during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during the three months ended March 31, 2026:</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2900" w:type="dxa"/>
            <w:vAlign w:val="bottom"/>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22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900" w:type="dxa"/>
            <w:vAlign w:val="bottom"/>
            <w:vMerge w:val="continue"/>
          </w:tcPr>
          <w:p>
            <w:pPr>
              <w:spacing w:after="0"/>
              <w:rPr>
                <w:sz w:val="12"/>
                <w:szCs w:val="12"/>
                <w:color w:val="auto"/>
              </w:rPr>
            </w:pPr>
          </w:p>
        </w:tc>
        <w:tc>
          <w:tcPr>
            <w:tcW w:w="2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 (in</w:t>
            </w:r>
          </w:p>
        </w:tc>
        <w:tc>
          <w:tcPr>
            <w:tcW w:w="0" w:type="dxa"/>
            <w:vAlign w:val="bottom"/>
          </w:tcPr>
          <w:p>
            <w:pPr>
              <w:spacing w:after="0"/>
              <w:rPr>
                <w:sz w:val="1"/>
                <w:szCs w:val="1"/>
                <w:color w:val="auto"/>
              </w:rPr>
            </w:pPr>
          </w:p>
        </w:tc>
      </w:tr>
      <w:tr>
        <w:trPr>
          <w:trHeight w:val="231"/>
        </w:trPr>
        <w:tc>
          <w:tcPr>
            <w:tcW w:w="1580" w:type="dxa"/>
            <w:vAlign w:val="bottom"/>
            <w:vMerge w:val="continue"/>
          </w:tcPr>
          <w:p>
            <w:pPr>
              <w:spacing w:after="0"/>
              <w:rPr>
                <w:sz w:val="20"/>
                <w:szCs w:val="20"/>
                <w:color w:val="auto"/>
              </w:rPr>
            </w:pPr>
          </w:p>
        </w:tc>
        <w:tc>
          <w:tcPr>
            <w:tcW w:w="2900" w:type="dxa"/>
            <w:vAlign w:val="bottom"/>
          </w:tcPr>
          <w:p>
            <w:pPr>
              <w:jc w:val="center"/>
              <w:ind w:left="788"/>
              <w:spacing w:after="0" w:line="231" w:lineRule="exact"/>
              <w:rPr>
                <w:sz w:val="20"/>
                <w:szCs w:val="20"/>
                <w:color w:val="auto"/>
              </w:rPr>
            </w:pPr>
            <w:r>
              <w:rPr>
                <w:rFonts w:ascii="Times New Roman" w:cs="Times New Roman" w:eastAsia="Times New Roman" w:hAnsi="Times New Roman"/>
                <w:sz w:val="14"/>
                <w:szCs w:val="14"/>
                <w:b w:val="1"/>
                <w:bCs w:val="1"/>
                <w:color w:val="auto"/>
                <w:w w:val="93"/>
              </w:rPr>
              <w:t>Purchased</w:t>
            </w:r>
            <w:r>
              <w:rPr>
                <w:rFonts w:ascii="Times New Roman" w:cs="Times New Roman" w:eastAsia="Times New Roman" w:hAnsi="Times New Roman"/>
                <w:sz w:val="23"/>
                <w:szCs w:val="23"/>
                <w:b w:val="1"/>
                <w:bCs w:val="1"/>
                <w:color w:val="auto"/>
                <w:w w:val="93"/>
                <w:vertAlign w:val="superscript"/>
              </w:rPr>
              <w:t>(1)(2)</w:t>
            </w:r>
          </w:p>
        </w:tc>
        <w:tc>
          <w:tcPr>
            <w:tcW w:w="2220" w:type="dxa"/>
            <w:vAlign w:val="bottom"/>
            <w:vMerge w:val="continue"/>
          </w:tcPr>
          <w:p>
            <w:pPr>
              <w:spacing w:after="0"/>
              <w:rPr>
                <w:sz w:val="20"/>
                <w:szCs w:val="20"/>
                <w:color w:val="auto"/>
              </w:rPr>
            </w:pPr>
          </w:p>
        </w:tc>
        <w:tc>
          <w:tcPr>
            <w:tcW w:w="2260" w:type="dxa"/>
            <w:vAlign w:val="bottom"/>
          </w:tcPr>
          <w:p>
            <w:pPr>
              <w:jc w:val="center"/>
              <w:spacing w:after="0" w:line="231" w:lineRule="exact"/>
              <w:rPr>
                <w:sz w:val="20"/>
                <w:szCs w:val="20"/>
                <w:color w:val="auto"/>
              </w:rPr>
            </w:pPr>
            <w:r>
              <w:rPr>
                <w:rFonts w:ascii="Times New Roman" w:cs="Times New Roman" w:eastAsia="Times New Roman" w:hAnsi="Times New Roman"/>
                <w:sz w:val="14"/>
                <w:szCs w:val="14"/>
                <w:b w:val="1"/>
                <w:bCs w:val="1"/>
                <w:color w:val="auto"/>
              </w:rPr>
              <w:t>Announced Plans or Programs</w:t>
            </w:r>
            <w:r>
              <w:rPr>
                <w:rFonts w:ascii="Times New Roman" w:cs="Times New Roman" w:eastAsia="Times New Roman" w:hAnsi="Times New Roman"/>
                <w:sz w:val="23"/>
                <w:szCs w:val="23"/>
                <w:b w:val="1"/>
                <w:bCs w:val="1"/>
                <w:color w:val="auto"/>
                <w:vertAlign w:val="superscript"/>
              </w:rPr>
              <w:t>(2)</w:t>
            </w:r>
          </w:p>
        </w:tc>
        <w:tc>
          <w:tcPr>
            <w:tcW w:w="22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140" w:right="1080"/>
        <w:spacing w:after="0" w:line="226" w:lineRule="auto"/>
        <w:rPr>
          <w:sz w:val="20"/>
          <w:szCs w:val="20"/>
          <w:color w:val="auto"/>
        </w:rPr>
      </w:pPr>
      <w:r>
        <w:rPr>
          <w:rFonts w:ascii="Times New Roman" w:cs="Times New Roman" w:eastAsia="Times New Roman" w:hAnsi="Times New Roman"/>
          <w:sz w:val="18"/>
          <w:szCs w:val="18"/>
          <w:color w:val="auto"/>
        </w:rPr>
        <w:t>January 1, 2026 to January 31, 2026</w:t>
      </w:r>
    </w:p>
    <w:p>
      <w:pPr>
        <w:spacing w:after="0" w:line="9" w:lineRule="exact"/>
        <w:rPr>
          <w:sz w:val="20"/>
          <w:szCs w:val="20"/>
          <w:color w:val="auto"/>
        </w:rPr>
      </w:pPr>
    </w:p>
    <w:p>
      <w:pPr>
        <w:ind w:left="140" w:right="900"/>
        <w:spacing w:after="0" w:line="237" w:lineRule="auto"/>
        <w:rPr>
          <w:sz w:val="20"/>
          <w:szCs w:val="20"/>
          <w:color w:val="auto"/>
        </w:rPr>
      </w:pPr>
      <w:r>
        <w:rPr>
          <w:rFonts w:ascii="Times New Roman" w:cs="Times New Roman" w:eastAsia="Times New Roman" w:hAnsi="Times New Roman"/>
          <w:sz w:val="18"/>
          <w:szCs w:val="18"/>
          <w:color w:val="auto"/>
        </w:rPr>
        <w:t>February 1, 2026 to February 28, 2026</w:t>
      </w:r>
    </w:p>
    <w:p>
      <w:pPr>
        <w:spacing w:after="0" w:line="10" w:lineRule="exact"/>
        <w:rPr>
          <w:sz w:val="20"/>
          <w:szCs w:val="20"/>
          <w:color w:val="auto"/>
        </w:rPr>
      </w:pPr>
    </w:p>
    <w:p>
      <w:pPr>
        <w:ind w:left="140" w:right="980"/>
        <w:spacing w:after="0" w:line="237" w:lineRule="auto"/>
        <w:rPr>
          <w:sz w:val="20"/>
          <w:szCs w:val="20"/>
          <w:color w:val="auto"/>
        </w:rPr>
      </w:pPr>
      <w:r>
        <w:rPr>
          <w:rFonts w:ascii="Times New Roman" w:cs="Times New Roman" w:eastAsia="Times New Roman" w:hAnsi="Times New Roman"/>
          <w:sz w:val="18"/>
          <w:szCs w:val="18"/>
          <w:color w:val="auto"/>
        </w:rPr>
        <w:t>March 1, 2026 to March 31, 2026</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115,894</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116.79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454,880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71,077</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108.39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45,929</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449,917</w:t>
            </w:r>
          </w:p>
        </w:tc>
      </w:tr>
      <w:tr>
        <w:trPr>
          <w:trHeight w:val="419"/>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501,392</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101.33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482,738</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-205105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3160" w:space="720"/>
            <w:col w:w="7360"/>
          </w:cols>
          <w:pgMar w:left="320" w:top="118" w:right="339" w:bottom="1440" w:gutter="0" w:footer="0" w:header="0"/>
          <w:type w:val="continuous"/>
        </w:sectPr>
      </w:pPr>
    </w:p>
    <w:p>
      <w:pPr>
        <w:jc w:val="both"/>
        <w:ind w:left="340" w:hanging="332"/>
        <w:spacing w:after="0" w:line="261" w:lineRule="auto"/>
        <w:tabs>
          <w:tab w:leader="none" w:pos="41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in January 2026, February 2026, and March 2026 include 115,894, 25,148 and 18,654 shares, respectively, purchased in satisfaction of employee tax withholding obligations on vested restricted stock granted under our stock incentive plans. Refer to Note 13, "Stock-Based Compensation" in our Consolidated Financial Statements included in our Annual Report on Form 10-K for the year ended December 31, 2025 for additional details on our stock incentive plans.</w:t>
      </w:r>
    </w:p>
    <w:p>
      <w:pPr>
        <w:jc w:val="both"/>
        <w:ind w:left="340" w:hanging="332"/>
        <w:spacing w:after="0" w:line="262" w:lineRule="auto"/>
        <w:tabs>
          <w:tab w:leader="none" w:pos="3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Section 16 of the Exchange Act) adopted, modified or terminated a “Rule 10b5-1 trading arrangement” or a “non-Rule 10b5-1 trading arrangement” (each as defined in Item 408(a) and (c) of Regulation S-K) during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7">
        <w:r>
          <w:rPr>
            <w:rFonts w:ascii="Times New Roman" w:cs="Times New Roman" w:eastAsia="Times New Roman" w:hAnsi="Times New Roman"/>
            <w:sz w:val="18"/>
            <w:szCs w:val="18"/>
            <w:u w:val="single" w:color="auto"/>
            <w:color w:val="0000FF"/>
          </w:rPr>
          <w:t>Third Amended and Restated Articles of Incorporation of the Registrant. (Incorporated by reference from the Quarterly Report on Form</w:t>
        </w:r>
      </w:hyperlink>
    </w:p>
    <w:p>
      <w:pPr>
        <w:spacing w:after="0" w:line="2"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10-Q filed by the Registrant on May 8, 2015.)</w:t>
        </w:r>
      </w:hyperlink>
    </w:p>
    <w:p>
      <w:pPr>
        <w:spacing w:after="0" w:line="7" w:lineRule="exact"/>
        <w:rPr>
          <w:sz w:val="20"/>
          <w:szCs w:val="20"/>
          <w:color w:val="auto"/>
        </w:rPr>
      </w:pPr>
    </w:p>
    <w:p>
      <w:pPr>
        <w:ind w:left="1220" w:hanging="36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8">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58">
        <w:r>
          <w:rPr>
            <w:rFonts w:ascii="Times New Roman" w:cs="Times New Roman" w:eastAsia="Times New Roman" w:hAnsi="Times New Roman"/>
            <w:sz w:val="18"/>
            <w:szCs w:val="18"/>
            <w:u w:val="single" w:color="auto"/>
            <w:color w:val="0000FF"/>
          </w:rPr>
          <w:t>Registrant on February 28, 2020.)</w:t>
        </w:r>
      </w:hyperlink>
    </w:p>
    <w:p>
      <w:pPr>
        <w:spacing w:after="0" w:line="1" w:lineRule="exact"/>
        <w:rPr>
          <w:sz w:val="20"/>
          <w:szCs w:val="20"/>
          <w:color w:val="auto"/>
        </w:rPr>
      </w:pPr>
    </w:p>
    <w:p>
      <w:pPr>
        <w:ind w:left="1220" w:hanging="45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59">
        <w:r>
          <w:rPr>
            <w:rFonts w:ascii="Times New Roman" w:cs="Times New Roman" w:eastAsia="Times New Roman" w:hAnsi="Times New Roman"/>
            <w:sz w:val="18"/>
            <w:szCs w:val="18"/>
            <w:u w:val="single" w:color="auto"/>
            <w:color w:val="0000FF"/>
          </w:rPr>
          <w:t>Employment Agreement, dated as of January 8, 2026, by and between Wynn Resorts, Limited and Craig Fullalove. (Incorporated by</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reference from the Current Report on Form 8-K filed by the Registrant on January 9, 2026.)</w:t>
        </w:r>
      </w:hyperlink>
    </w:p>
    <w:p>
      <w:pPr>
        <w:spacing w:after="0" w:line="1"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Periodic Report Pursuant to Rule 13a–14(a) and Rule 15d–14(a).</w:t>
      </w:r>
    </w:p>
    <w:p>
      <w:pPr>
        <w:spacing w:after="0" w:line="23"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13a–14(a) and Rule 15d–14(a).</w:t>
      </w:r>
    </w:p>
    <w:p>
      <w:pPr>
        <w:spacing w:after="0" w:line="23" w:lineRule="exact"/>
        <w:rPr>
          <w:sz w:val="20"/>
          <w:szCs w:val="20"/>
          <w:color w:val="auto"/>
        </w:rPr>
      </w:pPr>
    </w:p>
    <w:p>
      <w:pPr>
        <w:ind w:left="1220" w:hanging="316"/>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hanging="406"/>
        <w:spacing w:after="0" w:line="217"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March 31, 2026 and December 31, 2025; (ii) the Condensed Consolidated Statements of Operations for the three months ended March 31, 2026 and 2025; (iii) the Condensed Consolidated Statements of Comprehensive Income for the three months ended March 31, 2026 and 2025; (iv) the Condensed Consolidated Statements of Stockholders' Deficit for the three months ended March 31, 2026 and 2025; (v) the Condensed Consolidated Statements of Cash Flows for the three months ended March 31, 2026 and 2025;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right="1900" w:firstLine="814"/>
        <w:spacing w:after="0" w:line="871" w:lineRule="auto"/>
        <w:tabs>
          <w:tab w:leader="none" w:pos="12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 Filed herewith.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28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3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J. Fullalove</w:t>
            </w:r>
          </w:p>
        </w:tc>
      </w:tr>
      <w:tr>
        <w:trPr>
          <w:trHeight w:val="218"/>
        </w:trPr>
        <w:tc>
          <w:tcPr>
            <w:tcW w:w="3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J. Fullalove</w:t>
            </w:r>
          </w:p>
        </w:tc>
      </w:tr>
      <w:tr>
        <w:trPr>
          <w:trHeight w:val="229"/>
        </w:trPr>
        <w:tc>
          <w:tcPr>
            <w:tcW w:w="3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4"/>
        </w:trPr>
        <w:tc>
          <w:tcPr>
            <w:tcW w:w="3480" w:type="dxa"/>
            <w:vAlign w:val="bottom"/>
          </w:tcPr>
          <w:p>
            <w:pPr>
              <w:spacing w:after="0"/>
              <w:rPr>
                <w:sz w:val="24"/>
                <w:szCs w:val="24"/>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42</w:t>
            </w:r>
          </w:p>
        </w:tc>
        <w:tc>
          <w:tcPr>
            <w:tcW w:w="416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5"/>
        </w:trPr>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104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J. Fullalove, certify that:</w:t>
      </w:r>
    </w:p>
    <w:p>
      <w:pPr>
        <w:spacing w:after="0" w:line="63" w:lineRule="exact"/>
        <w:rPr>
          <w:sz w:val="20"/>
          <w:szCs w:val="20"/>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J. Fullalove</w:t>
            </w:r>
          </w:p>
        </w:tc>
        <w:tc>
          <w:tcPr>
            <w:tcW w:w="1160" w:type="dxa"/>
            <w:vAlign w:val="bottom"/>
          </w:tcPr>
          <w:p>
            <w:pPr>
              <w:spacing w:after="0"/>
              <w:rPr>
                <w:sz w:val="18"/>
                <w:szCs w:val="18"/>
                <w:color w:val="auto"/>
              </w:rPr>
            </w:pPr>
          </w:p>
        </w:tc>
      </w:tr>
      <w:tr>
        <w:trPr>
          <w:trHeight w:val="196"/>
        </w:trPr>
        <w:tc>
          <w:tcPr>
            <w:tcW w:w="5860" w:type="dxa"/>
            <w:vAlign w:val="bottom"/>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Craig J. Fullalove</w:t>
            </w:r>
          </w:p>
        </w:tc>
      </w:tr>
      <w:tr>
        <w:trPr>
          <w:trHeight w:val="175"/>
        </w:trPr>
        <w:tc>
          <w:tcPr>
            <w:tcW w:w="586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6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04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 Pursuant to 18 U.S.C. Section 1350, as Adopted Pursuant to Section 906 of the Sarbanes-Oxley Act of 2002</w:t>
      </w:r>
    </w:p>
    <w:p>
      <w:pPr>
        <w:spacing w:after="0" w:line="132" w:lineRule="exact"/>
        <w:rPr>
          <w:sz w:val="20"/>
          <w:szCs w:val="20"/>
          <w:color w:val="auto"/>
        </w:rPr>
      </w:pPr>
    </w:p>
    <w:p>
      <w:pPr>
        <w:jc w:val="both"/>
        <w:ind w:right="160" w:firstLine="972"/>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Wynn Resorts, Limited (the “Company”) for the quarter ended March 31, 2026 as filed with the Securities and Exchange Commission on the date hereof (the “Report”), Craig S. Billings, as Chief Executive Officer of the Company, and Craig J. Fullalove, as Chief Financial Officer of the Company, each hereby certifies, pursuant to 18 U.S.C. Section 1350, as adopted pursuant to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906 of the Sarbanes-Oxley Act of 2002, that, to the best of their knowledge:</w:t>
      </w:r>
    </w:p>
    <w:p>
      <w:pPr>
        <w:spacing w:after="0" w:line="153"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J. Fullalove</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J. Fullalove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32"/>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57" Type="http://schemas.openxmlformats.org/officeDocument/2006/relationships/hyperlink" Target="https://www.sec.gov/Archives/edgar/data/1174922/000117492215000044/ex-31.htm" TargetMode="External"/><Relationship Id="rId58" Type="http://schemas.openxmlformats.org/officeDocument/2006/relationships/hyperlink" Target="https://www.sec.gov/Archives/edgar/data/1174922/000117492220000024/ex32-bylaws.htm" TargetMode="External"/><Relationship Id="rId59" Type="http://schemas.openxmlformats.org/officeDocument/2006/relationships/hyperlink" Target="https://www.sec.gov/Archives/edgar/data/1174922/000117492226000004/ex101craigfullalove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2026-05-07T15:52:36Z</dcterms:created>
  <dcterms:modified xsi:type="dcterms:W3CDTF">2026-05-07T15:52:36Z</dcterms:modified>
</cp:coreProperties>
</file>