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511"/>
        <w:spacing w:after="0"/>
        <w:rPr>
          <w:sz w:val="20"/>
          <w:szCs w:val="20"/>
          <w:color w:val="auto"/>
        </w:rPr>
      </w:pPr>
      <w:r>
        <w:rPr>
          <w:rFonts w:ascii="Courier New" w:cs="Courier New" w:eastAsia="Courier New" w:hAnsi="Courier New"/>
          <w:sz w:val="15"/>
          <w:szCs w:val="15"/>
          <w:color w:val="auto"/>
        </w:rPr>
        <w:t>UNITED STATES</w:t>
      </w:r>
    </w:p>
    <w:p>
      <w:pPr>
        <w:spacing w:after="0" w:line="1" w:lineRule="exact"/>
        <w:rPr>
          <w:sz w:val="24"/>
          <w:szCs w:val="24"/>
          <w:color w:val="auto"/>
        </w:rPr>
      </w:pPr>
    </w:p>
    <w:p>
      <w:pPr>
        <w:jc w:val="center"/>
        <w:ind w:right="4591"/>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 w:lineRule="exact"/>
        <w:rPr>
          <w:sz w:val="24"/>
          <w:szCs w:val="24"/>
          <w:color w:val="auto"/>
        </w:rPr>
      </w:pPr>
    </w:p>
    <w:p>
      <w:pPr>
        <w:jc w:val="center"/>
        <w:ind w:right="4591"/>
        <w:spacing w:after="0"/>
        <w:rPr>
          <w:sz w:val="20"/>
          <w:szCs w:val="20"/>
          <w:color w:val="auto"/>
        </w:rPr>
      </w:pPr>
      <w:r>
        <w:rPr>
          <w:rFonts w:ascii="Courier New" w:cs="Courier New" w:eastAsia="Courier New" w:hAnsi="Courier New"/>
          <w:sz w:val="15"/>
          <w:szCs w:val="15"/>
          <w:color w:val="auto"/>
        </w:rPr>
        <w:t>Washington, D.C. 20549</w:t>
      </w:r>
    </w:p>
    <w:p>
      <w:pPr>
        <w:spacing w:after="0" w:line="171" w:lineRule="exact"/>
        <w:rPr>
          <w:sz w:val="24"/>
          <w:szCs w:val="24"/>
          <w:color w:val="auto"/>
        </w:rPr>
      </w:pPr>
    </w:p>
    <w:p>
      <w:pPr>
        <w:ind w:left="256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4"/>
          <w:szCs w:val="24"/>
          <w:color w:val="auto"/>
        </w:rPr>
      </w:pPr>
    </w:p>
    <w:p>
      <w:pPr>
        <w:jc w:val="center"/>
        <w:ind w:right="4591"/>
        <w:spacing w:after="0"/>
        <w:rPr>
          <w:sz w:val="20"/>
          <w:szCs w:val="20"/>
          <w:color w:val="auto"/>
        </w:rPr>
      </w:pPr>
      <w:r>
        <w:rPr>
          <w:rFonts w:ascii="Courier New" w:cs="Courier New" w:eastAsia="Courier New" w:hAnsi="Courier New"/>
          <w:sz w:val="15"/>
          <w:szCs w:val="15"/>
          <w:color w:val="auto"/>
        </w:rPr>
        <w:t>FORM 8-K</w:t>
      </w:r>
    </w:p>
    <w:p>
      <w:pPr>
        <w:spacing w:after="0" w:line="171" w:lineRule="exact"/>
        <w:rPr>
          <w:sz w:val="24"/>
          <w:szCs w:val="24"/>
          <w:color w:val="auto"/>
        </w:rPr>
      </w:pPr>
    </w:p>
    <w:p>
      <w:pPr>
        <w:ind w:left="2849"/>
        <w:spacing w:after="0"/>
        <w:rPr>
          <w:sz w:val="20"/>
          <w:szCs w:val="20"/>
          <w:color w:val="auto"/>
        </w:rPr>
      </w:pPr>
      <w:r>
        <w:rPr>
          <w:rFonts w:ascii="Courier New" w:cs="Courier New" w:eastAsia="Courier New" w:hAnsi="Courier New"/>
          <w:sz w:val="15"/>
          <w:szCs w:val="15"/>
          <w:color w:val="auto"/>
        </w:rPr>
        <w:t>CURRENT REPORT</w:t>
      </w:r>
    </w:p>
    <w:p>
      <w:pPr>
        <w:spacing w:after="0" w:line="1" w:lineRule="exact"/>
        <w:rPr>
          <w:sz w:val="24"/>
          <w:szCs w:val="24"/>
          <w:color w:val="auto"/>
        </w:rPr>
      </w:pPr>
    </w:p>
    <w:p>
      <w:pPr>
        <w:ind w:left="256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4"/>
          <w:szCs w:val="24"/>
          <w:color w:val="auto"/>
        </w:rPr>
      </w:pPr>
    </w:p>
    <w:p>
      <w:pPr>
        <w:ind w:left="1769"/>
        <w:spacing w:after="0"/>
        <w:rPr>
          <w:sz w:val="20"/>
          <w:szCs w:val="20"/>
          <w:color w:val="auto"/>
        </w:rPr>
      </w:pPr>
      <w:r>
        <w:rPr>
          <w:rFonts w:ascii="Courier New" w:cs="Courier New" w:eastAsia="Courier New" w:hAnsi="Courier New"/>
          <w:sz w:val="15"/>
          <w:szCs w:val="15"/>
          <w:color w:val="auto"/>
        </w:rPr>
        <w:t>PURSUANT TO SECTION 13 OR 15(d) OF THE</w:t>
      </w:r>
    </w:p>
    <w:p>
      <w:pPr>
        <w:spacing w:after="0" w:line="1" w:lineRule="exact"/>
        <w:rPr>
          <w:sz w:val="24"/>
          <w:szCs w:val="24"/>
          <w:color w:val="auto"/>
        </w:rPr>
      </w:pPr>
    </w:p>
    <w:p>
      <w:pPr>
        <w:ind w:left="2129"/>
        <w:spacing w:after="0"/>
        <w:rPr>
          <w:sz w:val="20"/>
          <w:szCs w:val="20"/>
          <w:color w:val="auto"/>
        </w:rPr>
      </w:pPr>
      <w:r>
        <w:rPr>
          <w:rFonts w:ascii="Courier New" w:cs="Courier New" w:eastAsia="Courier New" w:hAnsi="Courier New"/>
          <w:sz w:val="15"/>
          <w:szCs w:val="15"/>
          <w:color w:val="auto"/>
        </w:rPr>
        <w:t>SECURITIES EXCHANGE ACT OF 1934</w:t>
      </w:r>
    </w:p>
    <w:p>
      <w:pPr>
        <w:spacing w:after="0" w:line="174" w:lineRule="exact"/>
        <w:rPr>
          <w:sz w:val="24"/>
          <w:szCs w:val="24"/>
          <w:color w:val="auto"/>
        </w:rPr>
      </w:pPr>
    </w:p>
    <w:p>
      <w:pPr>
        <w:jc w:val="center"/>
        <w:ind w:right="4591"/>
        <w:spacing w:after="0"/>
        <w:rPr>
          <w:sz w:val="20"/>
          <w:szCs w:val="20"/>
          <w:color w:val="auto"/>
        </w:rPr>
      </w:pPr>
      <w:r>
        <w:rPr>
          <w:rFonts w:ascii="Courier New" w:cs="Courier New" w:eastAsia="Courier New" w:hAnsi="Courier New"/>
          <w:sz w:val="14"/>
          <w:szCs w:val="14"/>
          <w:color w:val="auto"/>
        </w:rPr>
        <w:t>Date of Report (Date of earliest event reported): April 11, 2005</w:t>
      </w:r>
    </w:p>
    <w:p>
      <w:pPr>
        <w:spacing w:after="0" w:line="180" w:lineRule="exact"/>
        <w:rPr>
          <w:sz w:val="24"/>
          <w:szCs w:val="24"/>
          <w:color w:val="auto"/>
        </w:rPr>
      </w:pPr>
    </w:p>
    <w:p>
      <w:pPr>
        <w:jc w:val="center"/>
        <w:ind w:right="4511"/>
        <w:spacing w:after="0"/>
        <w:rPr>
          <w:sz w:val="20"/>
          <w:szCs w:val="20"/>
          <w:color w:val="auto"/>
        </w:rPr>
      </w:pPr>
      <w:r>
        <w:rPr>
          <w:rFonts w:ascii="Courier New" w:cs="Courier New" w:eastAsia="Courier New" w:hAnsi="Courier New"/>
          <w:sz w:val="15"/>
          <w:szCs w:val="15"/>
          <w:color w:val="auto"/>
        </w:rPr>
        <w:t>Wynn Resorts, Limited</w:t>
      </w:r>
    </w:p>
    <w:p>
      <w:pPr>
        <w:spacing w:after="0" w:line="1" w:lineRule="exact"/>
        <w:rPr>
          <w:sz w:val="24"/>
          <w:szCs w:val="24"/>
          <w:color w:val="auto"/>
        </w:rPr>
      </w:pPr>
    </w:p>
    <w:p>
      <w:pPr>
        <w:jc w:val="center"/>
        <w:ind w:right="4591"/>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1529"/>
          </w:cols>
          <w:pgMar w:left="231" w:top="742" w:right="139" w:bottom="0" w:gutter="0" w:footer="0" w:header="0"/>
        </w:sectPr>
      </w:pPr>
    </w:p>
    <w:p>
      <w:pPr>
        <w:spacing w:after="0" w:line="171" w:lineRule="exact"/>
        <w:rPr>
          <w:sz w:val="24"/>
          <w:szCs w:val="24"/>
          <w:color w:val="auto"/>
        </w:rPr>
      </w:pPr>
    </w:p>
    <w:p>
      <w:pPr>
        <w:ind w:left="1149"/>
        <w:spacing w:after="0"/>
        <w:rPr>
          <w:sz w:val="20"/>
          <w:szCs w:val="20"/>
          <w:color w:val="auto"/>
        </w:rPr>
      </w:pPr>
      <w:r>
        <w:rPr>
          <w:rFonts w:ascii="Courier New" w:cs="Courier New" w:eastAsia="Courier New" w:hAnsi="Courier New"/>
          <w:sz w:val="15"/>
          <w:szCs w:val="15"/>
          <w:color w:val="auto"/>
        </w:rPr>
        <w:t>Nevada</w:t>
      </w:r>
    </w:p>
    <w:p>
      <w:pPr>
        <w:spacing w:after="0" w:line="3" w:lineRule="exact"/>
        <w:rPr>
          <w:sz w:val="24"/>
          <w:szCs w:val="24"/>
          <w:color w:val="auto"/>
        </w:rPr>
      </w:pPr>
    </w:p>
    <w:p>
      <w:pPr>
        <w:ind w:left="89"/>
        <w:spacing w:after="0"/>
        <w:rPr>
          <w:sz w:val="20"/>
          <w:szCs w:val="20"/>
          <w:color w:val="auto"/>
        </w:rPr>
      </w:pPr>
      <w:r>
        <w:rPr>
          <w:rFonts w:ascii="Courier New" w:cs="Courier New" w:eastAsia="Courier New" w:hAnsi="Courier New"/>
          <w:sz w:val="14"/>
          <w:szCs w:val="14"/>
          <w:color w:val="auto"/>
        </w:rPr>
        <w:t>(State or Other Jurisdiction</w:t>
      </w:r>
    </w:p>
    <w:p>
      <w:pPr>
        <w:spacing w:after="0" w:line="9" w:lineRule="exact"/>
        <w:rPr>
          <w:sz w:val="24"/>
          <w:szCs w:val="24"/>
          <w:color w:val="auto"/>
        </w:rPr>
      </w:pPr>
    </w:p>
    <w:p>
      <w:pPr>
        <w:ind w:left="629"/>
        <w:spacing w:after="0"/>
        <w:rPr>
          <w:sz w:val="20"/>
          <w:szCs w:val="20"/>
          <w:color w:val="auto"/>
        </w:rPr>
      </w:pPr>
      <w:r>
        <w:rPr>
          <w:rFonts w:ascii="Courier New" w:cs="Courier New" w:eastAsia="Courier New" w:hAnsi="Courier New"/>
          <w:sz w:val="15"/>
          <w:szCs w:val="15"/>
          <w:color w:val="auto"/>
        </w:rPr>
        <w:t>of Incorporation)</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ind w:left="620"/>
        <w:spacing w:after="0"/>
        <w:rPr>
          <w:sz w:val="20"/>
          <w:szCs w:val="20"/>
          <w:color w:val="auto"/>
        </w:rPr>
      </w:pPr>
      <w:r>
        <w:rPr>
          <w:rFonts w:ascii="Courier New" w:cs="Courier New" w:eastAsia="Courier New" w:hAnsi="Courier New"/>
          <w:sz w:val="15"/>
          <w:szCs w:val="15"/>
          <w:color w:val="auto"/>
        </w:rPr>
        <w:t>000-50028</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46-0484987</w:t>
      </w:r>
    </w:p>
    <w:p>
      <w:pPr>
        <w:spacing w:after="0" w:line="1"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(I.E. Employer</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179" w:lineRule="exact"/>
        <w:rPr>
          <w:sz w:val="24"/>
          <w:szCs w:val="24"/>
          <w:color w:val="auto"/>
        </w:rPr>
      </w:pPr>
    </w:p>
    <w:p>
      <w:pPr>
        <w:sectPr>
          <w:pgSz w:w="11900" w:h="16838" w:orient="portrait"/>
          <w:cols w:equalWidth="0" w:num="3">
            <w:col w:w="2569" w:space="360"/>
            <w:col w:w="2120" w:space="360"/>
            <w:col w:w="6120"/>
          </w:cols>
          <w:pgMar w:left="231" w:top="742" w:right="139" w:bottom="0" w:gutter="0" w:footer="0" w:header="0"/>
          <w:type w:val="continuous"/>
        </w:sectPr>
      </w:pPr>
    </w:p>
    <w:p>
      <w:pPr>
        <w:jc w:val="center"/>
        <w:ind w:right="1151"/>
        <w:spacing w:after="0"/>
        <w:rPr>
          <w:sz w:val="20"/>
          <w:szCs w:val="20"/>
          <w:color w:val="auto"/>
        </w:rPr>
      </w:pPr>
      <w:r>
        <w:rPr>
          <w:rFonts w:ascii="Courier New" w:cs="Courier New" w:eastAsia="Courier New" w:hAnsi="Courier New"/>
          <w:sz w:val="15"/>
          <w:szCs w:val="15"/>
          <w:color w:val="auto"/>
        </w:rPr>
        <w:t>3131 Las Vegas Boulevard South</w:t>
      </w:r>
    </w:p>
    <w:p>
      <w:pPr>
        <w:spacing w:after="0" w:line="1" w:lineRule="exact"/>
        <w:rPr>
          <w:sz w:val="24"/>
          <w:szCs w:val="24"/>
          <w:color w:val="auto"/>
        </w:rPr>
      </w:pPr>
    </w:p>
    <w:p>
      <w:pPr>
        <w:jc w:val="center"/>
        <w:ind w:right="1051"/>
        <w:spacing w:after="0"/>
        <w:rPr>
          <w:sz w:val="20"/>
          <w:szCs w:val="20"/>
          <w:color w:val="auto"/>
        </w:rPr>
      </w:pPr>
      <w:r>
        <w:rPr>
          <w:rFonts w:ascii="Courier New" w:cs="Courier New" w:eastAsia="Courier New" w:hAnsi="Courier New"/>
          <w:sz w:val="15"/>
          <w:szCs w:val="15"/>
          <w:color w:val="auto"/>
        </w:rPr>
        <w:t>Las Vegas, Nevada</w:t>
      </w:r>
    </w:p>
    <w:p>
      <w:pPr>
        <w:spacing w:after="0" w:line="3" w:lineRule="exact"/>
        <w:rPr>
          <w:sz w:val="24"/>
          <w:szCs w:val="24"/>
          <w:color w:val="auto"/>
        </w:rPr>
      </w:pPr>
    </w:p>
    <w:p>
      <w:pPr>
        <w:jc w:val="center"/>
        <w:ind w:right="1151"/>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ind w:left="260"/>
        <w:spacing w:after="0"/>
        <w:rPr>
          <w:sz w:val="20"/>
          <w:szCs w:val="20"/>
          <w:color w:val="auto"/>
        </w:rPr>
      </w:pPr>
      <w:r>
        <w:rPr>
          <w:rFonts w:ascii="Courier New" w:cs="Courier New" w:eastAsia="Courier New" w:hAnsi="Courier New"/>
          <w:sz w:val="15"/>
          <w:szCs w:val="15"/>
          <w:color w:val="auto"/>
        </w:rPr>
        <w:t>89109</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180" w:lineRule="exact"/>
        <w:rPr>
          <w:sz w:val="24"/>
          <w:szCs w:val="24"/>
          <w:color w:val="auto"/>
        </w:rPr>
      </w:pPr>
    </w:p>
    <w:p>
      <w:pPr>
        <w:sectPr>
          <w:pgSz w:w="11900" w:h="16838" w:orient="portrait"/>
          <w:cols w:equalWidth="0" w:num="2">
            <w:col w:w="5049" w:space="720"/>
            <w:col w:w="5760"/>
          </w:cols>
          <w:pgMar w:left="231" w:top="742" w:right="139" w:bottom="0" w:gutter="0" w:footer="0" w:header="0"/>
          <w:type w:val="continuous"/>
        </w:sectPr>
      </w:pPr>
    </w:p>
    <w:p>
      <w:pPr>
        <w:jc w:val="center"/>
        <w:ind w:right="4591"/>
        <w:spacing w:after="0"/>
        <w:rPr>
          <w:sz w:val="20"/>
          <w:szCs w:val="20"/>
          <w:color w:val="auto"/>
        </w:rPr>
      </w:pPr>
      <w:r>
        <w:rPr>
          <w:rFonts w:ascii="Courier New" w:cs="Courier New" w:eastAsia="Courier New" w:hAnsi="Courier New"/>
          <w:sz w:val="15"/>
          <w:szCs w:val="15"/>
          <w:color w:val="auto"/>
        </w:rPr>
        <w:t>(702) 770-7555</w:t>
      </w:r>
    </w:p>
    <w:p>
      <w:pPr>
        <w:spacing w:after="0" w:line="1" w:lineRule="exact"/>
        <w:rPr>
          <w:sz w:val="24"/>
          <w:szCs w:val="24"/>
          <w:color w:val="auto"/>
        </w:rPr>
      </w:pPr>
    </w:p>
    <w:p>
      <w:pPr>
        <w:jc w:val="center"/>
        <w:ind w:right="4591"/>
        <w:spacing w:after="0"/>
        <w:rPr>
          <w:sz w:val="20"/>
          <w:szCs w:val="20"/>
          <w:color w:val="auto"/>
        </w:rPr>
      </w:pPr>
      <w:r>
        <w:rPr>
          <w:rFonts w:ascii="Courier New" w:cs="Courier New" w:eastAsia="Courier New" w:hAnsi="Courier New"/>
          <w:sz w:val="15"/>
          <w:szCs w:val="15"/>
          <w:color w:val="auto"/>
        </w:rPr>
        <w:t>(Registrant's telephone number, including area code)</w:t>
      </w:r>
    </w:p>
    <w:p>
      <w:pPr>
        <w:spacing w:after="0" w:line="174" w:lineRule="exact"/>
        <w:rPr>
          <w:sz w:val="24"/>
          <w:szCs w:val="24"/>
          <w:color w:val="auto"/>
        </w:rPr>
      </w:pPr>
    </w:p>
    <w:p>
      <w:pPr>
        <w:ind w:left="9" w:right="4700"/>
        <w:spacing w:after="0" w:line="239" w:lineRule="auto"/>
        <w:rPr>
          <w:sz w:val="20"/>
          <w:szCs w:val="20"/>
          <w:color w:val="auto"/>
        </w:rPr>
      </w:pPr>
      <w:r>
        <w:rPr>
          <w:rFonts w:ascii="Courier New" w:cs="Courier New" w:eastAsia="Courier New" w:hAnsi="Courier New"/>
          <w:sz w:val="15"/>
          <w:szCs w:val="15"/>
          <w:color w:val="auto"/>
        </w:rPr>
        <w:t>Check the appropriate box below if the Form 8-K is intended to simultaneously satisfy the filing obligation of the registrant under any of the following provisions:</w:t>
      </w:r>
    </w:p>
    <w:p>
      <w:pPr>
        <w:spacing w:after="0" w:line="175" w:lineRule="exact"/>
        <w:rPr>
          <w:sz w:val="24"/>
          <w:szCs w:val="24"/>
          <w:color w:val="auto"/>
        </w:rPr>
      </w:pPr>
    </w:p>
    <w:p>
      <w:pPr>
        <w:ind w:left="529" w:right="5060" w:hanging="529"/>
        <w:spacing w:after="0" w:line="238" w:lineRule="auto"/>
        <w:tabs>
          <w:tab w:leader="none" w:pos="174"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Written communication pursuant to Rule 425 under the Securities Act (17 CFR 230.425)</w:t>
      </w:r>
    </w:p>
    <w:p>
      <w:pPr>
        <w:spacing w:after="0" w:line="175" w:lineRule="exact"/>
        <w:rPr>
          <w:sz w:val="24"/>
          <w:szCs w:val="24"/>
          <w:color w:val="auto"/>
        </w:rPr>
      </w:pPr>
    </w:p>
    <w:p>
      <w:pPr>
        <w:ind w:left="529" w:right="5140" w:hanging="529"/>
        <w:spacing w:after="0" w:line="238" w:lineRule="auto"/>
        <w:tabs>
          <w:tab w:leader="none" w:pos="174"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Soliciting material pursuant to Rule 14a-12 under the Exchange Act (17 CFR 240.14a-12)</w:t>
      </w:r>
    </w:p>
    <w:p>
      <w:pPr>
        <w:spacing w:after="0" w:line="175" w:lineRule="exact"/>
        <w:rPr>
          <w:sz w:val="24"/>
          <w:szCs w:val="24"/>
          <w:color w:val="auto"/>
        </w:rPr>
      </w:pPr>
    </w:p>
    <w:p>
      <w:pPr>
        <w:ind w:left="529" w:right="5060" w:hanging="529"/>
        <w:spacing w:after="0" w:line="238" w:lineRule="auto"/>
        <w:tabs>
          <w:tab w:leader="none" w:pos="174"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Pre-commencement communications pursuant to Rule 14d-2(b) under the Exchange Act (17 CFR 240.14d-2(b))</w:t>
      </w:r>
    </w:p>
    <w:p>
      <w:pPr>
        <w:spacing w:after="0" w:line="175" w:lineRule="exact"/>
        <w:rPr>
          <w:sz w:val="24"/>
          <w:szCs w:val="24"/>
          <w:color w:val="auto"/>
        </w:rPr>
      </w:pPr>
    </w:p>
    <w:p>
      <w:pPr>
        <w:ind w:left="529" w:right="4960" w:hanging="529"/>
        <w:spacing w:after="0" w:line="238" w:lineRule="auto"/>
        <w:tabs>
          <w:tab w:leader="none" w:pos="174"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Pre-commencements communications pursuant to Rule 13e-4(c) under the Exchange Act (17 CFR 240.13e-4(c))</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ind w:left="9"/>
        <w:spacing w:after="0"/>
        <w:tabs>
          <w:tab w:leader="none" w:pos="1569" w:val="left"/>
        </w:tabs>
        <w:rPr>
          <w:sz w:val="20"/>
          <w:szCs w:val="20"/>
          <w:color w:val="auto"/>
        </w:rPr>
      </w:pPr>
      <w:r>
        <w:rPr>
          <w:rFonts w:ascii="Courier New" w:cs="Courier New" w:eastAsia="Courier New" w:hAnsi="Courier New"/>
          <w:sz w:val="15"/>
          <w:szCs w:val="15"/>
          <w:color w:val="auto"/>
        </w:rPr>
        <w:t>Item 8.01.</w:t>
      </w:r>
      <w:r>
        <w:rPr>
          <w:sz w:val="20"/>
          <w:szCs w:val="20"/>
          <w:color w:val="auto"/>
        </w:rPr>
        <w:tab/>
      </w:r>
      <w:r>
        <w:rPr>
          <w:rFonts w:ascii="Courier New" w:cs="Courier New" w:eastAsia="Courier New" w:hAnsi="Courier New"/>
          <w:sz w:val="14"/>
          <w:szCs w:val="14"/>
          <w:color w:val="auto"/>
        </w:rPr>
        <w:t>Other Events.</w:t>
      </w:r>
    </w:p>
    <w:p>
      <w:pPr>
        <w:spacing w:after="0" w:line="174" w:lineRule="exact"/>
        <w:rPr>
          <w:sz w:val="24"/>
          <w:szCs w:val="24"/>
          <w:color w:val="auto"/>
        </w:rPr>
      </w:pPr>
    </w:p>
    <w:p>
      <w:pPr>
        <w:ind w:left="9" w:right="4700"/>
        <w:spacing w:after="0" w:line="260" w:lineRule="auto"/>
        <w:rPr>
          <w:sz w:val="20"/>
          <w:szCs w:val="20"/>
          <w:color w:val="auto"/>
        </w:rPr>
      </w:pPr>
      <w:r>
        <w:rPr>
          <w:rFonts w:ascii="Courier New" w:cs="Courier New" w:eastAsia="Courier New" w:hAnsi="Courier New"/>
          <w:sz w:val="14"/>
          <w:szCs w:val="14"/>
          <w:color w:val="auto"/>
        </w:rPr>
        <w:t>In the Summary Compensation Table included in the proxy statement on Schedule 14A of Wynn Resorts, Limited (the "Company"), filed April 11, 2005, the amounts reported as bonus compensation paid to the Company's Chief Financial Officer during 2004, 2003 and 2002 were inadvertently also reported as other annual compensation to the Chief Financial Officer for those years, although there were no amounts of other annual compensation paid during those years. Set forth below is a corrected Summary Compensation Table.</w:t>
      </w:r>
    </w:p>
    <w:p>
      <w:pPr>
        <w:spacing w:after="0" w:line="160" w:lineRule="exact"/>
        <w:rPr>
          <w:sz w:val="24"/>
          <w:szCs w:val="24"/>
          <w:color w:val="auto"/>
        </w:rPr>
      </w:pPr>
    </w:p>
    <w:p>
      <w:pPr>
        <w:jc w:val="center"/>
        <w:ind w:right="4591"/>
        <w:spacing w:after="0"/>
        <w:rPr>
          <w:sz w:val="20"/>
          <w:szCs w:val="20"/>
          <w:color w:val="auto"/>
        </w:rPr>
      </w:pPr>
      <w:r>
        <w:rPr>
          <w:rFonts w:ascii="Courier New" w:cs="Courier New" w:eastAsia="Courier New" w:hAnsi="Courier New"/>
          <w:sz w:val="15"/>
          <w:szCs w:val="15"/>
          <w:color w:val="auto"/>
        </w:rPr>
        <w:t>SUMMARY COMPENSATION TABLE</w:t>
      </w:r>
    </w:p>
    <w:p>
      <w:pPr>
        <w:spacing w:after="0" w:line="174" w:lineRule="exact"/>
        <w:rPr>
          <w:sz w:val="24"/>
          <w:szCs w:val="24"/>
          <w:color w:val="auto"/>
        </w:rPr>
      </w:pPr>
    </w:p>
    <w:p>
      <w:pPr>
        <w:ind w:left="9" w:right="4600"/>
        <w:spacing w:after="0"/>
        <w:rPr>
          <w:sz w:val="20"/>
          <w:szCs w:val="20"/>
          <w:color w:val="auto"/>
        </w:rPr>
      </w:pPr>
      <w:r>
        <w:rPr>
          <w:rFonts w:ascii="Courier New" w:cs="Courier New" w:eastAsia="Courier New" w:hAnsi="Courier New"/>
          <w:sz w:val="15"/>
          <w:szCs w:val="15"/>
          <w:color w:val="auto"/>
        </w:rPr>
        <w:t>The following table sets forth the compensation paid or accrued by the Company to the Chief Executive Officer of the Company and to each of the four most highly compensated executive officers of the Company (other than the Chief Executive Officer) (collectively, the "Named Executive Officers"), for services rendered to the Company and its affiliates in all capacities during the last three completed fiscal years.</w:t>
      </w: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ind w:left="9"/>
        <w:spacing w:after="0"/>
        <w:rPr>
          <w:sz w:val="20"/>
          <w:szCs w:val="20"/>
          <w:color w:val="auto"/>
        </w:rPr>
      </w:pPr>
      <w:r>
        <w:rPr>
          <w:rFonts w:ascii="Courier New" w:cs="Courier New" w:eastAsia="Courier New" w:hAnsi="Courier New"/>
          <w:sz w:val="14"/>
          <w:szCs w:val="14"/>
          <w:color w:val="auto"/>
        </w:rPr>
        <w:t>- --------------------------------- ------------------------------------------------ ---------------------------- ----------------</w:t>
      </w:r>
    </w:p>
    <w:p>
      <w:pPr>
        <w:spacing w:after="0" w:line="9" w:lineRule="exact"/>
        <w:rPr>
          <w:sz w:val="24"/>
          <w:szCs w:val="24"/>
          <w:color w:val="auto"/>
        </w:rPr>
      </w:pPr>
    </w:p>
    <w:p>
      <w:pPr>
        <w:ind w:left="4269"/>
        <w:spacing w:after="0"/>
        <w:tabs>
          <w:tab w:leader="none" w:pos="7609" w:val="left"/>
        </w:tabs>
        <w:rPr>
          <w:sz w:val="20"/>
          <w:szCs w:val="20"/>
          <w:color w:val="auto"/>
        </w:rPr>
      </w:pPr>
      <w:r>
        <w:rPr>
          <w:rFonts w:ascii="Courier New" w:cs="Courier New" w:eastAsia="Courier New" w:hAnsi="Courier New"/>
          <w:sz w:val="15"/>
          <w:szCs w:val="15"/>
          <w:color w:val="auto"/>
        </w:rPr>
        <w:t>Annual Compensation</w:t>
      </w:r>
      <w:r>
        <w:rPr>
          <w:sz w:val="20"/>
          <w:szCs w:val="20"/>
          <w:color w:val="auto"/>
        </w:rPr>
        <w:tab/>
      </w:r>
      <w:r>
        <w:rPr>
          <w:rFonts w:ascii="Courier New" w:cs="Courier New" w:eastAsia="Courier New" w:hAnsi="Courier New"/>
          <w:sz w:val="14"/>
          <w:szCs w:val="14"/>
          <w:color w:val="auto"/>
        </w:rPr>
        <w:t>Long-Term Compensation</w:t>
      </w:r>
    </w:p>
    <w:p>
      <w:pPr>
        <w:spacing w:after="0" w:line="3" w:lineRule="exact"/>
        <w:rPr>
          <w:sz w:val="24"/>
          <w:szCs w:val="24"/>
          <w:color w:val="auto"/>
        </w:rPr>
      </w:pPr>
    </w:p>
    <w:p>
      <w:pPr>
        <w:ind w:left="169" w:hanging="169"/>
        <w:spacing w:after="0"/>
        <w:tabs>
          <w:tab w:leader="none" w:pos="169"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9" w:lineRule="exact"/>
        <w:rPr>
          <w:rFonts w:ascii="Courier New" w:cs="Courier New" w:eastAsia="Courier New" w:hAnsi="Courier New"/>
          <w:sz w:val="14"/>
          <w:szCs w:val="14"/>
          <w:color w:val="auto"/>
        </w:rPr>
      </w:pPr>
    </w:p>
    <w:p>
      <w:pPr>
        <w:ind w:left="842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Awards</w:t>
      </w:r>
    </w:p>
    <w:p>
      <w:pPr>
        <w:spacing w:after="0" w:line="3"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 ---------------- ----------------</w:t>
      </w:r>
    </w:p>
    <w:p>
      <w:pPr>
        <w:spacing w:after="0" w:line="9" w:lineRule="exact"/>
        <w:rPr>
          <w:rFonts w:ascii="Courier New" w:cs="Courier New" w:eastAsia="Courier New" w:hAnsi="Courier New"/>
          <w:sz w:val="14"/>
          <w:szCs w:val="14"/>
          <w:color w:val="auto"/>
        </w:rPr>
      </w:pPr>
    </w:p>
    <w:p>
      <w:pPr>
        <w:ind w:left="736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Restricted</w:t>
      </w:r>
      <w:r>
        <w:rPr>
          <w:rFonts w:ascii="Courier New" w:cs="Courier New" w:eastAsia="Courier New" w:hAnsi="Courier New"/>
          <w:sz w:val="14"/>
          <w:szCs w:val="14"/>
          <w:color w:val="auto"/>
        </w:rPr>
        <w:t>Securities</w:t>
      </w:r>
    </w:p>
    <w:p>
      <w:pPr>
        <w:spacing w:after="0" w:line="1" w:lineRule="exact"/>
        <w:rPr>
          <w:sz w:val="24"/>
          <w:szCs w:val="24"/>
          <w:color w:val="auto"/>
        </w:rPr>
      </w:pPr>
    </w:p>
    <w:tbl>
      <w:tblPr>
        <w:tblLayout w:type="fixed"/>
        <w:tblInd w:w="269" w:type="dxa"/>
        <w:tblCellMar>
          <w:top w:w="0" w:type="dxa"/>
          <w:left w:w="0" w:type="dxa"/>
          <w:bottom w:w="0" w:type="dxa"/>
          <w:right w:w="0" w:type="dxa"/>
        </w:tblCellMar>
      </w:tblPr>
      <w:tr>
        <w:trPr>
          <w:trHeight w:val="170"/>
        </w:trPr>
        <w:tc>
          <w:tcPr>
            <w:tcW w:w="2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00" w:type="dxa"/>
            <w:vAlign w:val="bottom"/>
          </w:tcPr>
          <w:p>
            <w:pPr>
              <w:ind w:left="260"/>
              <w:spacing w:after="0"/>
              <w:rPr>
                <w:sz w:val="20"/>
                <w:szCs w:val="20"/>
                <w:color w:val="auto"/>
              </w:rPr>
            </w:pPr>
            <w:r>
              <w:rPr>
                <w:rFonts w:ascii="Courier New" w:cs="Courier New" w:eastAsia="Courier New" w:hAnsi="Courier New"/>
                <w:sz w:val="15"/>
                <w:szCs w:val="15"/>
                <w:color w:val="auto"/>
              </w:rPr>
              <w:t>Other Annual</w:t>
            </w:r>
          </w:p>
        </w:tc>
        <w:tc>
          <w:tcPr>
            <w:tcW w:w="108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7"/>
              </w:rPr>
              <w:t>Stock</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7"/>
              </w:rPr>
              <w:t>Underlying</w:t>
            </w:r>
          </w:p>
        </w:tc>
        <w:tc>
          <w:tcPr>
            <w:tcW w:w="1280" w:type="dxa"/>
            <w:vAlign w:val="bottom"/>
          </w:tcPr>
          <w:p>
            <w:pPr>
              <w:ind w:left="400"/>
              <w:spacing w:after="0"/>
              <w:rPr>
                <w:sz w:val="20"/>
                <w:szCs w:val="20"/>
                <w:color w:val="auto"/>
              </w:rPr>
            </w:pPr>
            <w:r>
              <w:rPr>
                <w:rFonts w:ascii="Courier New" w:cs="Courier New" w:eastAsia="Courier New" w:hAnsi="Courier New"/>
                <w:sz w:val="15"/>
                <w:szCs w:val="15"/>
                <w:color w:val="auto"/>
              </w:rPr>
              <w:t>All Other</w:t>
            </w:r>
          </w:p>
        </w:tc>
      </w:tr>
      <w:tr>
        <w:trPr>
          <w:trHeight w:val="171"/>
        </w:trPr>
        <w:tc>
          <w:tcPr>
            <w:tcW w:w="2620" w:type="dxa"/>
            <w:vAlign w:val="bottom"/>
          </w:tcPr>
          <w:p>
            <w:pPr>
              <w:spacing w:after="0"/>
              <w:rPr>
                <w:sz w:val="20"/>
                <w:szCs w:val="20"/>
                <w:color w:val="auto"/>
              </w:rPr>
            </w:pPr>
            <w:r>
              <w:rPr>
                <w:rFonts w:ascii="Courier New" w:cs="Courier New" w:eastAsia="Courier New" w:hAnsi="Courier New"/>
                <w:sz w:val="15"/>
                <w:szCs w:val="15"/>
                <w:color w:val="auto"/>
              </w:rPr>
              <w:t>Name and Principal Position</w:t>
            </w:r>
          </w:p>
        </w:tc>
        <w:tc>
          <w:tcPr>
            <w:tcW w:w="740" w:type="dxa"/>
            <w:vAlign w:val="bottom"/>
          </w:tcPr>
          <w:p>
            <w:pPr>
              <w:ind w:left="220"/>
              <w:spacing w:after="0"/>
              <w:rPr>
                <w:sz w:val="20"/>
                <w:szCs w:val="20"/>
                <w:color w:val="auto"/>
              </w:rPr>
            </w:pPr>
            <w:r>
              <w:rPr>
                <w:rFonts w:ascii="Courier New" w:cs="Courier New" w:eastAsia="Courier New" w:hAnsi="Courier New"/>
                <w:sz w:val="15"/>
                <w:szCs w:val="15"/>
                <w:color w:val="auto"/>
              </w:rPr>
              <w:t>Year</w:t>
            </w: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Salary</w:t>
            </w:r>
          </w:p>
        </w:tc>
        <w:tc>
          <w:tcPr>
            <w:tcW w:w="1060" w:type="dxa"/>
            <w:vAlign w:val="bottom"/>
          </w:tcPr>
          <w:p>
            <w:pPr>
              <w:jc w:val="center"/>
              <w:ind w:left="6"/>
              <w:spacing w:after="0"/>
              <w:rPr>
                <w:sz w:val="20"/>
                <w:szCs w:val="20"/>
                <w:color w:val="auto"/>
              </w:rPr>
            </w:pPr>
            <w:r>
              <w:rPr>
                <w:rFonts w:ascii="Courier New" w:cs="Courier New" w:eastAsia="Courier New" w:hAnsi="Courier New"/>
                <w:sz w:val="15"/>
                <w:szCs w:val="15"/>
                <w:color w:val="auto"/>
              </w:rPr>
              <w:t>Bonus</w:t>
            </w:r>
          </w:p>
        </w:tc>
        <w:tc>
          <w:tcPr>
            <w:tcW w:w="1500" w:type="dxa"/>
            <w:vAlign w:val="bottom"/>
          </w:tcPr>
          <w:p>
            <w:pPr>
              <w:ind w:left="260"/>
              <w:spacing w:after="0"/>
              <w:rPr>
                <w:sz w:val="20"/>
                <w:szCs w:val="20"/>
                <w:color w:val="auto"/>
              </w:rPr>
            </w:pPr>
            <w:r>
              <w:rPr>
                <w:rFonts w:ascii="Courier New" w:cs="Courier New" w:eastAsia="Courier New" w:hAnsi="Courier New"/>
                <w:sz w:val="15"/>
                <w:szCs w:val="15"/>
                <w:color w:val="auto"/>
              </w:rPr>
              <w:t>Compensation</w:t>
            </w:r>
          </w:p>
        </w:tc>
        <w:tc>
          <w:tcPr>
            <w:tcW w:w="1080" w:type="dxa"/>
            <w:vAlign w:val="bottom"/>
          </w:tcPr>
          <w:p>
            <w:pPr>
              <w:ind w:left="180"/>
              <w:spacing w:after="0"/>
              <w:rPr>
                <w:sz w:val="20"/>
                <w:szCs w:val="20"/>
                <w:color w:val="auto"/>
              </w:rPr>
            </w:pPr>
            <w:r>
              <w:rPr>
                <w:rFonts w:ascii="Courier New" w:cs="Courier New" w:eastAsia="Courier New" w:hAnsi="Courier New"/>
                <w:sz w:val="15"/>
                <w:szCs w:val="15"/>
                <w:color w:val="auto"/>
              </w:rPr>
              <w:t>Award(s)</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8"/>
              </w:rPr>
              <w:t>Options/SARs</w:t>
            </w:r>
          </w:p>
        </w:tc>
        <w:tc>
          <w:tcPr>
            <w:tcW w:w="1280" w:type="dxa"/>
            <w:vAlign w:val="bottom"/>
          </w:tcPr>
          <w:p>
            <w:pPr>
              <w:jc w:val="center"/>
              <w:ind w:left="146"/>
              <w:spacing w:after="0"/>
              <w:rPr>
                <w:sz w:val="20"/>
                <w:szCs w:val="20"/>
                <w:color w:val="auto"/>
              </w:rPr>
            </w:pPr>
            <w:r>
              <w:rPr>
                <w:rFonts w:ascii="Courier New" w:cs="Courier New" w:eastAsia="Courier New" w:hAnsi="Courier New"/>
                <w:sz w:val="15"/>
                <w:szCs w:val="15"/>
                <w:color w:val="auto"/>
                <w:w w:val="98"/>
              </w:rPr>
              <w:t>Compensation</w:t>
            </w:r>
          </w:p>
        </w:tc>
      </w:tr>
      <w:tr>
        <w:trPr>
          <w:trHeight w:val="171"/>
        </w:trPr>
        <w:tc>
          <w:tcPr>
            <w:tcW w:w="2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w:t>
            </w:r>
          </w:p>
        </w:tc>
      </w:tr>
    </w:tbl>
    <w:p>
      <w:pPr>
        <w:spacing w:after="0" w:line="1" w:lineRule="exact"/>
        <w:rPr>
          <w:sz w:val="24"/>
          <w:szCs w:val="24"/>
          <w:color w:val="auto"/>
        </w:rPr>
      </w:pPr>
    </w:p>
    <w:tbl>
      <w:tblPr>
        <w:tblLayout w:type="fixed"/>
        <w:tblInd w:w="9" w:type="dxa"/>
        <w:tblCellMar>
          <w:top w:w="0" w:type="dxa"/>
          <w:left w:w="0" w:type="dxa"/>
          <w:bottom w:w="0" w:type="dxa"/>
          <w:right w:w="0" w:type="dxa"/>
        </w:tblCellMar>
      </w:tblPr>
      <w:tr>
        <w:trPr>
          <w:trHeight w:val="170"/>
        </w:trPr>
        <w:tc>
          <w:tcPr>
            <w:tcW w:w="3720" w:type="dxa"/>
            <w:vAlign w:val="bottom"/>
            <w:gridSpan w:val="2"/>
          </w:tcPr>
          <w:p>
            <w:pPr>
              <w:spacing w:after="0"/>
              <w:rPr>
                <w:sz w:val="20"/>
                <w:szCs w:val="20"/>
                <w:color w:val="auto"/>
              </w:rPr>
            </w:pPr>
            <w:r>
              <w:rPr>
                <w:rFonts w:ascii="Courier New" w:cs="Courier New" w:eastAsia="Courier New" w:hAnsi="Courier New"/>
                <w:sz w:val="15"/>
                <w:szCs w:val="15"/>
                <w:color w:val="auto"/>
                <w:w w:val="97"/>
              </w:rPr>
              <w:t>- --------------------------------- ------</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40" w:type="dxa"/>
            <w:vAlign w:val="bottom"/>
            <w:gridSpan w:val="7"/>
          </w:tcPr>
          <w:p>
            <w:pPr>
              <w:jc w:val="right"/>
              <w:spacing w:after="0"/>
              <w:rPr>
                <w:sz w:val="20"/>
                <w:szCs w:val="20"/>
                <w:color w:val="auto"/>
              </w:rPr>
            </w:pPr>
            <w:r>
              <w:rPr>
                <w:rFonts w:ascii="Courier New" w:cs="Courier New" w:eastAsia="Courier New" w:hAnsi="Courier New"/>
                <w:sz w:val="15"/>
                <w:szCs w:val="15"/>
                <w:color w:val="auto"/>
                <w:w w:val="99"/>
              </w:rPr>
              <w:t>------------ -------------- ------------ ---------------- ----------------</w:t>
            </w:r>
          </w:p>
        </w:tc>
      </w:tr>
      <w:tr>
        <w:trPr>
          <w:trHeight w:val="341"/>
        </w:trPr>
        <w:tc>
          <w:tcPr>
            <w:tcW w:w="2700" w:type="dxa"/>
            <w:vAlign w:val="bottom"/>
          </w:tcPr>
          <w:p>
            <w:pPr>
              <w:spacing w:after="0"/>
              <w:rPr>
                <w:sz w:val="20"/>
                <w:szCs w:val="20"/>
                <w:color w:val="auto"/>
              </w:rPr>
            </w:pPr>
            <w:r>
              <w:rPr>
                <w:rFonts w:ascii="Courier New" w:cs="Courier New" w:eastAsia="Courier New" w:hAnsi="Courier New"/>
                <w:sz w:val="15"/>
                <w:szCs w:val="15"/>
                <w:color w:val="auto"/>
              </w:rPr>
              <w:t>Stephen A. Wynn</w:t>
            </w:r>
          </w:p>
        </w:tc>
        <w:tc>
          <w:tcPr>
            <w:tcW w:w="1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2004</w:t>
            </w:r>
          </w:p>
        </w:tc>
        <w:tc>
          <w:tcPr>
            <w:tcW w:w="116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5"/>
              </w:rPr>
              <w:t>$1,826,923</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$2,740,382</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$215,283(2)</w:t>
            </w:r>
          </w:p>
        </w:tc>
        <w:tc>
          <w:tcPr>
            <w:tcW w:w="5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24"/>
                <w:szCs w:val="24"/>
                <w:color w:val="auto"/>
              </w:rPr>
            </w:pPr>
          </w:p>
        </w:tc>
        <w:tc>
          <w:tcPr>
            <w:tcW w:w="12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$15,928</w:t>
            </w:r>
          </w:p>
        </w:tc>
      </w:tr>
      <w:tr>
        <w:trPr>
          <w:trHeight w:val="171"/>
        </w:trPr>
        <w:tc>
          <w:tcPr>
            <w:tcW w:w="2700" w:type="dxa"/>
            <w:vAlign w:val="bottom"/>
          </w:tcPr>
          <w:p>
            <w:pPr>
              <w:ind w:left="80"/>
              <w:spacing w:after="0"/>
              <w:rPr>
                <w:sz w:val="20"/>
                <w:szCs w:val="20"/>
                <w:color w:val="auto"/>
              </w:rPr>
            </w:pPr>
            <w:r>
              <w:rPr>
                <w:rFonts w:ascii="Courier New" w:cs="Courier New" w:eastAsia="Courier New" w:hAnsi="Courier New"/>
                <w:sz w:val="15"/>
                <w:szCs w:val="15"/>
                <w:color w:val="auto"/>
              </w:rPr>
              <w:t>Chief Executive Officer of</w:t>
            </w:r>
          </w:p>
        </w:tc>
        <w:tc>
          <w:tcPr>
            <w:tcW w:w="1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2003</w:t>
            </w:r>
          </w:p>
        </w:tc>
        <w:tc>
          <w:tcPr>
            <w:tcW w:w="11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1,326,923</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109,213(2)</w:t>
            </w:r>
          </w:p>
        </w:tc>
        <w:tc>
          <w:tcPr>
            <w:tcW w:w="5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2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11,437</w:t>
            </w:r>
          </w:p>
        </w:tc>
      </w:tr>
      <w:tr>
        <w:trPr>
          <w:trHeight w:val="171"/>
        </w:trPr>
        <w:tc>
          <w:tcPr>
            <w:tcW w:w="2700" w:type="dxa"/>
            <w:vAlign w:val="bottom"/>
          </w:tcPr>
          <w:p>
            <w:pPr>
              <w:ind w:left="80"/>
              <w:spacing w:after="0"/>
              <w:rPr>
                <w:sz w:val="20"/>
                <w:szCs w:val="20"/>
                <w:color w:val="auto"/>
              </w:rPr>
            </w:pPr>
            <w:r>
              <w:rPr>
                <w:rFonts w:ascii="Courier New" w:cs="Courier New" w:eastAsia="Courier New" w:hAnsi="Courier New"/>
                <w:sz w:val="15"/>
                <w:szCs w:val="15"/>
                <w:color w:val="auto"/>
              </w:rPr>
              <w:t>Wynn Resorts, Limited</w:t>
            </w:r>
          </w:p>
        </w:tc>
        <w:tc>
          <w:tcPr>
            <w:tcW w:w="1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2002</w:t>
            </w:r>
          </w:p>
        </w:tc>
        <w:tc>
          <w:tcPr>
            <w:tcW w:w="11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197,115</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63,060(2)</w:t>
            </w:r>
          </w:p>
        </w:tc>
        <w:tc>
          <w:tcPr>
            <w:tcW w:w="5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2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spacing w:after="0"/>
              <w:rPr>
                <w:sz w:val="14"/>
                <w:szCs w:val="14"/>
                <w:color w:val="auto"/>
              </w:rPr>
            </w:pPr>
          </w:p>
        </w:tc>
      </w:tr>
      <w:tr>
        <w:trPr>
          <w:trHeight w:val="171"/>
        </w:trPr>
        <w:tc>
          <w:tcPr>
            <w:tcW w:w="2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r>
      <w:tr>
        <w:trPr>
          <w:trHeight w:val="171"/>
        </w:trPr>
        <w:tc>
          <w:tcPr>
            <w:tcW w:w="48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8"/>
              </w:rPr>
              <w:t>- --------------------------------- ------ ------------</w:t>
            </w:r>
          </w:p>
        </w:tc>
        <w:tc>
          <w:tcPr>
            <w:tcW w:w="6640" w:type="dxa"/>
            <w:vAlign w:val="bottom"/>
            <w:gridSpan w:val="7"/>
          </w:tcPr>
          <w:p>
            <w:pPr>
              <w:jc w:val="right"/>
              <w:spacing w:after="0"/>
              <w:rPr>
                <w:sz w:val="20"/>
                <w:szCs w:val="20"/>
                <w:color w:val="auto"/>
              </w:rPr>
            </w:pPr>
            <w:r>
              <w:rPr>
                <w:rFonts w:ascii="Courier New" w:cs="Courier New" w:eastAsia="Courier New" w:hAnsi="Courier New"/>
                <w:sz w:val="15"/>
                <w:szCs w:val="15"/>
                <w:color w:val="auto"/>
                <w:w w:val="99"/>
              </w:rPr>
              <w:t>------------ -------------- ------------ ---------------- ----------------</w:t>
            </w:r>
          </w:p>
        </w:tc>
      </w:tr>
      <w:tr>
        <w:trPr>
          <w:trHeight w:val="171"/>
        </w:trPr>
        <w:tc>
          <w:tcPr>
            <w:tcW w:w="2700" w:type="dxa"/>
            <w:vAlign w:val="bottom"/>
          </w:tcPr>
          <w:p>
            <w:pPr>
              <w:spacing w:after="0"/>
              <w:rPr>
                <w:sz w:val="20"/>
                <w:szCs w:val="20"/>
                <w:color w:val="auto"/>
              </w:rPr>
            </w:pPr>
            <w:r>
              <w:rPr>
                <w:rFonts w:ascii="Courier New" w:cs="Courier New" w:eastAsia="Courier New" w:hAnsi="Courier New"/>
                <w:sz w:val="15"/>
                <w:szCs w:val="15"/>
                <w:color w:val="auto"/>
              </w:rPr>
              <w:t>Ronald J. Kramer (3)</w:t>
            </w:r>
          </w:p>
        </w:tc>
        <w:tc>
          <w:tcPr>
            <w:tcW w:w="1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2004</w:t>
            </w:r>
          </w:p>
        </w:tc>
        <w:tc>
          <w:tcPr>
            <w:tcW w:w="11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1,171,923</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1,171,923</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0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 (4)</w:t>
            </w:r>
          </w:p>
        </w:tc>
        <w:tc>
          <w:tcPr>
            <w:tcW w:w="12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7,458</w:t>
            </w:r>
          </w:p>
        </w:tc>
      </w:tr>
      <w:tr>
        <w:trPr>
          <w:trHeight w:val="171"/>
        </w:trPr>
        <w:tc>
          <w:tcPr>
            <w:tcW w:w="2700" w:type="dxa"/>
            <w:vAlign w:val="bottom"/>
          </w:tcPr>
          <w:p>
            <w:pPr>
              <w:ind w:left="260"/>
              <w:spacing w:after="0"/>
              <w:rPr>
                <w:sz w:val="20"/>
                <w:szCs w:val="20"/>
                <w:color w:val="auto"/>
              </w:rPr>
            </w:pPr>
            <w:r>
              <w:rPr>
                <w:rFonts w:ascii="Courier New" w:cs="Courier New" w:eastAsia="Courier New" w:hAnsi="Courier New"/>
                <w:sz w:val="15"/>
                <w:szCs w:val="15"/>
                <w:color w:val="auto"/>
              </w:rPr>
              <w:t>President of Wynn</w:t>
            </w:r>
          </w:p>
        </w:tc>
        <w:tc>
          <w:tcPr>
            <w:tcW w:w="1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2003</w:t>
            </w:r>
          </w:p>
        </w:tc>
        <w:tc>
          <w:tcPr>
            <w:tcW w:w="11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1,072,692</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2,828,770</w:t>
            </w:r>
          </w:p>
        </w:tc>
        <w:tc>
          <w:tcPr>
            <w:tcW w:w="6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(5)</w:t>
            </w:r>
          </w:p>
        </w:tc>
        <w:tc>
          <w:tcPr>
            <w:tcW w:w="12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200,000</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1,530</w:t>
            </w:r>
          </w:p>
        </w:tc>
      </w:tr>
      <w:tr>
        <w:trPr>
          <w:trHeight w:val="171"/>
        </w:trPr>
        <w:tc>
          <w:tcPr>
            <w:tcW w:w="2700" w:type="dxa"/>
            <w:vAlign w:val="bottom"/>
          </w:tcPr>
          <w:p>
            <w:pPr>
              <w:ind w:left="260"/>
              <w:spacing w:after="0"/>
              <w:rPr>
                <w:sz w:val="20"/>
                <w:szCs w:val="20"/>
                <w:color w:val="auto"/>
              </w:rPr>
            </w:pPr>
            <w:r>
              <w:rPr>
                <w:rFonts w:ascii="Courier New" w:cs="Courier New" w:eastAsia="Courier New" w:hAnsi="Courier New"/>
                <w:sz w:val="15"/>
                <w:szCs w:val="15"/>
                <w:color w:val="auto"/>
              </w:rPr>
              <w:t>Resorts, Limited</w:t>
            </w:r>
          </w:p>
        </w:tc>
        <w:tc>
          <w:tcPr>
            <w:tcW w:w="1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2002</w:t>
            </w:r>
          </w:p>
        </w:tc>
        <w:tc>
          <w:tcPr>
            <w:tcW w:w="11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730,769</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1,250,000</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2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833</w:t>
            </w:r>
          </w:p>
        </w:tc>
      </w:tr>
      <w:tr>
        <w:trPr>
          <w:trHeight w:val="171"/>
        </w:trPr>
        <w:tc>
          <w:tcPr>
            <w:tcW w:w="3720" w:type="dxa"/>
            <w:vAlign w:val="bottom"/>
            <w:gridSpan w:val="2"/>
          </w:tcPr>
          <w:p>
            <w:pPr>
              <w:spacing w:after="0"/>
              <w:rPr>
                <w:sz w:val="20"/>
                <w:szCs w:val="20"/>
                <w:color w:val="auto"/>
              </w:rPr>
            </w:pPr>
            <w:r>
              <w:rPr>
                <w:rFonts w:ascii="Courier New" w:cs="Courier New" w:eastAsia="Courier New" w:hAnsi="Courier New"/>
                <w:sz w:val="15"/>
                <w:szCs w:val="15"/>
                <w:color w:val="auto"/>
                <w:w w:val="97"/>
              </w:rPr>
              <w:t>- --------------------------------- ------</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40" w:type="dxa"/>
            <w:vAlign w:val="bottom"/>
            <w:gridSpan w:val="7"/>
          </w:tcPr>
          <w:p>
            <w:pPr>
              <w:jc w:val="right"/>
              <w:spacing w:after="0"/>
              <w:rPr>
                <w:sz w:val="20"/>
                <w:szCs w:val="20"/>
                <w:color w:val="auto"/>
              </w:rPr>
            </w:pPr>
            <w:r>
              <w:rPr>
                <w:rFonts w:ascii="Courier New" w:cs="Courier New" w:eastAsia="Courier New" w:hAnsi="Courier New"/>
                <w:sz w:val="15"/>
                <w:szCs w:val="15"/>
                <w:color w:val="auto"/>
                <w:w w:val="99"/>
              </w:rPr>
              <w:t>------------ -------------- ------------ ---------------- ----------------</w:t>
            </w:r>
          </w:p>
        </w:tc>
      </w:tr>
    </w:tbl>
    <w:p>
      <w:pPr>
        <w:sectPr>
          <w:pgSz w:w="11900" w:h="16838" w:orient="portrait"/>
          <w:cols w:equalWidth="0" w:num="1">
            <w:col w:w="11529"/>
          </w:cols>
          <w:pgMar w:left="231" w:top="742" w:right="139" w:bottom="0" w:gutter="0" w:footer="0" w:header="0"/>
          <w:type w:val="continuous"/>
        </w:sectPr>
      </w:pPr>
    </w:p>
    <w:bookmarkStart w:id="1" w:name="page2"/>
    <w:bookmarkEnd w:id="1"/>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5"/>
              </w:rPr>
              <w:t>Marc D.</w:t>
            </w:r>
          </w:p>
        </w:tc>
        <w:tc>
          <w:tcPr>
            <w:tcW w:w="2080" w:type="dxa"/>
            <w:vAlign w:val="bottom"/>
          </w:tcPr>
          <w:p>
            <w:pPr>
              <w:ind w:left="40"/>
              <w:spacing w:after="0"/>
              <w:rPr>
                <w:sz w:val="20"/>
                <w:szCs w:val="20"/>
                <w:color w:val="auto"/>
              </w:rPr>
            </w:pPr>
            <w:r>
              <w:rPr>
                <w:rFonts w:ascii="Courier New" w:cs="Courier New" w:eastAsia="Courier New" w:hAnsi="Courier New"/>
                <w:sz w:val="15"/>
                <w:szCs w:val="15"/>
                <w:color w:val="auto"/>
              </w:rPr>
              <w:t>Schorr</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2004</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1,000,000</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1,000,000</w:t>
            </w:r>
          </w:p>
        </w:tc>
        <w:tc>
          <w:tcPr>
            <w:tcW w:w="8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 (4)</w:t>
            </w:r>
          </w:p>
        </w:tc>
        <w:tc>
          <w:tcPr>
            <w:tcW w:w="13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10,643</w:t>
            </w:r>
          </w:p>
        </w:tc>
      </w:tr>
      <w:tr>
        <w:trPr>
          <w:trHeight w:val="171"/>
        </w:trPr>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Chief</w:t>
            </w:r>
          </w:p>
        </w:tc>
        <w:tc>
          <w:tcPr>
            <w:tcW w:w="2080" w:type="dxa"/>
            <w:vAlign w:val="bottom"/>
          </w:tcPr>
          <w:p>
            <w:pPr>
              <w:ind w:left="40"/>
              <w:spacing w:after="0"/>
              <w:rPr>
                <w:sz w:val="20"/>
                <w:szCs w:val="20"/>
                <w:color w:val="auto"/>
              </w:rPr>
            </w:pPr>
            <w:r>
              <w:rPr>
                <w:rFonts w:ascii="Courier New" w:cs="Courier New" w:eastAsia="Courier New" w:hAnsi="Courier New"/>
                <w:sz w:val="15"/>
                <w:szCs w:val="15"/>
                <w:color w:val="auto"/>
              </w:rPr>
              <w:t>Operating Officer of</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2003</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788,461</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3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200,000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6,000</w:t>
            </w:r>
          </w:p>
        </w:tc>
      </w:tr>
      <w:tr>
        <w:trPr>
          <w:trHeight w:val="171"/>
        </w:trPr>
        <w:tc>
          <w:tcPr>
            <w:tcW w:w="27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Wynn Resorts, Limited</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2002</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118,269</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2,513,830</w:t>
            </w:r>
          </w:p>
        </w:tc>
        <w:tc>
          <w:tcPr>
            <w:tcW w:w="6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(5)</w:t>
            </w:r>
          </w:p>
        </w:tc>
        <w:tc>
          <w:tcPr>
            <w:tcW w:w="13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139</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 ------ ------------ ------------ -------------- ------------ ----------------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780" w:type="dxa"/>
            <w:vAlign w:val="bottom"/>
          </w:tcPr>
          <w:p>
            <w:pPr>
              <w:spacing w:after="0"/>
              <w:rPr>
                <w:sz w:val="20"/>
                <w:szCs w:val="20"/>
                <w:color w:val="auto"/>
              </w:rPr>
            </w:pPr>
            <w:r>
              <w:rPr>
                <w:rFonts w:ascii="Courier New" w:cs="Courier New" w:eastAsia="Courier New" w:hAnsi="Courier New"/>
                <w:sz w:val="15"/>
                <w:szCs w:val="15"/>
                <w:color w:val="auto"/>
              </w:rPr>
              <w:t>John Strzemp</w:t>
            </w:r>
          </w:p>
        </w:tc>
        <w:tc>
          <w:tcPr>
            <w:tcW w:w="9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2004</w:t>
            </w:r>
          </w:p>
        </w:tc>
        <w:tc>
          <w:tcPr>
            <w:tcW w:w="12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509,000</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175,000</w:t>
            </w:r>
          </w:p>
        </w:tc>
        <w:tc>
          <w:tcPr>
            <w:tcW w:w="8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7,408</w:t>
            </w:r>
          </w:p>
        </w:tc>
      </w:tr>
      <w:tr>
        <w:trPr>
          <w:trHeight w:val="171"/>
        </w:trPr>
        <w:tc>
          <w:tcPr>
            <w:tcW w:w="2780" w:type="dxa"/>
            <w:vAlign w:val="bottom"/>
          </w:tcPr>
          <w:p>
            <w:pPr>
              <w:ind w:left="80"/>
              <w:spacing w:after="0"/>
              <w:rPr>
                <w:sz w:val="20"/>
                <w:szCs w:val="20"/>
                <w:color w:val="auto"/>
              </w:rPr>
            </w:pPr>
            <w:r>
              <w:rPr>
                <w:rFonts w:ascii="Courier New" w:cs="Courier New" w:eastAsia="Courier New" w:hAnsi="Courier New"/>
                <w:sz w:val="15"/>
                <w:szCs w:val="15"/>
                <w:color w:val="auto"/>
              </w:rPr>
              <w:t>Executive Vice President and</w:t>
            </w:r>
          </w:p>
        </w:tc>
        <w:tc>
          <w:tcPr>
            <w:tcW w:w="9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2003</w:t>
            </w:r>
          </w:p>
        </w:tc>
        <w:tc>
          <w:tcPr>
            <w:tcW w:w="12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509,000</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150,000</w:t>
            </w:r>
          </w:p>
        </w:tc>
        <w:tc>
          <w:tcPr>
            <w:tcW w:w="8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100,000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7,267</w:t>
            </w:r>
          </w:p>
        </w:tc>
      </w:tr>
      <w:tr>
        <w:trPr>
          <w:trHeight w:val="171"/>
        </w:trPr>
        <w:tc>
          <w:tcPr>
            <w:tcW w:w="2780" w:type="dxa"/>
            <w:vAlign w:val="bottom"/>
          </w:tcPr>
          <w:p>
            <w:pPr>
              <w:ind w:left="80"/>
              <w:spacing w:after="0"/>
              <w:rPr>
                <w:sz w:val="20"/>
                <w:szCs w:val="20"/>
                <w:color w:val="auto"/>
              </w:rPr>
            </w:pPr>
            <w:r>
              <w:rPr>
                <w:rFonts w:ascii="Courier New" w:cs="Courier New" w:eastAsia="Courier New" w:hAnsi="Courier New"/>
                <w:sz w:val="15"/>
                <w:szCs w:val="15"/>
                <w:color w:val="auto"/>
              </w:rPr>
              <w:t>Chief Financial Officer of</w:t>
            </w:r>
          </w:p>
        </w:tc>
        <w:tc>
          <w:tcPr>
            <w:tcW w:w="9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2002</w:t>
            </w:r>
          </w:p>
        </w:tc>
        <w:tc>
          <w:tcPr>
            <w:tcW w:w="12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459,692</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150,000</w:t>
            </w:r>
          </w:p>
        </w:tc>
        <w:tc>
          <w:tcPr>
            <w:tcW w:w="8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2,513,830</w:t>
            </w:r>
          </w:p>
        </w:tc>
        <w:tc>
          <w:tcPr>
            <w:tcW w:w="6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(5)</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7,122</w:t>
            </w:r>
          </w:p>
        </w:tc>
      </w:tr>
      <w:tr>
        <w:trPr>
          <w:trHeight w:val="171"/>
        </w:trPr>
        <w:tc>
          <w:tcPr>
            <w:tcW w:w="2780" w:type="dxa"/>
            <w:vAlign w:val="bottom"/>
          </w:tcPr>
          <w:p>
            <w:pPr>
              <w:ind w:left="80"/>
              <w:spacing w:after="0"/>
              <w:rPr>
                <w:sz w:val="20"/>
                <w:szCs w:val="20"/>
                <w:color w:val="auto"/>
              </w:rPr>
            </w:pPr>
            <w:r>
              <w:rPr>
                <w:rFonts w:ascii="Courier New" w:cs="Courier New" w:eastAsia="Courier New" w:hAnsi="Courier New"/>
                <w:sz w:val="15"/>
                <w:szCs w:val="15"/>
                <w:color w:val="auto"/>
              </w:rPr>
              <w:t>Wynn Resorts, Limited</w:t>
            </w: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80" w:type="dxa"/>
            <w:vAlign w:val="bottom"/>
          </w:tcPr>
          <w:p>
            <w:pPr>
              <w:spacing w:after="0"/>
              <w:rPr>
                <w:sz w:val="14"/>
                <w:szCs w:val="14"/>
                <w:color w:val="auto"/>
              </w:rPr>
            </w:pPr>
          </w:p>
        </w:tc>
      </w:tr>
    </w:tbl>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1440" w:type="dxa"/>
            <w:vAlign w:val="bottom"/>
            <w:gridSpan w:val="8"/>
          </w:tcPr>
          <w:p>
            <w:pPr>
              <w:jc w:val="right"/>
              <w:spacing w:after="0"/>
              <w:rPr>
                <w:sz w:val="20"/>
                <w:szCs w:val="20"/>
                <w:color w:val="auto"/>
              </w:rPr>
            </w:pPr>
            <w:r>
              <w:rPr>
                <w:rFonts w:ascii="Courier New" w:cs="Courier New" w:eastAsia="Courier New" w:hAnsi="Courier New"/>
                <w:sz w:val="15"/>
                <w:szCs w:val="15"/>
                <w:color w:val="auto"/>
                <w:w w:val="99"/>
              </w:rPr>
              <w:t>--------------------------------- ------ ------------ ------------ -------------- ------------ ---------------- ----------------</w:t>
            </w:r>
          </w:p>
        </w:tc>
      </w:tr>
      <w:tr>
        <w:trPr>
          <w:trHeight w:val="171"/>
        </w:trPr>
        <w:tc>
          <w:tcPr>
            <w:tcW w:w="2880" w:type="dxa"/>
            <w:vAlign w:val="bottom"/>
            <w:gridSpan w:val="2"/>
          </w:tcPr>
          <w:p>
            <w:pPr>
              <w:spacing w:after="0"/>
              <w:rPr>
                <w:sz w:val="20"/>
                <w:szCs w:val="20"/>
                <w:color w:val="auto"/>
              </w:rPr>
            </w:pPr>
            <w:r>
              <w:rPr>
                <w:rFonts w:ascii="Courier New" w:cs="Courier New" w:eastAsia="Courier New" w:hAnsi="Courier New"/>
                <w:sz w:val="15"/>
                <w:szCs w:val="15"/>
                <w:color w:val="auto"/>
              </w:rPr>
              <w:t>Linda Chen</w:t>
            </w:r>
          </w:p>
        </w:tc>
        <w:tc>
          <w:tcPr>
            <w:tcW w:w="8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2004</w:t>
            </w:r>
          </w:p>
        </w:tc>
        <w:tc>
          <w:tcPr>
            <w:tcW w:w="12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500,000</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250,000</w:t>
            </w:r>
          </w:p>
        </w:tc>
        <w:tc>
          <w:tcPr>
            <w:tcW w:w="13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53,567</w:t>
            </w:r>
          </w:p>
        </w:tc>
        <w:tc>
          <w:tcPr>
            <w:tcW w:w="13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6,633</w:t>
            </w:r>
          </w:p>
        </w:tc>
      </w:tr>
      <w:tr>
        <w:trPr>
          <w:trHeight w:val="171"/>
        </w:trPr>
        <w:tc>
          <w:tcPr>
            <w:tcW w:w="80" w:type="dxa"/>
            <w:vAlign w:val="bottom"/>
          </w:tcPr>
          <w:p>
            <w:pPr>
              <w:spacing w:after="0"/>
              <w:rPr>
                <w:sz w:val="14"/>
                <w:szCs w:val="14"/>
                <w:color w:val="auto"/>
              </w:rPr>
            </w:pPr>
          </w:p>
        </w:tc>
        <w:tc>
          <w:tcPr>
            <w:tcW w:w="2800" w:type="dxa"/>
            <w:vAlign w:val="bottom"/>
          </w:tcPr>
          <w:p>
            <w:pPr>
              <w:spacing w:after="0"/>
              <w:rPr>
                <w:sz w:val="20"/>
                <w:szCs w:val="20"/>
                <w:color w:val="auto"/>
              </w:rPr>
            </w:pPr>
            <w:r>
              <w:rPr>
                <w:rFonts w:ascii="Courier New" w:cs="Courier New" w:eastAsia="Courier New" w:hAnsi="Courier New"/>
                <w:sz w:val="15"/>
                <w:szCs w:val="15"/>
                <w:color w:val="auto"/>
              </w:rPr>
              <w:t>President - Wynn International</w:t>
            </w:r>
          </w:p>
        </w:tc>
        <w:tc>
          <w:tcPr>
            <w:tcW w:w="8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2003</w:t>
            </w:r>
          </w:p>
        </w:tc>
        <w:tc>
          <w:tcPr>
            <w:tcW w:w="12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499,670</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250,000</w:t>
            </w:r>
          </w:p>
        </w:tc>
        <w:tc>
          <w:tcPr>
            <w:tcW w:w="13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50,000</w:t>
            </w:r>
          </w:p>
        </w:tc>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486</w:t>
            </w:r>
          </w:p>
        </w:tc>
      </w:tr>
      <w:tr>
        <w:trPr>
          <w:trHeight w:val="171"/>
        </w:trPr>
        <w:tc>
          <w:tcPr>
            <w:tcW w:w="80" w:type="dxa"/>
            <w:vAlign w:val="bottom"/>
          </w:tcPr>
          <w:p>
            <w:pPr>
              <w:spacing w:after="0"/>
              <w:rPr>
                <w:sz w:val="14"/>
                <w:szCs w:val="14"/>
                <w:color w:val="auto"/>
              </w:rPr>
            </w:pPr>
          </w:p>
        </w:tc>
        <w:tc>
          <w:tcPr>
            <w:tcW w:w="2800" w:type="dxa"/>
            <w:vAlign w:val="bottom"/>
          </w:tcPr>
          <w:p>
            <w:pPr>
              <w:spacing w:after="0"/>
              <w:rPr>
                <w:sz w:val="20"/>
                <w:szCs w:val="20"/>
                <w:color w:val="auto"/>
              </w:rPr>
            </w:pPr>
            <w:r>
              <w:rPr>
                <w:rFonts w:ascii="Courier New" w:cs="Courier New" w:eastAsia="Courier New" w:hAnsi="Courier New"/>
                <w:sz w:val="15"/>
                <w:szCs w:val="15"/>
                <w:color w:val="auto"/>
              </w:rPr>
              <w:t>Marketing, LLC</w:t>
            </w:r>
          </w:p>
        </w:tc>
        <w:tc>
          <w:tcPr>
            <w:tcW w:w="8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2002</w:t>
            </w:r>
          </w:p>
        </w:tc>
        <w:tc>
          <w:tcPr>
            <w:tcW w:w="12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423,882</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145,205</w:t>
            </w:r>
          </w:p>
        </w:tc>
        <w:tc>
          <w:tcPr>
            <w:tcW w:w="13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25,000</w:t>
            </w:r>
          </w:p>
        </w:tc>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168</w:t>
            </w:r>
          </w:p>
        </w:tc>
      </w:tr>
      <w:tr>
        <w:trPr>
          <w:trHeight w:val="171"/>
        </w:trPr>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1440" w:type="dxa"/>
            <w:vAlign w:val="bottom"/>
            <w:gridSpan w:val="8"/>
          </w:tcPr>
          <w:p>
            <w:pPr>
              <w:jc w:val="right"/>
              <w:spacing w:after="0"/>
              <w:rPr>
                <w:sz w:val="20"/>
                <w:szCs w:val="20"/>
                <w:color w:val="auto"/>
              </w:rPr>
            </w:pPr>
            <w:r>
              <w:rPr>
                <w:rFonts w:ascii="Courier New" w:cs="Courier New" w:eastAsia="Courier New" w:hAnsi="Courier New"/>
                <w:sz w:val="15"/>
                <w:szCs w:val="15"/>
                <w:color w:val="auto"/>
                <w:w w:val="99"/>
              </w:rPr>
              <w:t>--------------------------------- ------ ------------ ------------ -------------- ------------ ---------------- ----------------</w:t>
            </w:r>
          </w:p>
        </w:tc>
      </w:tr>
    </w:tbl>
    <w:p>
      <w:pPr>
        <w:spacing w:after="0" w:line="200" w:lineRule="exact"/>
        <w:rPr>
          <w:sz w:val="20"/>
          <w:szCs w:val="20"/>
          <w:color w:val="auto"/>
        </w:rPr>
      </w:pPr>
    </w:p>
    <w:p>
      <w:pPr>
        <w:spacing w:after="0" w:line="315" w:lineRule="exact"/>
        <w:rPr>
          <w:sz w:val="20"/>
          <w:szCs w:val="20"/>
          <w:color w:val="auto"/>
        </w:rPr>
      </w:pPr>
    </w:p>
    <w:p>
      <w:pPr>
        <w:ind w:left="449" w:right="4780" w:hanging="449"/>
        <w:spacing w:after="0" w:line="260" w:lineRule="auto"/>
        <w:tabs>
          <w:tab w:leader="none" w:pos="449"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amounts are included in All Other Compensation: (i) the Company's matching contributions made in fiscal year 2004 to the Company's 401(k) Plan, as follows: Stephen A. Wynn ($6,150), Kramer ($6,125), Marc D. Schorr ($6,150), John Strzemp ($6,150) and Linda Chen ($6,150) and (ii) executive life insurance premiums paid in 2004, as follows: Stephen A. Wynn ($9,778), Ronald J. Kramer ($1,308), Marc D. Schorr ($4,493) John Strzemp ($1,259) and Linda Chen ($483).</w:t>
      </w:r>
    </w:p>
    <w:p>
      <w:pPr>
        <w:spacing w:after="0" w:line="162" w:lineRule="exact"/>
        <w:rPr>
          <w:rFonts w:ascii="Courier New" w:cs="Courier New" w:eastAsia="Courier New" w:hAnsi="Courier New"/>
          <w:sz w:val="14"/>
          <w:szCs w:val="14"/>
          <w:color w:val="auto"/>
        </w:rPr>
      </w:pPr>
    </w:p>
    <w:p>
      <w:pPr>
        <w:ind w:left="449" w:right="4600" w:hanging="449"/>
        <w:spacing w:after="0" w:line="259" w:lineRule="auto"/>
        <w:tabs>
          <w:tab w:leader="none" w:pos="449"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amounts are included in Other Annual Compensation: (i) in 2004, $68,750 for compensation and benefits of a driver whom we employ for Stephen A. Wynn's business and personal use, $63,311 related to the value of a vehicle provided by the Company for Mr. Wynn's use, and $83,222 attributable to personal use of the Company's corporate aircraft (the amount attributable to personal use of the Company's aircraft equals the amount by which the variable cost of such use exceeds the amount paid by the executive, which amount is determined by reference to the Internal Revenue Services Standard Industry Fare Level (SIFL) tables. The SIFL amount is used by the Company and its executives for tax reporting purposes); and (ii) in 2003, $64,900 for compensation and benefits of a driver whom we employ for Stephen A. Wynn's business and personal use, and $44,313 related to the value of a vehicle provided by the Company for Mr. Wynn's use; and (iii) in 2002, $55,000 for the salary of a driver whom we employee for Stephen A. Wynn's business and personal use, and $8,060 for the value of accounting services provided to Mr. Wynn.</w:t>
      </w:r>
    </w:p>
    <w:p>
      <w:pPr>
        <w:spacing w:after="0" w:line="162" w:lineRule="exact"/>
        <w:rPr>
          <w:rFonts w:ascii="Courier New" w:cs="Courier New" w:eastAsia="Courier New" w:hAnsi="Courier New"/>
          <w:sz w:val="14"/>
          <w:szCs w:val="14"/>
          <w:color w:val="auto"/>
        </w:rPr>
      </w:pPr>
    </w:p>
    <w:p>
      <w:pPr>
        <w:ind w:left="449" w:right="4780" w:hanging="449"/>
        <w:spacing w:after="0" w:line="238" w:lineRule="auto"/>
        <w:tabs>
          <w:tab w:leader="none" w:pos="449"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Kramer commenced his employment with the predecessor of the Company on April 1, 2002.</w:t>
      </w:r>
    </w:p>
    <w:p>
      <w:pPr>
        <w:spacing w:after="0" w:line="174" w:lineRule="exact"/>
        <w:rPr>
          <w:rFonts w:ascii="Courier New" w:cs="Courier New" w:eastAsia="Courier New" w:hAnsi="Courier New"/>
          <w:sz w:val="15"/>
          <w:szCs w:val="15"/>
          <w:color w:val="auto"/>
        </w:rPr>
      </w:pPr>
    </w:p>
    <w:p>
      <w:pPr>
        <w:ind w:left="449" w:right="4780" w:hanging="449"/>
        <w:spacing w:after="0"/>
        <w:tabs>
          <w:tab w:leader="none" w:pos="449"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December 27, 2004, subject to certain conditions, the Compensation Committee approved a grant to Messrs. Kramer and Schorr of 150,000 and 125,000 shares of restricted stock, respectively, for services rendered during 2004. These grants became effective on February 3, 2005. 20% of each grant will vest on December 15th of each of the next five years, beginning with December 15, 2005.</w:t>
      </w:r>
    </w:p>
    <w:p>
      <w:pPr>
        <w:spacing w:after="0" w:line="175" w:lineRule="exact"/>
        <w:rPr>
          <w:rFonts w:ascii="Courier New" w:cs="Courier New" w:eastAsia="Courier New" w:hAnsi="Courier New"/>
          <w:sz w:val="15"/>
          <w:szCs w:val="15"/>
          <w:color w:val="auto"/>
        </w:rPr>
      </w:pPr>
    </w:p>
    <w:p>
      <w:pPr>
        <w:ind w:left="449" w:right="4600" w:hanging="449"/>
        <w:spacing w:after="0" w:line="259" w:lineRule="auto"/>
        <w:tabs>
          <w:tab w:leader="none" w:pos="449"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December 11, 2002, Messrs. Strzemp and Schorr were each granted 189,723 shares of restricted stock, and on April 1, 2003, Mr. Kramer was granted 189,723 shares of restricted stock. Mr. Strzemp's grant vested in its entirety on November 1, 2004. Messrs. Kramer's and Schorr's grants vest in their entirety on May 31, 2005. As of December 31, 2004, the value of Messrs. Kramer's and Schorr's respective grants was $12,696,263 based on a closing price of $66.92 per share on December 31, 2004. There are no voting rights associated with any unvested shares and any distributions or dividends with respect to unvested shares are held by the Company and are released only upon vesting.</w:t>
      </w:r>
    </w:p>
    <w:p>
      <w:pPr>
        <w:spacing w:after="0" w:line="334" w:lineRule="exact"/>
        <w:rPr>
          <w:sz w:val="20"/>
          <w:szCs w:val="20"/>
          <w:color w:val="auto"/>
        </w:rPr>
      </w:pPr>
    </w:p>
    <w:p>
      <w:pPr>
        <w:ind w:left="3009"/>
        <w:spacing w:after="0"/>
        <w:rPr>
          <w:sz w:val="20"/>
          <w:szCs w:val="20"/>
          <w:color w:val="auto"/>
        </w:rPr>
      </w:pPr>
      <w:r>
        <w:rPr>
          <w:rFonts w:ascii="Courier New" w:cs="Courier New" w:eastAsia="Courier New" w:hAnsi="Courier New"/>
          <w:sz w:val="15"/>
          <w:szCs w:val="15"/>
          <w:color w:val="auto"/>
        </w:rPr>
        <w:t>SIGNATURES</w:t>
      </w:r>
    </w:p>
    <w:p>
      <w:pPr>
        <w:spacing w:after="0" w:line="174" w:lineRule="exact"/>
        <w:rPr>
          <w:sz w:val="20"/>
          <w:szCs w:val="20"/>
          <w:color w:val="auto"/>
        </w:rPr>
      </w:pPr>
    </w:p>
    <w:p>
      <w:pPr>
        <w:jc w:val="both"/>
        <w:ind w:left="9" w:right="4700" w:firstLine="799"/>
        <w:spacing w:after="0" w:line="239"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9"/>
        <w:spacing w:after="0"/>
        <w:tabs>
          <w:tab w:leader="none" w:pos="769"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5"/>
          <w:szCs w:val="15"/>
          <w:color w:val="auto"/>
        </w:rPr>
        <w:t>April 21, 2005</w:t>
      </w:r>
    </w:p>
    <w:p>
      <w:pPr>
        <w:spacing w:after="0" w:line="171" w:lineRule="exact"/>
        <w:rPr>
          <w:sz w:val="20"/>
          <w:szCs w:val="20"/>
          <w:color w:val="auto"/>
        </w:rPr>
      </w:pPr>
    </w:p>
    <w:p>
      <w:pPr>
        <w:ind w:left="4429"/>
        <w:spacing w:after="0"/>
        <w:rPr>
          <w:sz w:val="20"/>
          <w:szCs w:val="20"/>
          <w:color w:val="auto"/>
        </w:rPr>
      </w:pPr>
      <w:r>
        <w:rPr>
          <w:rFonts w:ascii="Courier New" w:cs="Courier New" w:eastAsia="Courier New" w:hAnsi="Courier New"/>
          <w:sz w:val="15"/>
          <w:szCs w:val="15"/>
          <w:color w:val="auto"/>
        </w:rPr>
        <w:t>Wynn Resorts, Limited</w:t>
      </w:r>
    </w:p>
    <w:p>
      <w:pPr>
        <w:spacing w:after="0" w:line="342" w:lineRule="exact"/>
        <w:rPr>
          <w:sz w:val="20"/>
          <w:szCs w:val="20"/>
          <w:color w:val="auto"/>
        </w:rPr>
      </w:pPr>
    </w:p>
    <w:p>
      <w:pPr>
        <w:ind w:left="4429"/>
        <w:spacing w:after="0"/>
        <w:tabs>
          <w:tab w:leader="none" w:pos="4869"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John Strzemp</w:t>
      </w:r>
    </w:p>
    <w:p>
      <w:pPr>
        <w:spacing w:after="0" w:line="1" w:lineRule="exact"/>
        <w:rPr>
          <w:sz w:val="20"/>
          <w:szCs w:val="20"/>
          <w:color w:val="auto"/>
        </w:rPr>
      </w:pPr>
    </w:p>
    <w:p>
      <w:pPr>
        <w:ind w:left="478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789"/>
        <w:spacing w:after="0"/>
        <w:rPr>
          <w:sz w:val="20"/>
          <w:szCs w:val="20"/>
          <w:color w:val="auto"/>
        </w:rPr>
      </w:pPr>
      <w:r>
        <w:rPr>
          <w:rFonts w:ascii="Courier New" w:cs="Courier New" w:eastAsia="Courier New" w:hAnsi="Courier New"/>
          <w:sz w:val="15"/>
          <w:szCs w:val="15"/>
          <w:color w:val="auto"/>
        </w:rPr>
        <w:t>John Strzemp</w:t>
      </w:r>
    </w:p>
    <w:p>
      <w:pPr>
        <w:spacing w:after="0" w:line="1" w:lineRule="exact"/>
        <w:rPr>
          <w:sz w:val="20"/>
          <w:szCs w:val="20"/>
          <w:color w:val="auto"/>
        </w:rPr>
      </w:pPr>
    </w:p>
    <w:p>
      <w:pPr>
        <w:ind w:left="4789"/>
        <w:spacing w:after="0"/>
        <w:rPr>
          <w:sz w:val="20"/>
          <w:szCs w:val="20"/>
          <w:color w:val="auto"/>
        </w:rPr>
      </w:pPr>
      <w:r>
        <w:rPr>
          <w:rFonts w:ascii="Courier New" w:cs="Courier New" w:eastAsia="Courier New" w:hAnsi="Courier New"/>
          <w:sz w:val="15"/>
          <w:szCs w:val="15"/>
          <w:color w:val="auto"/>
        </w:rPr>
        <w:t>Chief Financial Officer</w:t>
      </w:r>
    </w:p>
    <w:sectPr>
      <w:pgSz w:w="11900" w:h="16838" w:orient="portrait"/>
      <w:cols w:equalWidth="0" w:num="1">
        <w:col w:w="11529"/>
      </w:cols>
      <w:pgMar w:left="231" w:top="139"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2019-12-15T07:29:02Z</dcterms:created>
  <dcterms:modified xsi:type="dcterms:W3CDTF">2019-12-15T07:29:02Z</dcterms:modified>
</cp:coreProperties>
</file>