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720" w:right="200" w:hanging="685"/>
        <w:spacing w:after="0" w:line="248"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0" w:type="dxa"/>
            <w:vAlign w:val="bottom"/>
          </w:tcPr>
          <w:p>
            <w:pPr>
              <w:jc w:val="center"/>
              <w:ind w:right="376"/>
              <w:spacing w:after="0"/>
              <w:rPr>
                <w:sz w:val="20"/>
                <w:szCs w:val="20"/>
                <w:color w:val="auto"/>
              </w:rPr>
            </w:pPr>
            <w:r>
              <w:rPr>
                <w:rFonts w:ascii="Arial" w:cs="Arial" w:eastAsia="Arial" w:hAnsi="Arial"/>
                <w:sz w:val="18"/>
                <w:szCs w:val="18"/>
                <w:b w:val="1"/>
                <w:bCs w:val="1"/>
                <w:color w:val="auto"/>
                <w:w w:val="90"/>
              </w:rPr>
              <w:t>Nevada</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880" w:type="dxa"/>
            <w:vAlign w:val="bottom"/>
          </w:tcPr>
          <w:p>
            <w:pPr>
              <w:spacing w:after="0"/>
              <w:rPr>
                <w:sz w:val="15"/>
                <w:szCs w:val="15"/>
                <w:color w:val="auto"/>
              </w:rPr>
            </w:pPr>
          </w:p>
        </w:tc>
        <w:tc>
          <w:tcPr>
            <w:tcW w:w="2960" w:type="dxa"/>
            <w:vAlign w:val="bottom"/>
            <w:gridSpan w:val="2"/>
          </w:tcPr>
          <w:p>
            <w:pPr>
              <w:jc w:val="center"/>
              <w:ind w:left="822"/>
              <w:spacing w:after="0"/>
              <w:rPr>
                <w:sz w:val="20"/>
                <w:szCs w:val="20"/>
                <w:color w:val="auto"/>
              </w:rPr>
            </w:pPr>
            <w:r>
              <w:rPr>
                <w:rFonts w:ascii="Arial" w:cs="Arial" w:eastAsia="Arial" w:hAnsi="Arial"/>
                <w:sz w:val="14"/>
                <w:szCs w:val="14"/>
                <w:b w:val="1"/>
                <w:bCs w:val="1"/>
                <w:color w:val="auto"/>
                <w:w w:val="92"/>
              </w:rPr>
              <w:t>(State or other jurisdiction of</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tcPr>
          <w:p>
            <w:pPr>
              <w:jc w:val="center"/>
              <w:ind w:right="6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880" w:type="dxa"/>
            <w:vAlign w:val="bottom"/>
          </w:tcPr>
          <w:p>
            <w:pPr>
              <w:spacing w:after="0"/>
              <w:rPr>
                <w:sz w:val="16"/>
                <w:szCs w:val="16"/>
                <w:color w:val="auto"/>
              </w:rPr>
            </w:pPr>
          </w:p>
        </w:tc>
        <w:tc>
          <w:tcPr>
            <w:tcW w:w="2960" w:type="dxa"/>
            <w:vAlign w:val="bottom"/>
            <w:gridSpan w:val="2"/>
          </w:tcPr>
          <w:p>
            <w:pPr>
              <w:jc w:val="center"/>
              <w:ind w:left="822"/>
              <w:spacing w:after="0"/>
              <w:rPr>
                <w:sz w:val="20"/>
                <w:szCs w:val="20"/>
                <w:color w:val="auto"/>
              </w:rPr>
            </w:pPr>
            <w:r>
              <w:rPr>
                <w:rFonts w:ascii="Arial" w:cs="Arial" w:eastAsia="Arial" w:hAnsi="Arial"/>
                <w:sz w:val="14"/>
                <w:szCs w:val="14"/>
                <w:b w:val="1"/>
                <w:bCs w:val="1"/>
                <w:color w:val="auto"/>
                <w:w w:val="93"/>
              </w:rPr>
              <w:t>incorporation or organization)</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tcPr>
          <w:p>
            <w:pPr>
              <w:jc w:val="center"/>
              <w:ind w:right="682"/>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240" w:type="dxa"/>
            <w:vAlign w:val="bottom"/>
            <w:gridSpan w:val="7"/>
          </w:tcPr>
          <w:p>
            <w:pPr>
              <w:jc w:val="center"/>
              <w:ind w:right="1202"/>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80" w:type="dxa"/>
            <w:vAlign w:val="bottom"/>
            <w:gridSpan w:val="5"/>
          </w:tcPr>
          <w:p>
            <w:pPr>
              <w:jc w:val="center"/>
              <w:ind w:right="2962"/>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(702) 770-7555</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186"/>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80" w:type="dxa"/>
            <w:vAlign w:val="bottom"/>
            <w:gridSpan w:val="5"/>
          </w:tcPr>
          <w:p>
            <w:pPr>
              <w:jc w:val="center"/>
              <w:ind w:right="2962"/>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60" w:type="dxa"/>
            <w:vAlign w:val="bottom"/>
          </w:tcPr>
          <w:p>
            <w:pPr>
              <w:spacing w:after="0"/>
              <w:rPr>
                <w:sz w:val="22"/>
                <w:szCs w:val="22"/>
                <w:color w:val="auto"/>
              </w:rPr>
            </w:pPr>
          </w:p>
        </w:tc>
      </w:tr>
      <w:tr>
        <w:trPr>
          <w:trHeight w:val="187"/>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jc w:val="center"/>
              <w:ind w:right="550"/>
              <w:spacing w:after="0" w:line="187" w:lineRule="exact"/>
              <w:rPr>
                <w:sz w:val="20"/>
                <w:szCs w:val="20"/>
                <w:color w:val="auto"/>
              </w:rPr>
            </w:pPr>
            <w:r>
              <w:rPr>
                <w:rFonts w:ascii="Arial" w:cs="Arial" w:eastAsia="Arial" w:hAnsi="Arial"/>
                <w:sz w:val="18"/>
                <w:szCs w:val="18"/>
                <w:b w:val="1"/>
                <w:bCs w:val="1"/>
                <w:color w:val="auto"/>
                <w:w w:val="96"/>
              </w:rPr>
              <w:t>N/A</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40" w:type="dxa"/>
            <w:vAlign w:val="bottom"/>
            <w:gridSpan w:val="7"/>
          </w:tcPr>
          <w:p>
            <w:pPr>
              <w:jc w:val="center"/>
              <w:ind w:right="1222"/>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377"/>
        </w:trPr>
        <w:tc>
          <w:tcPr>
            <w:tcW w:w="67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38"/>
        </w:trPr>
        <w:tc>
          <w:tcPr>
            <w:tcW w:w="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0" w:type="dxa"/>
            <w:vAlign w:val="bottom"/>
          </w:tcPr>
          <w:p>
            <w:pPr>
              <w:spacing w:after="0"/>
              <w:rPr>
                <w:sz w:val="24"/>
                <w:szCs w:val="24"/>
                <w:color w:val="auto"/>
              </w:rPr>
            </w:pPr>
          </w:p>
        </w:tc>
        <w:tc>
          <w:tcPr>
            <w:tcW w:w="2860" w:type="dxa"/>
            <w:vAlign w:val="bottom"/>
            <w:gridSpan w:val="3"/>
          </w:tcPr>
          <w:p>
            <w:pPr>
              <w:jc w:val="center"/>
              <w:ind w:right="1150"/>
              <w:spacing w:after="0"/>
              <w:rPr>
                <w:sz w:val="20"/>
                <w:szCs w:val="20"/>
                <w:color w:val="auto"/>
              </w:rPr>
            </w:pPr>
            <w:r>
              <w:rPr>
                <w:rFonts w:ascii="Arial" w:cs="Arial" w:eastAsia="Arial" w:hAnsi="Arial"/>
                <w:sz w:val="18"/>
                <w:szCs w:val="18"/>
                <w:b w:val="1"/>
                <w:bCs w:val="1"/>
                <w:color w:val="auto"/>
                <w:w w:val="89"/>
              </w:rPr>
              <w:t>Trading Symbol(s)</w:t>
            </w:r>
          </w:p>
        </w:tc>
        <w:tc>
          <w:tcPr>
            <w:tcW w:w="37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291"/>
        </w:trPr>
        <w:tc>
          <w:tcPr>
            <w:tcW w:w="3840" w:type="dxa"/>
            <w:vAlign w:val="bottom"/>
            <w:gridSpan w:val="3"/>
          </w:tcPr>
          <w:p>
            <w:pPr>
              <w:jc w:val="center"/>
              <w:ind w:right="656"/>
              <w:spacing w:after="0"/>
              <w:rPr>
                <w:sz w:val="20"/>
                <w:szCs w:val="20"/>
                <w:color w:val="auto"/>
              </w:rPr>
            </w:pPr>
            <w:r>
              <w:rPr>
                <w:rFonts w:ascii="Arial" w:cs="Arial" w:eastAsia="Arial" w:hAnsi="Arial"/>
                <w:sz w:val="18"/>
                <w:szCs w:val="18"/>
                <w:color w:val="auto"/>
                <w:w w:val="90"/>
              </w:rPr>
              <w:t>Common stock, par value $0.01</w:t>
            </w:r>
          </w:p>
        </w:tc>
        <w:tc>
          <w:tcPr>
            <w:tcW w:w="160" w:type="dxa"/>
            <w:vAlign w:val="bottom"/>
          </w:tcPr>
          <w:p>
            <w:pPr>
              <w:spacing w:after="0"/>
              <w:rPr>
                <w:sz w:val="24"/>
                <w:szCs w:val="24"/>
                <w:color w:val="auto"/>
              </w:rPr>
            </w:pPr>
          </w:p>
        </w:tc>
        <w:tc>
          <w:tcPr>
            <w:tcW w:w="2700" w:type="dxa"/>
            <w:vAlign w:val="bottom"/>
            <w:gridSpan w:val="2"/>
          </w:tcPr>
          <w:p>
            <w:pPr>
              <w:jc w:val="center"/>
              <w:ind w:right="1330"/>
              <w:spacing w:after="0"/>
              <w:rPr>
                <w:sz w:val="20"/>
                <w:szCs w:val="20"/>
                <w:color w:val="auto"/>
              </w:rPr>
            </w:pPr>
            <w:r>
              <w:rPr>
                <w:rFonts w:ascii="Arial" w:cs="Arial" w:eastAsia="Arial" w:hAnsi="Arial"/>
                <w:sz w:val="18"/>
                <w:szCs w:val="18"/>
                <w:color w:val="auto"/>
              </w:rPr>
              <w:t>WYNN</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jc w:val="center"/>
              <w:ind w:right="222"/>
              <w:spacing w:after="0"/>
              <w:rPr>
                <w:sz w:val="20"/>
                <w:szCs w:val="20"/>
                <w:color w:val="auto"/>
              </w:rPr>
            </w:pPr>
            <w:r>
              <w:rPr>
                <w:rFonts w:ascii="Arial" w:cs="Arial" w:eastAsia="Arial" w:hAnsi="Arial"/>
                <w:sz w:val="18"/>
                <w:szCs w:val="18"/>
                <w:color w:val="auto"/>
                <w:w w:val="90"/>
              </w:rPr>
              <w:t>Nasdaq Global Select Market</w:t>
            </w:r>
          </w:p>
        </w:tc>
      </w:tr>
    </w:tbl>
    <w:p>
      <w:pPr>
        <w:spacing w:after="0" w:line="229" w:lineRule="exact"/>
        <w:rPr>
          <w:sz w:val="24"/>
          <w:szCs w:val="24"/>
          <w:color w:val="auto"/>
        </w:rPr>
      </w:pPr>
    </w:p>
    <w:p>
      <w:pPr>
        <w:jc w:val="both"/>
        <w:ind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432"/>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32"/>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in Rule 12b-2 of the Exchange Act.</w:t>
            </w:r>
          </w:p>
        </w:tc>
        <w:tc>
          <w:tcPr>
            <w:tcW w:w="52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1"/>
        </w:trPr>
        <w:tc>
          <w:tcPr>
            <w:tcW w:w="200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ind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tbl>
      <w:tblPr>
        <w:tblLayout w:type="fixed"/>
        <w:tblInd w:w="380" w:type="dxa"/>
        <w:tblCellMar>
          <w:top w:w="0" w:type="dxa"/>
          <w:left w:w="0" w:type="dxa"/>
          <w:bottom w:w="0" w:type="dxa"/>
          <w:right w:w="0" w:type="dxa"/>
        </w:tblCellMar>
      </w:tblPr>
      <w:tr>
        <w:trPr>
          <w:trHeight w:val="236"/>
        </w:trPr>
        <w:tc>
          <w:tcPr>
            <w:tcW w:w="8300" w:type="dxa"/>
            <w:vAlign w:val="bottom"/>
            <w:gridSpan w:val="3"/>
          </w:tcPr>
          <w:p>
            <w:pPr>
              <w:ind w:left="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60" w:type="dxa"/>
            <w:vAlign w:val="bottom"/>
          </w:tcPr>
          <w:p>
            <w:pPr>
              <w:spacing w:after="0"/>
              <w:rPr>
                <w:sz w:val="20"/>
                <w:szCs w:val="20"/>
                <w:color w:val="auto"/>
              </w:rPr>
            </w:pPr>
          </w:p>
        </w:tc>
        <w:tc>
          <w:tcPr>
            <w:tcW w:w="17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230"/>
        </w:trPr>
        <w:tc>
          <w:tcPr>
            <w:tcW w:w="10140" w:type="dxa"/>
            <w:vAlign w:val="bottom"/>
            <w:gridSpan w:val="5"/>
          </w:tcPr>
          <w:p>
            <w:pPr>
              <w:ind w:left="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365"/>
        </w:trPr>
        <w:tc>
          <w:tcPr>
            <w:tcW w:w="100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6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at July 31, 2019</w:t>
            </w:r>
          </w:p>
        </w:tc>
      </w:tr>
      <w:tr>
        <w:trPr>
          <w:trHeight w:val="264"/>
        </w:trPr>
        <w:tc>
          <w:tcPr>
            <w:tcW w:w="8300" w:type="dxa"/>
            <w:vAlign w:val="bottom"/>
            <w:gridSpan w:val="3"/>
          </w:tcPr>
          <w:p>
            <w:pPr>
              <w:jc w:val="center"/>
              <w:ind w:right="6000"/>
              <w:spacing w:after="0"/>
              <w:rPr>
                <w:sz w:val="20"/>
                <w:szCs w:val="20"/>
                <w:color w:val="auto"/>
              </w:rPr>
            </w:pPr>
            <w:r>
              <w:rPr>
                <w:rFonts w:ascii="Arial" w:cs="Arial" w:eastAsia="Arial" w:hAnsi="Arial"/>
                <w:sz w:val="18"/>
                <w:szCs w:val="18"/>
                <w:color w:val="auto"/>
                <w:w w:val="90"/>
              </w:rPr>
              <w:t>Common stock, par value $0.01</w:t>
            </w:r>
          </w:p>
        </w:tc>
        <w:tc>
          <w:tcPr>
            <w:tcW w:w="1840" w:type="dxa"/>
            <w:vAlign w:val="bottom"/>
            <w:gridSpan w:val="2"/>
          </w:tcPr>
          <w:p>
            <w:pPr>
              <w:jc w:val="right"/>
              <w:ind w:right="359"/>
              <w:spacing w:after="0"/>
              <w:rPr>
                <w:sz w:val="20"/>
                <w:szCs w:val="20"/>
                <w:color w:val="auto"/>
              </w:rPr>
            </w:pPr>
            <w:r>
              <w:rPr>
                <w:rFonts w:ascii="Arial" w:cs="Arial" w:eastAsia="Arial" w:hAnsi="Arial"/>
                <w:sz w:val="18"/>
                <w:szCs w:val="18"/>
                <w:color w:val="auto"/>
              </w:rPr>
              <w:t>107,615,934</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7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2019 (unaudited) and December 31, 2018</w:t>
              </w:r>
            </w:hyperlink>
          </w:p>
        </w:tc>
        <w:tc>
          <w:tcPr>
            <w:tcW w:w="240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(unaudited) - Three and Six Months Ended June 30, 2019 and 2018</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Income (Loss) (unaudited) - Three and Six Months Ended June</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2019 and 2018</w:t>
              </w:r>
            </w:hyperlink>
          </w:p>
        </w:tc>
        <w:tc>
          <w:tcPr>
            <w:tcW w:w="54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Stockholders’ Equity (unaudited) - Three and Six Months Ended June 30, 2019</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2018</w:t>
              </w:r>
            </w:hyperlink>
          </w:p>
        </w:tc>
        <w:tc>
          <w:tcPr>
            <w:tcW w:w="7900" w:type="dxa"/>
            <w:vAlign w:val="bottom"/>
            <w:tcBorders>
              <w:top w:val="single" w:sz="8" w:color="0000EE"/>
            </w:tcBorders>
            <w:gridSpan w:val="13"/>
          </w:tcPr>
          <w:p>
            <w:pPr>
              <w:spacing w:after="0"/>
              <w:rPr>
                <w:sz w:val="17"/>
                <w:szCs w:val="17"/>
                <w:color w:val="auto"/>
              </w:rPr>
            </w:pPr>
          </w:p>
        </w:tc>
        <w:tc>
          <w:tcPr>
            <w:tcW w:w="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 Six Months Ended June 30, 2019 and 2018</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4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30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946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10"/>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1,501,886</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2,215,001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296,696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276,644</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81,766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66,627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86,975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83,104</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1,967,323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2,641,376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9,640,704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9,385,920</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4,481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133,066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222,506</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452,274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738,940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736,452</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228,486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225,693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13,165,274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13,216,269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1" w:right="239" w:bottom="1440" w:gutter="0" w:footer="0" w:header="0"/>
        </w:sectPr>
      </w:pPr>
    </w:p>
    <w:p>
      <w:pPr>
        <w:ind w:left="380"/>
        <w:spacing w:after="0"/>
        <w:rPr>
          <w:sz w:val="20"/>
          <w:szCs w:val="20"/>
          <w:color w:val="auto"/>
        </w:rPr>
      </w:pPr>
      <w:r>
        <w:rPr>
          <w:rFonts w:ascii="Arial" w:cs="Arial" w:eastAsia="Arial" w:hAnsi="Arial"/>
          <w:sz w:val="15"/>
          <w:szCs w:val="15"/>
          <w:color w:val="auto"/>
        </w:rPr>
        <w:t>Accounts and construction payables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Accrued compensation and benefits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operating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Commitments and contingencies (Note 14)</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820" w:val="left"/>
          <w:tab w:leader="none" w:pos="16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432,130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321,796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24130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906,455</w:t>
      </w:r>
      <w:r>
        <w:rPr>
          <w:sz w:val="20"/>
          <w:szCs w:val="20"/>
          <w:color w:val="auto"/>
        </w:rPr>
        <w:tab/>
      </w:r>
      <w:r>
        <w:rPr>
          <w:rFonts w:ascii="Arial" w:cs="Arial" w:eastAsia="Arial" w:hAnsi="Arial"/>
          <w:sz w:val="13"/>
          <w:szCs w:val="13"/>
          <w:color w:val="auto"/>
        </w:rPr>
        <w:t>955,450</w:t>
      </w:r>
    </w:p>
    <w:p>
      <w:pPr>
        <w:spacing w:after="0" w:line="121"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214,606</w:t>
      </w:r>
      <w:r>
        <w:rPr>
          <w:sz w:val="20"/>
          <w:szCs w:val="20"/>
          <w:color w:val="auto"/>
        </w:rPr>
        <w:tab/>
      </w:r>
      <w:r>
        <w:rPr>
          <w:rFonts w:ascii="Arial" w:cs="Arial" w:eastAsia="Arial" w:hAnsi="Arial"/>
          <w:sz w:val="13"/>
          <w:szCs w:val="13"/>
          <w:color w:val="auto"/>
        </w:rPr>
        <w:t>247,341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164,690</w:t>
      </w:r>
      <w:r>
        <w:rPr>
          <w:sz w:val="20"/>
          <w:szCs w:val="20"/>
          <w:color w:val="auto"/>
        </w:rPr>
        <w:tab/>
      </w:r>
      <w:r>
        <w:rPr>
          <w:rFonts w:ascii="Arial" w:cs="Arial" w:eastAsia="Arial" w:hAnsi="Arial"/>
          <w:sz w:val="13"/>
          <w:szCs w:val="13"/>
          <w:color w:val="auto"/>
        </w:rPr>
        <w:t>163,966</w:t>
      </w:r>
    </w:p>
    <w:p>
      <w:pPr>
        <w:spacing w:after="0" w:line="121"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63,005</w:t>
      </w:r>
      <w:r>
        <w:rPr>
          <w:sz w:val="20"/>
          <w:szCs w:val="20"/>
          <w:color w:val="auto"/>
        </w:rPr>
        <w:tab/>
      </w:r>
      <w:r>
        <w:rPr>
          <w:rFonts w:ascii="Arial" w:cs="Arial" w:eastAsia="Arial" w:hAnsi="Arial"/>
          <w:sz w:val="13"/>
          <w:szCs w:val="13"/>
          <w:color w:val="auto"/>
        </w:rPr>
        <w:t>61,595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jc w:val="both"/>
        <w:ind w:left="920"/>
        <w:spacing w:after="0"/>
        <w:tabs>
          <w:tab w:leader="none" w:pos="2500" w:val="left"/>
        </w:tabs>
        <w:rPr>
          <w:sz w:val="20"/>
          <w:szCs w:val="20"/>
          <w:color w:val="auto"/>
        </w:rPr>
      </w:pPr>
      <w:r>
        <w:rPr>
          <w:rFonts w:ascii="Arial" w:cs="Arial" w:eastAsia="Arial" w:hAnsi="Arial"/>
          <w:sz w:val="16"/>
          <w:szCs w:val="16"/>
          <w:color w:val="auto"/>
        </w:rPr>
        <w:t>56,605</w:t>
      </w:r>
      <w:r>
        <w:rPr>
          <w:sz w:val="20"/>
          <w:szCs w:val="20"/>
          <w:color w:val="auto"/>
        </w:rPr>
        <w:tab/>
      </w:r>
      <w:r>
        <w:rPr>
          <w:rFonts w:ascii="Arial" w:cs="Arial" w:eastAsia="Arial" w:hAnsi="Arial"/>
          <w:sz w:val="16"/>
          <w:szCs w:val="16"/>
          <w:color w:val="auto"/>
        </w:rPr>
        <w:t>11,960</w:t>
      </w:r>
    </w:p>
    <w:p>
      <w:pPr>
        <w:spacing w:after="0" w:line="86" w:lineRule="exact"/>
        <w:rPr>
          <w:sz w:val="20"/>
          <w:szCs w:val="20"/>
          <w:color w:val="auto"/>
        </w:rPr>
      </w:pPr>
    </w:p>
    <w:p>
      <w:pPr>
        <w:jc w:val="both"/>
        <w:ind w:left="840"/>
        <w:spacing w:after="0"/>
        <w:tabs>
          <w:tab w:leader="none" w:pos="2420" w:val="left"/>
        </w:tabs>
        <w:rPr>
          <w:sz w:val="20"/>
          <w:szCs w:val="20"/>
          <w:color w:val="auto"/>
        </w:rPr>
      </w:pPr>
      <w:r>
        <w:rPr>
          <w:rFonts w:ascii="Arial" w:cs="Arial" w:eastAsia="Arial" w:hAnsi="Arial"/>
          <w:sz w:val="16"/>
          <w:szCs w:val="16"/>
          <w:color w:val="auto"/>
        </w:rPr>
        <w:t>137,857</w:t>
      </w:r>
      <w:r>
        <w:rPr>
          <w:sz w:val="20"/>
          <w:szCs w:val="20"/>
          <w:color w:val="auto"/>
        </w:rPr>
        <w:tab/>
      </w:r>
      <w:r>
        <w:rPr>
          <w:rFonts w:ascii="Arial" w:cs="Arial" w:eastAsia="Arial" w:hAnsi="Arial"/>
          <w:sz w:val="16"/>
          <w:szCs w:val="16"/>
          <w:color w:val="auto"/>
        </w:rPr>
        <w:t>119,955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24130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b w:val="1"/>
          <w:bCs w:val="1"/>
          <w:color w:val="auto"/>
        </w:rPr>
        <w:t>1,975,348</w:t>
      </w:r>
      <w:r>
        <w:rPr>
          <w:sz w:val="20"/>
          <w:szCs w:val="20"/>
          <w:color w:val="auto"/>
        </w:rPr>
        <w:tab/>
      </w:r>
      <w:r>
        <w:rPr>
          <w:rFonts w:ascii="Arial" w:cs="Arial" w:eastAsia="Arial" w:hAnsi="Arial"/>
          <w:sz w:val="13"/>
          <w:szCs w:val="13"/>
          <w:b w:val="1"/>
          <w:bCs w:val="1"/>
          <w:color w:val="auto"/>
        </w:rPr>
        <w:t>1,882,063</w:t>
      </w:r>
    </w:p>
    <w:p>
      <w:pPr>
        <w:spacing w:after="0" w:line="125"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color w:val="auto"/>
        </w:rPr>
        <w:t>9,095,293</w:t>
      </w:r>
      <w:r>
        <w:rPr>
          <w:sz w:val="20"/>
          <w:szCs w:val="20"/>
          <w:color w:val="auto"/>
        </w:rPr>
        <w:tab/>
      </w:r>
      <w:r>
        <w:rPr>
          <w:rFonts w:ascii="Arial" w:cs="Arial" w:eastAsia="Arial" w:hAnsi="Arial"/>
          <w:sz w:val="13"/>
          <w:szCs w:val="13"/>
          <w:color w:val="auto"/>
        </w:rPr>
        <w:t>9,411,140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840"/>
        <w:spacing w:after="0"/>
        <w:tabs>
          <w:tab w:leader="none" w:pos="2780" w:val="left"/>
        </w:tabs>
        <w:rPr>
          <w:sz w:val="20"/>
          <w:szCs w:val="20"/>
          <w:color w:val="auto"/>
        </w:rPr>
      </w:pPr>
      <w:r>
        <w:rPr>
          <w:rFonts w:ascii="Arial" w:cs="Arial" w:eastAsia="Arial" w:hAnsi="Arial"/>
          <w:sz w:val="16"/>
          <w:szCs w:val="16"/>
          <w:color w:val="auto"/>
        </w:rPr>
        <w:t>151,446</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920"/>
        <w:spacing w:after="0"/>
        <w:tabs>
          <w:tab w:leader="none" w:pos="2420" w:val="left"/>
        </w:tabs>
        <w:rPr>
          <w:sz w:val="20"/>
          <w:szCs w:val="20"/>
          <w:color w:val="auto"/>
        </w:rPr>
      </w:pPr>
      <w:r>
        <w:rPr>
          <w:rFonts w:ascii="Arial" w:cs="Arial" w:eastAsia="Arial" w:hAnsi="Arial"/>
          <w:sz w:val="13"/>
          <w:szCs w:val="13"/>
          <w:color w:val="auto"/>
        </w:rPr>
        <w:t>92,248</w:t>
      </w:r>
      <w:r>
        <w:rPr>
          <w:sz w:val="20"/>
          <w:szCs w:val="20"/>
          <w:color w:val="auto"/>
        </w:rPr>
        <w:tab/>
      </w:r>
      <w:r>
        <w:rPr>
          <w:rFonts w:ascii="Arial" w:cs="Arial" w:eastAsia="Arial" w:hAnsi="Arial"/>
          <w:sz w:val="13"/>
          <w:szCs w:val="13"/>
          <w:color w:val="auto"/>
        </w:rPr>
        <w:t>108,277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jc w:val="both"/>
        <w:ind w:left="660"/>
        <w:spacing w:after="0"/>
        <w:tabs>
          <w:tab w:leader="none" w:pos="2240" w:val="left"/>
        </w:tabs>
        <w:rPr>
          <w:sz w:val="20"/>
          <w:szCs w:val="20"/>
          <w:color w:val="auto"/>
        </w:rPr>
      </w:pPr>
      <w:r>
        <w:rPr>
          <w:rFonts w:ascii="Arial" w:cs="Arial" w:eastAsia="Arial" w:hAnsi="Arial"/>
          <w:sz w:val="16"/>
          <w:szCs w:val="16"/>
          <w:b w:val="1"/>
          <w:bCs w:val="1"/>
          <w:color w:val="auto"/>
        </w:rPr>
        <w:t>11,314,335</w:t>
      </w:r>
      <w:r>
        <w:rPr>
          <w:sz w:val="20"/>
          <w:szCs w:val="20"/>
          <w:color w:val="auto"/>
        </w:rPr>
        <w:tab/>
      </w:r>
      <w:r>
        <w:rPr>
          <w:rFonts w:ascii="Arial" w:cs="Arial" w:eastAsia="Arial" w:hAnsi="Arial"/>
          <w:sz w:val="16"/>
          <w:szCs w:val="16"/>
          <w:b w:val="1"/>
          <w:bCs w:val="1"/>
          <w:color w:val="auto"/>
        </w:rPr>
        <w:t>11,401,480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198120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26670</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122,790,664 and 122,115,585 shares issued; 107,610,356</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107,232,026 shares outstanding, respectively</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1,221</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15,180,308 and 14,883,559 shares, respectively</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(1,379,644)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(1,344,012)</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2,498,316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2,457,079</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(1,950)</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932,907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921,785</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2,050,821</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2,034,123</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(199,882)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(219,334)</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1,850,939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1,814,789</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13,165,274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13,216,269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1,142,503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1,100,027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2,327,604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2,342,166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376,361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214,867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391,241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387,089</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200,956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215,386</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1,658,332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1,605,424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3,309,878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3,321,002</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Casino</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724,987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707,194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1,475,058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1,471,595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126,872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168,296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330,841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305,954</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94,619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202,224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183,631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419,546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353,216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140,269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137,870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276,826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274,227</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11,842</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1,439,616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1,325,852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2,835,986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3,122,724</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218,716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279,572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473,892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198,278</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(186,329)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(188,125)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(10,177)</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(251,223)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140,243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195,578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301,659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(52,945)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120,747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142,234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205,280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301,965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67,802</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(116,353)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94,551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155,756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199,423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(48,551)</w:t>
            </w:r>
          </w:p>
        </w:tc>
      </w:tr>
      <w:tr>
        <w:trPr>
          <w:trHeight w:val="67"/>
        </w:trPr>
        <w:tc>
          <w:tcPr>
            <w:tcW w:w="60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net income (loss)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106,876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106,834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105,195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97"/>
        </w:trPr>
        <w:tc>
          <w:tcPr>
            <w:tcW w:w="10160" w:type="dxa"/>
            <w:vAlign w:val="bottom"/>
            <w:gridSpan w:val="10"/>
          </w:tcPr>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4"/>
              </w:rPr>
              <w:t>Change in net unrealized loss on investment securities, before and after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1,311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credit risk adjustment, net of tax of $2,735</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143,072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205,184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301,915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76,378</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 Wynn Resorts, Limited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95,622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155,692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199,359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(39,433)</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ind w:left="600"/>
              <w:spacing w:after="0"/>
              <w:rPr>
                <w:sz w:val="20"/>
                <w:szCs w:val="20"/>
                <w:color w:val="auto"/>
              </w:rPr>
            </w:pPr>
            <w:r>
              <w:rPr>
                <w:rFonts w:ascii="Arial" w:cs="Arial" w:eastAsia="Arial" w:hAnsi="Arial"/>
                <w:sz w:val="13"/>
                <w:szCs w:val="13"/>
                <w:b w:val="1"/>
                <w:bCs w:val="1"/>
                <w:color w:val="auto"/>
                <w:w w:val="93"/>
              </w:rPr>
              <w:t>For the Three Months Ended June 30, 2019</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April 1, 2019</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107,660,449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1,226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(1,349,413)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2,483,026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945,972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2,078,220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(162,977)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1,915,243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94,551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94,551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47,683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142,234</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838</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8,479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8,481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8,481</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32,633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(10,795)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(251,931)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(30,231)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(30,231)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(107,616)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(107,616)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(82,917)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(190,533)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w:t>
            </w: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6,811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6,811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7,634</w:t>
            </w:r>
          </w:p>
        </w:tc>
      </w:tr>
      <w:tr>
        <w:trPr>
          <w:trHeight w:val="242"/>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June 30, 2019</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107,610,356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(1,379,644)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2,498,316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932,907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2,050,821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(199,882)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1,850,939</w:t>
            </w: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ind w:left="600"/>
              <w:spacing w:after="0"/>
              <w:rPr>
                <w:sz w:val="20"/>
                <w:szCs w:val="20"/>
                <w:color w:val="auto"/>
              </w:rPr>
            </w:pPr>
            <w:r>
              <w:rPr>
                <w:rFonts w:ascii="Arial" w:cs="Arial" w:eastAsia="Arial" w:hAnsi="Arial"/>
                <w:sz w:val="13"/>
                <w:szCs w:val="13"/>
                <w:b w:val="1"/>
                <w:bCs w:val="1"/>
                <w:color w:val="auto"/>
                <w:w w:val="93"/>
              </w:rPr>
              <w:t>For the Three Months Ended June 30, 2018</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April 1, 2018</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103,202,045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1,166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(1,184,967)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1,508,714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388,523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711,562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59,826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771,388</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155,756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155,756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49,524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205,280</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Change in net unrealized loss 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investment securities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19</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5,744</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5,300,000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915,160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915,213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915,213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106,472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(10,146)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(81,329)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(81,333)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(3,852)</w:t>
            </w:r>
          </w:p>
        </w:tc>
      </w:tr>
      <w:tr>
        <w:trPr>
          <w:trHeight w:val="27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7,251</w:t>
            </w:r>
          </w:p>
        </w:tc>
      </w:tr>
      <w:tr>
        <w:trPr>
          <w:trHeight w:val="242"/>
        </w:trPr>
        <w:tc>
          <w:tcPr>
            <w:tcW w:w="2080" w:type="dxa"/>
            <w:vAlign w:val="bottom"/>
          </w:tcPr>
          <w:p>
            <w:pPr>
              <w:ind w:left="40"/>
              <w:spacing w:after="0"/>
              <w:rPr>
                <w:sz w:val="20"/>
                <w:szCs w:val="20"/>
                <w:color w:val="auto"/>
              </w:rPr>
            </w:pPr>
            <w:r>
              <w:rPr>
                <w:rFonts w:ascii="Arial" w:cs="Arial" w:eastAsia="Arial" w:hAnsi="Arial"/>
                <w:sz w:val="13"/>
                <w:szCs w:val="13"/>
                <w:b w:val="1"/>
                <w:bCs w:val="1"/>
                <w:color w:val="auto"/>
              </w:rPr>
              <w:t>Balances, June 30, 2018</w:t>
            </w: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108,642,371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1,220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(1,184,967)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2,435,720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462,950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1,712,985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106,610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1,819,595</w:t>
            </w: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96"/>
              </w:rPr>
              <w:t>For the Six Months Ended June 30, 2019</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value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6"/>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2"/>
              </w:rPr>
              <w:t>earnings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8"/>
              </w:rPr>
              <w:t>equity</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2019</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107,232,026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(1,344,012)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2,457,079</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921,785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2,034,123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1,814,789</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199,423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199,423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102,542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301,965</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257,690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12,542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12,545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12,545</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429,229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15,133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(11,840)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(296,749)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(35,632)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(35,632)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(35,632)</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(188,301)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(188,301)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(82,900)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(271,201)</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w:t>
            </w: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Stock-based compensation</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14,351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14,351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1,766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16,117</w:t>
            </w:r>
          </w:p>
        </w:tc>
      </w:tr>
      <w:tr>
        <w:trPr>
          <w:trHeight w:val="24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Balances, June 30, 2019</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107,610,356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(1,379,644)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2,498,316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932,907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2,050,821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(199,882)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1,850,939</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96"/>
              </w:rPr>
              <w:t>For the Six Months Ended June 30, 2018</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0"/>
              </w:rPr>
              <w:t>value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6"/>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2"/>
              </w:rPr>
              <w:t>earnings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8"/>
              </w:rPr>
              <w:t>equity</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2018</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103,005,866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(1,184,468)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1,497,928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635,067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947,846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130,504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1,078,350</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Cumulative effect, change in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2080" w:type="dxa"/>
            <w:vAlign w:val="bottom"/>
          </w:tcPr>
          <w:p>
            <w:pPr>
              <w:ind w:left="40"/>
              <w:spacing w:after="0" w:line="135" w:lineRule="exact"/>
              <w:rPr>
                <w:sz w:val="20"/>
                <w:szCs w:val="20"/>
                <w:color w:val="auto"/>
              </w:rPr>
            </w:pPr>
            <w:r>
              <w:rPr>
                <w:rFonts w:ascii="Arial" w:cs="Arial" w:eastAsia="Arial" w:hAnsi="Arial"/>
                <w:sz w:val="13"/>
                <w:szCs w:val="13"/>
                <w:color w:val="auto"/>
                <w:w w:val="93"/>
              </w:rPr>
              <w:t>accounting for credit risk, net of tax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$2,735</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(48,551)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116,353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67,802</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(1,946)</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net unrealized loss 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securities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1,311</w:t>
            </w: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Redemption Note settlement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9,211</w:t>
            </w: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112,590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10,572</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5,300,000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915,160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915,213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915,213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242,139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1,800</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(15,194)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(3,030)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(132,777)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(138,325)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(271,102)</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(3,852)</w:t>
            </w: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Stock-based compensation</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11,270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11,270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1,465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12,735</w:t>
            </w:r>
          </w:p>
        </w:tc>
      </w:tr>
      <w:tr>
        <w:trPr>
          <w:trHeight w:val="242"/>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Balances, June 30, 2018</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108,642,371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(1,184,967)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2,435,720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462,950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1,712,985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106,610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1,819,595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right"/>
        <w:ind w:right="6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issuance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 (benefit) for doubtful accounts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derivatives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Redemption Note fair value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charges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cash from changes in:</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 prepaid expenses and other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 and accrued expenses</w:t>
      </w:r>
    </w:p>
    <w:p>
      <w:pPr>
        <w:spacing w:after="0" w:line="8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50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301,965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67,802</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276,826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274,227</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(119,768)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20,168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16,930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14,862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17,609</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2,166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9,003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69,331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25,569</w:t>
            </w:r>
          </w:p>
        </w:tc>
      </w:tr>
      <w:tr>
        <w:trPr>
          <w:trHeight w:val="540"/>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(25,965)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(5,640)</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(2,336)</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(206,729)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8,681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(85,160)</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509,444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53,302</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1500" w:type="dxa"/>
            <w:vAlign w:val="bottom"/>
          </w:tcPr>
          <w:p>
            <w:pPr>
              <w:jc w:val="right"/>
              <w:spacing w:after="0"/>
              <w:rPr>
                <w:sz w:val="20"/>
                <w:szCs w:val="20"/>
                <w:color w:val="auto"/>
              </w:rPr>
            </w:pPr>
            <w:r>
              <w:rPr>
                <w:rFonts w:ascii="Arial" w:cs="Arial" w:eastAsia="Arial" w:hAnsi="Arial"/>
                <w:sz w:val="16"/>
                <w:szCs w:val="16"/>
                <w:color w:val="auto"/>
              </w:rPr>
              <w:t>(636,002)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(841,924)</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intangible and other assets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(101,477)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the sale or maturity of investment securities</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227,668</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investment securities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1,413</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b w:val="1"/>
                <w:bCs w:val="1"/>
                <w:color w:val="auto"/>
              </w:rPr>
              <w:t>Net cash used in investing activities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(636,561)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(748,418)</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324,754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1,673,605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1500" w:type="dxa"/>
            <w:vAlign w:val="bottom"/>
          </w:tcPr>
          <w:p>
            <w:pPr>
              <w:jc w:val="right"/>
              <w:spacing w:after="0"/>
              <w:rPr>
                <w:sz w:val="20"/>
                <w:szCs w:val="20"/>
                <w:color w:val="auto"/>
              </w:rPr>
            </w:pPr>
            <w:r>
              <w:rPr>
                <w:rFonts w:ascii="Arial" w:cs="Arial" w:eastAsia="Arial" w:hAnsi="Arial"/>
                <w:sz w:val="16"/>
                <w:szCs w:val="16"/>
                <w:color w:val="auto"/>
              </w:rPr>
              <w:t>(603,857)</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(3,028,786)</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 receivable from sale of ownership interest in subsidiary</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915,213</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12,545</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10,572</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(270,490)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(270,021)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Distribution to noncontrolling interest</w:t>
            </w:r>
          </w:p>
        </w:tc>
        <w:tc>
          <w:tcPr>
            <w:tcW w:w="1500" w:type="dxa"/>
            <w:vAlign w:val="bottom"/>
          </w:tcPr>
          <w:p>
            <w:pPr>
              <w:jc w:val="right"/>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(3,852)</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(10,488)</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(29,480)</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b w:val="1"/>
                <w:bCs w:val="1"/>
                <w:color w:val="auto"/>
              </w:rPr>
              <w:t>Net cash used in financing activities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(585,895)</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(658,248)</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(4,297)</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Decrease in cash, cash equivalents and restricted cash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both"/>
        <w:ind w:left="780"/>
        <w:spacing w:after="0"/>
        <w:tabs>
          <w:tab w:leader="none" w:pos="2220" w:val="left"/>
        </w:tabs>
        <w:rPr>
          <w:sz w:val="20"/>
          <w:szCs w:val="20"/>
          <w:color w:val="auto"/>
        </w:rPr>
      </w:pPr>
      <w:r>
        <w:rPr>
          <w:rFonts w:ascii="Arial" w:cs="Arial" w:eastAsia="Arial" w:hAnsi="Arial"/>
          <w:sz w:val="16"/>
          <w:szCs w:val="16"/>
          <w:b w:val="1"/>
          <w:bCs w:val="1"/>
          <w:color w:val="auto"/>
        </w:rPr>
        <w:t>(712,956)</w:t>
      </w:r>
      <w:r>
        <w:rPr>
          <w:sz w:val="20"/>
          <w:szCs w:val="20"/>
          <w:color w:val="auto"/>
        </w:rPr>
        <w:tab/>
      </w:r>
      <w:r>
        <w:rPr>
          <w:rFonts w:ascii="Arial" w:cs="Arial" w:eastAsia="Arial" w:hAnsi="Arial"/>
          <w:sz w:val="16"/>
          <w:szCs w:val="16"/>
          <w:b w:val="1"/>
          <w:bCs w:val="1"/>
          <w:color w:val="auto"/>
        </w:rPr>
        <w:t>(1,357,661)</w:t>
      </w:r>
    </w:p>
    <w:p>
      <w:pPr>
        <w:spacing w:after="0" w:line="86" w:lineRule="exact"/>
        <w:rPr>
          <w:sz w:val="20"/>
          <w:szCs w:val="20"/>
          <w:color w:val="auto"/>
        </w:rPr>
      </w:pPr>
    </w:p>
    <w:p>
      <w:pPr>
        <w:ind w:left="720"/>
        <w:spacing w:after="0"/>
        <w:tabs>
          <w:tab w:leader="none" w:pos="2280" w:val="left"/>
        </w:tabs>
        <w:rPr>
          <w:sz w:val="20"/>
          <w:szCs w:val="20"/>
          <w:color w:val="auto"/>
        </w:rPr>
      </w:pPr>
      <w:r>
        <w:rPr>
          <w:rFonts w:ascii="Arial" w:cs="Arial" w:eastAsia="Arial" w:hAnsi="Arial"/>
          <w:sz w:val="15"/>
          <w:szCs w:val="15"/>
          <w:b w:val="1"/>
          <w:bCs w:val="1"/>
          <w:color w:val="auto"/>
        </w:rPr>
        <w:t>2,219,323</w:t>
      </w:r>
      <w:r>
        <w:rPr>
          <w:sz w:val="20"/>
          <w:szCs w:val="20"/>
          <w:color w:val="auto"/>
        </w:rPr>
        <w:tab/>
      </w:r>
      <w:r>
        <w:rPr>
          <w:rFonts w:ascii="Arial" w:cs="Arial" w:eastAsia="Arial" w:hAnsi="Arial"/>
          <w:sz w:val="15"/>
          <w:szCs w:val="15"/>
          <w:b w:val="1"/>
          <w:bCs w:val="1"/>
          <w:color w:val="auto"/>
        </w:rPr>
        <w:t>2,806,634</w:t>
      </w:r>
    </w:p>
    <w:p>
      <w:pPr>
        <w:spacing w:after="0" w:line="98" w:lineRule="exact"/>
        <w:rPr>
          <w:sz w:val="20"/>
          <w:szCs w:val="20"/>
          <w:color w:val="auto"/>
        </w:rPr>
      </w:pPr>
    </w:p>
    <w:p>
      <w:pPr>
        <w:spacing w:after="0"/>
        <w:tabs>
          <w:tab w:leader="none" w:pos="700" w:val="left"/>
          <w:tab w:leader="none" w:pos="1600" w:val="left"/>
          <w:tab w:leader="none" w:pos="22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1,506,367</w:t>
        <w:tab/>
        <w:t>$</w:t>
      </w:r>
      <w:r>
        <w:rPr>
          <w:sz w:val="20"/>
          <w:szCs w:val="20"/>
          <w:color w:val="auto"/>
        </w:rPr>
        <w:tab/>
      </w:r>
      <w:r>
        <w:rPr>
          <w:rFonts w:ascii="Arial" w:cs="Arial" w:eastAsia="Arial" w:hAnsi="Arial"/>
          <w:sz w:val="14"/>
          <w:szCs w:val="14"/>
          <w:b w:val="1"/>
          <w:bCs w:val="1"/>
          <w:color w:val="auto"/>
        </w:rPr>
        <w:t>1,448,973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3060"/>
          </w:cols>
          <w:pgMar w:left="240" w:top="121" w:right="239" w:bottom="0" w:gutter="0" w:footer="0" w:header="0"/>
          <w:type w:val="continuous"/>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cash flow disclosures: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60" w:type="dxa"/>
            <w:vAlign w:val="bottom"/>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170,059</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206,351</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Capitalized stock-based compensation</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Liability settled with shares of common stock</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15,134</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1,800</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282,721</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168,893</w:t>
            </w: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Dividends payable on unvested restricted stock included in other accrued liabilities</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5,167</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2,719</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21" w:right="239" w:bottom="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owner and operator of destination casino resorts. 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 The results of the eight days of its operations during the second quarter of 2019 are presented within Corporate and other in the accompanying condensed consolidated financial statements, except where otherwise noted.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currently constructing an approximately 430,000 square foot meeting and convention facility at Wynn Las Vegas and is reconfiguring the Wynn Las Vegas golf course, which the Company closed in the fourth quarter of 2017. The facility will feature approximately 217,000 square feet of state-of-the-art meeting and convention space available for group reservations. The Company expects to reopen the golf course in the fourth quarter of 2019 and open the additional meeting and convention facility in the first quarter of 2020.</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six months ended June 30, 2019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15 "Retail Joint Venture." All significant intercompany accounts and transactions have been eliminated.</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Investment securities consist of domestic and foreign short-term and long-term investments in corporate bonds, commercial paper, and U.S. government agency bonds reported at fair value, with unrealized gains and losses, net of tax, reported in other comprehensive income (loss). As of June 30, 2019 and December 31, 2018, the Company had no investment securities.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assesses for indicators of other-than-temporary impairment on a quarterly basis. The Company determines whether (i) it does not have the intent to sell any of these investments, and (ii) it will not likely be required to sell these investments prior to the recovery of the amortized cost. During the three and six months ended June 30, 2018, the Company determined it had an other-than-temporary impairment and recorded a loss of $0.1 million and $1.8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is the lessee under non-cancelable real estate and equipment leases. Beginning on January 1, 2019 (the date of the Company's adoption of Topic 842, as defined and discussed further in "Recently Adopted Accounting Standards"),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to determine the present value of lease payments. The Company does not record an asset or liability for operating leases with a term of less than one year. Variable lease costs generally arise from changes in an index, such as the consumer price index. Variable lease costs are expensed as incurred and are not included in the determination of lease assets or liabilities. Prior to the adoption of Topic 842 on January 1, 2019, the Company did not record an asset or liability for any of its operating leases.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Lessor Arrangements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is the lessor under non-cancelable operating leases for retail and food and beverage outlet space at its integrated resorts, which represents approximately 96,000, 59,000, and 142,000 square feet of space at Wynn Palace, Wynn Macau, and Wynn Las Vegas,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 Revenue is recorded in entertainment, retail and other revenue on the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$561.8 million for each of the three months ended June 30, 2019 and 2018, and $1.15 billion and $1.17 billion for the six months ended June 30,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expenses</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Pre-opening expenses represent personnel, advertising, and other costs incurred prior to the opening of new ventures and are expensed as incurred. During the three and six months ended June 30, 2019 and 2018, the Company incurred pre-opening expenses primarily in connection with the development of Encore Boston Harbor.</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("Topic 842"), which requires recognition of lease assets and liabilities on the balance sheet and disclosure of additional information about leasing activities. The Company adopted this standard using a modified retrospective transition approach with an initial application date of January 1, 2019. As a result, prior periods were not retrospectively adjusted and are not comparable to current periods. The Company elected the practical expedient permitting lessees to carry forward historical lease classifications for existing arrangements. The following is a summary of the significant impacts on the Company's balance sheet as of January 1, 2019:</w:t>
      </w:r>
    </w:p>
    <w:p>
      <w:pPr>
        <w:spacing w:after="0" w:line="193" w:lineRule="exact"/>
        <w:rPr>
          <w:sz w:val="20"/>
          <w:szCs w:val="20"/>
          <w:color w:val="auto"/>
        </w:rPr>
      </w:pPr>
    </w:p>
    <w:p>
      <w:pPr>
        <w:ind w:left="660" w:right="1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recognized operating lease assets and liabilities of $154.1 million, which represented the discounted future minimum lease payments of all existing leases on the initial application date.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carrying amount of a definite-lived intangible asset, which related to a leasehold interest in land and totaled $88.1 million, was reclassified to operating lease assets.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Leasehold interests in land, net, which totaled $206.9 million, were reclassified to operating lease assets from property and equipment, net.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other initial direct cost assets, prepaid lease assets, and deferred rent accrued liabilities were reclassified to operating lease assets.</w:t>
      </w:r>
    </w:p>
    <w:p>
      <w:pPr>
        <w:spacing w:after="0" w:line="22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the Company elected to carry forward historical lease classifications, an arrangement concluded to contain a capital lease under the previous standard was deemed a finance lease under Topic 842, with no resultant change in accounting other than the reclassification of associated initial direct costs from other assets to property and equipment, net. There was no impact on the Company's operating income, net income or cash flows as a result of adopting Topic 842.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will be required to use a forward-looking expected loss model rather than the incurred loss model for recognizing credit losses which reflects losses that are probable. The new guidance will be effective for the Company beginning January 1, 2020. Application of the amendments is through a cumulative-effect adjustment to retained earnings as of the effective date. The Company is currently assessing the impact the guidance will have on its Consolidated Financial Statements and related disclosures.</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1,111,691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1,455,744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390,195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759,257</w:t>
            </w:r>
          </w:p>
        </w:tc>
      </w:tr>
      <w:tr>
        <w:trPr>
          <w:trHeight w:val="237"/>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Total cash and cash equivalents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1,501,886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2,215,001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1,506,367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2,219,323</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an obligation and cash held in a trust in accordance with WML's share award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22,086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57,658</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326,056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309,338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(32,694)</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296,696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276,644</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2019 and December 31, 2018, approximately 83.3% and 85.0%, respectively, of the Company's markers were due from customers residing outside the United States, primarily in Asia. Business or economic conditions or other significant events in the countries in which our customers reside could affect the collectability of such receivables.</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9,266,711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7,707,467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1,211,975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1,141,032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2,891,388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2,288,370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313,516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394,107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1,912,801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13,874,804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13,473,809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(4,234,100)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(4,087,889)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9,640,704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9,385,920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2019, construction in progress consisted primarily of costs capitalized, including interest, for the construction of the additional meeting and convention space at Wynn Las Vegas and the reconfiguration of the Wynn Las Vegas golf course. As of December 31, 2018, construction in progress consisted primarily of costs capitalized, including interest, for the construction of Encore Boston Harbor. On June 23, 2019, Encore Boston Harbor opened and its associated construction in progress balance was placed into service.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capitalized interest of $24.1 million and $12.6 million for the three months ended June 30, 2019 and 2018, respectively, and $46.8 million and $21.5 million for the six months ended June 30, 2019 and 2018, respectively, primarily in connection with the construction of Encore Boston Harbor.</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Beginning January 1, 2019, leasehold interests in land, net of related accumulated amortization were reclassified to operating lease assets with the adoption of Topic 842.</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Senior Term Loan Facility, due 2022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2,299,070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2,296,999</w:t>
            </w: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 xml:space="preserve">Senior Revolving Credit Facility, due 2022 </w:t>
            </w:r>
            <w:r>
              <w:rPr>
                <w:rFonts w:ascii="Arial" w:cs="Arial" w:eastAsia="Arial" w:hAnsi="Arial"/>
                <w:sz w:val="14"/>
                <w:szCs w:val="14"/>
                <w:color w:val="auto"/>
              </w:rPr>
              <w:t>(2)</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99,917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623,921</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7/8% Senior Notes, due 2024</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2027</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750,000</w:t>
            </w: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340" w:type="dxa"/>
            <w:vAlign w:val="bottom"/>
            <w:gridSpan w:val="2"/>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Wynn America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Term Loan Facility, due 2021</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991,299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994,780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2025</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1,780,000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880,000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(4)</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615,000</w:t>
            </w: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Wynn Resorts Term Loan, due 2024 </w:t>
            </w:r>
            <w:r>
              <w:rPr>
                <w:rFonts w:ascii="Arial" w:cs="Arial" w:eastAsia="Arial" w:hAnsi="Arial"/>
                <w:sz w:val="14"/>
                <w:szCs w:val="14"/>
                <w:color w:val="auto"/>
              </w:rPr>
              <w:t>(5)</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748,125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9,263,411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9,540,700</w:t>
            </w: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(117,600)</w:t>
            </w: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9,151,898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9,423,100</w:t>
            </w: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(11,960)</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9,095,293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9,411,140</w:t>
            </w: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60" w:hanging="252"/>
        <w:spacing w:after="0" w:line="250" w:lineRule="auto"/>
        <w:tabs>
          <w:tab w:leader="none" w:pos="234" w:val="left"/>
        </w:tabs>
        <w:numPr>
          <w:ilvl w:val="0"/>
          <w:numId w:val="5"/>
        </w:numPr>
        <w:rPr>
          <w:rFonts w:ascii="Arial" w:cs="Arial" w:eastAsia="Arial" w:hAnsi="Arial"/>
          <w:sz w:val="14"/>
          <w:szCs w:val="14"/>
          <w:color w:val="auto"/>
        </w:rPr>
      </w:pPr>
      <w:r>
        <w:rPr>
          <w:rFonts w:ascii="Arial" w:cs="Arial" w:eastAsia="Arial" w:hAnsi="Arial"/>
          <w:sz w:val="14"/>
          <w:szCs w:val="14"/>
          <w:color w:val="auto"/>
        </w:rPr>
        <w:t>Approximately $1.31 billion and $994.1 million of the Wynn Macau Senior Term Loan Facility bears interest at a rate of LIBOR plus 1.75% per year and HIBOR plus 1.75% per year, respectively. As of June 30, 2019, the weighted average interest rate was approximately 4.19%.</w:t>
      </w:r>
    </w:p>
    <w:p>
      <w:pPr>
        <w:ind w:left="260" w:hanging="252"/>
        <w:spacing w:after="0" w:line="241"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Approximately $57.0 million and $42.9 million of the Wynn Macau Senior Revolving Credit Facility bears interest at a rate of LIBOR plus 1.75% per year and HIBOR plus 1.75% per year, respectively. As of June 30, 2019, the weighted average interest rate was approximately 4.20%, and the available borrowing capacity was $648.5 million.</w:t>
      </w:r>
    </w:p>
    <w:p>
      <w:pPr>
        <w:ind w:left="260" w:hanging="252"/>
        <w:spacing w:after="0" w:line="241"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Wynn America Senior Term Loan Facility bears interest at a rate of LIBOR plus 1.75% per year. As of June 30, 2019, the interest rate was 4.16%. Additionally, as of June 30, 2019, the available borrowing capacity under the Wynn America Senior Revolving Credit Facility was $356.9 million.</w:t>
      </w: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June 30, 2019, the interest rate was 4.14%.</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Wynn Resorts Term Loan bears interest at a rate of LIBOR plus 2.25% per year. As of June 30, 2019, the interest rate was 4.69%.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Term Loan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30, 2018, the Company and certain subsidiaries of the Company entered into a credit agreement (as subsequently amended, the "Credit Agreement") to provide for a $500.0 million six year term loan facility (the "WRL Term Loan I"). On March 8, 2019, the Company, certain subsidiaries of the Company, and certain incremental term facility lenders entered into an incremental joinder agreement that amended the Credit Agreement to, among other things, provide the Company with an additional $250.0 million term loan (the "WRL Term Loan II" and, collectively with the WRL Term Loan I, the "Wynn Resorts Term Loan"), on substantially similar terms as the WRL Term Loan I. The Company intends to use the net proceeds of the WRL Term Loan II for general corporate purposes, including without limitation, repurchases of the Company's common stock, investments in subsidiaries, and/or capital expenditures.</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Credit Agreement provides for quarterly principal repayments beginning in 2019, with a final installment of $706.9 million due upon maturity on October 30, 2024.</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Credit Agreement contains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the Credit Agreement contains a requirement that the Company must make mandatory prepayments of indebtedness equal to 50.0% of excess cash flow</w:t>
      </w: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leverage ratio, as defined in the Credit Agreement, as of the last day of the applicable fiscal year is greater than 4.5 to 1 prior to the year of opening of Encore Boston Harbor or is greater than 4.0 to 1 thereafter. There is no mandatory prepayment in respect of excess cash flow if the Company's Consolidated First Lien Secured Leverage Ratio is equal to or less than 4.5 to 1.</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Wynn Group Asia, Inc. and Wynn Resorts Holdings, LLC, each a direct, wholly owned subsidiary of the Company (collectively, the "Guarantors"), guarantee the obligations of the Company under the Credit Agreement. The Company will pledge all of the equity interests in the Guarantors to the extent permitted by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8, 2019, in connection with the WRL Term Loan II, the Company agreed to terminate the remaining $250.0 million of the lenders' commitments under the commitment letter. Accordingly, there are no remaining commitments under the commitment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On March 30, 2018, the Company also paid an additional $463.6 million in settlement of certain legal claims concerning the Redemption Note, which is recorded as a litigation settlement expense on the Condensed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management believes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estimated fair value of the Company's long-term debt as of June 30, 2019 and December 31, 2018, was approximately $9.24 billion and $8.97 billion, respectively, compared to its carrying value, excluding debt issuance costs and original issue discount and premium, of $9.26 billion and $9.54 billion, respectively. The estimated fair value of the Company's long-term debt is based on recent trades, if available, and indicative pricing from market information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February 26, 2019 and May 30, 2019, the Company paid cash dividends of $0.75 and $1.00 per share, respectively. During the three and six months ended June 30, 2019, the Company recorded $107.6 million and $188.3 million, respectively, as a reduction of retained earnings from cash dividends declared.</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On February 27, 2018 and May 29, 2018, the Company paid cash dividends of $0.50 and $0.75 per share, respectively. During the three and six months ended June 30, 2018, the Company recorded $81.3 million and $132.8 million, respectively, as a reduction of retained earnings from cash dividends declared.</w:t>
      </w:r>
    </w:p>
    <w:p>
      <w:pPr>
        <w:spacing w:after="0" w:line="124"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color w:val="auto"/>
        </w:rPr>
        <w:t>On August 6, 2019, the Company announced a cash dividend of $1.00 per share, payable on August 27, 2019, to stockholders of record as of August 16,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June 19, 2019, WML paid a cash dividend of HK$0.45 per share for a total of $298.0 million. The Company's share of this dividend was $215.0 million with a reduction of $83.0 million to noncontrolling interest in the accompanying Condensed Consolidated Balance Sheet.</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On April 25, 2018, WML paid a cash dividend of HK$0.75 per share for a total of $497.1 million. The Company's share of this dividend was $358.8 million with a reduction of $138.3 million to noncontrolling interest in the accompanying Condensed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Foreign</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translation</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2019</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Redemption Note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Amounts reclassified to net income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9,118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right="60" w:hanging="252"/>
        <w:spacing w:after="0" w:line="273"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On January 1, 2018, the Company adopted Accounting Standards Update ("ASU") No. 2016-01, </w:t>
      </w:r>
      <w:r>
        <w:rPr>
          <w:rFonts w:ascii="Arial" w:cs="Arial" w:eastAsia="Arial" w:hAnsi="Arial"/>
          <w:sz w:val="14"/>
          <w:szCs w:val="14"/>
          <w:i w:val="1"/>
          <w:iCs w:val="1"/>
          <w:color w:val="auto"/>
        </w:rPr>
        <w:t>Financial Instruments</w:t>
      </w:r>
      <w:r>
        <w:rPr>
          <w:rFonts w:ascii="Arial" w:cs="Arial" w:eastAsia="Arial" w:hAnsi="Arial"/>
          <w:sz w:val="14"/>
          <w:szCs w:val="14"/>
          <w:color w:val="auto"/>
        </w:rPr>
        <w:t>. The adjustment to the beginning balance represents the cumulative effect of the change in instrument-specific credit risk on the Redemption Note.</w:t>
      </w:r>
    </w:p>
    <w:p>
      <w:pPr>
        <w:spacing w:after="0" w:line="11" w:lineRule="exact"/>
        <w:rPr>
          <w:rFonts w:ascii="Arial" w:cs="Arial" w:eastAsia="Arial" w:hAnsi="Arial"/>
          <w:sz w:val="14"/>
          <w:szCs w:val="14"/>
          <w:color w:val="auto"/>
        </w:rPr>
      </w:pPr>
    </w:p>
    <w:p>
      <w:pPr>
        <w:ind w:left="260" w:right="380" w:hanging="252"/>
        <w:spacing w:after="0" w:line="273"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amounts reclassified to net income include $1.8 million for other-than-temporary impairment losses and $1.0 million in realized losses, both related to investment securities, and a $1.5 million realized gain related to the repayment of the Redemption Note.</w:t>
      </w: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390,195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390,195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5,433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759,257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759,257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b w:val="1"/>
                <w:bCs w:val="1"/>
                <w:color w:val="auto"/>
              </w:rPr>
              <w:t>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Customer Contract Liabilities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 xml:space="preserve">Casino outstanding chips and front money deposits </w:t>
            </w:r>
            <w:r>
              <w:rPr>
                <w:rFonts w:ascii="Arial" w:cs="Arial" w:eastAsia="Arial" w:hAnsi="Arial"/>
                <w:sz w:val="14"/>
                <w:szCs w:val="14"/>
                <w:color w:val="auto"/>
                <w:w w:val="91"/>
              </w:rPr>
              <w:t>(1)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905,561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991,957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(197,725)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36,185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48,065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1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927,334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978,600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861,347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1,071,208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(209,861)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left="260" w:hanging="252"/>
        <w:spacing w:after="0" w:line="257"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Casino outstanding chips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23" w:lineRule="exact"/>
        <w:rPr>
          <w:rFonts w:ascii="Arial" w:cs="Arial" w:eastAsia="Arial" w:hAnsi="Arial"/>
          <w:sz w:val="14"/>
          <w:szCs w:val="14"/>
          <w:color w:val="auto"/>
        </w:rPr>
      </w:pPr>
    </w:p>
    <w:p>
      <w:pPr>
        <w:jc w:val="both"/>
        <w:ind w:left="260" w:hanging="252"/>
        <w:spacing w:after="0" w:line="286"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5" w:lineRule="exact"/>
        <w:rPr>
          <w:rFonts w:ascii="Arial" w:cs="Arial" w:eastAsia="Arial" w:hAnsi="Arial"/>
          <w:sz w:val="13"/>
          <w:szCs w:val="13"/>
          <w:color w:val="auto"/>
        </w:rPr>
      </w:pPr>
    </w:p>
    <w:p>
      <w:pPr>
        <w:ind w:left="26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spacing w:after="0" w:line="11" w:lineRule="exact"/>
        <w:rPr>
          <w:rFonts w:ascii="Arial" w:cs="Arial" w:eastAsia="Arial" w:hAnsi="Arial"/>
          <w:sz w:val="14"/>
          <w:szCs w:val="14"/>
          <w:color w:val="auto"/>
        </w:rPr>
      </w:pPr>
    </w:p>
    <w:p>
      <w:pPr>
        <w:ind w:left="260" w:right="20" w:hanging="252"/>
        <w:spacing w:after="0" w:line="273" w:lineRule="auto"/>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Rooms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205</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284</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9,830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16,930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9,913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9,635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20,315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16,939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$2.3 million and $2.4 million for the three months ended June 30, 2019 and 2018, respectively, and $4.2 million for each of the six months ended June 30, 2019 and 2018.</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recorded an income tax benefit of $2.0 million and $9.7 million for the three months ended June 30, 2019 and 2018, respectively, and an income tax benefit of $0.3 million and $120.7 million for the six months ended June 30, 2019 and 2018, respectively. The 2019 income tax benefit primarily related to the decrease in the valuation allowance for U.S foreign tax credits and the 2018 income tax benefit primarily related to the settlement of the Redemption Note.</w:t>
      </w:r>
    </w:p>
    <w:p>
      <w:pPr>
        <w:spacing w:after="0" w:line="18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and the duration of statutory carryforward periods.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Wynn Macau SA received a five year exemption from Macau's 12% Complementary Tax on casino gaming profits through December 31, 2020. Accordingly, for the three months ended June 30, 2019 and 2018, the Company was exempt from the payment of such taxes totaling $19.8 million and $20.0 million, respectively. For the six months ended June 30, 2019 and 2018, the Company was exempt from the payment of such taxes totaling $42.6 million and $46.9 million, respectively. The Company's non-gaming profits remain subject to the Macau Complementary Tax and its casino winnings remain subject to the Macau special gaming tax and other levies in accordance with its concession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94,551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155,756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199,423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(48,551)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105,195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b w:val="1"/>
                <w:bCs w:val="1"/>
                <w:color w:val="auto"/>
              </w:rPr>
              <w:t>Weighted average common and common equivalent shares</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107,141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108,405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107,089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105,195</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Net income (loss) attributable to Wynn Resorts, Limited per common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basic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80"/>
              <w:spacing w:after="0"/>
              <w:rPr>
                <w:sz w:val="20"/>
                <w:szCs w:val="20"/>
                <w:color w:val="auto"/>
              </w:rPr>
            </w:pPr>
            <w:r>
              <w:rPr>
                <w:rFonts w:ascii="Arial" w:cs="Arial" w:eastAsia="Arial" w:hAnsi="Arial"/>
                <w:sz w:val="18"/>
                <w:szCs w:val="18"/>
                <w:color w:val="auto"/>
                <w:w w:val="97"/>
              </w:rPr>
              <w:t>Net income (loss) attributable to Wynn Resorts, Limited per common</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vMerge w:val="continue"/>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 diluted</w:t>
            </w:r>
          </w:p>
        </w:tc>
        <w:tc>
          <w:tcPr>
            <w:tcW w:w="3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Anti-dilutive stock options and restricted stock excluded from the</w:t>
            </w:r>
          </w:p>
        </w:tc>
        <w:tc>
          <w:tcPr>
            <w:tcW w:w="300" w:type="dxa"/>
            <w:vAlign w:val="bottom"/>
          </w:tcPr>
          <w:p>
            <w:pPr>
              <w:spacing w:after="0"/>
              <w:rPr>
                <w:sz w:val="19"/>
                <w:szCs w:val="19"/>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calculation of diluted net income (loss) per share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balance sheet classification of the Company's lease assets and liabilities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5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 Classification</w:t>
            </w:r>
          </w:p>
        </w:tc>
        <w:tc>
          <w:tcPr>
            <w:tcW w:w="500" w:type="dxa"/>
            <w:vAlign w:val="bottom"/>
          </w:tcPr>
          <w:p>
            <w:pPr>
              <w:spacing w:after="0"/>
              <w:rPr>
                <w:sz w:val="16"/>
                <w:szCs w:val="16"/>
                <w:color w:val="auto"/>
              </w:rPr>
            </w:pPr>
          </w:p>
        </w:tc>
        <w:tc>
          <w:tcPr>
            <w:tcW w:w="2120" w:type="dxa"/>
            <w:vAlign w:val="bottom"/>
          </w:tcPr>
          <w:p>
            <w:pPr>
              <w:jc w:val="right"/>
              <w:ind w:right="813"/>
              <w:spacing w:after="0"/>
              <w:rPr>
                <w:sz w:val="20"/>
                <w:szCs w:val="20"/>
                <w:color w:val="auto"/>
              </w:rPr>
            </w:pPr>
            <w:r>
              <w:rPr>
                <w:rFonts w:ascii="Arial" w:cs="Arial" w:eastAsia="Arial" w:hAnsi="Arial"/>
                <w:sz w:val="14"/>
                <w:szCs w:val="14"/>
                <w:b w:val="1"/>
                <w:bCs w:val="1"/>
                <w:color w:val="auto"/>
              </w:rPr>
              <w:t>June 30, 2019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452,274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Finance lease</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 - Land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21,680</w:t>
            </w: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17,769</w:t>
            </w:r>
          </w:p>
        </w:tc>
      </w:tr>
      <w:tr>
        <w:trPr>
          <w:trHeight w:val="324"/>
        </w:trPr>
        <w:tc>
          <w:tcPr>
            <w:tcW w:w="5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151,446</w:t>
            </w: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w:t>
            </w: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16,565</w:t>
            </w:r>
          </w:p>
        </w:tc>
      </w:tr>
      <w:tr>
        <w:trPr>
          <w:trHeight w:val="27"/>
        </w:trPr>
        <w:tc>
          <w:tcPr>
            <w:tcW w:w="52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disclose the components of the Company's lease cost, supplemental cash flow disclosures, and other information regarding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Company's lease arrangements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2"/>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30, 2019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Lease cost:</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4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5,872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10,740</w:t>
            </w: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leasehold interests in land</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4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2,476</w:t>
            </w: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interest cost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lease cost</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19,149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36,592</w:t>
            </w: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640"/>
        </w:trPr>
        <w:tc>
          <w:tcPr>
            <w:tcW w:w="7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2"/>
        </w:trPr>
        <w:tc>
          <w:tcPr>
            <w:tcW w:w="7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disclosures: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arising from obtaining operating lease assets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26,371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 - Operating leases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15,636</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Cash used in operating activities - Finance leases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495</w:t>
            </w:r>
          </w:p>
        </w:tc>
      </w:tr>
      <w:tr>
        <w:trPr>
          <w:trHeight w:val="561"/>
        </w:trPr>
        <w:tc>
          <w:tcPr>
            <w:tcW w:w="7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37.3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46.2 years</w:t>
            </w: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7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an analysis of lease liability maturities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Pr>
          <w:p>
            <w:pPr>
              <w:spacing w:after="0"/>
              <w:rPr>
                <w:sz w:val="16"/>
                <w:szCs w:val="16"/>
                <w:color w:val="auto"/>
              </w:rPr>
            </w:pPr>
          </w:p>
        </w:tc>
        <w:tc>
          <w:tcPr>
            <w:tcW w:w="1540" w:type="dxa"/>
            <w:vAlign w:val="bottom"/>
          </w:tcPr>
          <w:p>
            <w:pPr>
              <w:jc w:val="right"/>
              <w:ind w:right="351"/>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six months ended June 30, 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22,230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989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17,940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989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481,182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66,742</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undiscounted cash flows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572,033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71,193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lease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151,446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16,565</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169,215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16,565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Interest on lease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402,818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54,628</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Undeveloped Land - Las Vegas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leases approximately 16 acres of undeveloped land on Las Vegas Boulevard directly across from Wynn Las Vegas in Las Vegas, Nevada, which expires in 2097. The ground lease payments, which increase at a fixed rate over the term of the lease, are $3.8 million per year until 2023 and total payments of $367.8 million thereafter. As of June 30, 2019, the liability associated with this lease was $62.4 million.</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June 30, 2019, operating lease assets included approximately $87.5 million related to an amount allocated to the leasehold interest in land upon the acquisition of a group of assets in 2018. The Company expects that the amortization of this amount will be $1.1 million each year from 2020 through 2096 and $0.7 million in 2097.</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Land Concessions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$1.6 million per year through 2023 and total payments of $17.1 million thereafter through 2037. At June 30, 2019, the total liability associated with these leases was $15.6 million.</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June 30, 2019, operating lease assets included $197.3 million of leasehold interests in land related to the Wynn Palace and Wynn Macau land concessions. The Company expects that the amortization associated with these leasehold interests will be approximately $12.6 million per year from 2020 through 2028 and approximately $9.2 million thereafter through 2037.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Contingent rental income</w:t>
            </w:r>
          </w:p>
        </w:tc>
        <w:tc>
          <w:tcPr>
            <w:tcW w:w="2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11,945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26,916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28,618</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rental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45,616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43,488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93,295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90,921</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future minimum rentals to be received under operating leases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six months ended June 30,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70,212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141,996</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80,474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62,824</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46,138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152,183</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future minimum rentals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553,827</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Derivative Litigation Related to Redemption Action</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Two state derivative actions were commenced against the Company and all members of its Board of Directors in the Eighth Judicial District Court of Clark County, Nevada by the IBEW Local 98 Pension Fund and Danny Hinson (collectively, the "Derivative Plaintiffs"). On March 15, 2019, the parties filed a stipulation and order to dismiss the action, with prejudice, which the court entered on March 18, 2019. Neither the Company nor any of the individual defendants made any form of payment in exchange for the dismissal of the action.</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Massachusetts Gaming License Related Actions</w:t>
      </w:r>
    </w:p>
    <w:p>
      <w:pPr>
        <w:spacing w:after="0" w:line="2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Suffolk Action</w:t>
      </w:r>
    </w:p>
    <w:p>
      <w:pPr>
        <w:spacing w:after="0" w:line="225" w:lineRule="exact"/>
        <w:rPr>
          <w:sz w:val="20"/>
          <w:szCs w:val="20"/>
          <w:color w:val="auto"/>
        </w:rPr>
      </w:pPr>
    </w:p>
    <w:p>
      <w:pPr>
        <w:jc w:val="both"/>
        <w:ind w:firstLine="378"/>
        <w:spacing w:after="0" w:line="272" w:lineRule="auto"/>
        <w:rPr>
          <w:sz w:val="20"/>
          <w:szCs w:val="20"/>
          <w:color w:val="auto"/>
        </w:rPr>
      </w:pPr>
      <w:r>
        <w:rPr>
          <w:rFonts w:ascii="Arial" w:cs="Arial" w:eastAsia="Arial" w:hAnsi="Arial"/>
          <w:sz w:val="17"/>
          <w:szCs w:val="17"/>
          <w:color w:val="auto"/>
        </w:rPr>
        <w:t>On September 17, 2018, Sterling Suffolk Racecourse, LLC, owner of the property proposed for location of a casino by an unsuccessful bidder for the Greater Boston (Region A) gaming license filed a complaint in the United States District Court, District of Massachusetts, against the Company, Wynn MA, certain current and former officers of the Company, FBT Everett Realty, LLC, former owner of the land on which Encore Boston Harbor is located ("FBT"), and Paul Lohnes, a member of FBT. The complaint alleges, among other things, the defendants violated the RICO Act, conspired to circumvent the application process for the Greater Boston (Region A) gaming license and violated Massachusetts law with respect to unfair methods of competition. The plaintiff seeks $1.0 billion in compensatory damages and treble damages. All defendants filed motions to dismiss the complaint. On May 7, 2019, the court held a hearing on the motions to dismiss and stayed all discovery pending a decision on the motions.</w:t>
      </w:r>
    </w:p>
    <w:p>
      <w:pPr>
        <w:spacing w:after="0" w:line="178"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The Company will vigorously defend against the claims asserted. This action is in preliminary stages and management has determined that based on proceedings to date, it is currently unable to determine the probability of the outcome of this action or the range of reasonably possible loss, if any.</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Revere Action</w:t>
      </w:r>
    </w:p>
    <w:p>
      <w:pPr>
        <w:spacing w:after="0" w:line="225" w:lineRule="exact"/>
        <w:rPr>
          <w:sz w:val="20"/>
          <w:szCs w:val="20"/>
          <w:color w:val="auto"/>
        </w:rPr>
      </w:pPr>
    </w:p>
    <w:p>
      <w:pPr>
        <w:jc w:val="both"/>
        <w:ind w:firstLine="378"/>
        <w:spacing w:after="0" w:line="271" w:lineRule="auto"/>
        <w:rPr>
          <w:sz w:val="20"/>
          <w:szCs w:val="20"/>
          <w:color w:val="auto"/>
        </w:rPr>
      </w:pPr>
      <w:r>
        <w:rPr>
          <w:rFonts w:ascii="Arial" w:cs="Arial" w:eastAsia="Arial" w:hAnsi="Arial"/>
          <w:sz w:val="17"/>
          <w:szCs w:val="17"/>
          <w:color w:val="auto"/>
        </w:rPr>
        <w:t>On October 16, 2014, the City of Revere, the host community to the unsuccessful bidder for the same license, the International Brotherhood of Electrical Workers, Local 103 ("IBEW") and several individuals,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Mohegan Sun ("Mohegan"), the other applicant for the Greater Boston (Region A) gaming license, intervened in the Revere Action. The Mohegan complaint challenges the license award to Wynn MA, seeks judicial review of the MGC's decision, and seeks to vacate the MGC's license award to Wynn MA.</w:t>
      </w:r>
    </w:p>
    <w:p>
      <w:pPr>
        <w:spacing w:after="0" w:line="179" w:lineRule="exact"/>
        <w:rPr>
          <w:sz w:val="20"/>
          <w:szCs w:val="20"/>
          <w:color w:val="auto"/>
        </w:rPr>
      </w:pPr>
    </w:p>
    <w:p>
      <w:pPr>
        <w:jc w:val="both"/>
        <w:ind w:firstLine="378"/>
        <w:spacing w:after="0" w:line="273" w:lineRule="auto"/>
        <w:rPr>
          <w:sz w:val="20"/>
          <w:szCs w:val="20"/>
          <w:color w:val="auto"/>
        </w:rPr>
      </w:pPr>
      <w:r>
        <w:rPr>
          <w:rFonts w:ascii="Arial" w:cs="Arial" w:eastAsia="Arial" w:hAnsi="Arial"/>
          <w:sz w:val="17"/>
          <w:szCs w:val="17"/>
          <w:color w:val="auto"/>
        </w:rPr>
        <w:t>On July 1, 2015, the MGC filed motions to dismiss Mohegan's and the City of Revere's complaints. On December 3, 2015, the court granted the motion to dismiss the claims asserted in the Revere Action and the court granted the motion to dismiss three of the four counts asserted by Mohegan but denied the motion as to Mohegan's certiorari claim. The City of Revere and IBEW sought immediate appellate review of the dismissal of their claims. On March 10, 2017, the Massachusetts Supreme Judicial Court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 hearing on which has not yet been rescheduled.</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SJC reversed the trial court's dismissal of the individual plaintiffs' open meeting law claim and remanded that claim to the Suffolk Superior Court.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July 12, 2019, the court granted the MGC's motion for summary judgment and dismissed the open meeting law claim.</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Wynn MA was not named in the Revere Action. The MGC retained private legal representation at its own nontaxpayer-funded expense.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Massachusetts Gaming Commission Investigation</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January 31, 2018, the Investigations &amp; Enforcement Bureau ("IEB") of the MGC announced it had commenced an investigation into the Company's ongoing suitability as a gaming licensee in that jurisdiction. The Company fully cooperated with the IEB's investigation. After a three-day adjudicatory hearing before the MGC, the MGC concluded that the Company and Wynn MA are suitable to maintain a Massachusetts gaming license, subject to a fine of $35.0 million, which the Company paid during the three months ended June 30, 2019, and the Company's fulfillment of other conditions set forth in the MGC decision.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Nevada Gaming Control Board Investigation</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On January 25, 2019, the Nevada Gaming Control Board completed its investigation, which had commenced in 2018, and filed a complaint against the Company and its indirect subsidiary, Wynn Las Vegas, LLC ("NGCB Respondents"). Also on January 25, 2019, the NGCB Respondents entered into a Stipulation for Settlement with the Nevada Gaming Control Board in connection with its complaint, under which, among other things, the NGCB Respondents agreed to pay a fine in an amount to be determined by the Nevada Gaming Commission, and the Nevada Gaming Control Board agreed not to seek to revoke or limit the NGCB Respondents' licenses, findings of suitability or any other approvals of the Nevada Gaming Commission. On February 26, 2019, the Nevada Gaming Commission approved the Stipulation for Settlement and fined the Company $20.0 million, which was paid during the three months ended March 31, 2019.</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Derivative Litigation</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 number of stockholder derivative actions have been filed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Stephen A. Wynn in the workplace. On September 19, 2018, the Board established a Special Litigation Committee (the "SLC") to investigate the allegations in the State Derivative Case (as defined below).</w:t>
      </w:r>
    </w:p>
    <w:p>
      <w:pPr>
        <w:spacing w:after="0" w:line="18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The actions filed in the Eighth Judicial District Court of Clark County, Nevada have been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 On October 26, 2018, the SLC filed a motion to intervene and stay the State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Derivative Case pending completion of its investigation, which the court granted (the "SLC Stay"). The SLC's investigation is ongoing.</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("Federal Derivative Case"), which also claim corporate waste and violation of Section 14(a) of the Exchange Act. In June 2018, the Company filed a motion to dismiss and a motion to stay pending resolution of the Securities Action (described below). On March 29, 2019, the Court granted the Company's request for a stay.</w:t>
      </w:r>
    </w:p>
    <w:p>
      <w:pPr>
        <w:spacing w:after="0" w:line="187"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On March 25, 2019, a separate stockholder derivative action was filed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 Company. On June 10, 2019, the Company filed a motion to dismiss, or alternatively to consolidate this action into the Federal Derivative Case, which is stayed. The motion is currently pending before the court.</w:t>
      </w:r>
    </w:p>
    <w:p>
      <w:pPr>
        <w:spacing w:after="0" w:line="171" w:lineRule="exact"/>
        <w:rPr>
          <w:sz w:val="20"/>
          <w:szCs w:val="20"/>
          <w:color w:val="auto"/>
        </w:rPr>
      </w:pPr>
    </w:p>
    <w:p>
      <w:pPr>
        <w:jc w:val="both"/>
        <w:ind w:firstLine="378"/>
        <w:spacing w:after="0" w:line="272" w:lineRule="auto"/>
        <w:rPr>
          <w:sz w:val="20"/>
          <w:szCs w:val="20"/>
          <w:color w:val="auto"/>
        </w:rPr>
      </w:pPr>
      <w:r>
        <w:rPr>
          <w:rFonts w:ascii="Arial" w:cs="Arial" w:eastAsia="Arial" w:hAnsi="Arial"/>
          <w:sz w:val="17"/>
          <w:szCs w:val="17"/>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On July 9, 2019, the Company filed a motion to consolidate this action into the State Derivative Case. The motion is currently pending before the court. On July 26, 2019, the plaintiff voluntarily dismissed Matt Maddox, Stephen A. Wynn, Kimmarie Sinatra, John J. Hagenbuch, Ray R. Irani, Jay L. Johnson, Robert J. Miller, Patricia Mulroy, Clark T. Randt, Jr., Alvin V. Shoemaker, J. Edward Virtue, D. Boone Wayson, and one of the Company’s law firms from the action.</w:t>
      </w:r>
    </w:p>
    <w:p>
      <w:pPr>
        <w:spacing w:after="0" w:line="17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Individual Stockholder Actions</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 number of stockholders have filed individual actions in the Eighth Judicial District Court of Clark County, Nevada against certain current and former members of the Company's Board of Directors and the Company's current and former officers ("Individual Stockholder Actions"). Each of the complaints alleges that defendants, among other things, breached their fiduciary duties in failing to detect, prevent and remedy alleged inappropriate personal conduct by Stephen A. Wynn in the workplace causing injury to each of the individual stockholders.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29, 2019, the defendants filed motions to dismiss each of the Individual Stockholder Actions, which were then stayed pending certain proceedings before the Nevada Supreme Court that concluded on June 26, 2019. On July 26, 2019, the trial court scheduled a hearing on the defendants' pending motions to dismiss for September 18, 2019.</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Securities Action</w:t>
      </w:r>
    </w:p>
    <w:p>
      <w:pPr>
        <w:spacing w:after="0" w:line="225"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The defendants have filed motions to dismiss, which are currently pending before the court.</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Aruze and Affiliates Litigation</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February 18, 2012, the Board of Directors of Wynn Resorts determined that Universal Entertainment Corp., Aruze (together with Universal Entertainment Corp, the "Universal Parties") and Kazuo Okada, and the related parties (collectively, the "Okada Parties") were "unsuitable persons" under the Company's articles and redeemed and canceled Aruze's 24,549,222 shares of Wynn Resorts' common stock, and, pursuant to its articles of incorporation, Wynn Resorts issued the Redemption Note to Aruze in</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redemption of the shares. The next day, Wynn Resorts filed an action alleging breaches of fiduciary duty and related claims (the "Redemption Action"). The Okada Parties denied the claims and asserted counterclaims.</w:t>
      </w:r>
    </w:p>
    <w:p>
      <w:pPr>
        <w:spacing w:after="0" w:line="170"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On March 8, 2018, the Company entered into a settlement agreement (the "Settlement Agreement") by and between the Company and its individual directors and officers (the "Wynn Parties"), and the Universal Parties. The Settlement Agreement resolved all legal proceedings pending between the settling parties in the Redemption Action. The Universal Parties further released any claims against the Wynn Parties and their affiliates in any other jurisdiction, including a proceeding pending in Macau against Wynn Resorts (Macau) S.A. ("Wynn Macau SA") and certain related individuals ("Macau Litigation"). Subsequently the Company voluntarily dismissed its claim for breach of fiduciary duty against Kazuo Okada.</w:t>
      </w:r>
    </w:p>
    <w:p>
      <w:pPr>
        <w:spacing w:after="0" w:line="173"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On July 3, 2015, Wynn Macau, Limited announced that the Okada Parties filed a complaint in the Court of First Instance of Macau ("Macau Court") against Wynn Macau SA and certain individuals who are or were directors of Wynn Macau SA or WML (collectively, the "Wynn Macau Parties"). On July 11, 2017, the Macau Court dismissed all of the Okada Parties' claims as unfounded, fined the Okada Parties, and ordered the Okada Parties to pay for court costs and the Wynn Macau Parties' attorney's fees. On or about October 16, 2017, the Okada Parties formally appealed in Macau. On February 21, 2019, the Macau Appellate Panel dismissed the appeal. Mr. Okada, who was at that time the only remaining claimant after the Universal Parties' withdrawal pursuant to the Settlement Agreement, failed to appeal within the prescribed time, resulting in the final resolution of the lawsuit in favor of the Wynn Macau Parties.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Retail Joint Venture</w:t>
      </w:r>
    </w:p>
    <w:p>
      <w:pPr>
        <w:spacing w:after="0" w:line="229"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As of June 30, 2019 and December 31, 2018, the Retail Joint Venture had total assets of $91.0 million and $85.0 million, respectively, and total liabilities of $626.1 million and $619.6 million, respectively. As of June 30, 2019 and December 31, 2018, the Retail Joint Venture's liabilities included long-term debt of $611.4 million and $611.1 million, respectively, net of debt issuance costs, related to the outstanding borrowings under the Retail Term Loan.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reviews the results of operations for each of its operating segments, and identifies reportable segments based upon such factors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On June 23, 2019, the Company opened Encore Boston Harbor, an integrated resort in Everett, Massachusetts. The results of the eight days of its operations during the second quarter of 2019 are presented within Corporate and other in the accompanying condensed consolidated financial statements, except where otherwise noted, and are not considered material to our consolidated results of operations for the three and six months ended June 30, 2019. Encore Boston Harbor will be presented as a separate reportable segment beginning in the third quarter of 2019.</w:t>
      </w:r>
    </w:p>
    <w:p>
      <w:pPr>
        <w:spacing w:after="0" w:line="18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assets for Encore Boston Harbor in the accompanying condensed consolidated financial statements. Other Macau primarily represents the assets for the Company's Macau holding company.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528,545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525,026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1,151,720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1,093,487</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81,165</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52,900</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58,880</w:t>
            </w:r>
          </w:p>
        </w:tc>
      </w:tr>
      <w:tr>
        <w:trPr>
          <w:trHeight w:val="237"/>
        </w:trPr>
        <w:tc>
          <w:tcPr>
            <w:tcW w:w="5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628,916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620,586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1,355,538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1,286,432</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481,204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473,267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931,446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1,012,302</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55,484</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37,500</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56,239</w:t>
            </w:r>
          </w:p>
        </w:tc>
      </w:tr>
      <w:tr>
        <w:trPr>
          <w:trHeight w:val="237"/>
        </w:trPr>
        <w:tc>
          <w:tcPr>
            <w:tcW w:w="5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546,474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543,284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1,070,365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1,161,525</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1,175,390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1,163,870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2,425,903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2,447,957</w:t>
            </w:r>
          </w:p>
        </w:tc>
      </w:tr>
      <w:tr>
        <w:trPr>
          <w:trHeight w:val="318"/>
        </w:trPr>
        <w:tc>
          <w:tcPr>
            <w:tcW w:w="5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119,753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231,437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236,377</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239,712</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165,197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170,852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288,816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296,689</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100,267</w:t>
            </w:r>
          </w:p>
        </w:tc>
      </w:tr>
      <w:tr>
        <w:trPr>
          <w:trHeight w:val="237"/>
        </w:trPr>
        <w:tc>
          <w:tcPr>
            <w:tcW w:w="5120" w:type="dxa"/>
            <w:vAlign w:val="bottom"/>
          </w:tcPr>
          <w:p>
            <w:pPr>
              <w:ind w:left="620"/>
              <w:spacing w:after="0"/>
              <w:rPr>
                <w:sz w:val="20"/>
                <w:szCs w:val="20"/>
                <w:color w:val="auto"/>
              </w:rPr>
            </w:pPr>
            <w:r>
              <w:rPr>
                <w:rFonts w:ascii="Arial" w:cs="Arial" w:eastAsia="Arial" w:hAnsi="Arial"/>
                <w:sz w:val="18"/>
                <w:szCs w:val="18"/>
                <w:b w:val="1"/>
                <w:bCs w:val="1"/>
                <w:color w:val="auto"/>
              </w:rPr>
              <w:t>Total Las Vegas Operations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464,142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441,554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865,175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873,045</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18,800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18,800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1,658,332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1,605,424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3,309,878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3,321,002</w:t>
            </w: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64"/>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69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391,176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175,873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339,762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382,750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343,038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729,513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773,926</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137,399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266,753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480,583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476,350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975,360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1,040,679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463,557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140,269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137,870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274,227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35,295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54,588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16,646</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261,867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196,778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501,468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842,401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218,716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279,572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473,892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198,278</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(188,125)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(10,177)</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(251,223)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140,243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301,659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(52,945)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120,747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142,234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205,280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301,965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67,802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(116,353)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94,551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155,756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199,423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(48,551)</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13, "Leases".</w:t>
      </w:r>
    </w:p>
    <w:p>
      <w:pPr>
        <w:spacing w:after="0" w:line="13" w:lineRule="exact"/>
        <w:rPr>
          <w:rFonts w:ascii="Arial" w:cs="Arial" w:eastAsia="Arial" w:hAnsi="Arial"/>
          <w:sz w:val="14"/>
          <w:szCs w:val="14"/>
          <w:color w:val="auto"/>
        </w:rPr>
      </w:pPr>
    </w:p>
    <w:p>
      <w:pPr>
        <w:jc w:val="both"/>
        <w:ind w:left="260" w:hanging="252"/>
        <w:spacing w:after="0" w:line="260" w:lineRule="auto"/>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Property EBITDA is net income (loss) before interest, income taxes, depreciation and amortization, litigation settlement expense, pre-opening expenses, property charges and other, management and license fees, corporate expenses and other, stock-based compensation,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1" w:lineRule="exact"/>
        <w:rPr>
          <w:rFonts w:ascii="Arial" w:cs="Arial" w:eastAsia="Arial" w:hAnsi="Arial"/>
          <w:sz w:val="13"/>
          <w:szCs w:val="13"/>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$0.4 million and $0.7 million included in pre-opening expenses for the three and six months ended June 30, 2019, respectively.</w:t>
      </w: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3,803,032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3,858,904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1,450,112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1,903,921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68,487</w:t>
            </w:r>
          </w:p>
        </w:tc>
      </w:tr>
      <w:tr>
        <w:trPr>
          <w:trHeight w:val="237"/>
        </w:trPr>
        <w:tc>
          <w:tcPr>
            <w:tcW w:w="834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5,336,318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5,831,312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2,953,316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2,792,508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Encore Boston Harbor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2,529,803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1,865,286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2,345,837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2,727,163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13,165,274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13,216,269</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2018.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a designer, developer, owner and operator of destination casino resorts. In the Macau Special Administrative Region of the People's Republic of China ("Macau"), we own approximately 72% of Wynn Macau, Limited ("WML"), which includes the operations of the Wynn Palace and Wynn Macau resorts, which we refer to as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and the Retail Joint Venture as our Las Vegas Operations. On June 23, 2019, the Company opened Encore Boston Harbor, an integrated resort in Everett, Massachusetts. The results of the eight days of its operations during the second quarter of 2019 are presented within Corporate and other in the accompanying condensed consolidated financial statements, except where otherwise noted, and are not considered material to our consolidated results of operations for the three and six months ended June 30, 2019. As a result, key operating measures for Encore Boston Harbor are not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51 acres of land in the Cotai area of Macau where Wynn Palace is located and 16 acres of land in downtown Macau's inner harbor where Wynn Macau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June 30, 2019:</w:t>
      </w:r>
    </w:p>
    <w:p>
      <w:pPr>
        <w:spacing w:after="0" w:line="131" w:lineRule="exact"/>
        <w:rPr>
          <w:sz w:val="20"/>
          <w:szCs w:val="20"/>
          <w:color w:val="auto"/>
        </w:rPr>
      </w:pPr>
    </w:p>
    <w:p>
      <w:pPr>
        <w:ind w:left="1300" w:right="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424,000 square feet of casino space, offering 24-hour gaming and a full range of games with 323 table games and 1,142 slot machines, private gaming salons and sky casinos;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 food and beverage outlets;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June 30, 2019:</w:t>
      </w:r>
    </w:p>
    <w:p>
      <w:pPr>
        <w:spacing w:after="0" w:line="131" w:lineRule="exact"/>
        <w:rPr>
          <w:sz w:val="20"/>
          <w:szCs w:val="20"/>
          <w:color w:val="auto"/>
        </w:rPr>
      </w:pPr>
    </w:p>
    <w:p>
      <w:pPr>
        <w:ind w:left="1300" w:right="18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272,000 square feet of casino space, offering 24-hour gaming and a full range of games with 312 table games and 827 slot machines, private gaming salons, sky casinos and a poker pit;</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food and beverage outlets;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rotunda show featuring a Chinese zodiac-inspired ceiling along with gold "prosperity tree" and "dragon of fortune" attractions.</w:t>
      </w:r>
    </w:p>
    <w:p>
      <w:pPr>
        <w:spacing w:after="0" w:line="27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June 30, 2019:</w:t>
      </w:r>
    </w:p>
    <w:p>
      <w:pPr>
        <w:spacing w:after="0" w:line="225" w:lineRule="exact"/>
        <w:rPr>
          <w:sz w:val="20"/>
          <w:szCs w:val="20"/>
          <w:color w:val="auto"/>
        </w:rPr>
      </w:pPr>
    </w:p>
    <w:p>
      <w:pPr>
        <w:ind w:left="1300" w:right="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194,000 square feet of casino space, offering 24-hour gaming and a full range of games with 233 table games and 1,761 slot machines, private gaming salons, a sky casino, a poker room, and a race and sports book;</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63"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160,000 square feet of high-end, brand-name retail space (the majority of which is owned and operated by the Retail Joint Venture);</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nightclubs and a beach club;</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8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Encore Boston Harbor features a luxury hotel tower with 671 guest rooms and suites, approximately 210,000 square feet of casino space, 14 food and beverage outlets, one nightclub, approximately 71,000 square feet of meeting and convention space, approximately 7,000 square feet of retail space, and public attractions, including a waterfront park, floral displays, and water shuttle service to downtown Boston.</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currently constructing an approximately 430,000 square foot meeting and convention facility at Wynn Las Vegas and are reconfiguring the Wynn Las Vegas golf course, which we closed in the fourth quarter of 2017. The facility will feature approximately 217,000 square feet of state-of-the-art meeting and convention space available for group reservations. Based on current designs, we estimate the total project budget to be approximately $425.0 million. As of June 30, 2019, we have incurred $246.6 million in total project costs. We expect to reopen the golf course in the fourth quarter of 2019 and open the additional meeting and convention space in the first quarter of 2020.</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have begun a reconfiguration of the current Wynn Club gaming area at Wynn Macau. When completed, the enhanced space will consist of approximately 40 mass market table games, a refurbished high-limit slot area, two new restaurants and approximately 7,000 square feet of retail space, and will provide for improved pedestrian access from the boardwalk. We estimate the total project budget to be approximately $62 million. We expect to complete the gaming enhancements and open the new restaurants and retail space at varying times in the fourth quarter of 2019 and first quarter of 2020.</w:t>
      </w:r>
    </w:p>
    <w:p>
      <w:pPr>
        <w:spacing w:after="0" w:line="15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are in the preliminary planning and design stages of developing the Crystal Pavilion at Wynn Palace. We expect the Crystal Pavilion will become a unique world-class cultural destination, incorporating an art museum, an immersive theater and interactive installations, an expansive food hall, additional hotel rooms, and several signature entertainment features. We estimate construction of the initial phase of the Crystal Pavilion will begin in late 2021.</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exploring various development opportunities with respect to the approximately 38 acres of land located on the Las Vegas Strip directly across from Wynn Las Vegas.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Consolidated Statements of Operations are presented. These key operating measures are defined below:</w:t>
      </w:r>
    </w:p>
    <w:p>
      <w:pPr>
        <w:spacing w:after="0" w:line="170" w:lineRule="exact"/>
        <w:rPr>
          <w:sz w:val="20"/>
          <w:szCs w:val="20"/>
          <w:color w:val="auto"/>
        </w:rPr>
      </w:pPr>
    </w:p>
    <w:p>
      <w:pPr>
        <w:ind w:left="1300" w:hanging="644"/>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right="2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ectPr>
          <w:pgSz w:w="11900" w:h="16838" w:orient="portrait"/>
          <w:cols w:equalWidth="0" w:num="1">
            <w:col w:w="11420"/>
          </w:cols>
          <w:pgMar w:left="240" w:top="121" w:right="239" w:bottom="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1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second quarter 2019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Increase/</w:t>
            </w:r>
          </w:p>
        </w:tc>
        <w:tc>
          <w:tcPr>
            <w:tcW w:w="8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Percent</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Increase/</w:t>
            </w:r>
          </w:p>
        </w:tc>
        <w:tc>
          <w:tcPr>
            <w:tcW w:w="780" w:type="dxa"/>
            <w:vAlign w:val="bottom"/>
          </w:tcPr>
          <w:p>
            <w:pPr>
              <w:jc w:val="right"/>
              <w:ind w:right="7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1,658,332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1,605,424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3,309,878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3,321,002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attributable to Wynn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Resorts, Limited</w:t>
            </w:r>
          </w:p>
        </w:tc>
        <w:tc>
          <w:tcPr>
            <w:tcW w:w="28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94,551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155,756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(61,205)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199,423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247,974</w:t>
            </w:r>
          </w:p>
        </w:tc>
        <w:tc>
          <w:tcPr>
            <w:tcW w:w="12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Adjusted Property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4"/>
                <w:szCs w:val="14"/>
                <w:color w:val="auto"/>
              </w:rPr>
              <w:t>(1)</w:t>
            </w:r>
          </w:p>
        </w:tc>
        <w:tc>
          <w:tcPr>
            <w:tcW w:w="28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480,583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476,350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975,360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1,040,679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(65,319)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16, "Segment Information," for a reconciliation of Adjusted Property EBITDA to net income (loss) attributable to Wynn Resorts, Limited.</w:t>
      </w:r>
    </w:p>
    <w:p>
      <w:pPr>
        <w:spacing w:after="0" w:line="22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increase in operating revenues for the three months ended June 30, 2019 was driven by increases of $8.3 million, and $3.2 million, $22.6 million from Wynn Palace, Wynn Macau, and our Las Vegas Operations, respectively. Operating revenues from Encore Boston Harbor were $18.8 million.</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net income (loss) attributable to Wynn Resorts, Limited for the three months ended June 30, 2019 was primarily driven by an increase in pre-opening expenses related to the development of Encore Boston Harbor.</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Adjusted Property EBITDA for the three months ended June 30, 2019 was driven by increases of $2.9 million and $13.2 million from Wynn Macau and our Las Vegas Operations, respectively, partially offset by a decrease of $12.1 million from Wynn Palace. Adjusted Property EBITDA from Encore Boston Harbor was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2019 compared to the three months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revenues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628,916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546,474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543,284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1,175,390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1,163,870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11,520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464,142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441,554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22,588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1,658,332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1,605,424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52,908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casino and non-casino operating revenues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Casino revenues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1,142,503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1,100,027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42,476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198,807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186,051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12,756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3,155</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104,479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non-casino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515,829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505,397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10,432</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1,658,332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1,605,424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52,908</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Casino revenues for the three months ended June 30, 2019 were 68.9% of operating revenues, compared to 68.5% for the same period of 2018. Non-casino revenues for the three months ended June 30, 2019 were 31.1% of operating revenues, compared to 31.5% for the same period of 2018.</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Casino revenues increased primarily due to increased mass market table drop and table games win percentage at our Macau Operations and increased table drop and table games win percentage at our Las Vegas Operations, partially offset by decreased VIP turnover at our Macau Operations. The table below sets forth our casino revenues and associated key operating measures (dollars in thousands, except for win per unit per day):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528,545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525,026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13,388,646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14,029,065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(640,419)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404,408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420,181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1,267,153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1,218,863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48,290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296,852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280,568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937,842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940,972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43,567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481,204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9,275,628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13,928,463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(4,652,835)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305,809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357,166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(51,357)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1,347,435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1,293,154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54,281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279,127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252,038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925,784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963,635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42,815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40,426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621"/>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119,753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101,734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18,019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440,766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403,730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37,036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126,395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100,987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811,639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778,447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55,128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49,418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43,183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26,465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27,072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127,554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Room revenues increased $12.8 million, primarily driven by higher ADR and occupancy at Wynn Palace and our Las Vegas Operations, partially offset by rooms out of service for renovations at Wynn Macau.</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Food and beverage revenues increased $3.2 million, primarily driven by increased covers at our high-volume restaurants at our Macau Operations.</w:t>
      </w:r>
    </w:p>
    <w:p>
      <w:pPr>
        <w:spacing w:after="0" w:line="2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Entertainment, retail and other revenues decreased $5.5 million, primarily due to the closure of certain owned retail outlets at Wynn Macau and their conversion to leased outlets beginning in the first quarter of 2019.</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 /</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724,987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707,194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17,793</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2,473</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182,080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168,296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13,784</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202,224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183,631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18,593</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69,883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58,687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2,399</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1,439,616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1,325,852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113,764</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operating expenses increased $113.8 million compared with the second quarter of 2018, primarily due to an increase in pre-opening expenses related to the development of Encore Boston Harbor.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Casino expenses increased commensurate with the increase in casino revenues.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Food and beverage expenses increased $4.3 million, $3.3 million, and $2.5 million at Wynn Palace, Wynn Macau, and our Las Vegas Operations, respectively. The increases at Wynn Palace and Wynn Macau were driven by incremental costs associated with opening new food and beverage outlets at Wynn Palace and increased costs of goods sold. The increase at our Las Vegas Operations was primarily driven by increased payroll costs.</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Entertainment, retail and other expenses decreased $3.1 million, primarily due to the closure of certain owned retail outlets at Wynn Macau and their conversion to leased outlets beginning in the first quarter of 2019.</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General and administrative expenses increased $2.8 million, $4.0 million, and $1.4 million, at Wynn Palace, Wynn Macau, and our Las Vegas Operations, respectively. These increases were primarily attributable to increased payroll costs and property taxes at our Macau Operations and increased advertising costs at our Las Vegas Operations. Corporate and other general and administrative expenses increased $4.5 million, primarily due to corporate development and legal expenses.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provision for doubtful accounts increased $4.6 million and $0.7 million at Wynn Palace and our Las Vegas Operations, respectively.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June 30, 2019 and 2018, pre-opening expenses totaled $69.9 million and $11.2 million, respectively, which primarily related to the development of Encore Boston Harbor.</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7"/>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80"/>
              <w:spacing w:after="0"/>
              <w:rPr>
                <w:sz w:val="20"/>
                <w:szCs w:val="20"/>
                <w:color w:val="auto"/>
              </w:rPr>
            </w:pPr>
            <w:r>
              <w:rPr>
                <w:rFonts w:ascii="Arial" w:cs="Arial" w:eastAsia="Arial" w:hAnsi="Arial"/>
                <w:sz w:val="18"/>
                <w:szCs w:val="18"/>
                <w:color w:val="auto"/>
              </w:rPr>
              <w:t>Interest cost, including amortization of debt issuance costs 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original issue discount and premium</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117,276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102,545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14,731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93,149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89,898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3,251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9,204,417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8,530,027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costs increased due to an increase in the weighted average debt balance and weighted average interest rate. Capitalized interest increased due to Encore Boston Harbor construction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a foreign currency remeasurement gain of $11.7 million and a loss of $1.0 million for the three months ended June 30, 2019 and 2018,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recorded an income tax benefit of $2.0 million and $9.7 million for the three months ended June 30, 2019 and 2018, respectively. The 2019 income tax benefit primarily related to the decrease in the valuation allowance for U.S foreign tax credits and the 2018 income tax benefit primarily related to an increase in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income attributable to noncontrolling interests was $47.7 million for the three months ended June 30, 2019, compared to $49.5 million for the same period of 2018. These amounts are primarily related to the noncontrolling interests' share of net income from WML.</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2019 compared to the six months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1,355,538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1,286,432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69,106</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1,070,365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1,161,525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2,425,903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2,447,957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(22,054)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865,175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873,045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18,800</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3,309,878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3,321,002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casino and non-casino operating revenues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Casino revenues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b w:val="1"/>
                <w:bCs w:val="1"/>
                <w:color w:val="auto"/>
              </w:rPr>
              <w:t>2,327,604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2,342,166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(14,562)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390,077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376,361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13,716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4,152</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200,956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Total non-casino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982,274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978,836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3,438</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3,309,878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3,321,002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Casino revenues for the six months ended June 30, 2019 were 70.3% of operating revenues, compared to 70.5% for the same period of 2018. Non-casino revenues for the six months ended June 30, 2019 were 29.7% of operating revenues, compared to 29.5% for the same period of 2018.</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Casino revenues decreased primarily due to decreased VIP turnover at our Macau Operations, partially offset by increased table drop in mass market at our Macau Operations. The table below sets forth our casino revenues and associated key operating measures (dollars in thousands, except for win per unit per day):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1,151,720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1,093,487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26,015,909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29,414,898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(3,398,989)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897,592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820,072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2,571,076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2,436,064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135,012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612,320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590,728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1,912,890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1,999,068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94,968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99,949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931,446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1,012,302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(80,856)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19,469,660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31,015,918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(11,546,258)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601,107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802,355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39,295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2,699,128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2,615,969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83,159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543,669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508,519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1,720,151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1,966,454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(246,303)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80,709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82,191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0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231,437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236,377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844,839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940,311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(95,472)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237,765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255,420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1,600,949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1,522,580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109,672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98,681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10,991</w:t>
            </w: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Increase/(Decrease)</w:t>
            </w:r>
          </w:p>
        </w:tc>
        <w:tc>
          <w:tcPr>
            <w:tcW w:w="1240" w:type="dxa"/>
            <w:vAlign w:val="bottom"/>
          </w:tcPr>
          <w:p>
            <w:pPr>
              <w:jc w:val="right"/>
              <w:ind w:right="52"/>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Wynn Palace: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86,498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81,165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55,331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55,484</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246,644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239,712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w:t>
            </w: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revenues increased $13.7 million, primarily driven by higher ADR and occupancy at Wynn Palace and our Las Vegas Operations, partially offset by rooms out of service for renovations at Wynn Macau.</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Food and beverage revenues increased $4.2 million, primarily driven by increased covers at our high-volume restaurants at our Macau Operations.</w:t>
      </w: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Entertainment, retail and other revenues decreased $14.4 million primarily due to the closure of certain owned retail outlets at Wynn Macau and their conversion to leased outlets beginning in the first quarter of 2019.</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 /</w:t>
            </w:r>
          </w:p>
        </w:tc>
        <w:tc>
          <w:tcPr>
            <w:tcW w:w="12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1,475,058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1,471,595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3,463</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2,982</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330,841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305,954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24,887</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419,546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353,216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66,330</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(463,557)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9,702</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76,055</w:t>
            </w:r>
          </w:p>
        </w:tc>
        <w:tc>
          <w:tcPr>
            <w:tcW w:w="1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276,826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274,227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2,599</w:t>
            </w:r>
          </w:p>
        </w:tc>
        <w:tc>
          <w:tcPr>
            <w:tcW w:w="1360" w:type="dxa"/>
            <w:vAlign w:val="bottom"/>
            <w:gridSpan w:val="2"/>
          </w:tcPr>
          <w:p>
            <w:pPr>
              <w:jc w:val="right"/>
              <w:ind w:right="39"/>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2,835,986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3,122,724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(286,738)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NM - Not meaningful.</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operating expenses decreased $286.7 million compared to the second quarter of 2018, primarily due to a prior year litigation settlement expense of $463.6 million, partially offset by increased food and beverage, general and administrative, and pre-opening expenses.</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Food and beverage expenses increased $9.7 million, $6.3 million, and $5.2 million at Wynn Palace, Wynn Macau, and our Las Vegas Operations, respectively. The increases at Wynn Palace and Wynn Macau were driven by incremental costs associated with opening new food and beverage outlets at Wynn Palace and increased costs of goods sold. The increase at our Las Vegas Operations was primarily driven by increased payroll costs.</w:t>
      </w:r>
    </w:p>
    <w:p>
      <w:pPr>
        <w:spacing w:after="0" w:line="16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Entertainment, retail and other expenses decreased $7.1 million, primarily due to the closure of certain owned retail outlets at Wynn Macau and their conversion to leased outlets beginning in the first quarter of 2019.</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General and administrative expenses increased $5.5 million, $8.6 million, and $3.0 million, at Wynn Palace, Wynn Macau, and our Las Vegas Operations, respectively. These increases were primarily attributable to increased payroll costs and property taxes at our Macau Operations and increased advertising costs at our Las Vegas Operations. Corporate and other general and administrative expenses increased $43.5 million, primarily due to a fine of $35.0 million assessed by the Massachusetts Gaming Commission and increased corporate development and legal expenses.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Litigation settlement expense of $463.6 million was incurred in the first quarter of 2018 in connection with the repayment of the Redemption Note for claims related to the allegedly below-market interest rate of the Redemption Note.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provision for doubtful accounts increased $4.5 million, $1.1 million, and $3.9 million at Wynn Palace, Wynn Macau, and our Las Vegas Operations, respectively.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six months ended June 30, 2019 and 2018, pre-opening expenses totaled $97.6 million and $21.5 million, respectively, which primarily related to the development of Encore Boston Harbor.</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7"/>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80"/>
              <w:spacing w:after="0"/>
              <w:rPr>
                <w:sz w:val="20"/>
                <w:szCs w:val="20"/>
                <w:color w:val="auto"/>
              </w:rPr>
            </w:pPr>
            <w:r>
              <w:rPr>
                <w:rFonts w:ascii="Arial" w:cs="Arial" w:eastAsia="Arial" w:hAnsi="Arial"/>
                <w:sz w:val="18"/>
                <w:szCs w:val="18"/>
                <w:color w:val="auto"/>
              </w:rPr>
              <w:t>Interest cost, including amortization of debt issuance costs and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original issue discount and premium</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233,174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209,616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23,558</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(46,845)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(25,354)</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186,329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188,125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60" w:type="dxa"/>
            <w:vAlign w:val="bottom"/>
          </w:tcPr>
          <w:p>
            <w:pPr>
              <w:spacing w:after="0"/>
              <w:rPr>
                <w:sz w:val="21"/>
                <w:szCs w:val="21"/>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9,209,480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9,102,017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costs increased due to an increase in the weighted average debt balance and weighted average interest rate. Capitalized interest increased due to Encore Boston Harbor construction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2018, we repaid the $1.94 billion principal amount of the Redemption Note and recorded a loss of $69.3 million from the change in the fair value of the Redemption Note.</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recorded a $2.3 million net gain on extinguishment of debt for the six months ended June 30, 2018, related to the repayment of the Redemption Note, Wynn Resorts' purchase of $40.0 million of Wynn Las Vegas' 5 1/2% Senior Notes due 2025 and 5 1/4% Senior Notes due 2027 and the execution of the supplemental indenture related to Wynn Las Vegas' 4 1/4% Senior Notes due 2023.</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a foreign currency remeasurement gain of $5.4 million and a loss of $10.2 million for the six months ended June 30, 2019 and 2018, respectively. The changes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recorded an income tax benefit of $0.3 million and $120.7 million for the six months ended June 30, 2019 and 2018, respectively. The 2019 income tax benefit primarily related to the decrease in the valuation allowance for U.S foreign tax credits and the 2018 income tax benefit primarily related to the settlement of the Redemption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income attributable to noncontrolling interests was $102.5 million for the six months ended June 30, 2019, compared to $116.4 million for the same period of 2018. These amounts are primarily related to the noncontrolling interests' share of net income from WML.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(loss) before interest, income taxes, depreciation and amortization, litigation settlement expense, pre-opening expenses, property charges and other, management and license fees, corporate expenses and other, stock-based compensation, gain on extinguishment of debt, change in derivatives fair value, change in Redemption Note fair value and other non-operating income and expenses.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1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summarizes Adjusted Property EBITDA (in thousands) for Wynn Palace, Wynn Macau, Las Vegas Operations, and Corporate and other as reviewed by management and summarized in Item 1—"Notes to Condensed Consolidated Financial Statements," Note 16, "Segment Information." That footnote also presents a reconciliation of Adjusted Property EBITDA to net income (loss) attributable to Wynn Resorts, Limited.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Increase/</w:t>
            </w:r>
          </w:p>
        </w:tc>
        <w:tc>
          <w:tcPr>
            <w:tcW w:w="8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Percent</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Increase/</w:t>
            </w:r>
          </w:p>
        </w:tc>
        <w:tc>
          <w:tcPr>
            <w:tcW w:w="780" w:type="dxa"/>
            <w:vAlign w:val="bottom"/>
          </w:tcPr>
          <w:p>
            <w:pPr>
              <w:jc w:val="right"/>
              <w:ind w:right="7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Palace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Wynn Macau</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175,873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172,928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339,762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382,750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(42,988)</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13,242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245,701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266,753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Wynn Palace decreased 6.8% and 0.4% for the three and six months ended June 30, 2019, respectively, primarily due to increased food and beverage and general and administrative expenses.</w:t>
      </w:r>
    </w:p>
    <w:p>
      <w:pPr>
        <w:spacing w:after="0" w:line="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Adjusted Property EBITDA at Wynn Macau increased 1.7% for the three months ended June 30, 2019, primarily due to revenue growth in our mass market table games and slot operations, partially offset by a revenue decrease in our VIP operations. Adjusted Property EBITDA at Wynn Macau decreased 11.2% for the six months ended June 30, 2019, primarily due to lower VIP revenues.</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Adjusted Property EBITDA at our Las Vegas Operations increased 10.7% for the three months ended June 30, 2019, primarily due to increased table drop and hold percentage. Adjusted Property EBITDA at our Las Vegas Operations decreased 7.9% for the six months ended June 30, 2019 primarily due to decreased table drop in the first quarter of 2019 and increased payroll and advertising costs.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cash flows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i w:val="1"/>
                <w:iCs w:val="1"/>
                <w:color w:val="auto"/>
              </w:rPr>
              <w:t>Cash Flows - Summary</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509,444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53,302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(636,002)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(841,924)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Purchase of intangible and other assets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(101,477)</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sale or maturity of investment securities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227,668</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Purchase of investment securities</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(34,098)</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w:t>
            </w:r>
          </w:p>
        </w:tc>
      </w:tr>
      <w:tr>
        <w:trPr>
          <w:trHeight w:val="237"/>
        </w:trPr>
        <w:tc>
          <w:tcPr>
            <w:tcW w:w="7320" w:type="dxa"/>
            <w:vAlign w:val="bottom"/>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(636,561)</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(748,418)</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324,754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1,673,605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(603,857)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(3,028,786)</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note receivable from sale of ownership interest in subsidiary</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net of issuance costs</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915,213</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12,545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10,572</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(270,490)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(270,021)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Distribution to noncontrolling interest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financing costs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(29,480)</w:t>
            </w:r>
          </w:p>
        </w:tc>
      </w:tr>
      <w:tr>
        <w:trPr>
          <w:trHeight w:val="237"/>
        </w:trPr>
        <w:tc>
          <w:tcPr>
            <w:tcW w:w="7320" w:type="dxa"/>
            <w:vAlign w:val="bottom"/>
          </w:tcPr>
          <w:p>
            <w:pPr>
              <w:ind w:left="1140"/>
              <w:spacing w:after="0"/>
              <w:rPr>
                <w:sz w:val="20"/>
                <w:szCs w:val="20"/>
                <w:color w:val="auto"/>
              </w:rPr>
            </w:pPr>
            <w:r>
              <w:rPr>
                <w:rFonts w:ascii="Arial" w:cs="Arial" w:eastAsia="Arial" w:hAnsi="Arial"/>
                <w:sz w:val="18"/>
                <w:szCs w:val="18"/>
                <w:b w:val="1"/>
                <w:bCs w:val="1"/>
                <w:color w:val="auto"/>
              </w:rPr>
              <w:t>Net cash used in financing activities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(585,895)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(658,248)</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(4,297)</w:t>
            </w: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(712,956)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(1,357,661)</w:t>
            </w: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7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increase in net cash provided by operations was primarily driven by an increase in net income for the six months ended June 30, 2019. In the six months ended June 30, 2018, the Company recorded and paid a $463.6 million litigation settlement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six months ended June 30, 2019, we incurred capital expenditures of $335.9 million related to the construction of Encore Boston Harbor and $106.8 million related to the construction of the additional meeting and convention space at Wynn Las Vegas and the reconfiguration of the Wynn Las Vegas golf course. During the six months ended June 30, 2018, we incurred capital expenditures of $336.2 million for the acquisition of land on the Las Vegas Strip directly across from Wynn Las Vegas and $460.1 million for the construction of Encore Boston Harbor.</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six months ended June 30, 2019, we repaid $523.7 million, net of amounts borrowed, on the Wynn Macau Senior Revolving Credit Facility, borrowed an additional $250.0 million term loan under the Wynn Resorts Credit Agreement (as defined below in "Capital Resources"), and used cash of $270.5 million for the payment of dividends. During the six months ended June 30, 2018, we repaid the Redemption Note principal amount of $1.94 billion using cash on hand and amounts borrowed under the Bridge Facility and the WA Senior Revolving Credit Facility. In April 2018, we repaid all amounts borrowed under the Bridge Facility and the WA Senior Revolving Credit Facility using net proceeds of $915.2 million from a registered public equity offering. In addition, during the six months ended June 30, 2018, we borrowed $623.3 million under the Macau Senior Revolving Credit Facility, and we used cash of $270.0 million for the payment of 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our unrestricted cash and cash equivalents and available revolver borrowing capacity under the Company as of June 30,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Total Cash and Cash</w:t>
            </w:r>
          </w:p>
        </w:tc>
        <w:tc>
          <w:tcPr>
            <w:tcW w:w="200" w:type="dxa"/>
            <w:vAlign w:val="bottom"/>
          </w:tcPr>
          <w:p>
            <w:pPr>
              <w:spacing w:after="0"/>
              <w:rPr>
                <w:sz w:val="14"/>
                <w:szCs w:val="14"/>
                <w:color w:val="auto"/>
              </w:rPr>
            </w:pPr>
          </w:p>
        </w:tc>
        <w:tc>
          <w:tcPr>
            <w:tcW w:w="162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Revolver Borrowing</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6"/>
                <w:szCs w:val="16"/>
                <w:color w:val="auto"/>
              </w:rPr>
            </w:pPr>
          </w:p>
        </w:tc>
        <w:tc>
          <w:tcPr>
            <w:tcW w:w="1620" w:type="dxa"/>
            <w:vAlign w:val="bottom"/>
          </w:tcPr>
          <w:p>
            <w:pPr>
              <w:jc w:val="right"/>
              <w:ind w:right="556"/>
              <w:spacing w:after="0"/>
              <w:rPr>
                <w:sz w:val="20"/>
                <w:szCs w:val="20"/>
                <w:color w:val="auto"/>
              </w:rPr>
            </w:pPr>
            <w:r>
              <w:rPr>
                <w:rFonts w:ascii="Arial" w:cs="Arial" w:eastAsia="Arial" w:hAnsi="Arial"/>
                <w:sz w:val="14"/>
                <w:szCs w:val="14"/>
                <w:b w:val="1"/>
                <w:bCs w:val="1"/>
                <w:color w:val="auto"/>
              </w:rPr>
              <w:t>Capacity</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 Limited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748,511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648,461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Wynn America, LLC</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197,318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356,950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Resorts, Limited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556,057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1,501,886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1,005,411</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Macau, Limited generates cash from our Macau Operations, which we expect to use to service our Wynn Macau Credit Facilities and WML Notes, pay dividends to shareholders of WML (of which we own approximately 72%), and fund working capital and capital expenditure requirements. The Wynn Macau Credit Facilities contain customary negative covenants and financial covenants, including, but not limited to, covenants that restrict our ability to pay dividends or distributions to any direct or indirect subsidiaries.</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Wynn America, LLC generates cash from Wynn Las Vegas, excluding the Retail Joint Venture, which we expect to use to service our WLV Notes and fund working capital and capital expenditure requirements. On June 23, 2019, the Company opened Encore Boston Harbor. We expect Wynn America, LLC will also generate cash from Encore Boston Harbor, which will be used to service our Wynn America Credit Facilities and fund working capital and capital expenditure requirements. The Wynn America Credit Facilities contain customary negative covenants and financial covenants, including, but not limited to, covenants that restrict our ability to pay dividends or distributions to any direct or indirect subsidiaries.</w:t>
      </w:r>
    </w:p>
    <w:p>
      <w:pPr>
        <w:spacing w:after="0" w:line="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Wynn Resorts, Limited is a holding company and, as a result, our ability to pay dividends is highly dependent 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WRL Term Loan and Retail Term Loan, service our Wynn America Credit Facilities until Encore Boston Harbor generates sufficient cash flows, pay the remaining obligations related to the construction of Encore Boston Harbor, fund the construction of the additional meeting and convention space in Las Vegas, and pay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Term Loan</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October 30, 2018, the Company and certain subsidiaries of the Company entered into a credit agreement (as subsequently amended, the "Credit Agreement") to provide for a $500.0 million six-year term loan facility (the "WRL Term Loan I"). On March 8, 2019, the Company, certain subsidiaries of the Company, and certain incremental term facility lenders entered into an incremental joinder agreement that amended the Credit Agreement to, among other things, provide the Company with an additional $250.0 million term loan (the "WRL Term Loan II" and collectively with the WRL Term Loan I, the "Wynn Resorts Term Loan"), on substantially similar terms as the WRL Term Loan I. The Company intends to use the net proceeds of the WRL Term Loan II for general corporate purposes, including, without limitation, repurchases of the Company's common stock, investments in subsidiaries and/or capital expenditures. The Wynn Resorts Term Loan matures on October 30, 2024 and bears interest at a rate of LIBOR plus 2.25% per year. For more information on the Wynn Resorts Term Loan, see Item 1—"Notes to Condensed Consolidated Financial Statements," Note 6, "Long-Term Debt."</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8, 2019, in connection with the WRL Term Loan II, the Company agreed to terminate the remaining $250.0 million of the lenders' commitments under the commitment letter. Accordingly, there are no remaining commitments under the commitment letter.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June 30, 2019, we had $828.4 million in repurchase authority remaining under the program.</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June 30, 2019, we had outstanding letters of credit totaling $18.1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Commitments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2019, there have been no material changes to the contractual obligations previously reported in our Annual Report on Form 10-K for the year ended December 31, 2018, other than the $250.0 million WRL Term Loan II, which matures on October 30, 2024, and a net repayment of $523.7 million on the Wynn Macau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2018. There have been no significant changes to these policies for the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related disclosure in Item 1—"Notes to Condensed Consolidated Financial Statements," Note 2, "Basis of Presentation and Significant Accounting Policies."</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2018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controversy and litigation related to Stephen A. Wynn and his separation from the Company;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2019, approximately 48.7% of our long-term debt was based on fixed rates. Based on our borrowings as of June 30, 2019, an assumed 100 basis point change in the variable rates would cause our annual interest expense to change by $47.5 million.</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five-year interest rate collar with a notional value of $615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June 30, 2019, an assumed 1% change in the U.S. dollar/Hong Kong dollar exchange rate would cause a foreign currency transaction gain/loss of $26.1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The only change in the Company's internal control over financial reporting that occurred during the fiscal quarter covered by this Quarterly Report on Form 10-Q that had a material effect, or was reasonably likely to have a material effect on the Company's internal control over financial reporting, related to the opening of Encore Boston Harbor on June 23, 2019. We have implemented controls and procedures at Encore Boston Harbor similar to those in effect at our other properties.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description of our risk factors can be found in Item 1A, Part I of our Annual Report on Form 10-K for the year ended December 31, 2018. There were no material changes to those risk factors during the six months ended June 30, 2019 other than resolution of certain litigation as discussed in Item 1—"Notes to Condensed Consolidated Financial Statements," Note 14, "Commitments and Contingencies" of Part I in this Quarterly Report on Form 10-Q.</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Shares Repurchased as Part</w:t>
            </w:r>
          </w:p>
        </w:tc>
        <w:tc>
          <w:tcPr>
            <w:tcW w:w="140" w:type="dxa"/>
            <w:vAlign w:val="bottom"/>
          </w:tcPr>
          <w:p>
            <w:pPr>
              <w:spacing w:after="0"/>
              <w:rPr>
                <w:sz w:val="14"/>
                <w:szCs w:val="14"/>
                <w:color w:val="auto"/>
              </w:rPr>
            </w:pPr>
          </w:p>
        </w:tc>
        <w:tc>
          <w:tcPr>
            <w:tcW w:w="1800" w:type="dxa"/>
            <w:vAlign w:val="bottom"/>
          </w:tcPr>
          <w:p>
            <w:pPr>
              <w:jc w:val="center"/>
              <w:ind w:right="80"/>
              <w:spacing w:after="0"/>
              <w:rPr>
                <w:sz w:val="20"/>
                <w:szCs w:val="20"/>
                <w:color w:val="auto"/>
              </w:rPr>
            </w:pPr>
            <w:r>
              <w:rPr>
                <w:rFonts w:ascii="Arial" w:cs="Arial" w:eastAsia="Arial" w:hAnsi="Arial"/>
                <w:sz w:val="14"/>
                <w:szCs w:val="14"/>
                <w:b w:val="1"/>
                <w:bCs w:val="1"/>
                <w:color w:val="auto"/>
                <w:w w:val="96"/>
              </w:rPr>
              <w:t>Approximate Dollar Value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Weighted Average Price Paid</w:t>
            </w:r>
          </w:p>
        </w:tc>
        <w:tc>
          <w:tcPr>
            <w:tcW w:w="2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Under the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2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a Publicly Announced</w:t>
            </w:r>
          </w:p>
        </w:tc>
        <w:tc>
          <w:tcPr>
            <w:tcW w:w="140" w:type="dxa"/>
            <w:vAlign w:val="bottom"/>
          </w:tcPr>
          <w:p>
            <w:pPr>
              <w:spacing w:after="0"/>
              <w:rPr>
                <w:sz w:val="12"/>
                <w:szCs w:val="12"/>
                <w:color w:val="auto"/>
              </w:rPr>
            </w:pPr>
          </w:p>
        </w:tc>
        <w:tc>
          <w:tcPr>
            <w:tcW w:w="18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April 30, 2019</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843,332</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May 31, 2019</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843,332</w:t>
            </w:r>
          </w:p>
        </w:tc>
        <w:tc>
          <w:tcPr>
            <w:tcW w:w="0" w:type="dxa"/>
            <w:vAlign w:val="bottom"/>
          </w:tcPr>
          <w:p>
            <w:pPr>
              <w:spacing w:after="0"/>
              <w:rPr>
                <w:sz w:val="1"/>
                <w:szCs w:val="1"/>
                <w:color w:val="auto"/>
              </w:rPr>
            </w:pPr>
          </w:p>
        </w:tc>
      </w:tr>
      <w:tr>
        <w:trPr>
          <w:trHeight w:val="270"/>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June 30, 2019</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143,822</w:t>
            </w:r>
          </w:p>
        </w:tc>
        <w:tc>
          <w:tcPr>
            <w:tcW w:w="120" w:type="dxa"/>
            <w:vAlign w:val="bottom"/>
          </w:tcPr>
          <w:p>
            <w:pPr>
              <w:spacing w:after="0"/>
              <w:rPr>
                <w:sz w:val="23"/>
                <w:szCs w:val="23"/>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104.10</w:t>
            </w:r>
          </w:p>
        </w:tc>
        <w:tc>
          <w:tcPr>
            <w:tcW w:w="12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Arial" w:cs="Arial" w:eastAsia="Arial" w:hAnsi="Arial"/>
                <w:sz w:val="18"/>
                <w:szCs w:val="18"/>
                <w:color w:val="auto"/>
              </w:rPr>
              <w:t>143,822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828,366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-153670</wp:posOffset>
            </wp:positionV>
            <wp:extent cx="72034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ind w:left="260" w:right="20" w:hanging="252"/>
        <w:spacing w:after="0" w:line="286" w:lineRule="auto"/>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Company's Board of Directors authorized an equity repurchase program in April of 2016 of up to $1.0 billion of our common stock. Repurchases may be made at the discretion of the Company from time to time on the open market or in privately negotiated transactions. The Company is not obligated to make any repurchases, and the repurchase program may be discontinued at any time. Any shares acquired are available for general corporate purposes. Any shares repurchased during the periods presented are recorded in Treasury Stock.</w:t>
      </w:r>
    </w:p>
    <w:p>
      <w:pPr>
        <w:spacing w:after="0" w:line="118"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In April 2019, we repurchased 203 shares in satisfaction of tax withholding obligations on vested restricted stock at an average price of $147.01 per share, for a total amount of approximately $29,842. In May 2019, we repurchased 282 shares in satisfaction of tax withholding obligations on vested restricted stock at an average price of $128.66 per share, for a total amount of approximately $36,282. In June 2019, we repurchased 404 shares in satisfaction of tax withholding obligations on vested restricted stock at an average price of $107.33 per share, for a total amount of approximately $43,361. None of the foregoing repurchases that occurred during the three months ended June 30, 2019 were part of the Company's publicly announced repurchase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1012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40" w:type="dxa"/>
            <w:vAlign w:val="bottom"/>
          </w:tcPr>
          <w:p>
            <w:pPr>
              <w:spacing w:after="0"/>
              <w:rPr>
                <w:sz w:val="16"/>
                <w:szCs w:val="16"/>
                <w:color w:val="auto"/>
              </w:rPr>
            </w:pPr>
          </w:p>
        </w:tc>
        <w:tc>
          <w:tcPr>
            <w:tcW w:w="1012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120" w:type="dxa"/>
            <w:vAlign w:val="bottom"/>
            <w:tcBorders>
              <w:top w:val="single" w:sz="8" w:color="auto"/>
            </w:tcBorders>
            <w:gridSpan w:val="11"/>
          </w:tcPr>
          <w:p>
            <w:pPr>
              <w:spacing w:after="0" w:line="202"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Third Amended and Restated Articles of Incorporation of the Registrant. (Incorporated by reference from the Quarterly Report on Form 10-</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Q filed by the Registrant on May 8, 2015.)</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00" w:type="dxa"/>
            <w:vAlign w:val="bottom"/>
            <w:tcBorders>
              <w:bottom w:val="single" w:sz="8" w:color="0000FF"/>
            </w:tcBorders>
            <w:gridSpan w:val="9"/>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Eighth Amended and Restated Bylaws of the Registrant. (Incorporated by reference from the Quarterly Report on Form 10-Q filed by the</w:t>
              </w:r>
            </w:hyperlink>
          </w:p>
        </w:tc>
        <w:tc>
          <w:tcPr>
            <w:tcW w:w="2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Registrant on November 6, 2015.)</w:t>
              </w:r>
            </w:hyperlink>
          </w:p>
        </w:tc>
        <w:tc>
          <w:tcPr>
            <w:tcW w:w="76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First Amendment to Employment Agreement, dated as of May 29, 2019, by and between Wynn Resorts, Limited and Matt Maddox</w:t>
              </w:r>
            </w:hyperlink>
          </w:p>
        </w:tc>
        <w:tc>
          <w:tcPr>
            <w:tcW w:w="6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11"/>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Second Amendment to Employment Agreement, dated as of May 29, 2019, by and between Wynn Resorts, Limited and Craig Billings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First Amendment to Employment Agreement, dated as of May 29, 2019, by and between Wynn Resorts, Limited and Ellen Whittemore</w:t>
              </w:r>
            </w:hyperlink>
          </w:p>
        </w:tc>
        <w:tc>
          <w:tcPr>
            <w:tcW w:w="3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120" w:type="dxa"/>
            <w:vAlign w:val="bottom"/>
            <w:gridSpan w:val="11"/>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Chief Executive Officer of Periodic Report Pursuant to Rule 13a – 14(a) and Rule 15d – 14(a).</w:t>
              </w:r>
            </w:hyperlink>
          </w:p>
        </w:tc>
        <w:tc>
          <w:tcPr>
            <w:tcW w:w="0" w:type="dxa"/>
            <w:vAlign w:val="bottom"/>
          </w:tcPr>
          <w:p>
            <w:pPr>
              <w:spacing w:after="0"/>
              <w:rPr>
                <w:sz w:val="1"/>
                <w:szCs w:val="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9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Chief Financial Officer of Periodic Report Pursuant to Rule 13a – 14(a) and Rule 15d – 14(a).</w:t>
              </w:r>
            </w:hyperlink>
          </w:p>
        </w:tc>
        <w:tc>
          <w:tcPr>
            <w:tcW w:w="40" w:type="dxa"/>
            <w:vAlign w:val="bottom"/>
            <w:tcBorders>
              <w:top w:val="single" w:sz="8" w:color="0000FF"/>
            </w:tcBorders>
          </w:tcPr>
          <w:p>
            <w:pPr>
              <w:spacing w:after="0"/>
              <w:rPr>
                <w:sz w:val="21"/>
                <w:szCs w:val="21"/>
                <w:color w:val="auto"/>
              </w:rPr>
            </w:pPr>
          </w:p>
        </w:tc>
        <w:tc>
          <w:tcPr>
            <w:tcW w:w="21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Certification of CEO and CFO Pursuant to 18 U.S.C. Section 1350.</w:t>
              </w:r>
            </w:hyperlink>
          </w:p>
        </w:tc>
        <w:tc>
          <w:tcPr>
            <w:tcW w:w="52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3"/>
                <w:szCs w:val="23"/>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3"/>
                <w:szCs w:val="23"/>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3"/>
                <w:szCs w:val="23"/>
                <w:color w:val="auto"/>
              </w:rPr>
            </w:pPr>
          </w:p>
        </w:tc>
        <w:tc>
          <w:tcPr>
            <w:tcW w:w="101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2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80"/>
          </w:cols>
          <w:pgMar w:left="240" w:top="122" w:right="879" w:bottom="1440" w:gutter="0" w:footer="0" w:header="0"/>
        </w:sectPr>
      </w:pPr>
    </w:p>
    <w:bookmarkStart w:id="50" w:name="page51"/>
    <w:bookmarkEnd w:id="50"/>
    <w:p>
      <w:pPr>
        <w:ind w:left="4560"/>
        <w:spacing w:after="0"/>
        <w:rPr>
          <w:sz w:val="20"/>
          <w:szCs w:val="20"/>
          <w:color w:val="auto"/>
        </w:rPr>
      </w:pPr>
      <w:r>
        <w:rPr>
          <w:rFonts w:ascii="Arial" w:cs="Arial" w:eastAsia="Arial" w:hAnsi="Arial"/>
          <w:sz w:val="20"/>
          <w:szCs w:val="20"/>
          <w:b w:val="1"/>
          <w:bCs w:val="1"/>
          <w:color w:val="auto"/>
        </w:rPr>
        <w:t>FIRST AMENDMENT TO</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EMPLOYMENT AGREEMENT</w:t>
      </w:r>
    </w:p>
    <w:p>
      <w:pPr>
        <w:spacing w:after="0" w:line="20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This FIRST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29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May, 2019,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MATT MADDOX</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Amended and Restated Employment Agreement,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effective as of February 27, 2018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Employee is willing and Employer desires to modify certain terms and conditions to the Agreement as more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fully set forth herein;</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respective representations, warranties, covenants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set forth in the Agreement, the parties hereto agree as follows:</w:t>
      </w:r>
    </w:p>
    <w:p>
      <w:pPr>
        <w:spacing w:after="0" w:line="205" w:lineRule="exact"/>
        <w:rPr>
          <w:sz w:val="20"/>
          <w:szCs w:val="20"/>
          <w:color w:val="auto"/>
        </w:rPr>
      </w:pPr>
    </w:p>
    <w:p>
      <w:pPr>
        <w:ind w:left="1460" w:hanging="804"/>
        <w:spacing w:after="0"/>
        <w:tabs>
          <w:tab w:leader="none" w:pos="146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Employer and Employee hereby agree to amend Section 3 of the Agreement in its entirety to read</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as follows:</w:t>
      </w:r>
    </w:p>
    <w:p>
      <w:pPr>
        <w:spacing w:after="0" w:line="218" w:lineRule="exact"/>
        <w:rPr>
          <w:rFonts w:ascii="Arial" w:cs="Arial" w:eastAsia="Arial" w:hAnsi="Arial"/>
          <w:sz w:val="20"/>
          <w:szCs w:val="20"/>
          <w:color w:val="auto"/>
        </w:rPr>
      </w:pPr>
    </w:p>
    <w:p>
      <w:pPr>
        <w:jc w:val="both"/>
        <w:ind w:left="1300" w:firstLine="5"/>
        <w:spacing w:after="0" w:line="242" w:lineRule="auto"/>
        <w:tabs>
          <w:tab w:leader="none" w:pos="1793" w:val="left"/>
        </w:tabs>
        <w:numPr>
          <w:ilvl w:val="1"/>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DUTIES OF EMPLOYEE</w:t>
      </w:r>
      <w:r>
        <w:rPr>
          <w:rFonts w:ascii="Arial" w:cs="Arial" w:eastAsia="Arial" w:hAnsi="Arial"/>
          <w:sz w:val="20"/>
          <w:szCs w:val="20"/>
          <w:color w:val="auto"/>
        </w:rPr>
        <w:t>. Employee shall perform such duties assigned to Employee by Employer as are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generally associated with the duties of </w:t>
      </w:r>
      <w:r>
        <w:rPr>
          <w:rFonts w:ascii="Arial" w:cs="Arial" w:eastAsia="Arial" w:hAnsi="Arial"/>
          <w:sz w:val="20"/>
          <w:szCs w:val="20"/>
          <w:b w:val="1"/>
          <w:bCs w:val="1"/>
          <w:color w:val="auto"/>
        </w:rPr>
        <w:t>Chief Executive Officer</w:t>
      </w:r>
      <w:r>
        <w:rPr>
          <w:rFonts w:ascii="Arial" w:cs="Arial" w:eastAsia="Arial" w:hAnsi="Arial"/>
          <w:sz w:val="20"/>
          <w:szCs w:val="20"/>
          <w:color w:val="auto"/>
        </w:rPr>
        <w:t xml:space="preserve"> for Employer or such similar duties as may be assigned to Employee by Employer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related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212" w:lineRule="exact"/>
        <w:rPr>
          <w:rFonts w:ascii="Arial" w:cs="Arial" w:eastAsia="Arial" w:hAnsi="Arial"/>
          <w:sz w:val="20"/>
          <w:szCs w:val="20"/>
          <w:b w:val="1"/>
          <w:bCs w:val="1"/>
          <w:color w:val="auto"/>
        </w:rPr>
      </w:pPr>
    </w:p>
    <w:p>
      <w:pPr>
        <w:ind w:left="1040" w:hanging="384"/>
        <w:spacing w:after="0"/>
        <w:tabs>
          <w:tab w:leader="none" w:pos="104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The amendment set forth in Section 1 shall be effective as of May 29, 2019.</w:t>
      </w:r>
    </w:p>
    <w:p>
      <w:pPr>
        <w:spacing w:after="0" w:line="229" w:lineRule="exact"/>
        <w:rPr>
          <w:rFonts w:ascii="Arial" w:cs="Arial" w:eastAsia="Arial" w:hAnsi="Arial"/>
          <w:sz w:val="20"/>
          <w:szCs w:val="20"/>
          <w:color w:val="auto"/>
        </w:rPr>
      </w:pPr>
    </w:p>
    <w:p>
      <w:pPr>
        <w:ind w:right="20" w:firstLine="656"/>
        <w:spacing w:after="0" w:line="247" w:lineRule="auto"/>
        <w:tabs>
          <w:tab w:leader="none" w:pos="106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ectPr>
          <w:pgSz w:w="11900" w:h="16838" w:orient="portrait"/>
          <w:cols w:equalWidth="0" w:num="1">
            <w:col w:w="11420"/>
          </w:cols>
          <w:pgMar w:left="240" w:top="355"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20"/>
          <w:szCs w:val="20"/>
          <w:color w:val="auto"/>
        </w:rPr>
        <w:t>IN WITNESS WHEREOF, the parties hereto have caused this Amendment to be executed as of the date first written</w:t>
      </w:r>
    </w:p>
    <w:p>
      <w:pPr>
        <w:spacing w:after="0"/>
        <w:rPr>
          <w:sz w:val="20"/>
          <w:szCs w:val="20"/>
          <w:color w:val="auto"/>
        </w:rPr>
      </w:pPr>
      <w:r>
        <w:rPr>
          <w:rFonts w:ascii="Arial" w:cs="Arial" w:eastAsia="Arial" w:hAnsi="Arial"/>
          <w:sz w:val="20"/>
          <w:szCs w:val="20"/>
          <w:color w:val="auto"/>
        </w:rPr>
        <w:t>above.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81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Craig Billings, President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81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Matt Maddox</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00"/>
          </w:cols>
          <w:pgMar w:left="240" w:top="1081" w:right="259" w:bottom="1440" w:gutter="0" w:footer="0" w:header="0"/>
        </w:sectPr>
      </w:pPr>
    </w:p>
    <w:bookmarkStart w:id="52" w:name="page53"/>
    <w:bookmarkEnd w:id="52"/>
    <w:p>
      <w:pPr>
        <w:ind w:left="4420"/>
        <w:spacing w:after="0"/>
        <w:rPr>
          <w:sz w:val="20"/>
          <w:szCs w:val="20"/>
          <w:color w:val="auto"/>
        </w:rPr>
      </w:pPr>
      <w:r>
        <w:rPr>
          <w:rFonts w:ascii="Arial" w:cs="Arial" w:eastAsia="Arial" w:hAnsi="Arial"/>
          <w:sz w:val="20"/>
          <w:szCs w:val="20"/>
          <w:b w:val="1"/>
          <w:bCs w:val="1"/>
          <w:color w:val="auto"/>
        </w:rPr>
        <w:t>SECOND AMENDMENT TO</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EMPLOYMENT AGREEMENT</w:t>
      </w:r>
    </w:p>
    <w:p>
      <w:pPr>
        <w:spacing w:after="0" w:line="20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This SECOND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29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May, 2019,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CRAIG BILLINGS</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effective as of March 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2017, as amended on April 17, 2018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Employee is willing and Employer desires to modify certain terms and conditions to the Agreement as more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fully set forth herein;</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respective representations, warranties, covenants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set forth in the Agreement, the parties hereto agree as follows:</w:t>
      </w:r>
    </w:p>
    <w:p>
      <w:pPr>
        <w:spacing w:after="0" w:line="205" w:lineRule="exact"/>
        <w:rPr>
          <w:sz w:val="20"/>
          <w:szCs w:val="20"/>
          <w:color w:val="auto"/>
        </w:rPr>
      </w:pPr>
    </w:p>
    <w:p>
      <w:pPr>
        <w:ind w:left="1460" w:hanging="804"/>
        <w:spacing w:after="0"/>
        <w:tabs>
          <w:tab w:leader="none" w:pos="146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ind w:left="660" w:firstLine="648"/>
        <w:spacing w:after="0" w:line="249" w:lineRule="auto"/>
        <w:rPr>
          <w:rFonts w:ascii="Arial" w:cs="Arial" w:eastAsia="Arial" w:hAnsi="Arial"/>
          <w:sz w:val="20"/>
          <w:szCs w:val="20"/>
          <w:color w:val="auto"/>
        </w:rPr>
      </w:pPr>
      <w:r>
        <w:rPr>
          <w:rFonts w:ascii="Arial" w:cs="Arial" w:eastAsia="Arial" w:hAnsi="Arial"/>
          <w:sz w:val="22"/>
          <w:szCs w:val="22"/>
          <w:color w:val="auto"/>
        </w:rPr>
        <w:t xml:space="preserve">a. </w:t>
      </w:r>
      <w:r>
        <w:rPr>
          <w:rFonts w:ascii="Arial" w:cs="Arial" w:eastAsia="Arial" w:hAnsi="Arial"/>
          <w:sz w:val="19"/>
          <w:szCs w:val="19"/>
          <w:color w:val="auto"/>
        </w:rPr>
        <w:t>Employer and Employee hereby agree to amend Section 1(c)(vii) of the Agreement in its entirety to read as</w:t>
      </w:r>
      <w:r>
        <w:rPr>
          <w:rFonts w:ascii="Arial" w:cs="Arial" w:eastAsia="Arial" w:hAnsi="Arial"/>
          <w:sz w:val="22"/>
          <w:szCs w:val="22"/>
          <w:color w:val="auto"/>
        </w:rPr>
        <w:t xml:space="preserve"> </w:t>
      </w:r>
      <w:r>
        <w:rPr>
          <w:rFonts w:ascii="Arial" w:cs="Arial" w:eastAsia="Arial" w:hAnsi="Arial"/>
          <w:sz w:val="19"/>
          <w:szCs w:val="19"/>
          <w:color w:val="auto"/>
        </w:rPr>
        <w:t>follows:</w:t>
      </w:r>
    </w:p>
    <w:p>
      <w:pPr>
        <w:spacing w:after="0" w:line="200" w:lineRule="exact"/>
        <w:rPr>
          <w:sz w:val="20"/>
          <w:szCs w:val="20"/>
          <w:color w:val="auto"/>
        </w:rPr>
      </w:pPr>
    </w:p>
    <w:p>
      <w:pPr>
        <w:spacing w:after="0" w:line="298" w:lineRule="exact"/>
        <w:rPr>
          <w:sz w:val="20"/>
          <w:szCs w:val="20"/>
          <w:color w:val="auto"/>
        </w:rPr>
      </w:pPr>
    </w:p>
    <w:p>
      <w:pPr>
        <w:jc w:val="both"/>
        <w:ind w:left="1960" w:hanging="655"/>
        <w:spacing w:after="0" w:line="243" w:lineRule="auto"/>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Employee’s willful neglect, refusal, or knowing failure to discharge Employee’s duties (other than due to physical or mental illness) commensurate with Employee’s title and function, or Employee’s failure to comply with a lawful direction of Employer or its board of directors;</w:t>
      </w:r>
    </w:p>
    <w:p>
      <w:pPr>
        <w:spacing w:after="0" w:line="231" w:lineRule="exact"/>
        <w:rPr>
          <w:sz w:val="20"/>
          <w:szCs w:val="20"/>
          <w:color w:val="auto"/>
        </w:rPr>
      </w:pPr>
    </w:p>
    <w:p>
      <w:pPr>
        <w:ind w:left="1640" w:hanging="335"/>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3 of the Agreement in its entirety to read as follows:</w:t>
      </w:r>
    </w:p>
    <w:p>
      <w:pPr>
        <w:spacing w:after="0" w:line="212" w:lineRule="exact"/>
        <w:rPr>
          <w:sz w:val="20"/>
          <w:szCs w:val="20"/>
          <w:color w:val="auto"/>
        </w:rPr>
      </w:pPr>
    </w:p>
    <w:p>
      <w:pPr>
        <w:jc w:val="both"/>
        <w:ind w:left="1300" w:firstLine="5"/>
        <w:spacing w:after="0" w:line="242" w:lineRule="auto"/>
        <w:tabs>
          <w:tab w:leader="none" w:pos="1793" w:val="left"/>
        </w:tabs>
        <w:numPr>
          <w:ilvl w:val="0"/>
          <w:numId w:val="21"/>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DUTIES OF EMPLOYEE</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perform such duties assigned to Employee by Employer as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associated with the duties of </w:t>
      </w:r>
      <w:r>
        <w:rPr>
          <w:rFonts w:ascii="Arial" w:cs="Arial" w:eastAsia="Arial" w:hAnsi="Arial"/>
          <w:sz w:val="20"/>
          <w:szCs w:val="20"/>
          <w:b w:val="1"/>
          <w:bCs w:val="1"/>
          <w:color w:val="auto"/>
        </w:rPr>
        <w:t>President and Chief Financial Officer</w:t>
      </w:r>
      <w:r>
        <w:rPr>
          <w:rFonts w:ascii="Arial" w:cs="Arial" w:eastAsia="Arial" w:hAnsi="Arial"/>
          <w:sz w:val="20"/>
          <w:szCs w:val="20"/>
          <w:color w:val="auto"/>
        </w:rPr>
        <w:t xml:space="preserve"> for Employer or such similar duties as may be assigned to Employee by Employer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written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further duties as may be assigned by Employer to Employee from time to time. The foregoing notwithstanding, Employee shall devote such time to Employer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12" w:right="239" w:bottom="1440" w:gutter="0" w:footer="0" w:header="0"/>
        </w:sectPr>
      </w:pPr>
    </w:p>
    <w:bookmarkStart w:id="53" w:name="page54"/>
    <w:bookmarkEnd w:id="53"/>
    <w:p>
      <w:pPr>
        <w:ind w:left="100"/>
        <w:spacing w:after="0" w:line="247" w:lineRule="auto"/>
        <w:rPr>
          <w:sz w:val="20"/>
          <w:szCs w:val="20"/>
          <w:color w:val="auto"/>
        </w:rPr>
      </w:pPr>
      <w:r>
        <w:rPr>
          <w:rFonts w:ascii="Arial" w:cs="Arial" w:eastAsia="Arial" w:hAnsi="Arial"/>
          <w:sz w:val="20"/>
          <w:szCs w:val="20"/>
          <w:color w:val="auto"/>
        </w:rPr>
        <w:t>or its Affiliates as may be required by Employer, provided such duties are not inconsistent with Employee’s primary duties to Employer hereunder.</w:t>
      </w:r>
    </w:p>
    <w:p>
      <w:pPr>
        <w:spacing w:after="0" w:line="227" w:lineRule="exact"/>
        <w:rPr>
          <w:sz w:val="20"/>
          <w:szCs w:val="20"/>
          <w:color w:val="auto"/>
        </w:rPr>
      </w:pPr>
    </w:p>
    <w:p>
      <w:pPr>
        <w:ind w:left="440" w:hanging="335"/>
        <w:spacing w:after="0"/>
        <w:tabs>
          <w:tab w:leader="none" w:pos="440" w:val="left"/>
        </w:tabs>
        <w:numPr>
          <w:ilvl w:val="0"/>
          <w:numId w:val="22"/>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5 of the Agreement in its entirety to read as follows:</w:t>
      </w:r>
    </w:p>
    <w:p>
      <w:pPr>
        <w:spacing w:after="0" w:line="212" w:lineRule="exact"/>
        <w:rPr>
          <w:sz w:val="20"/>
          <w:szCs w:val="20"/>
          <w:color w:val="auto"/>
        </w:rPr>
      </w:pPr>
    </w:p>
    <w:p>
      <w:pPr>
        <w:jc w:val="both"/>
        <w:ind w:left="100" w:firstLine="5"/>
        <w:spacing w:after="0" w:line="260" w:lineRule="auto"/>
        <w:tabs>
          <w:tab w:leader="none" w:pos="498"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i w:val="1"/>
          <w:iCs w:val="1"/>
          <w:u w:val="single" w:color="auto"/>
          <w:color w:val="auto"/>
        </w:rPr>
        <w:t>TERM</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Unless sooner terminated as provided in this Agreement, the term of this Agreement (the “</w:t>
      </w:r>
      <w:r>
        <w:rPr>
          <w:rFonts w:ascii="Arial" w:cs="Arial" w:eastAsia="Arial" w:hAnsi="Arial"/>
          <w:sz w:val="19"/>
          <w:szCs w:val="19"/>
          <w:b w:val="1"/>
          <w:bCs w:val="1"/>
          <w:color w:val="auto"/>
        </w:rPr>
        <w:t>Term</w:t>
      </w:r>
      <w:r>
        <w:rPr>
          <w:rFonts w:ascii="Arial" w:cs="Arial" w:eastAsia="Arial" w:hAnsi="Arial"/>
          <w:sz w:val="19"/>
          <w:szCs w:val="19"/>
          <w:color w:val="auto"/>
        </w:rPr>
        <w:t>”)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commence on the Effective Date of this Agreement and terminate on March 1, 2022,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90" w:lineRule="exact"/>
        <w:rPr>
          <w:sz w:val="20"/>
          <w:szCs w:val="20"/>
          <w:color w:val="auto"/>
        </w:rPr>
      </w:pPr>
    </w:p>
    <w:p>
      <w:pPr>
        <w:jc w:val="both"/>
        <w:ind w:left="100" w:right="20"/>
        <w:spacing w:after="0" w:line="262" w:lineRule="auto"/>
        <w:rPr>
          <w:sz w:val="20"/>
          <w:szCs w:val="20"/>
          <w:color w:val="auto"/>
        </w:rPr>
      </w:pPr>
      <w:r>
        <w:rPr>
          <w:rFonts w:ascii="Arial" w:cs="Arial" w:eastAsia="Arial" w:hAnsi="Arial"/>
          <w:sz w:val="19"/>
          <w:szCs w:val="19"/>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01" w:lineRule="exact"/>
        <w:rPr>
          <w:sz w:val="20"/>
          <w:szCs w:val="20"/>
          <w:color w:val="auto"/>
        </w:rPr>
      </w:pPr>
    </w:p>
    <w:p>
      <w:pPr>
        <w:ind w:left="440" w:hanging="335"/>
        <w:spacing w:after="0"/>
        <w:tabs>
          <w:tab w:leader="none" w:pos="440" w:val="left"/>
        </w:tabs>
        <w:numPr>
          <w:ilvl w:val="0"/>
          <w:numId w:val="24"/>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7 of the Agreement in its entirety to read as follows</w:t>
      </w:r>
    </w:p>
    <w:p>
      <w:pPr>
        <w:spacing w:after="0" w:line="212" w:lineRule="exact"/>
        <w:rPr>
          <w:sz w:val="20"/>
          <w:szCs w:val="20"/>
          <w:color w:val="auto"/>
        </w:rPr>
      </w:pPr>
    </w:p>
    <w:p>
      <w:pPr>
        <w:jc w:val="both"/>
        <w:ind w:left="100" w:firstLine="5"/>
        <w:spacing w:after="0" w:line="250" w:lineRule="auto"/>
        <w:tabs>
          <w:tab w:leader="none" w:pos="714"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of Employee’s duties under this Agreement, Employer hereby covenants and agrees to pay to Employee, and Employee hereby covenants and agrees to accept from Employer, the following items of compensation:</w:t>
      </w:r>
    </w:p>
    <w:p>
      <w:pPr>
        <w:spacing w:after="0" w:line="216" w:lineRule="exact"/>
        <w:rPr>
          <w:rFonts w:ascii="Arial" w:cs="Arial" w:eastAsia="Arial" w:hAnsi="Arial"/>
          <w:sz w:val="20"/>
          <w:szCs w:val="20"/>
          <w:b w:val="1"/>
          <w:bCs w:val="1"/>
          <w:color w:val="auto"/>
        </w:rPr>
      </w:pPr>
    </w:p>
    <w:p>
      <w:pPr>
        <w:jc w:val="both"/>
        <w:ind w:left="760" w:hanging="7"/>
        <w:spacing w:after="0" w:line="266" w:lineRule="auto"/>
        <w:tabs>
          <w:tab w:leader="none" w:pos="1301" w:val="left"/>
        </w:tabs>
        <w:numPr>
          <w:ilvl w:val="1"/>
          <w:numId w:val="25"/>
        </w:numPr>
        <w:rPr>
          <w:rFonts w:ascii="Arial" w:cs="Arial" w:eastAsia="Arial" w:hAnsi="Arial"/>
          <w:sz w:val="22"/>
          <w:szCs w:val="22"/>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to pay to Employee, and Employee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covenants and agrees to accept from Employer, a base salary at the rate of One Million, Two Hundred</w:t>
      </w:r>
    </w:p>
    <w:p>
      <w:pPr>
        <w:spacing w:after="0" w:line="1" w:lineRule="exact"/>
        <w:rPr>
          <w:rFonts w:ascii="Arial" w:cs="Arial" w:eastAsia="Arial" w:hAnsi="Arial"/>
          <w:sz w:val="22"/>
          <w:szCs w:val="22"/>
          <w:color w:val="auto"/>
        </w:rPr>
      </w:pPr>
    </w:p>
    <w:p>
      <w:pPr>
        <w:jc w:val="both"/>
        <w:ind w:left="760"/>
        <w:spacing w:after="0" w:line="269" w:lineRule="auto"/>
        <w:rPr>
          <w:rFonts w:ascii="Arial" w:cs="Arial" w:eastAsia="Arial" w:hAnsi="Arial"/>
          <w:sz w:val="22"/>
          <w:szCs w:val="22"/>
          <w:color w:val="auto"/>
        </w:rPr>
      </w:pPr>
      <w:r>
        <w:rPr>
          <w:rFonts w:ascii="Arial" w:cs="Arial" w:eastAsia="Arial" w:hAnsi="Arial"/>
          <w:sz w:val="20"/>
          <w:szCs w:val="20"/>
          <w:color w:val="auto"/>
        </w:rPr>
        <w:t>Thousand Dollars ($1,200,000.00)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210" w:lineRule="exact"/>
        <w:rPr>
          <w:rFonts w:ascii="Arial" w:cs="Arial" w:eastAsia="Arial" w:hAnsi="Arial"/>
          <w:sz w:val="22"/>
          <w:szCs w:val="22"/>
          <w:color w:val="auto"/>
        </w:rPr>
      </w:pPr>
    </w:p>
    <w:p>
      <w:pPr>
        <w:ind w:left="760" w:hanging="7"/>
        <w:spacing w:after="0" w:line="276" w:lineRule="auto"/>
        <w:tabs>
          <w:tab w:leader="none" w:pos="1368" w:val="left"/>
        </w:tabs>
        <w:numPr>
          <w:ilvl w:val="1"/>
          <w:numId w:val="25"/>
        </w:numPr>
        <w:rPr>
          <w:rFonts w:ascii="Arial" w:cs="Arial" w:eastAsia="Arial" w:hAnsi="Arial"/>
          <w:sz w:val="22"/>
          <w:szCs w:val="22"/>
          <w:color w:val="auto"/>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with an annual target bonus of</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20"/>
          </w:cols>
          <w:pgMar w:left="1440" w:top="636" w:right="239" w:bottom="1440" w:gutter="0" w:footer="0" w:header="0"/>
        </w:sectPr>
      </w:pPr>
    </w:p>
    <w:bookmarkStart w:id="54" w:name="page55"/>
    <w:bookmarkEnd w:id="54"/>
    <w:p>
      <w:pPr>
        <w:jc w:val="both"/>
        <w:ind w:left="760"/>
        <w:spacing w:after="0" w:line="243" w:lineRule="auto"/>
        <w:rPr>
          <w:sz w:val="20"/>
          <w:szCs w:val="20"/>
          <w:color w:val="auto"/>
        </w:rPr>
      </w:pPr>
      <w:r>
        <w:rPr>
          <w:rFonts w:ascii="Arial" w:cs="Arial" w:eastAsia="Arial" w:hAnsi="Arial"/>
          <w:sz w:val="20"/>
          <w:szCs w:val="20"/>
          <w:color w:val="auto"/>
        </w:rPr>
        <w:t>no less than 200% of the Base Salary.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spacing w:after="0" w:line="223" w:lineRule="exact"/>
        <w:rPr>
          <w:sz w:val="20"/>
          <w:szCs w:val="20"/>
          <w:color w:val="auto"/>
        </w:rPr>
      </w:pPr>
    </w:p>
    <w:p>
      <w:pPr>
        <w:jc w:val="both"/>
        <w:ind w:left="760" w:hanging="7"/>
        <w:spacing w:after="0" w:line="268" w:lineRule="auto"/>
        <w:tabs>
          <w:tab w:leader="none" w:pos="1261" w:val="left"/>
        </w:tabs>
        <w:numPr>
          <w:ilvl w:val="0"/>
          <w:numId w:val="26"/>
        </w:numPr>
        <w:rPr>
          <w:rFonts w:ascii="Arial" w:cs="Arial" w:eastAsia="Arial" w:hAnsi="Arial"/>
          <w:sz w:val="22"/>
          <w:szCs w:val="22"/>
          <w:color w:val="auto"/>
        </w:rPr>
      </w:pPr>
      <w:r>
        <w:rPr>
          <w:rFonts w:ascii="Arial" w:cs="Arial" w:eastAsia="Arial" w:hAnsi="Arial"/>
          <w:sz w:val="20"/>
          <w:szCs w:val="20"/>
          <w:b w:val="1"/>
          <w:bCs w:val="1"/>
          <w:u w:val="single" w:color="auto"/>
          <w:color w:val="auto"/>
        </w:rPr>
        <w:t>Employee Benefit Plans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that it shall include Employee, if</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Employee shall also participate in the senior executive health program.</w:t>
      </w:r>
    </w:p>
    <w:p>
      <w:pPr>
        <w:spacing w:after="0" w:line="232" w:lineRule="exact"/>
        <w:rPr>
          <w:sz w:val="20"/>
          <w:szCs w:val="20"/>
          <w:color w:val="auto"/>
        </w:rPr>
      </w:pPr>
    </w:p>
    <w:p>
      <w:pPr>
        <w:jc w:val="both"/>
        <w:ind w:left="760" w:hanging="7"/>
        <w:spacing w:after="0" w:line="269" w:lineRule="auto"/>
        <w:tabs>
          <w:tab w:leader="none" w:pos="1259" w:val="left"/>
        </w:tabs>
        <w:numPr>
          <w:ilvl w:val="0"/>
          <w:numId w:val="27"/>
        </w:numPr>
        <w:rPr>
          <w:rFonts w:ascii="Arial" w:cs="Arial" w:eastAsia="Arial" w:hAnsi="Arial"/>
          <w:sz w:val="22"/>
          <w:szCs w:val="22"/>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was granted 30,000 shares of restricted stock of Wynn Resorts,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pursuant to the Wynn Resorts, Limited 2014 Omnibus Incentive Plan. Employee and Employer entered into a separate restricted stock agreement, dated March 1, 2017, and amended on April 17, 2018, incorporating the terms and conditions of the grant, including the grant date, vesting schedule, and termination provisions.</w:t>
      </w:r>
    </w:p>
    <w:p>
      <w:pPr>
        <w:spacing w:after="0" w:line="208" w:lineRule="exact"/>
        <w:rPr>
          <w:sz w:val="20"/>
          <w:szCs w:val="20"/>
          <w:color w:val="auto"/>
        </w:rPr>
      </w:pPr>
    </w:p>
    <w:p>
      <w:pPr>
        <w:jc w:val="both"/>
        <w:ind w:left="760"/>
        <w:spacing w:after="0" w:line="242" w:lineRule="auto"/>
        <w:rPr>
          <w:sz w:val="20"/>
          <w:szCs w:val="20"/>
          <w:color w:val="auto"/>
        </w:rPr>
      </w:pPr>
      <w:r>
        <w:rPr>
          <w:rFonts w:ascii="Arial" w:cs="Arial" w:eastAsia="Arial" w:hAnsi="Arial"/>
          <w:sz w:val="20"/>
          <w:szCs w:val="20"/>
          <w:color w:val="auto"/>
        </w:rPr>
        <w:t>Employee was granted 25,000 shares of restricted stock of Wynn Resorts, Limited common stock pursuant to the Wynn Resorts, Limited 2014 Omnibus Incentive Plan. Employee and Employer entered into a separate restricted stock agreement, dated April 17, 2018, incorporating the terms and conditions of the grant, including the grant date, vesting schedule, and termination provisions.</w:t>
      </w:r>
    </w:p>
    <w:p>
      <w:pPr>
        <w:spacing w:after="0" w:line="223" w:lineRule="exact"/>
        <w:rPr>
          <w:sz w:val="20"/>
          <w:szCs w:val="20"/>
          <w:color w:val="auto"/>
        </w:rPr>
      </w:pPr>
    </w:p>
    <w:p>
      <w:pPr>
        <w:jc w:val="both"/>
        <w:ind w:left="760" w:hanging="7"/>
        <w:spacing w:after="0" w:line="268" w:lineRule="auto"/>
        <w:tabs>
          <w:tab w:leader="none" w:pos="1261" w:val="left"/>
        </w:tabs>
        <w:numPr>
          <w:ilvl w:val="0"/>
          <w:numId w:val="28"/>
        </w:numPr>
        <w:rPr>
          <w:rFonts w:ascii="Arial" w:cs="Arial" w:eastAsia="Arial" w:hAnsi="Arial"/>
          <w:sz w:val="22"/>
          <w:szCs w:val="22"/>
          <w:color w:val="auto"/>
        </w:rPr>
      </w:pPr>
      <w:r>
        <w:rPr>
          <w:rFonts w:ascii="Arial" w:cs="Arial" w:eastAsia="Arial" w:hAnsi="Arial"/>
          <w:sz w:val="20"/>
          <w:szCs w:val="20"/>
          <w:b w:val="1"/>
          <w:bCs w:val="1"/>
          <w:u w:val="single" w:color="auto"/>
          <w:color w:val="auto"/>
        </w:rPr>
        <w:t>Annual 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on the Effective Date, Employee shall be eligible to receive an</w:t>
      </w:r>
      <w:r>
        <w:rPr>
          <w:rFonts w:ascii="Arial" w:cs="Arial" w:eastAsia="Arial" w:hAnsi="Arial"/>
          <w:sz w:val="20"/>
          <w:szCs w:val="20"/>
          <w:b w:val="1"/>
          <w:bCs w:val="1"/>
          <w:color w:val="auto"/>
        </w:rPr>
        <w:t xml:space="preserve"> </w:t>
      </w:r>
      <w:r>
        <w:rPr>
          <w:rFonts w:ascii="Arial" w:cs="Arial" w:eastAsia="Arial" w:hAnsi="Arial"/>
          <w:sz w:val="20"/>
          <w:szCs w:val="20"/>
          <w:color w:val="auto"/>
        </w:rPr>
        <w:t>annual restricted share grant of Wynn Resorts, Limited common stock with a target value equivalent to 180% of the annual Base Salary for Employee in effect at the end of the applicable year, with vesting requirements consistent with comparable positions in the Company. Employee and Employer will enter into a separate restricted stock agreement incorporating the terms and conditions of the grant, including the grant date, vesting schedule, and termination provisions.</w:t>
      </w:r>
    </w:p>
    <w:p>
      <w:pPr>
        <w:spacing w:after="0" w:line="216" w:lineRule="exact"/>
        <w:rPr>
          <w:rFonts w:ascii="Arial" w:cs="Arial" w:eastAsia="Arial" w:hAnsi="Arial"/>
          <w:sz w:val="22"/>
          <w:szCs w:val="22"/>
          <w:color w:val="auto"/>
        </w:rPr>
      </w:pPr>
    </w:p>
    <w:p>
      <w:pPr>
        <w:ind w:left="760" w:hanging="7"/>
        <w:spacing w:after="0" w:line="276" w:lineRule="auto"/>
        <w:tabs>
          <w:tab w:leader="none" w:pos="1277" w:val="left"/>
        </w:tabs>
        <w:numPr>
          <w:ilvl w:val="0"/>
          <w:numId w:val="28"/>
        </w:numPr>
        <w:rPr>
          <w:rFonts w:ascii="Arial" w:cs="Arial" w:eastAsia="Arial" w:hAnsi="Arial"/>
          <w:sz w:val="22"/>
          <w:szCs w:val="22"/>
          <w:color w:val="auto"/>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Employer shall</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20"/>
          </w:cols>
          <w:pgMar w:left="1440" w:top="636" w:right="239" w:bottom="1440" w:gutter="0" w:footer="0" w:header="0"/>
        </w:sectPr>
      </w:pPr>
    </w:p>
    <w:bookmarkStart w:id="55" w:name="page56"/>
    <w:bookmarkEnd w:id="55"/>
    <w:p>
      <w:pPr>
        <w:jc w:val="both"/>
        <w:ind w:left="1960"/>
        <w:spacing w:after="0" w:line="242" w:lineRule="auto"/>
        <w:rPr>
          <w:sz w:val="20"/>
          <w:szCs w:val="20"/>
          <w:color w:val="auto"/>
        </w:rPr>
      </w:pPr>
      <w:r>
        <w:rPr>
          <w:rFonts w:ascii="Arial" w:cs="Arial" w:eastAsia="Arial" w:hAnsi="Arial"/>
          <w:sz w:val="20"/>
          <w:szCs w:val="20"/>
          <w:color w:val="auto"/>
        </w:rPr>
        <w:t>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223" w:lineRule="exact"/>
        <w:rPr>
          <w:sz w:val="20"/>
          <w:szCs w:val="20"/>
          <w:color w:val="auto"/>
        </w:rPr>
      </w:pPr>
    </w:p>
    <w:p>
      <w:pPr>
        <w:jc w:val="both"/>
        <w:ind w:left="1960" w:hanging="7"/>
        <w:spacing w:after="0" w:line="269" w:lineRule="auto"/>
        <w:tabs>
          <w:tab w:leader="none" w:pos="2513" w:val="left"/>
        </w:tabs>
        <w:numPr>
          <w:ilvl w:val="1"/>
          <w:numId w:val="29"/>
        </w:numPr>
        <w:rPr>
          <w:rFonts w:ascii="Arial" w:cs="Arial" w:eastAsia="Arial" w:hAnsi="Arial"/>
          <w:sz w:val="22"/>
          <w:szCs w:val="22"/>
          <w:color w:val="auto"/>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w:t>
      </w:r>
      <w:r>
        <w:rPr>
          <w:rFonts w:ascii="Arial" w:cs="Arial" w:eastAsia="Arial" w:hAnsi="Arial"/>
          <w:sz w:val="20"/>
          <w:szCs w:val="20"/>
          <w:b w:val="1"/>
          <w:bCs w:val="1"/>
          <w:color w:val="auto"/>
        </w:rPr>
        <w:t xml:space="preserve"> </w:t>
      </w:r>
      <w:r>
        <w:rPr>
          <w:rFonts w:ascii="Arial" w:cs="Arial" w:eastAsia="Arial" w:hAnsi="Arial"/>
          <w:sz w:val="20"/>
          <w:szCs w:val="20"/>
          <w:color w:val="auto"/>
        </w:rPr>
        <w:t>annual paid 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211" w:lineRule="exact"/>
        <w:rPr>
          <w:rFonts w:ascii="Arial" w:cs="Arial" w:eastAsia="Arial" w:hAnsi="Arial"/>
          <w:sz w:val="22"/>
          <w:szCs w:val="22"/>
          <w:color w:val="auto"/>
        </w:rPr>
      </w:pPr>
    </w:p>
    <w:p>
      <w:pPr>
        <w:jc w:val="both"/>
        <w:ind w:left="1960" w:hanging="7"/>
        <w:spacing w:after="0" w:line="268" w:lineRule="auto"/>
        <w:tabs>
          <w:tab w:leader="none" w:pos="2473" w:val="left"/>
        </w:tabs>
        <w:numPr>
          <w:ilvl w:val="1"/>
          <w:numId w:val="29"/>
        </w:numPr>
        <w:rPr>
          <w:rFonts w:ascii="Arial" w:cs="Arial" w:eastAsia="Arial" w:hAnsi="Arial"/>
          <w:sz w:val="22"/>
          <w:szCs w:val="22"/>
          <w:color w:val="auto"/>
        </w:rPr>
      </w:pPr>
      <w:r>
        <w:rPr>
          <w:rFonts w:ascii="Arial" w:cs="Arial" w:eastAsia="Arial" w:hAnsi="Arial"/>
          <w:sz w:val="20"/>
          <w:szCs w:val="20"/>
          <w:b w:val="1"/>
          <w:bCs w:val="1"/>
          <w:u w:val="single" w:color="auto"/>
          <w:color w:val="auto"/>
        </w:rPr>
        <w:t>Section 409A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of the Agreement to the contrary, if, at the</w:t>
      </w:r>
      <w:r>
        <w:rPr>
          <w:rFonts w:ascii="Arial" w:cs="Arial" w:eastAsia="Arial" w:hAnsi="Arial"/>
          <w:sz w:val="20"/>
          <w:szCs w:val="20"/>
          <w:b w:val="1"/>
          <w:bCs w:val="1"/>
          <w:color w:val="auto"/>
        </w:rPr>
        <w:t xml:space="preserve"> </w:t>
      </w:r>
      <w:r>
        <w:rPr>
          <w:rFonts w:ascii="Arial" w:cs="Arial" w:eastAsia="Arial" w:hAnsi="Arial"/>
          <w:sz w:val="20"/>
          <w:szCs w:val="20"/>
          <w:color w:val="auto"/>
        </w:rPr>
        <w:t>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214" w:lineRule="exact"/>
        <w:rPr>
          <w:rFonts w:ascii="Arial" w:cs="Arial" w:eastAsia="Arial" w:hAnsi="Arial"/>
          <w:sz w:val="22"/>
          <w:szCs w:val="22"/>
          <w:color w:val="auto"/>
        </w:rPr>
      </w:pPr>
    </w:p>
    <w:p>
      <w:pPr>
        <w:ind w:left="1960" w:hanging="7"/>
        <w:spacing w:after="0" w:line="276" w:lineRule="auto"/>
        <w:tabs>
          <w:tab w:leader="none" w:pos="2465" w:val="left"/>
        </w:tabs>
        <w:numPr>
          <w:ilvl w:val="1"/>
          <w:numId w:val="29"/>
        </w:numPr>
        <w:rPr>
          <w:rFonts w:ascii="Arial" w:cs="Arial" w:eastAsia="Arial" w:hAnsi="Arial"/>
          <w:sz w:val="22"/>
          <w:szCs w:val="22"/>
          <w:color w:val="auto"/>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applicable federal, state or local employment-related withholdings.</w:t>
      </w:r>
    </w:p>
    <w:p>
      <w:pPr>
        <w:spacing w:after="0" w:line="197" w:lineRule="exact"/>
        <w:rPr>
          <w:rFonts w:ascii="Arial" w:cs="Arial" w:eastAsia="Arial" w:hAnsi="Arial"/>
          <w:sz w:val="22"/>
          <w:szCs w:val="22"/>
          <w:color w:val="auto"/>
        </w:rPr>
      </w:pPr>
    </w:p>
    <w:p>
      <w:pPr>
        <w:ind w:left="1040" w:hanging="384"/>
        <w:spacing w:after="0"/>
        <w:tabs>
          <w:tab w:leader="none" w:pos="104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The amendments set forth in Section 1 shall be effective as of May 29, 2019.</w:t>
      </w:r>
    </w:p>
    <w:p>
      <w:pPr>
        <w:spacing w:after="0" w:line="229" w:lineRule="exact"/>
        <w:rPr>
          <w:rFonts w:ascii="Arial" w:cs="Arial" w:eastAsia="Arial" w:hAnsi="Arial"/>
          <w:sz w:val="20"/>
          <w:szCs w:val="20"/>
          <w:color w:val="auto"/>
        </w:rPr>
      </w:pPr>
    </w:p>
    <w:p>
      <w:pPr>
        <w:ind w:right="20" w:firstLine="656"/>
        <w:spacing w:after="0" w:line="247" w:lineRule="auto"/>
        <w:tabs>
          <w:tab w:leader="none" w:pos="10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36"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20"/>
          <w:szCs w:val="20"/>
          <w:color w:val="auto"/>
        </w:rPr>
        <w:t>IN WITNESS WHEREOF, the parties hereto have caused this Amendment to be executed as of the date first written</w:t>
      </w:r>
    </w:p>
    <w:p>
      <w:pPr>
        <w:spacing w:after="0"/>
        <w:rPr>
          <w:sz w:val="20"/>
          <w:szCs w:val="20"/>
          <w:color w:val="auto"/>
        </w:rPr>
      </w:pPr>
      <w:r>
        <w:rPr>
          <w:rFonts w:ascii="Arial" w:cs="Arial" w:eastAsia="Arial" w:hAnsi="Arial"/>
          <w:sz w:val="20"/>
          <w:szCs w:val="20"/>
          <w:color w:val="auto"/>
        </w:rPr>
        <w:t>above.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Matt Maddox, Chief Executive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Craig Billings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635" w:right="259" w:bottom="1440" w:gutter="0" w:footer="0" w:header="0"/>
        </w:sectPr>
      </w:pPr>
    </w:p>
    <w:bookmarkStart w:id="57" w:name="page58"/>
    <w:bookmarkEnd w:id="57"/>
    <w:p>
      <w:pPr>
        <w:ind w:left="4560"/>
        <w:spacing w:after="0"/>
        <w:rPr>
          <w:sz w:val="20"/>
          <w:szCs w:val="20"/>
          <w:color w:val="auto"/>
        </w:rPr>
      </w:pPr>
      <w:r>
        <w:rPr>
          <w:rFonts w:ascii="Arial" w:cs="Arial" w:eastAsia="Arial" w:hAnsi="Arial"/>
          <w:sz w:val="20"/>
          <w:szCs w:val="20"/>
          <w:b w:val="1"/>
          <w:bCs w:val="1"/>
          <w:color w:val="auto"/>
        </w:rPr>
        <w:t>FIRST AMENDMENT TO</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EMPLOYMENT AGREEMENT</w:t>
      </w:r>
    </w:p>
    <w:p>
      <w:pPr>
        <w:spacing w:after="0" w:line="205"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20"/>
          <w:szCs w:val="20"/>
          <w:color w:val="auto"/>
        </w:rPr>
        <w:t>This FIRST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29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May, 2019,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ELLEN WHITTEMORE</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effective as of August 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2018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Employee is willing and Employer desires to modify certain terms and conditions to the Agreement as more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fully set forth herein;</w:t>
      </w:r>
    </w:p>
    <w:p>
      <w:pPr>
        <w:spacing w:after="0" w:line="16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in consideration of the foregoing and the respective representations, warranties, covenants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agreements set forth in the Agreement, the parties hereto agree as follows:</w:t>
      </w:r>
    </w:p>
    <w:p>
      <w:pPr>
        <w:spacing w:after="0" w:line="205" w:lineRule="exact"/>
        <w:rPr>
          <w:sz w:val="20"/>
          <w:szCs w:val="20"/>
          <w:color w:val="auto"/>
        </w:rPr>
      </w:pPr>
    </w:p>
    <w:p>
      <w:pPr>
        <w:ind w:left="1460" w:hanging="804"/>
        <w:spacing w:after="0"/>
        <w:tabs>
          <w:tab w:leader="none" w:pos="146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ind w:left="660" w:firstLine="648"/>
        <w:spacing w:after="0" w:line="249" w:lineRule="auto"/>
        <w:rPr>
          <w:rFonts w:ascii="Arial" w:cs="Arial" w:eastAsia="Arial" w:hAnsi="Arial"/>
          <w:sz w:val="20"/>
          <w:szCs w:val="20"/>
          <w:color w:val="auto"/>
        </w:rPr>
      </w:pPr>
      <w:r>
        <w:rPr>
          <w:rFonts w:ascii="Arial" w:cs="Arial" w:eastAsia="Arial" w:hAnsi="Arial"/>
          <w:sz w:val="22"/>
          <w:szCs w:val="22"/>
          <w:color w:val="auto"/>
        </w:rPr>
        <w:t xml:space="preserve">a. </w:t>
      </w:r>
      <w:r>
        <w:rPr>
          <w:rFonts w:ascii="Arial" w:cs="Arial" w:eastAsia="Arial" w:hAnsi="Arial"/>
          <w:sz w:val="19"/>
          <w:szCs w:val="19"/>
          <w:color w:val="auto"/>
        </w:rPr>
        <w:t>Employer and Employee hereby agree to amend Section 1(c)(vii) of the Agreement in its entirety to read as</w:t>
      </w:r>
      <w:r>
        <w:rPr>
          <w:rFonts w:ascii="Arial" w:cs="Arial" w:eastAsia="Arial" w:hAnsi="Arial"/>
          <w:sz w:val="22"/>
          <w:szCs w:val="22"/>
          <w:color w:val="auto"/>
        </w:rPr>
        <w:t xml:space="preserve"> </w:t>
      </w:r>
      <w:r>
        <w:rPr>
          <w:rFonts w:ascii="Arial" w:cs="Arial" w:eastAsia="Arial" w:hAnsi="Arial"/>
          <w:sz w:val="19"/>
          <w:szCs w:val="19"/>
          <w:color w:val="auto"/>
        </w:rPr>
        <w:t>follows:</w:t>
      </w:r>
    </w:p>
    <w:p>
      <w:pPr>
        <w:spacing w:after="0" w:line="200" w:lineRule="exact"/>
        <w:rPr>
          <w:sz w:val="20"/>
          <w:szCs w:val="20"/>
          <w:color w:val="auto"/>
        </w:rPr>
      </w:pPr>
    </w:p>
    <w:p>
      <w:pPr>
        <w:spacing w:after="0" w:line="298" w:lineRule="exact"/>
        <w:rPr>
          <w:sz w:val="20"/>
          <w:szCs w:val="20"/>
          <w:color w:val="auto"/>
        </w:rPr>
      </w:pPr>
    </w:p>
    <w:p>
      <w:pPr>
        <w:jc w:val="both"/>
        <w:ind w:left="1960" w:hanging="655"/>
        <w:spacing w:after="0" w:line="243" w:lineRule="auto"/>
        <w:tabs>
          <w:tab w:leader="none" w:pos="1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Employee’s willful neglect, refusal, or knowing failure to discharge Employee’s duties (other than due to physical or mental illness) commensurate with Employee’s title and function, or Employee’s failure to comply with a lawful direction of Employer or its board of directors;</w:t>
      </w:r>
    </w:p>
    <w:p>
      <w:pPr>
        <w:spacing w:after="0" w:line="229" w:lineRule="exact"/>
        <w:rPr>
          <w:sz w:val="20"/>
          <w:szCs w:val="20"/>
          <w:color w:val="auto"/>
        </w:rPr>
      </w:pPr>
    </w:p>
    <w:p>
      <w:pPr>
        <w:ind w:left="1640" w:hanging="335"/>
        <w:spacing w:after="0"/>
        <w:tabs>
          <w:tab w:leader="none" w:pos="1640" w:val="left"/>
        </w:tabs>
        <w:numPr>
          <w:ilvl w:val="0"/>
          <w:numId w:val="33"/>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7(a) of the Agreement in its entirety to read as follows:</w:t>
      </w:r>
    </w:p>
    <w:p>
      <w:pPr>
        <w:spacing w:after="0" w:line="212" w:lineRule="exact"/>
        <w:rPr>
          <w:sz w:val="20"/>
          <w:szCs w:val="20"/>
          <w:color w:val="auto"/>
        </w:rPr>
      </w:pPr>
    </w:p>
    <w:p>
      <w:pPr>
        <w:jc w:val="both"/>
        <w:ind w:left="1300" w:firstLine="5"/>
        <w:spacing w:after="0" w:line="244" w:lineRule="auto"/>
        <w:tabs>
          <w:tab w:leader="none" w:pos="1789"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hereby covenants and agrees to pay to Employee, and Employee hereby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and agrees to accept from Employer, a base salary at the rate of Seven Hundred Thousand Dollars ($700,000.00) per annum, payable in such installments as shall be convenient to Employer (the “</w:t>
      </w:r>
      <w:r>
        <w:rPr>
          <w:rFonts w:ascii="Arial" w:cs="Arial" w:eastAsia="Arial" w:hAnsi="Arial"/>
          <w:sz w:val="20"/>
          <w:szCs w:val="20"/>
          <w:b w:val="1"/>
          <w:bCs w:val="1"/>
          <w:color w:val="auto"/>
        </w:rPr>
        <w:t>Base Salary</w:t>
      </w:r>
      <w:r>
        <w:rPr>
          <w:rFonts w:ascii="Arial" w:cs="Arial" w:eastAsia="Arial" w:hAnsi="Arial"/>
          <w:sz w:val="20"/>
          <w:szCs w:val="20"/>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243" w:lineRule="exact"/>
        <w:rPr>
          <w:sz w:val="20"/>
          <w:szCs w:val="20"/>
          <w:color w:val="auto"/>
        </w:rPr>
      </w:pPr>
    </w:p>
    <w:p>
      <w:pPr>
        <w:ind w:left="1640" w:hanging="335"/>
        <w:spacing w:after="0"/>
        <w:tabs>
          <w:tab w:leader="none" w:pos="1640" w:val="left"/>
        </w:tabs>
        <w:numPr>
          <w:ilvl w:val="0"/>
          <w:numId w:val="35"/>
        </w:numPr>
        <w:rPr>
          <w:rFonts w:ascii="Arial" w:cs="Arial" w:eastAsia="Arial" w:hAnsi="Arial"/>
          <w:sz w:val="21"/>
          <w:szCs w:val="21"/>
          <w:color w:val="auto"/>
        </w:rPr>
      </w:pPr>
      <w:r>
        <w:rPr>
          <w:rFonts w:ascii="Arial" w:cs="Arial" w:eastAsia="Arial" w:hAnsi="Arial"/>
          <w:sz w:val="19"/>
          <w:szCs w:val="19"/>
          <w:color w:val="auto"/>
        </w:rPr>
        <w:t>Employer and Employee hereby agree to amend Section 7(b) of the Agreement in its entirety to read as follows:</w:t>
      </w:r>
    </w:p>
    <w:p>
      <w:pPr>
        <w:sectPr>
          <w:pgSz w:w="11900" w:h="16838" w:orient="portrait"/>
          <w:cols w:equalWidth="0" w:num="1">
            <w:col w:w="11420"/>
          </w:cols>
          <w:pgMar w:left="240" w:top="355" w:right="239" w:bottom="1440" w:gutter="0" w:footer="0" w:header="0"/>
        </w:sectPr>
      </w:pPr>
    </w:p>
    <w:bookmarkStart w:id="58" w:name="page59"/>
    <w:bookmarkEnd w:id="58"/>
    <w:p>
      <w:pPr>
        <w:jc w:val="both"/>
        <w:ind w:left="1300" w:firstLine="5"/>
        <w:spacing w:after="0" w:line="275" w:lineRule="auto"/>
        <w:tabs>
          <w:tab w:leader="none" w:pos="2190" w:val="left"/>
        </w:tabs>
        <w:numPr>
          <w:ilvl w:val="0"/>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Bonus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will participate in the Employer’s Amended and Restated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Based Incentive Plan for Executive Officers with an annual target bonus of no less than 200% of the Base Salary.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spacing w:after="0" w:line="233" w:lineRule="exact"/>
        <w:rPr>
          <w:sz w:val="20"/>
          <w:szCs w:val="20"/>
          <w:color w:val="auto"/>
        </w:rPr>
      </w:pPr>
    </w:p>
    <w:p>
      <w:pPr>
        <w:ind w:left="660" w:right="20" w:firstLine="645"/>
        <w:spacing w:after="0" w:line="251" w:lineRule="auto"/>
        <w:tabs>
          <w:tab w:leader="none" w:pos="1677" w:val="left"/>
        </w:tabs>
        <w:numPr>
          <w:ilvl w:val="0"/>
          <w:numId w:val="37"/>
        </w:numPr>
        <w:rPr>
          <w:rFonts w:ascii="Arial" w:cs="Arial" w:eastAsia="Arial" w:hAnsi="Arial"/>
          <w:sz w:val="22"/>
          <w:szCs w:val="22"/>
          <w:color w:val="auto"/>
        </w:rPr>
      </w:pPr>
      <w:r>
        <w:rPr>
          <w:rFonts w:ascii="Arial" w:cs="Arial" w:eastAsia="Arial" w:hAnsi="Arial"/>
          <w:sz w:val="20"/>
          <w:szCs w:val="20"/>
          <w:color w:val="auto"/>
        </w:rPr>
        <w:t>Employer and Employee hereby agree to amend Section 7 of the Agreement with the addition of the following provision (i):</w:t>
      </w:r>
    </w:p>
    <w:p>
      <w:pPr>
        <w:spacing w:after="0" w:line="200" w:lineRule="exact"/>
        <w:rPr>
          <w:sz w:val="20"/>
          <w:szCs w:val="20"/>
          <w:color w:val="auto"/>
        </w:rPr>
      </w:pPr>
    </w:p>
    <w:p>
      <w:pPr>
        <w:jc w:val="both"/>
        <w:ind w:left="1300" w:firstLine="5"/>
        <w:spacing w:after="0" w:line="246" w:lineRule="auto"/>
        <w:tabs>
          <w:tab w:leader="none" w:pos="1790" w:val="left"/>
        </w:tabs>
        <w:numPr>
          <w:ilvl w:val="1"/>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Annual Equity Grant</w:t>
      </w:r>
      <w:r>
        <w:rPr>
          <w:rFonts w:ascii="Arial" w:cs="Arial" w:eastAsia="Arial" w:hAnsi="Arial"/>
          <w:sz w:val="20"/>
          <w:szCs w:val="20"/>
          <w:color w:val="auto"/>
        </w:rPr>
        <w:t>. Beginning with the Effective Date, Employee shall be eligible to receive an annual</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share grant of Wynn Resorts, Limited common stock with a target value equivalent to no less than 150% of the annual Base Salary actually received by Employee in effect at the end of the applicable year, with vesting requirements consistent with comparable positions in the Company. Employee and Employer will enter into a separate restricted stock agreement incorporating the terms and conditions of the grant, including the grant date, vesting schedule, and termination provisions.</w:t>
      </w:r>
    </w:p>
    <w:p>
      <w:pPr>
        <w:spacing w:after="0" w:line="216" w:lineRule="exact"/>
        <w:rPr>
          <w:rFonts w:ascii="Arial" w:cs="Arial" w:eastAsia="Arial" w:hAnsi="Arial"/>
          <w:sz w:val="20"/>
          <w:szCs w:val="20"/>
          <w:color w:val="auto"/>
        </w:rPr>
      </w:pPr>
    </w:p>
    <w:p>
      <w:pPr>
        <w:ind w:left="1040" w:hanging="384"/>
        <w:spacing w:after="0"/>
        <w:tabs>
          <w:tab w:leader="none" w:pos="104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The amendments set forth in Section 1 shall be effective as of May 29, 2019.</w:t>
      </w:r>
    </w:p>
    <w:p>
      <w:pPr>
        <w:spacing w:after="0" w:line="229" w:lineRule="exact"/>
        <w:rPr>
          <w:rFonts w:ascii="Arial" w:cs="Arial" w:eastAsia="Arial" w:hAnsi="Arial"/>
          <w:sz w:val="20"/>
          <w:szCs w:val="20"/>
          <w:color w:val="auto"/>
        </w:rPr>
      </w:pPr>
    </w:p>
    <w:p>
      <w:pPr>
        <w:ind w:right="20" w:firstLine="656"/>
        <w:spacing w:after="0" w:line="247" w:lineRule="auto"/>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hereto have caused this Amendment to be executed as of the date first written</w:t>
      </w:r>
    </w:p>
    <w:p>
      <w:pPr>
        <w:spacing w:after="0"/>
        <w:rPr>
          <w:sz w:val="20"/>
          <w:szCs w:val="20"/>
          <w:color w:val="auto"/>
        </w:rPr>
      </w:pPr>
      <w:r>
        <w:rPr>
          <w:rFonts w:ascii="Arial" w:cs="Arial" w:eastAsia="Arial" w:hAnsi="Arial"/>
          <w:sz w:val="20"/>
          <w:szCs w:val="20"/>
          <w:color w:val="auto"/>
        </w:rPr>
        <w:t>above.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Matt Maddox, Chief Executive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Ellen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Ellen Whittemore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36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171" w:lineRule="exact"/>
        <w:rPr>
          <w:sz w:val="20"/>
          <w:szCs w:val="20"/>
          <w:color w:val="auto"/>
        </w:rPr>
      </w:pPr>
    </w:p>
    <w:p>
      <w:pPr>
        <w:ind w:left="820" w:hanging="812"/>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2019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Matt Maddox</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Director,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8, 2019</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President, 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8, 2019</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lvl w:ilvl="1">
      <w:lvlJc w:val="left"/>
      <w:lvlText w:val="%2."/>
      <w:numFmt w:val="decimal"/>
      <w:start w:val="3"/>
    </w:lvl>
  </w:abstractNum>
  <w:abstractNum w:abstractNumId="17">
    <w:nsid w:val="8138641"/>
    <w:multiLevelType w:val="hybridMultilevel"/>
    <w:lvl w:ilvl="0">
      <w:lvlJc w:val="left"/>
      <w:lvlText w:val="%1."/>
      <w:numFmt w:val="decimal"/>
      <w:start w:val="1"/>
    </w:lvl>
    <w:lvl w:ilvl="1">
      <w:lvlJc w:val="left"/>
      <w:lvlText w:val="%2"/>
      <w:numFmt w:val="lowerLetter"/>
      <w:start w:val="1"/>
    </w:lvl>
  </w:abstractNum>
  <w:abstractNum w:abstractNumId="18">
    <w:nsid w:val="1E7FF521"/>
    <w:multiLevelType w:val="hybridMultilevel"/>
    <w:lvl w:ilvl="0">
      <w:lvlJc w:val="left"/>
      <w:lvlText w:val="(%1)"/>
      <w:numFmt w:val="lowerRoman"/>
      <w:start w:val="7"/>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1."/>
      <w:numFmt w:val="decimal"/>
      <w:start w:val="3"/>
    </w:lvl>
  </w:abstractNum>
  <w:abstractNum w:abstractNumId="21">
    <w:nsid w:val="6CEAF087"/>
    <w:multiLevelType w:val="hybridMultilevel"/>
    <w:lvl w:ilvl="0">
      <w:lvlJc w:val="left"/>
      <w:lvlText w:val="%1."/>
      <w:numFmt w:val="lowerLetter"/>
      <w:start w:val="3"/>
    </w:lvl>
  </w:abstractNum>
  <w:abstractNum w:abstractNumId="22">
    <w:nsid w:val="22221A70"/>
    <w:multiLevelType w:val="hybridMultilevel"/>
    <w:lvl w:ilvl="0">
      <w:lvlJc w:val="left"/>
      <w:lvlText w:val="%1."/>
      <w:numFmt w:val="decimal"/>
      <w:start w:val="5"/>
    </w:lvl>
  </w:abstractNum>
  <w:abstractNum w:abstractNumId="23">
    <w:nsid w:val="4516DDE9"/>
    <w:multiLevelType w:val="hybridMultilevel"/>
    <w:lvl w:ilvl="0">
      <w:lvlJc w:val="left"/>
      <w:lvlText w:val="%1."/>
      <w:numFmt w:val="lowerLetter"/>
      <w:start w:val="4"/>
    </w:lvl>
  </w:abstractNum>
  <w:abstractNum w:abstractNumId="24">
    <w:nsid w:val="3006C83E"/>
    <w:multiLevelType w:val="hybridMultilevel"/>
    <w:lvl w:ilvl="0">
      <w:lvlJc w:val="left"/>
      <w:lvlText w:val="%1."/>
      <w:numFmt w:val="decimal"/>
      <w:start w:val="7"/>
    </w:lvl>
    <w:lvl w:ilvl="1">
      <w:lvlJc w:val="left"/>
      <w:lvlText w:val="(%2)"/>
      <w:numFmt w:val="lowerLetter"/>
      <w:start w:val="1"/>
    </w:lvl>
  </w:abstractNum>
  <w:abstractNum w:abstractNumId="25">
    <w:nsid w:val="614FD4A1"/>
    <w:multiLevelType w:val="hybridMultilevel"/>
    <w:lvl w:ilvl="0">
      <w:lvlJc w:val="left"/>
      <w:lvlText w:val="(%1)"/>
      <w:numFmt w:val="lowerLetter"/>
      <w:start w:val="3"/>
    </w:lvl>
  </w:abstractNum>
  <w:abstractNum w:abstractNumId="26">
    <w:nsid w:val="419AC241"/>
    <w:multiLevelType w:val="hybridMultilevel"/>
    <w:lvl w:ilvl="0">
      <w:lvlJc w:val="left"/>
      <w:lvlText w:val="(%1)"/>
      <w:numFmt w:val="lowerLetter"/>
      <w:start w:val="4"/>
    </w:lvl>
  </w:abstractNum>
  <w:abstractNum w:abstractNumId="27">
    <w:nsid w:val="5577F8E1"/>
    <w:multiLevelType w:val="hybridMultilevel"/>
    <w:lvl w:ilvl="0">
      <w:lvlJc w:val="left"/>
      <w:lvlText w:val="(%1)"/>
      <w:numFmt w:val="lowerLetter"/>
      <w:start w:val="5"/>
    </w:lvl>
  </w:abstractNum>
  <w:abstractNum w:abstractNumId="28">
    <w:nsid w:val="440BADFC"/>
    <w:multiLevelType w:val="hybridMultilevel"/>
    <w:lvl w:ilvl="0">
      <w:lvlJc w:val="left"/>
      <w:lvlText w:val="%1"/>
      <w:numFmt w:val="decimal"/>
      <w:start w:val="1"/>
    </w:lvl>
    <w:lvl w:ilvl="1">
      <w:lvlJc w:val="left"/>
      <w:lvlText w:val="(%2)"/>
      <w:numFmt w:val="lowerLetter"/>
      <w:start w:val="7"/>
    </w:lvl>
  </w:abstractNum>
  <w:abstractNum w:abstractNumId="29">
    <w:nsid w:val="5072367"/>
    <w:multiLevelType w:val="hybridMultilevel"/>
    <w:lvl w:ilvl="0">
      <w:lvlJc w:val="left"/>
      <w:lvlText w:val="%1."/>
      <w:numFmt w:val="decimal"/>
      <w:start w:val="2"/>
    </w:lvl>
    <w:lvl w:ilvl="1">
      <w:lvlJc w:val="left"/>
      <w:lvlText w:val="%2"/>
      <w:numFmt w:val="lowerLetter"/>
      <w:start w:val="1"/>
    </w:lvl>
  </w:abstractNum>
  <w:abstractNum w:abstractNumId="30">
    <w:nsid w:val="3804823E"/>
    <w:multiLevelType w:val="hybridMultilevel"/>
    <w:lvl w:ilvl="0">
      <w:lvlJc w:val="left"/>
      <w:lvlText w:val="%1."/>
      <w:numFmt w:val="decimal"/>
      <w:start w:val="1"/>
    </w:lvl>
    <w:lvl w:ilvl="1">
      <w:lvlJc w:val="left"/>
      <w:lvlText w:val="%2"/>
      <w:numFmt w:val="lowerLetter"/>
      <w:start w:val="1"/>
    </w:lvl>
  </w:abstractNum>
  <w:abstractNum w:abstractNumId="31">
    <w:nsid w:val="77465F01"/>
    <w:multiLevelType w:val="hybridMultilevel"/>
    <w:lvl w:ilvl="0">
      <w:lvlJc w:val="left"/>
      <w:lvlText w:val="(%1)"/>
      <w:numFmt w:val="lowerRoman"/>
      <w:start w:val="7"/>
    </w:lvl>
  </w:abstractNum>
  <w:abstractNum w:abstractNumId="32">
    <w:nsid w:val="7724C67E"/>
    <w:multiLevelType w:val="hybridMultilevel"/>
    <w:lvl w:ilvl="0">
      <w:lvlJc w:val="left"/>
      <w:lvlText w:val="%1."/>
      <w:numFmt w:val="lowerLetter"/>
      <w:start w:val="2"/>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3"/>
    </w:lvl>
  </w:abstractNum>
  <w:abstractNum w:abstractNumId="35">
    <w:nsid w:val="5E884ADC"/>
    <w:multiLevelType w:val="hybridMultilevel"/>
    <w:lvl w:ilvl="0">
      <w:lvlJc w:val="left"/>
      <w:lvlText w:val="(%1)"/>
      <w:numFmt w:val="lowerLetter"/>
      <w:start w:val="2"/>
    </w:lvl>
  </w:abstractNum>
  <w:abstractNum w:abstractNumId="36">
    <w:nsid w:val="51EAD36B"/>
    <w:multiLevelType w:val="hybridMultilevel"/>
    <w:lvl w:ilvl="0">
      <w:lvlJc w:val="left"/>
      <w:lvlText w:val="%1."/>
      <w:numFmt w:val="lowerLetter"/>
      <w:start w:val="4"/>
    </w:lvl>
  </w:abstractNum>
  <w:abstractNum w:abstractNumId="37">
    <w:nsid w:val="2D517796"/>
    <w:multiLevelType w:val="hybridMultilevel"/>
    <w:lvl w:ilvl="0">
      <w:lvlJc w:val="left"/>
      <w:lvlText w:val="%1"/>
      <w:numFmt w:val="decimal"/>
      <w:start w:val="1"/>
    </w:lvl>
    <w:lvl w:ilvl="1">
      <w:lvlJc w:val="left"/>
      <w:lvlText w:val="(%2)"/>
      <w:numFmt w:val="lowerRoman"/>
      <w:start w:val="1"/>
    </w:lvl>
  </w:abstractNum>
  <w:abstractNum w:abstractNumId="38">
    <w:nsid w:val="580BD78F"/>
    <w:multiLevelType w:val="hybridMultilevel"/>
    <w:lvl w:ilvl="0">
      <w:lvlJc w:val="left"/>
      <w:lvlText w:val="%1."/>
      <w:numFmt w:val="decimal"/>
      <w:start w:val="2"/>
    </w:lvl>
    <w:lvl w:ilvl="1">
      <w:lvlJc w:val="left"/>
      <w:lvlText w:val="%2"/>
      <w:numFmt w:val="lowerRoman"/>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36" Type="http://schemas.openxmlformats.org/officeDocument/2006/relationships/hyperlink" Target="http://www.sec.gov/Archives/edgar/data/1174922/000117492215000044/ex-31.htm" TargetMode="External"/><Relationship Id="rId37" Type="http://schemas.openxmlformats.org/officeDocument/2006/relationships/hyperlink" Target="http://www.sec.gov/Archives/edgar/data/1174922/000117492215000106/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2019-12-28T07:33:39Z</dcterms:created>
  <dcterms:modified xsi:type="dcterms:W3CDTF">2019-12-28T07:33:39Z</dcterms:modified>
</cp:coreProperties>
</file>