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26,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FF4040"/>
        </w:rPr>
        <w:t>Subject to Completion, Dated August 26, 2002</w:t>
      </w:r>
    </w:p>
    <w:p>
      <w:pPr>
        <w:spacing w:after="0" w:line="231"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ectPr>
          <w:pgSz w:w="11900" w:h="16838" w:orient="portrait"/>
          <w:cols w:equalWidth="0" w:num="1">
            <w:col w:w="11420"/>
          </w:cols>
          <w:pgMar w:left="240" w:top="469" w:right="239" w:bottom="135" w:gutter="0" w:footer="0" w:header="0"/>
        </w:sectPr>
      </w:pPr>
    </w:p>
    <w:p>
      <w:pPr>
        <w:spacing w:after="0" w:line="161"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Wynn Resorts, Limited</w:t>
      </w:r>
    </w:p>
    <w:p>
      <w:pPr>
        <w:sectPr>
          <w:pgSz w:w="11900" w:h="16838" w:orient="portrait"/>
          <w:cols w:equalWidth="0" w:num="1">
            <w:col w:w="11420"/>
          </w:cols>
          <w:pgMar w:left="240" w:top="469" w:right="239" w:bottom="135" w:gutter="0" w:footer="0" w:header="0"/>
          <w:type w:val="continuous"/>
        </w:sectPr>
      </w:pPr>
    </w:p>
    <w:bookmarkStart w:id="1" w:name="page2"/>
    <w:bookmarkEnd w:id="1"/>
    <w:p>
      <w:pPr>
        <w:ind w:left="980"/>
        <w:spacing w:after="0"/>
        <w:rPr>
          <w:sz w:val="20"/>
          <w:szCs w:val="20"/>
          <w:color w:val="auto"/>
        </w:rPr>
      </w:pPr>
      <w:r>
        <w:rPr>
          <w:rFonts w:ascii="Arial" w:cs="Arial" w:eastAsia="Arial" w:hAnsi="Arial"/>
          <w:sz w:val="32"/>
          <w:szCs w:val="32"/>
          <w:b w:val="1"/>
          <w:bCs w:val="1"/>
          <w:color w:val="auto"/>
        </w:rPr>
        <w:t>Shares</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shares of our common stock. We anticipate that the initial public offering price will be between $ and $ per share. We have filed an application to have our common stock approved for quotation on The Nasdaq National Market under the symbol "WYNN."</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$350 million in aggregate principal amount of second mortgage notes.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9.</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w w:val="96"/>
              </w:rPr>
              <w:t>We have granted to the underwriters the right to purchase up to</w:t>
            </w:r>
          </w:p>
        </w:tc>
        <w:tc>
          <w:tcPr>
            <w:tcW w:w="6520" w:type="dxa"/>
            <w:vAlign w:val="bottom"/>
            <w:gridSpan w:val="2"/>
          </w:tcPr>
          <w:p>
            <w:pPr>
              <w:ind w:left="680"/>
              <w:spacing w:after="0"/>
              <w:rPr>
                <w:sz w:val="20"/>
                <w:szCs w:val="20"/>
                <w:color w:val="auto"/>
              </w:rPr>
            </w:pPr>
            <w:r>
              <w:rPr>
                <w:rFonts w:ascii="Arial" w:cs="Arial" w:eastAsia="Arial" w:hAnsi="Arial"/>
                <w:sz w:val="18"/>
                <w:szCs w:val="18"/>
                <w:color w:val="auto"/>
              </w:rPr>
              <w:t>additional shares of common stock to cover over-allotments.</w:t>
            </w:r>
          </w:p>
        </w:tc>
      </w:tr>
      <w:tr>
        <w:trPr>
          <w:trHeight w:val="228"/>
        </w:trPr>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Pr>
          <w:p>
            <w:pPr>
              <w:spacing w:after="0"/>
              <w:rPr>
                <w:sz w:val="19"/>
                <w:szCs w:val="19"/>
                <w:color w:val="auto"/>
              </w:rPr>
            </w:pPr>
          </w:p>
        </w:tc>
      </w:tr>
      <w:tr>
        <w:trPr>
          <w:trHeight w:val="427"/>
        </w:trPr>
        <w:tc>
          <w:tcPr>
            <w:tcW w:w="2640" w:type="dxa"/>
            <w:vAlign w:val="bottom"/>
          </w:tcPr>
          <w:p>
            <w:pPr>
              <w:spacing w:after="0"/>
              <w:rPr>
                <w:sz w:val="24"/>
                <w:szCs w:val="24"/>
                <w:color w:val="auto"/>
              </w:rPr>
            </w:pPr>
          </w:p>
        </w:tc>
        <w:tc>
          <w:tcPr>
            <w:tcW w:w="8780" w:type="dxa"/>
            <w:vAlign w:val="bottom"/>
            <w:gridSpan w:val="3"/>
          </w:tcPr>
          <w:p>
            <w:pPr>
              <w:jc w:val="center"/>
              <w:ind w:right="2620"/>
              <w:spacing w:after="0"/>
              <w:rPr>
                <w:sz w:val="20"/>
                <w:szCs w:val="20"/>
                <w:color w:val="auto"/>
              </w:rPr>
            </w:pPr>
            <w:r>
              <w:rPr>
                <w:rFonts w:ascii="Arial" w:cs="Arial" w:eastAsia="Arial" w:hAnsi="Arial"/>
                <w:sz w:val="18"/>
                <w:szCs w:val="18"/>
                <w:i w:val="1"/>
                <w:iCs w:val="1"/>
                <w:color w:val="auto"/>
                <w:w w:val="89"/>
              </w:rPr>
              <w:t>Joint Book-Running Managers</w:t>
            </w:r>
          </w:p>
        </w:tc>
      </w:tr>
      <w:tr>
        <w:trPr>
          <w:trHeight w:val="471"/>
        </w:trPr>
        <w:tc>
          <w:tcPr>
            <w:tcW w:w="11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1"/>
              </w:rPr>
              <w:t>Deutsche Bank Securities  Bear, Stearns &amp; Co. Inc.  Banc of America Securities LLC</w:t>
            </w:r>
          </w:p>
        </w:tc>
      </w:tr>
      <w:tr>
        <w:trPr>
          <w:trHeight w:val="216"/>
        </w:trPr>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27"/>
        </w:trPr>
        <w:tc>
          <w:tcPr>
            <w:tcW w:w="2640" w:type="dxa"/>
            <w:vAlign w:val="bottom"/>
          </w:tcPr>
          <w:p>
            <w:pPr>
              <w:spacing w:after="0"/>
              <w:rPr>
                <w:sz w:val="24"/>
                <w:szCs w:val="24"/>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b w:val="1"/>
                <w:bCs w:val="1"/>
                <w:color w:val="auto"/>
              </w:rPr>
              <w:t>JPMorgan</w:t>
            </w:r>
          </w:p>
        </w:tc>
        <w:tc>
          <w:tcPr>
            <w:tcW w:w="6520" w:type="dxa"/>
            <w:vAlign w:val="bottom"/>
            <w:gridSpan w:val="2"/>
          </w:tcPr>
          <w:p>
            <w:pPr>
              <w:ind w:left="80"/>
              <w:spacing w:after="0"/>
              <w:rPr>
                <w:sz w:val="20"/>
                <w:szCs w:val="20"/>
                <w:color w:val="auto"/>
              </w:rPr>
            </w:pPr>
            <w:r>
              <w:rPr>
                <w:rFonts w:ascii="Arial" w:cs="Arial" w:eastAsia="Arial" w:hAnsi="Arial"/>
                <w:sz w:val="18"/>
                <w:szCs w:val="18"/>
                <w:b w:val="1"/>
                <w:bCs w:val="1"/>
                <w:color w:val="auto"/>
              </w:rPr>
              <w:t>Dresdner Kleinwort Wasserstein</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2260" w:type="dxa"/>
            <w:vAlign w:val="bottom"/>
          </w:tcPr>
          <w:p>
            <w:pPr>
              <w:jc w:val="right"/>
              <w:ind w:right="1212"/>
              <w:spacing w:after="0"/>
              <w:rPr>
                <w:sz w:val="20"/>
                <w:szCs w:val="20"/>
                <w:color w:val="auto"/>
              </w:rPr>
            </w:pPr>
            <w:r>
              <w:rPr>
                <w:rFonts w:ascii="Arial" w:cs="Arial" w:eastAsia="Arial" w:hAnsi="Arial"/>
                <w:sz w:val="18"/>
                <w:szCs w:val="18"/>
                <w:color w:val="auto"/>
              </w:rPr>
              <w:t>2002.</w:t>
            </w: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-1437640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-1437640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-717550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-717550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[artist's renderings of Le Rêve]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9 before making an investment decision.</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Wynn Resorts, Limited was recently organized as a Nevada corporation in preparation for this offering. Our assets and operations are currently held by and conducted through Valvino Lamore, LLC, a Nevada limited liability company, and its subsidiaries. Before the closing of this offering, all of the members of Valvino Lamore, LLC will contribute their membership interests in Valvino Lamore, LLC to Wynn Resorts, Limited in exchange for 40,000,000 shares of the common stock of Wynn Resorts, Limited, and Valvino Lamore, LLC will become a wholly owned subsidiary of Wynn Resorts, Limited.</w:t>
      </w:r>
    </w:p>
    <w:p>
      <w:pPr>
        <w:spacing w:after="0" w:line="1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Unless otherwise indicated, information in this prospectus gives effect to the contribution of membership interests in Valvino Lamore, LLC to Wynn Resorts, Limited in exchange for shares of common stock of Wynn Resorts, Limited. Unless the context otherwise requires, the terms "we," "our" and "us," as used in this prospectus, mean Wynn Resorts, Limited and its consolidated subsidiaries, after giving effect to the contribution of membership interests in Valvino Lamore, LLC to Wynn Resorts, Limited. References to Wynn Resorts mean Wynn Resorts, Limited, excluding any subsidiaries, references to Valvino mean Valvino Lamore, LLC, excluding any subsidiaries, references to Wynn Las Vegas mean Wynn Las Vegas, LLC, references to Wynn Capital mean Wynn Las Vegas Capital Corp., references to Wynn Resorts Holdings mean Wynn Resorts Holdings, LLC, and references to Wynn Macau mean Wynn Resorts (Macau), S.A. Certain statements in this prospectus, including in this summary, constitute "forward-looking statements." See "Forward-Looking Statements."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to design and construct, including the cost of the land, capitalized interest, pre-opening expenses and all financing fees. We expect Le Rêve to feature approximately 2,700 luxurious guest rooms, a casually elegant 111,500 square foot casino, 18 distinctive dining establishments, an exclusive on-site 18-hole championship golf course and a new water-based entertainment production. We have scheduled groundbreaking to occur in September 2002, with an opening to the general public scheduled for March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w:t>
      </w:r>
    </w:p>
    <w:p>
      <w:pPr>
        <w:sectPr>
          <w:pgSz w:w="11900" w:h="16838" w:orient="portrait"/>
          <w:cols w:equalWidth="0" w:num="1">
            <w:col w:w="11420"/>
          </w:cols>
          <w:pgMar w:left="240" w:top="98" w:right="239" w:bottom="0" w:gutter="0" w:footer="0" w:header="0"/>
        </w:sectPr>
      </w:pPr>
    </w:p>
    <w:bookmarkStart w:id="2" w:name="page3"/>
    <w:bookmarkEnd w:id="2"/>
    <w:p>
      <w:pPr>
        <w:ind w:right="40"/>
        <w:spacing w:after="0" w:line="268" w:lineRule="auto"/>
        <w:rPr>
          <w:sz w:val="20"/>
          <w:szCs w:val="20"/>
          <w:color w:val="auto"/>
        </w:rPr>
      </w:pPr>
      <w:r>
        <w:rPr>
          <w:rFonts w:ascii="Arial" w:cs="Arial" w:eastAsia="Arial" w:hAnsi="Arial"/>
          <w:sz w:val="18"/>
          <w:szCs w:val="18"/>
          <w:color w:val="auto"/>
        </w:rPr>
        <w:t>Nevada, as well as the Atlantic City Golden Nugget in New Jersey and Beau Rivage in Biloxi, Mississippi. We intend for Le Rêve to set a new standard of luxury and elegance for destination casino resorts in Las Vegas.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Wynn Macau, a majority-owned indirect subsidiary of Wynn Resorts, recently entered into a 20-year concession agreement with the government of the Macau Special Administrative Region of the People's Republic of China. The concession agreement permits Wynn Macau to construct and operate one or more casino gaming properties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including, at a minimum, one full-service casino resort. Macau has been an established gaming market for at least 40 years and, according to the U.S. &amp; Foreign Commercial Service American Consulate General, Hong Kong, generated approximately US $2.1 billion in gaming revenue in 2000. Wynn Macau currently is one of three concessionaires permitted to operate a casino gaming business in Macau. The concession agreement into which Wynn Macau has entered with the Macau government obligates Wynn Macau to open its first permanent casino resort by the end of December 2006 and invest not less than a total of 4 billion patacas (approximately $500 million at the August 11, 2002 exchange rate of approximately eight Macau patacas to one U.S. dollar) on Macau-related projects by June 26, 2009. Wynn Macau may begin casino operations in Macau prior to the opening of Le Rêve. Wynn Macau has not yet decided how many casinos to build or the construction budget or schedule for the Macau opportunity and there remain a number of objectives to be met by Wynn Macau and the Macau government before Wynn Macau can pursue the Macau opportunity. Moreover, Wynn Macau would need to obtain financing for these projects.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16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We believe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210"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Currently, Wynn Macau is one of only three concessionaires permitted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casinos in Macau, an established gaming market with access to gaming patrons principally from Hong Kong and mainland China. Wynn Macau is in the preliminary stages of formulating its strategy to capitalize on this opportunity while managing the risks of developing and operating gaming facilities in Macau.</w:t>
      </w:r>
    </w:p>
    <w:p>
      <w:pPr>
        <w:spacing w:after="0" w:line="210"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site in Las Vegas includes a parcel of approximately 20 acres fronting Las Vegas Boulevard next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 Rêve site and an approximately 137-acre plot located behind the hotel on which the new golf course will be built. If, after commencing operations at Le Rêve, the 20-acre parcel and/or the golf course parcel are released from the liens under our indebtedness, those parcels would provide the opportunity to expand our business in Las Vegas and the potential for future projects, including a possible second hotel casino as a Phase II development on the 20-acre parcel. In addition, we continue to explore opportunities to develop additional gaming or related businesses in Las Vegas or other markets, whether through acquisition, investment or development. Any such development would require us to obtain additional financing.</w:t>
      </w:r>
    </w:p>
    <w:p>
      <w:pPr>
        <w:spacing w:after="0" w:line="228"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The members of our management team have extensive experience in 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and operation of major destination casino resorts, such as Bellagio, The Mirage and Treasure Island at The Mirage. Mr. Wynn, together with Wynn Design &amp; Development, LLC, a wholly owned indirect subsidiary of Wynn Resorts, is designing Le Rêve. Wynn Design &amp;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Development will supervise construction of the resort. Many of the people on the Wynn Design &amp; Development team worked with Mr. Wynn at Mirage Resorts to develop Bellagio.</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620" w:right="80" w:hanging="532"/>
        <w:spacing w:after="0" w:line="255"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Create a "Must-Visit" Destination Casino Resort on the Las Vegas Strip. </w:t>
      </w:r>
      <w:r>
        <w:rPr>
          <w:rFonts w:ascii="Arial" w:cs="Arial" w:eastAsia="Arial" w:hAnsi="Arial"/>
          <w:sz w:val="18"/>
          <w:szCs w:val="18"/>
          <w:color w:val="auto"/>
        </w:rPr>
        <w:t>Rather than focusing on a highly themed experience like many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hotel casino resorts on the Las Vegas Strip, Le Rêve will offer richly furnished, spacious guest rooms, fine dining, premier retail shopping, distinctive entertainment and other high-quality non-gaming amenities in a luxurious environment having a sophisticated, casually elegant ambience. In this manner, we believe that the property, rather than a theme, will be the attraction and, therefore, will have greater lasting appeal to customers.</w:t>
      </w:r>
    </w:p>
    <w:p>
      <w:pPr>
        <w:spacing w:after="0" w:line="210" w:lineRule="exact"/>
        <w:rPr>
          <w:rFonts w:ascii="Arial" w:cs="Arial" w:eastAsia="Arial" w:hAnsi="Arial"/>
          <w:sz w:val="18"/>
          <w:szCs w:val="18"/>
          <w:color w:val="auto"/>
        </w:rPr>
      </w:pPr>
    </w:p>
    <w:p>
      <w:pPr>
        <w:ind w:left="1620" w:right="180" w:hanging="532"/>
        <w:spacing w:after="0" w:line="306"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w:t>
      </w:r>
      <w:r>
        <w:rPr>
          <w:rFonts w:ascii="Arial" w:cs="Arial" w:eastAsia="Arial" w:hAnsi="Arial"/>
          <w:sz w:val="16"/>
          <w:szCs w:val="16"/>
          <w:i w:val="1"/>
          <w:iCs w:val="1"/>
          <w:color w:val="auto"/>
        </w:rPr>
        <w:t xml:space="preserve"> </w:t>
      </w:r>
      <w:r>
        <w:rPr>
          <w:rFonts w:ascii="Arial" w:cs="Arial" w:eastAsia="Arial" w:hAnsi="Arial"/>
          <w:sz w:val="16"/>
          <w:szCs w:val="16"/>
          <w:color w:val="auto"/>
        </w:rPr>
        <w:t>planned opening in March 2005, it will have been almost five years since a major new hotel casino resort opened on the Las Vegas Strip. As a result, we expect that there will be a high level of customer anticipation for Le Rêve.</w:t>
      </w:r>
    </w:p>
    <w:p>
      <w:pPr>
        <w:spacing w:after="0" w:line="187" w:lineRule="exact"/>
        <w:rPr>
          <w:rFonts w:ascii="Arial" w:cs="Arial" w:eastAsia="Arial" w:hAnsi="Arial"/>
          <w:sz w:val="16"/>
          <w:szCs w:val="16"/>
          <w:color w:val="auto"/>
        </w:rPr>
      </w:pPr>
    </w:p>
    <w:p>
      <w:pPr>
        <w:ind w:left="1620" w:right="60" w:hanging="532"/>
        <w:spacing w:after="0" w:line="259"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customers to Le Rêve, including middle market customers and high roller and premium gaming patrons, by providing guests with a premium level of luxury, amenities and service, such as:</w:t>
      </w:r>
    </w:p>
    <w:p>
      <w:pPr>
        <w:spacing w:after="0" w:line="200" w:lineRule="exact"/>
        <w:rPr>
          <w:sz w:val="20"/>
          <w:szCs w:val="20"/>
          <w:color w:val="auto"/>
        </w:rPr>
      </w:pPr>
    </w:p>
    <w:p>
      <w:pPr>
        <w:spacing w:after="0" w:line="224" w:lineRule="exact"/>
        <w:rPr>
          <w:sz w:val="20"/>
          <w:szCs w:val="20"/>
          <w:color w:val="auto"/>
        </w:rPr>
      </w:pPr>
    </w:p>
    <w:p>
      <w:pPr>
        <w:ind w:left="2160" w:hanging="531"/>
        <w:spacing w:after="0"/>
        <w:tabs>
          <w:tab w:leader="none" w:pos="2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25"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3" w:name="page4"/>
    <w:bookmarkEnd w:id="3"/>
    <w:p>
      <w:pPr>
        <w:ind w:left="2160" w:right="140"/>
        <w:spacing w:after="0" w:line="268" w:lineRule="auto"/>
        <w:rPr>
          <w:sz w:val="20"/>
          <w:szCs w:val="20"/>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sz w:val="20"/>
          <w:szCs w:val="20"/>
          <w:color w:val="auto"/>
        </w:rPr>
      </w:pPr>
    </w:p>
    <w:p>
      <w:pPr>
        <w:ind w:left="2160" w:right="40" w:hanging="531"/>
        <w:spacing w:after="0" w:line="259" w:lineRule="auto"/>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21" w:lineRule="exact"/>
        <w:rPr>
          <w:rFonts w:ascii="Arial" w:cs="Arial" w:eastAsia="Arial" w:hAnsi="Arial"/>
          <w:sz w:val="18"/>
          <w:szCs w:val="18"/>
          <w:color w:val="auto"/>
        </w:rPr>
      </w:pPr>
    </w:p>
    <w:p>
      <w:pPr>
        <w:ind w:left="2160" w:hanging="531"/>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2160" w:right="80" w:hanging="531"/>
        <w:spacing w:after="0" w:line="268" w:lineRule="auto"/>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2160" w:hanging="531"/>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Facilities. </w:t>
      </w:r>
      <w:r>
        <w:rPr>
          <w:rFonts w:ascii="Arial" w:cs="Arial" w:eastAsia="Arial" w:hAnsi="Arial"/>
          <w:sz w:val="18"/>
          <w:szCs w:val="18"/>
          <w:color w:val="auto"/>
        </w:rPr>
        <w:t>We expect Le Rêve's superior non-gaming amenities outlined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a substantial portion of its overall revenue.</w:t>
      </w:r>
    </w:p>
    <w:p>
      <w:pPr>
        <w:spacing w:after="0" w:line="199" w:lineRule="exact"/>
        <w:rPr>
          <w:rFonts w:ascii="Arial" w:cs="Arial" w:eastAsia="Arial" w:hAnsi="Arial"/>
          <w:sz w:val="18"/>
          <w:szCs w:val="18"/>
          <w:color w:val="auto"/>
        </w:rPr>
      </w:pPr>
    </w:p>
    <w:p>
      <w:pPr>
        <w:ind w:left="1620" w:right="80" w:hanging="532"/>
        <w:spacing w:after="0" w:line="259"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the Attractive Location of Le Rêve. </w:t>
      </w:r>
      <w:r>
        <w:rPr>
          <w:rFonts w:ascii="Arial" w:cs="Arial" w:eastAsia="Arial" w:hAnsi="Arial"/>
          <w:sz w:val="18"/>
          <w:szCs w:val="18"/>
          <w:color w:val="auto"/>
        </w:rPr>
        <w:t>Le Rêve will be located on the Las Vegas Strip at the northeast corner of the intersection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Las Vegas Boulevard and Sands Avenue. Le Rêve will have approximately 1,350 feet of frontage on the Las Vegas Strip and will be located near some of the most visited hotel casino resorts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line="291" w:lineRule="auto"/>
        <w:rPr>
          <w:sz w:val="20"/>
          <w:szCs w:val="20"/>
          <w:color w:val="auto"/>
        </w:rPr>
      </w:pPr>
      <w:r>
        <w:rPr>
          <w:rFonts w:ascii="Arial" w:cs="Arial" w:eastAsia="Arial" w:hAnsi="Arial"/>
          <w:sz w:val="16"/>
          <w:szCs w:val="16"/>
          <w:color w:val="auto"/>
        </w:rPr>
        <w:t>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We intend to offer free shuttle service to and from the Las Vegas Convention Center. We expect trade show and convention visitors to be an important source of room demand for Le Rêve. Le Rêve will also be located directly across from the Fashion Show Mall, which is currently undergoing substantial renovation and expansion, and we anticipate that Le Rêve will be connected to the mall by a pedestrian bridge.</w:t>
      </w:r>
    </w:p>
    <w:p>
      <w:pPr>
        <w:spacing w:after="0" w:line="201" w:lineRule="exact"/>
        <w:rPr>
          <w:sz w:val="20"/>
          <w:szCs w:val="20"/>
          <w:color w:val="auto"/>
        </w:rPr>
      </w:pPr>
    </w:p>
    <w:p>
      <w:pPr>
        <w:ind w:left="1620" w:right="20" w:hanging="532"/>
        <w:spacing w:after="0" w:line="288"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contractor for most of Le Rêve, excluding the parking garage and the golf course. Marnell Corrao has extensive experience in building large Las Vegas destination casino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we estimate that the design and construction costs will be approximately $1.4 billion. We have entered into a guaranteed maximum price construction contract with Marnell Corrao covering approximately $919 million of the budgeted cost to construct Le Rêve. The guaranteed maximum price is subject to increases because of, among other items, scope changes to the project.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2160" w:hanging="531"/>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2160" w:right="160" w:hanging="531"/>
        <w:spacing w:after="0" w:line="268" w:lineRule="auto"/>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jc w:val="both"/>
        <w:ind w:left="2160" w:right="120" w:hanging="531"/>
        <w:spacing w:after="0" w:line="259" w:lineRule="auto"/>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07" w:lineRule="exact"/>
        <w:rPr>
          <w:rFonts w:ascii="Arial" w:cs="Arial" w:eastAsia="Arial" w:hAnsi="Arial"/>
          <w:sz w:val="18"/>
          <w:szCs w:val="18"/>
          <w:color w:val="auto"/>
        </w:rPr>
      </w:pPr>
    </w:p>
    <w:p>
      <w:pPr>
        <w:ind w:left="2160" w:hanging="531"/>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subsidiaries' revolving credit facility.</w:t>
      </w:r>
    </w:p>
    <w:p>
      <w:pPr>
        <w:spacing w:after="0" w:line="225" w:lineRule="exact"/>
        <w:rPr>
          <w:sz w:val="20"/>
          <w:szCs w:val="20"/>
          <w:color w:val="auto"/>
        </w:rPr>
      </w:pPr>
    </w:p>
    <w:p>
      <w:pPr>
        <w:jc w:val="both"/>
        <w:ind w:left="1080" w:right="80" w:firstLine="342"/>
        <w:spacing w:after="0" w:line="259" w:lineRule="auto"/>
        <w:rPr>
          <w:sz w:val="20"/>
          <w:szCs w:val="20"/>
          <w:color w:val="auto"/>
        </w:rPr>
      </w:pPr>
      <w:r>
        <w:rPr>
          <w:rFonts w:ascii="Arial" w:cs="Arial" w:eastAsia="Arial" w:hAnsi="Arial"/>
          <w:sz w:val="18"/>
          <w:szCs w:val="18"/>
          <w:color w:val="auto"/>
        </w:rPr>
        <w:t>A disbursement agreement will require our subsidiaries to satisfy specified conditions before we may use the proceeds of the credit facilities, the second mortgage notes, a furniture, fixtures and equipment, or FF&amp;E, facility and certain of the sources described below to fund construction costs.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Concurrent with this offering, Wynn Resorts' wholly owned indirect subsidiaries, Wynn Las Vegas, which will own and operate Le Rêve, and Wynn Capital, are jointly offering</w:t>
      </w:r>
    </w:p>
    <w:p>
      <w:pPr>
        <w:sectPr>
          <w:pgSz w:w="11900" w:h="16838" w:orient="portrait"/>
          <w:cols w:equalWidth="0" w:num="1">
            <w:col w:w="11400"/>
          </w:cols>
          <w:pgMar w:left="240" w:top="131" w:right="259" w:bottom="329"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29" w:gutter="0" w:footer="0" w:header="0"/>
          <w:type w:val="continuous"/>
        </w:sectPr>
      </w:pPr>
    </w:p>
    <w:bookmarkStart w:id="4" w:name="page5"/>
    <w:bookmarkEnd w:id="4"/>
    <w:p>
      <w:pPr>
        <w:spacing w:after="0" w:line="3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$350 million in aggregate principal amount of second mortgage notes. To develop and construct Le Rêve, we intend to use the net proceeds of the contemplated offering of the second mortgage notes, borrowings of approximately $701.4 million under a $750 million revolving credit facility and $250 million under a delay draw term loan facility, facilities for which our subsidiaries have obtained commitments, and $178.5 million under an FF&amp;E facility, which is currently being syndicated, together with that portion of our existing cash and net proceeds of this offering that are necessary to fund Le Rêve project costs. We sometimes refer to the revolving credit facility and the delay draw term loan facility as the credit facilities. Consummation of this offering is conditioned on consummation of the offering of the second mortgage notes and on Wynn Las Vegas entering into the agreements governing the credit facilities and FF&amp;E facility.</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chart illustrates the organizational structure of our principal operations as they will stand upon the consummation of this offering and the contemplated offering of second mortgage notes, including giving effect to the contribution of the Valvino membership interests to Wynn Resorts.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and restricted entities under the indenture governing the second mortgage notes and the credit facilities.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but not subject to their covenants, if it incurs, or becomes a guarantor on, other indebtedness.</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Wynn Macau has committed to allow certain minority partners to invest in the Macau-related entities, after which we expect that Wynn Resorts will indirectly own an approximately 82.5% economic interest in Wynn Macau before giving effect to any future financing related to the Macau opportunity. A more detailed corporate chart relating to the Macau-related entities appears under the heading "Business—The Macau Opportunity—Ownership Structure of the Macau-Related Entities."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10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ectPr>
          <w:pgSz w:w="11900" w:h="16869"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160" w:hanging="532"/>
        <w:spacing w:after="0" w:line="181"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See "Certain Relationships and Related Party Transactions—Stockholders Agreement."</w:t>
      </w:r>
    </w:p>
    <w:p>
      <w:pPr>
        <w:ind w:left="540" w:right="600" w:hanging="532"/>
        <w:spacing w:after="0" w:line="181" w:lineRule="auto"/>
        <w:tabs>
          <w:tab w:leader="none" w:pos="540" w:val="left"/>
        </w:tabs>
        <w:numPr>
          <w:ilvl w:val="0"/>
          <w:numId w:val="6"/>
        </w:numPr>
        <w:rPr>
          <w:rFonts w:ascii="Arial" w:cs="Arial" w:eastAsia="Arial" w:hAnsi="Arial"/>
          <w:sz w:val="18"/>
          <w:szCs w:val="18"/>
          <w:color w:val="auto"/>
          <w:vertAlign w:val="subscript"/>
        </w:rPr>
      </w:pPr>
      <w:r>
        <w:rPr>
          <w:rFonts w:ascii="Arial" w:cs="Arial" w:eastAsia="Arial" w:hAnsi="Arial"/>
          <w:sz w:val="10"/>
          <w:szCs w:val="10"/>
          <w:color w:val="auto"/>
        </w:rPr>
        <w:t>Following the completion of this offering, Wynn Resorts intends to grant awards of restricted stock initially to six employees and to Mr. Franco Dragone, the creator of the new entertainment production at Le Rêve. The restricted stock will be subject to Wynn Resorts' repurchase right for a period of time.</w:t>
      </w:r>
    </w:p>
    <w:p>
      <w:pPr>
        <w:jc w:val="both"/>
        <w:ind w:left="540" w:right="80" w:hanging="532"/>
        <w:spacing w:after="0" w:line="190"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subsidiaries which will develop the Macau opportunity will not be issuers, borrowers, guarantors or restricted entities with respect to the financing of Le Rêve.</w:t>
      </w:r>
    </w:p>
    <w:p>
      <w:pPr>
        <w:ind w:left="540" w:right="140" w:hanging="532"/>
        <w:spacing w:after="0" w:line="183" w:lineRule="auto"/>
        <w:tabs>
          <w:tab w:leader="none" w:pos="540" w:val="left"/>
        </w:tabs>
        <w:numPr>
          <w:ilvl w:val="0"/>
          <w:numId w:val="6"/>
        </w:numPr>
        <w:rPr>
          <w:rFonts w:ascii="Arial" w:cs="Arial" w:eastAsia="Arial" w:hAnsi="Arial"/>
          <w:sz w:val="22"/>
          <w:szCs w:val="22"/>
          <w:color w:val="auto"/>
          <w:vertAlign w:val="subscript"/>
        </w:rPr>
      </w:pPr>
      <w:r>
        <w:rPr>
          <w:rFonts w:ascii="Arial" w:cs="Arial" w:eastAsia="Arial" w:hAnsi="Arial"/>
          <w:sz w:val="12"/>
          <w:szCs w:val="12"/>
          <w:color w:val="auto"/>
        </w:rPr>
        <w:t>Includes a number of wholly owned and partially owned entities. Once certain minority investors acquire interests in Wynn Resorts' Macau-related entities, Wynn Resorts will indirectly own an approximately 82.5% economic interest and will effectively control approximately 90% of the vote of Wynn Macau indirectly through various subsidiaries. For additional information regarding these entities, see "Business—The Macau Opportunity—Ownership Structure of Macau-Related Entities."</w:t>
      </w:r>
    </w:p>
    <w:p>
      <w:pPr>
        <w:spacing w:after="0" w:line="1" w:lineRule="exact"/>
        <w:rPr>
          <w:rFonts w:ascii="Arial" w:cs="Arial" w:eastAsia="Arial" w:hAnsi="Arial"/>
          <w:sz w:val="22"/>
          <w:szCs w:val="22"/>
          <w:color w:val="auto"/>
          <w:vertAlign w:val="subscript"/>
        </w:rPr>
      </w:pPr>
    </w:p>
    <w:p>
      <w:pPr>
        <w:ind w:left="540" w:hanging="532"/>
        <w:spacing w:after="0" w:line="185" w:lineRule="auto"/>
        <w:tabs>
          <w:tab w:leader="none" w:pos="540" w:val="left"/>
        </w:tabs>
        <w:numPr>
          <w:ilvl w:val="0"/>
          <w:numId w:val="6"/>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subsidiary limited liability companies. These entities include Rambas Marketing Co., LLC, Toasty, LLC, and WorldWide Wynn, LLC.</w:t>
      </w:r>
    </w:p>
    <w:p>
      <w:pPr>
        <w:sectPr>
          <w:pgSz w:w="11900" w:h="16869" w:orient="portrait"/>
          <w:cols w:equalWidth="0" w:num="1">
            <w:col w:w="11420"/>
          </w:cols>
          <w:pgMar w:left="240" w:top="13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100" w:hanging="532"/>
        <w:spacing w:after="0"/>
        <w:tabs>
          <w:tab w:leader="none" w:pos="540" w:val="left"/>
        </w:tabs>
        <w:numPr>
          <w:ilvl w:val="0"/>
          <w:numId w:val="7"/>
        </w:numPr>
        <w:rPr>
          <w:rFonts w:ascii="Arial" w:cs="Arial" w:eastAsia="Arial" w:hAnsi="Arial"/>
          <w:sz w:val="21"/>
          <w:szCs w:val="21"/>
          <w:color w:val="auto"/>
          <w:vertAlign w:val="subscript"/>
        </w:rPr>
      </w:pPr>
      <w:r>
        <w:rPr>
          <w:rFonts w:ascii="Arial" w:cs="Arial" w:eastAsia="Arial" w:hAnsi="Arial"/>
          <w:sz w:val="11"/>
          <w:szCs w:val="11"/>
          <w:color w:val="auto"/>
        </w:rPr>
        <w:t>We will contribute $30 million of the net proceeds of this offering to Wynn Las Vegas to be held in a liquidity reserve account to support Wynn Las Vegas' obligation to complete the project. See "Use of Proceeds."</w:t>
      </w:r>
    </w:p>
    <w:p>
      <w:pPr>
        <w:spacing w:after="0" w:line="27" w:lineRule="exact"/>
        <w:rPr>
          <w:rFonts w:ascii="Arial" w:cs="Arial" w:eastAsia="Arial" w:hAnsi="Arial"/>
          <w:sz w:val="21"/>
          <w:szCs w:val="21"/>
          <w:color w:val="auto"/>
          <w:vertAlign w:val="subscript"/>
        </w:rPr>
      </w:pPr>
    </w:p>
    <w:p>
      <w:pPr>
        <w:jc w:val="both"/>
        <w:ind w:left="540" w:right="260" w:hanging="532"/>
        <w:spacing w:after="0" w:line="183"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Wynn Resorts, Limited is a Nevada corporation. Before the closing of this offering, all of the members of Valvino Lamore, LLC, a Nevada limited liability company, will contribute their membership interests in Valvino to Wynn Resorts in exchange for shares of the common stock of Wynn Resorts. As a result, Valvino will become a wholly owned subsidiary of Wynn Resorts. Wynn Resorts' principal executive offices are located at 3145 Las Vegas Boulevard South, Las Vegas, Nevada 89109. Wynn Resorts' telephone number is (702) 733-4444.</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840" w:type="dxa"/>
            <w:vAlign w:val="bottom"/>
          </w:tcPr>
          <w:p>
            <w:pPr>
              <w:ind w:left="2360"/>
              <w:spacing w:after="0"/>
              <w:rPr>
                <w:sz w:val="20"/>
                <w:szCs w:val="20"/>
                <w:color w:val="auto"/>
              </w:rPr>
            </w:pPr>
            <w:r>
              <w:rPr>
                <w:rFonts w:ascii="Arial" w:cs="Arial" w:eastAsia="Arial" w:hAnsi="Arial"/>
                <w:sz w:val="18"/>
                <w:szCs w:val="18"/>
                <w:b w:val="1"/>
                <w:bCs w:val="1"/>
                <w:color w:val="auto"/>
              </w:rPr>
              <w:t>The Offering</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5840" w:type="dxa"/>
            <w:vAlign w:val="bottom"/>
            <w:shd w:val="clear" w:color="auto" w:fill="CCEEFF"/>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58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shares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840" w:type="dxa"/>
            <w:vAlign w:val="bottom"/>
            <w:gridSpan w:val="2"/>
          </w:tcPr>
          <w:p>
            <w:pPr>
              <w:spacing w:after="0"/>
              <w:rPr>
                <w:sz w:val="20"/>
                <w:szCs w:val="20"/>
                <w:color w:val="auto"/>
              </w:rPr>
            </w:pPr>
            <w:r>
              <w:rPr>
                <w:rFonts w:ascii="Arial" w:cs="Arial" w:eastAsia="Arial" w:hAnsi="Arial"/>
                <w:sz w:val="18"/>
                <w:szCs w:val="18"/>
                <w:color w:val="auto"/>
                <w:w w:val="92"/>
              </w:rPr>
              <w:t>Common stock to be outstanding after</w:t>
            </w:r>
          </w:p>
        </w:tc>
        <w:tc>
          <w:tcPr>
            <w:tcW w:w="5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5840" w:type="dxa"/>
            <w:vAlign w:val="bottom"/>
          </w:tcPr>
          <w:p>
            <w:pPr>
              <w:ind w:left="920"/>
              <w:spacing w:after="0"/>
              <w:rPr>
                <w:sz w:val="20"/>
                <w:szCs w:val="20"/>
                <w:color w:val="auto"/>
              </w:rPr>
            </w:pPr>
            <w:r>
              <w:rPr>
                <w:rFonts w:ascii="Arial" w:cs="Arial" w:eastAsia="Arial" w:hAnsi="Arial"/>
                <w:sz w:val="18"/>
                <w:szCs w:val="18"/>
                <w:color w:val="auto"/>
              </w:rPr>
              <w:t>shares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 intend to use existing cash and net proceeds from this offering, along with</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the borrowings under the credit facilities and the FF&amp;E facility and the net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proceeds from the offering of the second mortgage notes, to design, construct,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develop, equip and open Le Rêve, a destination casino resort on the Las Vegas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Strip which is expected to open in March 2005. As described below, $50 million</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of the proceeds from this offering will be contributed to a special purpose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subsidiary of Wynn Las Vegas and $30 million of the proceeds from this offering</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will be contributed to Wynn Las Vegas to be held in a liquidity reserve account,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 each case, pledged to the lenders under the credit facilities and the second</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mortgage note holders to secure our subsidiaries' obligations to complete the</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project.</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w w:val="92"/>
              </w:rPr>
              <w:t>If the underwriters exercise their over-allotment option in this offering, we may</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use the additional net proceeds to provide additional liquidity for our</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w w:val="93"/>
              </w:rPr>
              <w:t>construction and debt service expenses relating to Le Rêve, for expenditures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w w:val="93"/>
              </w:rPr>
              <w:t>related to the Macau opportunity, for our working capital needs or for general</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corporate purposes.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We have filed an application to have Wynn Resorts' common stock approved for</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quotation on The Nasdaq National Market under the symbol "WYNN."</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40" w:type="dxa"/>
            <w:vAlign w:val="bottom"/>
          </w:tcPr>
          <w:p>
            <w:pPr>
              <w:ind w:left="2840"/>
              <w:spacing w:after="0"/>
              <w:rPr>
                <w:sz w:val="20"/>
                <w:szCs w:val="20"/>
                <w:color w:val="auto"/>
              </w:rPr>
            </w:pPr>
            <w:r>
              <w:rPr>
                <w:rFonts w:ascii="Arial" w:cs="Arial" w:eastAsia="Arial" w:hAnsi="Arial"/>
                <w:sz w:val="18"/>
                <w:szCs w:val="18"/>
                <w:color w:val="auto"/>
              </w:rPr>
              <w:t>7</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Borders>
              <w:bottom w:val="single" w:sz="8" w:color="808080"/>
            </w:tcBorders>
            <w:gridSpan w:val="2"/>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w w:val="87"/>
              </w:rPr>
              <w:t>Unless otherwise indicated, all share information in this prospectus is based on the number of shares outstanding as of</w:t>
            </w:r>
          </w:p>
        </w:tc>
        <w:tc>
          <w:tcPr>
            <w:tcW w:w="2740" w:type="dxa"/>
            <w:vAlign w:val="bottom"/>
          </w:tcPr>
          <w:p>
            <w:pPr>
              <w:ind w:left="1120"/>
              <w:spacing w:after="0"/>
              <w:rPr>
                <w:sz w:val="20"/>
                <w:szCs w:val="20"/>
                <w:color w:val="auto"/>
              </w:rPr>
            </w:pPr>
            <w:r>
              <w:rPr>
                <w:rFonts w:ascii="Arial" w:cs="Arial" w:eastAsia="Arial" w:hAnsi="Arial"/>
                <w:sz w:val="18"/>
                <w:szCs w:val="18"/>
                <w:color w:val="auto"/>
                <w:w w:val="96"/>
              </w:rPr>
              <w:t>, 2002 and excludes: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1620" w:hanging="53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8,600,000 shares of Wynn Resorts' common stock available for future issuance under our stock incentive plan; and</w:t>
      </w:r>
    </w:p>
    <w:p>
      <w:pPr>
        <w:spacing w:after="0" w:line="225" w:lineRule="exact"/>
        <w:rPr>
          <w:sz w:val="20"/>
          <w:szCs w:val="20"/>
          <w:color w:val="auto"/>
        </w:rPr>
      </w:pPr>
    </w:p>
    <w:p>
      <w:pPr>
        <w:ind w:left="1080"/>
        <w:spacing w:after="0"/>
        <w:tabs>
          <w:tab w:leader="none" w:pos="1600" w:val="left"/>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issuance of up to</w:t>
      </w:r>
      <w:r>
        <w:rPr>
          <w:sz w:val="20"/>
          <w:szCs w:val="20"/>
          <w:color w:val="auto"/>
        </w:rPr>
        <w:tab/>
      </w:r>
      <w:r>
        <w:rPr>
          <w:rFonts w:ascii="Arial" w:cs="Arial" w:eastAsia="Arial" w:hAnsi="Arial"/>
          <w:sz w:val="15"/>
          <w:szCs w:val="15"/>
          <w:color w:val="auto"/>
        </w:rPr>
        <w:t>additional shares of Wynn Resorts' common stock that the underwriters have the option to</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purchase from Wynn Resorts to cover over-allotments.</w:t>
      </w:r>
    </w:p>
    <w:p>
      <w:pPr>
        <w:spacing w:after="0" w:line="219"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quarantee. Pursuant to the disbursement agreement that will govern the disbursement of funds from our debt facilities to fund Le Rêve project costs, these funds will become available to us on a gradual basis to apply to the costs of the project only after fifty percent of the Le Rêve construction work has been completed. Upon the occurrence of an event of default under our subsidiaries' credit facilities or the indenture governing the second mortgage notes, the lenders under our subsidiaries'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pledged to the lenders under the credit facilities and second mortgage note holders to secure Wynn Las Vegas' obligation to complete the project. Until the completion and opening of Le Rêve, these funds may be applied to the costs to develop and construct Le Rêve in accordance with the disbursement agreement. Following the completion and opening of Le Rêve, these funds will be available to meet our debt service needs in connection with the operation of Le Rêve. At such time as Wynn Las Vegas has met prescribed cash flow tests for a period of four consecutive fiscal quarters after the opening of Le Rêve, any remaining funds will be used to reduce the outstanding balance on the revolving credit facility, but without reducing the revolving credit facility commitment.</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16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Certain statements in "Risk Factors" constitute "forward-looking statements." Actual results could differ substantially from those projected in the forward-looking statements as a result of certain factors and uncertainties set forth below and elsewhere in this prospectus. See "Forward-Looking Statements."</w:t>
      </w: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financing for the Le Rêve project.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Concurrent with the closing of this offering and our subsidiaries' offering of second mortgage notes, Wynn Las Vegas will enter into agreements to govern the credit facilities and the FF&amp;E facility. The closings of this offering, our subsidiaries' second mortgage notes offering, the credit facilities and the FF&amp;E facility will be conditioned on each other.</w:t>
      </w:r>
    </w:p>
    <w:p>
      <w:pPr>
        <w:spacing w:after="0" w:line="194"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Wynn Las Vegas intends to deposit all of the net proceeds from the offering of the second mortgage notes in a secured account pledged to the second mortgage note holders pursuant to an agreement with the trustee for the second mortgage note holders.</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Pursuant to the disbursement agreement, we are required to first use the net cash proceeds that Wynn Resorts contributes to Wynn Las Vegas from its initial public offering and a portion of our existing cash to fund the development, construction and pre-opening costs of Le Rêve. When those funds are depleted, we will be required to use the proceeds of the second mortgage notes, followed by proceeds of borrowings under the credit facilities and the FF&amp;E facility. We do not expect to request a disbursement of the second mortgage note proceeds from the secured account or to borrow under the credit facilities or the FF&amp;E facility until approximately ten to twelve months after the closing of this offering. Our ability to, from time to time, obtain a disbursement of the proceeds of the second mortgage notes or borrow under the credit facilities and the FF&amp;E facility to fund the development, construction and pre-opening costs of Le Rêve will be subject to various conditions precedent. As such, we cannot assure you that we will be able to obtain a disbursement of the proceeds of the second mortgage notes or draw upon the credit facilities and FF&amp;E facility after we have applied the proceeds of this offering toward the development, construction and pre-opening costs of Le Rêve. In addition to other customary conditions to funding for these types of facilities, our ability to obtain a disbursement of the proceeds of the second mortgage notes or draw on the credit facilities and the FF&amp;E facility will be subject to the following conditions:</w:t>
      </w:r>
    </w:p>
    <w:p>
      <w:pPr>
        <w:spacing w:after="0" w:line="19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permitted extensions due to force majeure events;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its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our major stockholders is unable to qualify for such license;</w:t>
      </w:r>
    </w:p>
    <w:p>
      <w:pPr>
        <w:spacing w:after="0" w:line="221"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subsidiaries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207"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our control.</w:t>
      </w:r>
    </w:p>
    <w:p>
      <w:pPr>
        <w:spacing w:after="0" w:line="194" w:lineRule="exact"/>
        <w:rPr>
          <w:sz w:val="20"/>
          <w:szCs w:val="20"/>
          <w:color w:val="auto"/>
        </w:rPr>
      </w:pPr>
    </w:p>
    <w:p>
      <w:pPr>
        <w:jc w:val="both"/>
        <w:ind w:right="140" w:firstLine="341"/>
        <w:spacing w:after="0" w:line="306"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have been expended on the project. If we fail to obtain the release of the second mortgage note proceeds or fail to obtain and maintain the ability to drawdown funds under the credit facilities or the</w:t>
      </w:r>
    </w:p>
    <w:p>
      <w:pPr>
        <w:sectPr>
          <w:pgSz w:w="11900" w:h="16838" w:orient="portrait"/>
          <w:cols w:equalWidth="0" w:num="1">
            <w:col w:w="11420"/>
          </w:cols>
          <w:pgMar w:left="240" w:top="800" w:right="239" w:bottom="0" w:gutter="0" w:footer="0" w:header="0"/>
        </w:sectPr>
      </w:pPr>
    </w:p>
    <w:bookmarkStart w:id="7" w:name="page8"/>
    <w:bookmarkEnd w:id="7"/>
    <w:p>
      <w:pPr>
        <w:spacing w:after="0" w:line="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FF&amp;E facility, we may not have access to alternative sources of funds necessary to complete Le Rêve on satisfactory terms or at all. Even if we are able to procure alternative sources of funds, the terms and conditions of those funds could materially impair our competitive position and reduce our future cash flows. Moreover, if we decide to seek additional equity capital as a funding alternative, the interests of Wynn Resorts' stockholders could be diluted.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costs of Le Rêve are estimates only and actual development costs may be higher than expected.</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ours which will become due through the estimated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commencement date of operations of Le Rêve have been included in our estimate of the total development cost.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new golf course and principal parking garage. The $1.4 billion of budgeted design and construction costs does not include costs such as:</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entertainment production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site acquisition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period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financing fees,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related to certain furniture, fixtures and equipment, such as slot machines, computer equipment and kitchen and dining supplies.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contingency to cover cost overruns, this contingency may not be sufficient to cover the full amount of such overruns. Moreover, the disbursement agreement imposes conditions on the use of this contingency. If we are unable to use this contingency or if this contingency is not sufficient to cover these costs, we may not have access to the funds required to pay the excess costs. Our inability to pay development costs as they are incurred will negatively affect our ability to complete Le Rêve and thus may significantly impair our business operations and prospects.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The approximately $919 million guaranteed maximum price is subject to increases because of,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items, scope changes, to the project. We are responsible for cost overruns with respect to the remaining approximately $485 million of the $1.4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budgeted design and construction cost expenditures that are not part of the guaranteed maximum price contract, such as:</w:t>
      </w:r>
    </w:p>
    <w:p>
      <w:pPr>
        <w:spacing w:after="0" w:line="232" w:lineRule="exact"/>
        <w:rPr>
          <w:sz w:val="20"/>
          <w:szCs w:val="20"/>
          <w:color w:val="auto"/>
        </w:rPr>
      </w:pPr>
    </w:p>
    <w:p>
      <w:pPr>
        <w:ind w:left="1080" w:right="60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construction of the new golf course at a budgeted cost of approximately $21.5 million, excluding the cost of the land; we expect to solicit competitive bids in late summer 2002 for construction of the new golf course and to award the construction contract in the fourth quarter of 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insurance costs of approximately $12.6 million for builder's risk insurance, fees and reserves under the owner-controlled insurance program, umbrella and excess liability insurance and design professional liability insurance;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Neither the guaranteed maximum price nor the other provisions relating to cost overruns in the construction contract with Marnell Corrao will provide any safeguards against increased costs related to items not covered by that construction contract. While we may in the future enter into other agreements that may</w:t>
      </w:r>
    </w:p>
    <w:p>
      <w:pPr>
        <w:sectPr>
          <w:pgSz w:w="11900" w:h="16858" w:orient="portrait"/>
          <w:cols w:equalWidth="0" w:num="1">
            <w:col w:w="11380"/>
          </w:cols>
          <w:pgMar w:left="240" w:top="131" w:right="27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seek to limit our exposure to construction cost increases, the actual costs for these items may exceed budgeted costs.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the cost of the items described above exceeds the $485 million budget for those items, we may need to raise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the FF&amp;E facility and the second mortgage note holders as required under the disbursement agreement. Any such budget overruns could significantly impair our ability to complete Le Rêve.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to provide allowances for improvements to retail tenants in excess of our budgeted amounts.</w:t>
      </w:r>
    </w:p>
    <w:p>
      <w:pPr>
        <w:spacing w:after="0" w:line="231"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all plans and specifications regarding the design of Le Rêve are finalized.</w:t>
      </w:r>
    </w:p>
    <w:p>
      <w:pPr>
        <w:spacing w:after="0" w:line="231"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Specifically, as of the date of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with regard to the portion of the construction budget covered by the approximately $919 million Marnell Corrao construction contract:</w:t>
      </w:r>
    </w:p>
    <w:p>
      <w:pPr>
        <w:spacing w:after="0" w:line="262" w:lineRule="exact"/>
        <w:rPr>
          <w:sz w:val="20"/>
          <w:szCs w:val="20"/>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 plant, meeting rooms and warehouse space, which represent approximately $388 million of the construction components covered by the construction contract;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 and</w:t>
      </w:r>
    </w:p>
    <w:p>
      <w:pPr>
        <w:spacing w:after="0" w:line="207"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drawings for the interior work on the project have not been finalized. If the cost to complete the interior work exceeds budgeted amounts, the excess will not be covered by the guaranteed maximum price contract and, accordingly, we will be responsible for these excess costs.</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With respect to the construction components for which plans and specifications have not been finalized, the guaranteed maximum price contract is based on master concept plans and agreed upon design and other premises and assumptions for the detailed plans to be created. Construction will commence before completion of all drawings and specifications. Delays in completing the drawings and specifications could cause delays in the substantial completion of the work and, under specified circumstances, could defer the contractor's obligation to deliver the completed project by the scheduled completion date.</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 We may not have access to sufficient funds to pay for any of these increases in the guaranteed maximum price and, therefore, these increases could severely impair our ability to complete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there is a risk that the funds earmarked for the guaranteed maximum price could be exhausted before substantial completion of the project should Marnell Corrao spend greater amounts on certain line items in the earlier stages of construction. The construction contract addresses this risk by requiring Marnell Corrao to demonstrate that it has sufficient funds to complete the work if it reasonably appears, at any stage of the construction work, that the cost to complete the work will exceed the guaranteed maximum price. If Marnell Corrao is unable to provide this evidence, then we may not be able to demonstrate to the disbursement agent and the construction consultant as required by the disbursement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that we have sufficient funds available to cover all remaining construction costs, plus required contingency, in accordance with our construction budget. Accordingly, if Marnell Corrao is unable to demonstrate that it has sufficient funds to complete the work, we may be denied further access to the proceeds of the second mortgage notes, the credit facilities and the FF&amp;E facility.</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With respect to the costs of the components that are not covered by the Marnell Corrao construction contract, we have spent approximately 8.4% to date. Plans relating to many of these components have not been finalized. While we have received bids with respect to items comprising another 36.6% of these remaining budgeted costs, we have not accepted these bids and therefore the bids are subject to change. Accordingly, we have not yet spent or received bids for a total of approximately 55% of these remaining budgeted costs.</w:t>
      </w:r>
    </w:p>
    <w:p>
      <w:pPr>
        <w:sectPr>
          <w:pgSz w:w="11900" w:h="16838" w:orient="portrait"/>
          <w:cols w:equalWidth="0" w:num="1">
            <w:col w:w="11420"/>
          </w:cols>
          <w:pgMar w:left="240" w:top="131" w:right="239" w:bottom="0" w:gutter="0" w:footer="0" w:header="0"/>
        </w:sectPr>
      </w:pPr>
    </w:p>
    <w:bookmarkStart w:id="9" w:name="page10"/>
    <w:bookmarkEnd w:id="9"/>
    <w:p>
      <w:pPr>
        <w:ind w:firstLine="348"/>
        <w:spacing w:after="0" w:line="298" w:lineRule="auto"/>
        <w:rPr>
          <w:sz w:val="20"/>
          <w:szCs w:val="20"/>
          <w:color w:val="auto"/>
        </w:rPr>
      </w:pPr>
      <w:r>
        <w:rPr>
          <w:rFonts w:ascii="Arial" w:cs="Arial" w:eastAsia="Arial" w:hAnsi="Arial"/>
          <w:sz w:val="16"/>
          <w:szCs w:val="16"/>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and the FF&amp;E facility and the second mortgage note holders as required under the disbursement agreement. We cannot assure you that we would obtain these consents.</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changes in the scope of work.</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Although we have a guaranteed maximum price contract, the construction contract with Marnell Corrao provides that the guaranteed maximum price will be appropriately increased, and the deadline for completion of construction will be appropriately adjusted, on account of, among other things:</w:t>
      </w:r>
    </w:p>
    <w:p>
      <w:pPr>
        <w:spacing w:after="0" w:line="15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insufficient contingency amounts and smaller than anticipated cost savings.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guaranteed maximum price provides for an owner contingency of approximately $7.6 million to cover several items, including owner-created delays and owner-originated changes in the scope of work. We cannot assure you that the amount of the owner-contingency will be sufficient to cover any or all delays or changes in the scope of work. The guaranteed maximum price also reflects a credit of $18 million for the anticipated savings derived from the owner controlled insurance program on contractor and subcontractor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insurance costs. While we have taken a conservative approach with respect to anticipating cost savings, we cannot be certain of the precise savings until the final audit is complete.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our subsidiaries to be out of "balance" under the second mortgage notes, credit facilities and FF&amp;E facility and, consequently, prevent them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will likely not be sufficient to protect us against exposure to actual damages we may suffer for delay in completion of the project.</w:t>
      </w:r>
    </w:p>
    <w:p>
      <w:pPr>
        <w:spacing w:after="0" w:line="18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5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disbursement agreement requires our subsidiaries to obtain delay liquidated damages insurance to supplement the delay damages payable by Marnell Corrao. We cannot assure you that our subsidiaries will be able to obtain a liquidated damages insurance policy. If they do not obtain this insurance policy, we will not be able to obtain funds from the second mortgage note proceeds secured account or to draw down under the credit facilities. Moreover, even if our subsidiaries are able to obtain liquidated damages insurance, we cannot assure you that they will be able to obtain the insurance proceeds on a timely basis to pay our costs as they are incurred. In addition, if the contractor defaults under the construction contract, we may be unable to complete Le Rêve on schedule or within the amount budgeted. Failure to complete construction on schedule may have a significant negative impact on our operations and financial condition.</w:t>
      </w:r>
    </w:p>
    <w:p>
      <w:pPr>
        <w:spacing w:after="0" w:line="16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As noted above, the contract also provides for liquidated damages in the amount of $300,000 per day to be imposed on the contractor on a daily basis if the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w:t>
      </w:r>
    </w:p>
    <w:p>
      <w:pPr>
        <w:sectPr>
          <w:pgSz w:w="11900" w:h="16838" w:orient="portrait"/>
          <w:cols w:equalWidth="0" w:num="1">
            <w:col w:w="11420"/>
          </w:cols>
          <w:pgMar w:left="240" w:top="131" w:right="239" w:bottom="792"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92" w:gutter="0" w:footer="0" w:header="0"/>
          <w:type w:val="continuous"/>
        </w:sectPr>
      </w:pPr>
    </w:p>
    <w:bookmarkStart w:id="10" w:name="page11"/>
    <w:bookmarkEnd w:id="10"/>
    <w:p>
      <w:pPr>
        <w:spacing w:after="0" w:line="100"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their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 This may require us to raise additional funding, which may not be available on satisfactory terms or at all. If we seek additional equity capital as a funding alternative, the interests of Wynn Resorts' stockholders could be diluted. If the opening of Le Rêve is delayed because we cannot fund cost overruns, it could have a substantial negative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tax management time and resources.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Because Le Rêve is scheduled to open in March 2005 and the Macau concession contract requires Wynn Macau to open a permanent casino resort in Macau by December 2006, we anticipate that there will be a period of time when we will be building Le Rêve at the same time as Wynn Macau will be building its casino(s) in Macau. If both projects are being built simultaneously, members of our senior management will be involved in planning and developing both projects. Major construction projects like Le Rêve will require certain members of management to devote a significant amount of time, attention and resources to the projects, including to manage costs, review budget issues, review design plans, address construction, equipment or staffing problems, pursue the licenses, permits, allocations and authorizations from regulatory authorities that we will need to obtain, hire and train employees and implement marketing strategies. Developing the Macau opportunity simultaneously with Le Rêve may divert management resources from the construction and/or opening of either project. Management's inability to devote sufficient time and attention to either project may delay the construction or opening of the projects. This type of delay could have a negative effect on our business and operations.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consolidated debt in relation to our equity, which debt will increase during the construction period. Concurrent with the closing of this offering, we expect that Wynn Las Vegas, our indirect subsidiary, will enter into two credit facilities, a revolving credit facility in a maximum principal amount of $750 million and a delay draw term loan facility in a maximum principal amount of $250 million. We also expect that Wynn Las Vegas and Wynn Capital will jointly issue an aggregate principal amount of approximately $350 million</w:t>
      </w:r>
    </w:p>
    <w:p>
      <w:pPr>
        <w:sectPr>
          <w:pgSz w:w="11900" w:h="16939" w:orient="portrait"/>
          <w:cols w:equalWidth="0" w:num="1">
            <w:col w:w="11420"/>
          </w:cols>
          <w:pgMar w:left="240" w:top="131" w:right="239" w:bottom="0" w:gutter="0" w:footer="0" w:header="0"/>
        </w:sectPr>
      </w:pPr>
    </w:p>
    <w:bookmarkStart w:id="11" w:name="page12"/>
    <w:bookmarkEnd w:id="11"/>
    <w:p>
      <w:pPr>
        <w:ind w:right="200"/>
        <w:spacing w:after="0" w:line="306" w:lineRule="auto"/>
        <w:rPr>
          <w:sz w:val="20"/>
          <w:szCs w:val="20"/>
          <w:color w:val="auto"/>
        </w:rPr>
      </w:pPr>
      <w:r>
        <w:rPr>
          <w:rFonts w:ascii="Arial" w:cs="Arial" w:eastAsia="Arial" w:hAnsi="Arial"/>
          <w:sz w:val="16"/>
          <w:szCs w:val="16"/>
          <w:color w:val="auto"/>
        </w:rPr>
        <w:t>of second mortgage notes, and that Wynn Las Vegas will enter into an agreement for an FF&amp;E facility in a maximum principal amount of $178.5 million. The FF&amp;E facility will provide financing for furniture, fixtures and equipment for Le Rêve and include a provision for an intercompany loan to World Travel, LLC, the owner of our corporate jet. We anticipate that we will draw down approximately $701.4 million under the revolving credit facility and the full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amount of the delay draw term loan facility to fund the construction, development, equipping and opening of Le Rêve and, therefore, by the time Le Rêve is complete, we expect to have total outstanding indebtedness in an aggregate principal amount of approximately $1.5 billion.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right="60" w:hanging="532"/>
        <w:spacing w:after="0" w:line="335"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we are unable to meet conditions to disbursements of the second mortgage note proceeds or, after exhaustion thereof, to drawing down amounts under the credit facilities or the FF&amp;E facility, our subsidiaries may not have sufficient funds to continue or complete construction of Le Rêve or to satisfy their construction, debt service and other obligations with respect to the credit facilities, FF&amp;E facility and second mortgage notes;</w:t>
      </w:r>
    </w:p>
    <w:p>
      <w:pPr>
        <w:spacing w:after="0" w:line="169"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Wynn Las Vegas' ability to satisfy its obligations with respect to the credit facilities and the FF&amp;E facility, and the ability of Wynn Las Vegas and Wynn Capital to satisfy their obligations with respect to the second mortgage notes, may be limited, and, if Wynn Las Vegas and Wynn Capital fail to meet their payment obligations or breach the financial and restrictive covenants contained in the agreements governing the indebtedness, they may be in default under those agreements. If a default is not cured or waived, we may not be able to obtain additional borrowings, including borrowings needed to continue or complete construction of Le Rêve, and the lenders under our credit facilities and the FF&amp;E facility and, subject to the intercreditor agreements, the holders of the second mortgage notes will have the right to accelerate the indebtedness and exercise other rights and remedies against Wynn Las Vegas, Wynn Capital and the guarantors of the indebtedness. These rights and remedies include the rights to:</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Wynn Capital and the guarantors,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petition a court to appoint a receiver for Wynn Las Vegas, Wynn Capital and the guarantors or for substantially all of their assets,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they are insolvent, to initiate involuntary bankruptcy proceedings against Wynn Las Vegas, Wynn Capital and the guarantors,</w:t>
      </w:r>
    </w:p>
    <w:p>
      <w:pPr>
        <w:spacing w:after="0" w:line="248" w:lineRule="exact"/>
        <w:rPr>
          <w:sz w:val="20"/>
          <w:szCs w:val="20"/>
          <w:color w:val="auto"/>
        </w:rPr>
      </w:pPr>
    </w:p>
    <w:p>
      <w:pPr>
        <w:ind w:right="60" w:firstLine="527"/>
        <w:spacing w:after="0" w:line="332" w:lineRule="auto"/>
        <w:rPr>
          <w:sz w:val="20"/>
          <w:szCs w:val="20"/>
          <w:color w:val="auto"/>
        </w:rPr>
      </w:pPr>
      <w:r>
        <w:rPr>
          <w:rFonts w:ascii="Arial" w:cs="Arial" w:eastAsia="Arial" w:hAnsi="Arial"/>
          <w:sz w:val="16"/>
          <w:szCs w:val="16"/>
          <w:color w:val="auto"/>
        </w:rPr>
        <w:t>in each case, subject to procedural restraints and limitations applicable to secured creditors generally and procedural restraints and limitations imposed by applicable gaming laws, rules and regulations and the rules and regulations of the Public Utilities Commission of Nevada;</w:t>
      </w:r>
    </w:p>
    <w:p>
      <w:pPr>
        <w:spacing w:after="0" w:line="153" w:lineRule="exact"/>
        <w:rPr>
          <w:sz w:val="20"/>
          <w:szCs w:val="20"/>
          <w:color w:val="auto"/>
        </w:rPr>
      </w:pPr>
    </w:p>
    <w:p>
      <w:pPr>
        <w:ind w:left="1080" w:hanging="532"/>
        <w:spacing w:after="0" w:line="29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limited permitted extensions due to force majeure events, if we do not complete construction of Le Rêve by August 31, 2005, Wynn Las Vegas will be in default under the credit facilities and the FF&amp;E facility and Wynn Las Vegas and Wynn Capital will be in default under the indenture governing the second mortgage notes, and the lenders under the credit facilities and FF&amp;E facility and, subject to the intercreditor agreements, the second mortgage note holders, will have the right to accelerate the indebtedness and exercise other rights and remedies against Wynn Las Vegas, Wynn Capital and the guarantors of the indebtedness, including the rights and remedies described above;</w:t>
      </w:r>
    </w:p>
    <w:p>
      <w:pPr>
        <w:spacing w:after="0" w:line="196"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Wynn Resorts incurs or guarantees other indebtedness, it will become a guarantor of the indebtedness under the credit facilities and the second mortgage notes and, as a result, Wynn Resorts will be obligated to make payments to the lenders and the holders of the second mortgage notes if Wynn Las Vegas, Wynn Capital and the guarantors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indebtedness fail to satisfy their obligations under the credit facilities, the FF&amp;E facility or the second mortgage notes;</w:t>
      </w:r>
    </w:p>
    <w:p>
      <w:pPr>
        <w:spacing w:after="0" w:line="239" w:lineRule="exact"/>
        <w:rPr>
          <w:sz w:val="20"/>
          <w:szCs w:val="20"/>
          <w:color w:val="auto"/>
        </w:rPr>
      </w:pPr>
    </w:p>
    <w:p>
      <w:pPr>
        <w:ind w:left="1080" w:right="540" w:hanging="532"/>
        <w:spacing w:after="0" w:line="370"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Upon commencement of operations at Le Rêve, we will generate significant gaming receivables as a result of extending credit to our credit customers. Payments on these receivables likely will be delayed, which will reduce our cash flow until the payment cycle is established;</w:t>
      </w:r>
    </w:p>
    <w:p>
      <w:pPr>
        <w:spacing w:after="0" w:line="129" w:lineRule="exact"/>
        <w:rPr>
          <w:rFonts w:ascii="Arial" w:cs="Arial" w:eastAsia="Arial" w:hAnsi="Arial"/>
          <w:sz w:val="15"/>
          <w:szCs w:val="15"/>
          <w:color w:val="auto"/>
        </w:rPr>
      </w:pPr>
    </w:p>
    <w:p>
      <w:pPr>
        <w:ind w:left="1080" w:right="540" w:hanging="532"/>
        <w:spacing w:after="0" w:line="370"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Once Le Rêve is operating, we will be required to use a substantial portion of our cash flow from operations to service our subsidiaries' indebtedness, which will reduce the available cash flow to fund working capital, capital expenditures and other general corporate purposes;</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Wynn Las Vegas pays will fluctuate with the current market rates and, accordingly, our interest expense will increase if market interest rates increase;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subsidiaries will have increased vulnerability to general adverse economic and industry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right to incur additional indebtedness, which may exacerbate the risks described above.</w:t>
      </w:r>
    </w:p>
    <w:p>
      <w:pPr>
        <w:sectPr>
          <w:pgSz w:w="11900" w:h="16838" w:orient="portrait"/>
          <w:cols w:equalWidth="0" w:num="1">
            <w:col w:w="11400"/>
          </w:cols>
          <w:pgMar w:left="240" w:top="131" w:right="259" w:bottom="0" w:gutter="0" w:footer="0" w:header="0"/>
        </w:sectPr>
      </w:pPr>
    </w:p>
    <w:bookmarkStart w:id="12" w:name="page13"/>
    <w:bookmarkEnd w:id="12"/>
    <w:p>
      <w:pPr>
        <w:ind w:right="60" w:firstLine="351"/>
        <w:spacing w:after="0" w:line="291" w:lineRule="auto"/>
        <w:rPr>
          <w:sz w:val="20"/>
          <w:szCs w:val="20"/>
          <w:color w:val="auto"/>
        </w:rPr>
      </w:pPr>
      <w:r>
        <w:rPr>
          <w:rFonts w:ascii="Arial" w:cs="Arial" w:eastAsia="Arial" w:hAnsi="Arial"/>
          <w:sz w:val="16"/>
          <w:szCs w:val="16"/>
          <w:color w:val="auto"/>
        </w:rPr>
        <w:t>In addition to the undrawn amounts under the revolving facility, the terms of the credit facilities, the FF&amp;E facility and the indenture governing the second mortgage notes will permit our subsidiaries to incur additional indebtedness, subject to the limitations imposed by the covenants in those documents. If our existing and contemplated levels of indebtedness increase, the related risks will increase correspondingly. Furthermore, Wynn Resorts will not be subject to the covenants in the credit facilities and second mortgage notes and therefore could incur additional indebtedness. In addition, some of Wynn Resorts' foreign and domestic Macau-related subsidiaries will need additional financing, which could take the form of indebtedness, to fund the development, design and construction costs related to the Macau opportunity. We cannot predict the terms and conditions that might apply to that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w:t>
      </w:r>
    </w:p>
    <w:p>
      <w:pPr>
        <w:spacing w:after="0" w:line="231" w:lineRule="exact"/>
        <w:rPr>
          <w:sz w:val="20"/>
          <w:szCs w:val="20"/>
          <w:color w:val="auto"/>
        </w:rPr>
      </w:pPr>
    </w:p>
    <w:p>
      <w:pPr>
        <w:ind w:right="520"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March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our construction, debt service and other obligations.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firstLine="341"/>
        <w:spacing w:after="0" w:line="256"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subsidiaries' debt service requirements. Our ability to generate cash flow will depend upon many factors, including:</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these factors are beyond our control. In addition, the financing documents for each of the Le Rêve project and the Macau opportunity may contain restrictions or prohibitions on the distribution to Wynn Resorts of any cash flow generated by these projects. Thus, any cash flow generated by the Macau casinos operated by Wynn Macau may not be available to service the debt of the subsidiaries developing the Le Rêve project. Similarly, any cash flow generated by the Le Rêve project may not be available to service the debt of the subsidiaries developing the Macau opportunity.</w:t>
      </w:r>
    </w:p>
    <w:p>
      <w:pPr>
        <w:spacing w:after="0" w:line="16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we fail to generate sufficient cash flow from future operations to meet our subsidiaries' debt service obligations, we may need to refinance all or a portion of the indebtedness or obtain additional financing in order to meet obligations with respect to the indebtedness. We cannot assure you that we will be able to refinance any of the indebtedness or obtain additional financing on satisfactory terms or at all, particularly because of our anticipated high levels of consolidated debt and the debt and lien incurrence restrictions imposed by the agreements governing the debt. See "—General Risks Associated with Our Business—We have no operating history." If our subsidiaries fail to meet their debt service obligations, they will be in default under the indebtedness and the lenders and the second mortgage note holders will have the right to accelerate the indebtedness and exercise other rights and remedies against our subsidiaries, including the rights and remedies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and second mortgage notes will be secured by liens on substantially all of the assets of our subsidiaries that are necessary for the development, construction or operation of Le Rêve. We expect that the FF&amp;E facility will be secured by a first priority security interest in specific assets financed by that facility, including our corporate aircraft, gaming and other equipment, furnishings, fixtures and devices such as elevators, escalators, our electrical substation, heating, vacuum and air conditioning equipment and slot machines. The credit facilities, the FF&amp;E facility and the second mortgage notes will not be secured by any assets related to Wynn Macau's planned operations in Macau.</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of a default by any of our subsidiaries under the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80" w:lineRule="exact"/>
        <w:rPr>
          <w:sz w:val="20"/>
          <w:szCs w:val="20"/>
          <w:color w:val="auto"/>
        </w:rPr>
      </w:pPr>
    </w:p>
    <w:p>
      <w:pPr>
        <w:ind w:right="40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specified affiliates' ability to engage in certain transactions and may impair our ability to respond to changing business and economic conditions.</w:t>
      </w:r>
    </w:p>
    <w:p>
      <w:pPr>
        <w:spacing w:after="0" w:line="11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Resorts Holdings, Wynn Las Vegas and specified affiliates designated as restricted entities under the credit documentation and the indenture governing the second mortgage notes. The restrictions that will be imposed under the credit facilities, the FF&amp;E facility and/or the indenture will include, among other things, limitations on the restricted entities' ability to:</w:t>
      </w:r>
    </w:p>
    <w:p>
      <w:pPr>
        <w:sectPr>
          <w:pgSz w:w="11900" w:h="16838" w:orient="portrait"/>
          <w:cols w:equalWidth="0" w:num="1">
            <w:col w:w="11400"/>
          </w:cols>
          <w:pgMar w:left="240" w:top="131" w:right="259" w:bottom="0" w:gutter="0" w:footer="0" w:header="0"/>
        </w:sectPr>
      </w:pPr>
    </w:p>
    <w:bookmarkStart w:id="13" w:name="page14"/>
    <w:bookmarkEnd w:id="13"/>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and sell equity interest in wholly-owned subsidiaries.</w:t>
      </w:r>
    </w:p>
    <w:p>
      <w:pPr>
        <w:spacing w:after="0" w:line="225"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The credit facilities will require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4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restricted entities' ability to comply with these provisions may be affected by general economic conditions, industry conditions, other events beyond our control and delayed completion of Le Rêve. As a result, we cannot assure you that the restricted entities will be able to comply with these covenants. Failure by the restricted entities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 If the restricted entities fail to comply with a financial covenant or other restriction contained in the credit facilities, the FF&amp;E facility, the indenture governing the second mortgage notes or any future financing agreements, an event of default could occur.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there were an event of default under one of our subsidiaries'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either upon maturity or if accelerated upon an event of default, or that we would be able to refinance or restructure the payments on those debt securities. Further, if our subsidiaries are unable to repay, refinance or restructure their indebtedness under the credit facilities, the FF&amp;E facility and the second mortgage notes, the lenders under those facilities and the second mortgage note holders could proceed against the collateral securing that indebtedness. In addition, any event of default or declaration of acceleration under one debt instrument could result in an event of default or declaration of acceleration under one or more of our subsidiaries' other debt instruments.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and will own and operate the remaining approximately 18 retail spaces. We have entered into one restaurant management agreement and we may enter into others with respect to one or more of the restaurants in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opening and operation of Le Rêve will be contingent upon the receipt of all regulatory licenses, permits, approvals, registrations, findings of suitability, orders and authorizations from the Nevada gaming and other governmental authorities, including findings of suitability with regard to our direct and indirect principal stockholders. In addition, the opening and operation of Wynn Macau's casino(s) will be subject to the Macau government finding all necessary parties suitable to conduct or be associated with a gaming business in Macau. See "—General Risks Associated with Our Business—Le Rêve and Wynn Macau's</w:t>
      </w:r>
    </w:p>
    <w:p>
      <w:pPr>
        <w:sectPr>
          <w:pgSz w:w="11900" w:h="16838" w:orient="portrait"/>
          <w:cols w:equalWidth="0" w:num="1">
            <w:col w:w="11420"/>
          </w:cols>
          <w:pgMar w:left="240" w:top="145" w:right="239" w:bottom="0" w:gutter="0" w:footer="0" w:header="0"/>
        </w:sectPr>
      </w:pPr>
    </w:p>
    <w:bookmarkStart w:id="14" w:name="page15"/>
    <w:bookmarkEnd w:id="14"/>
    <w:p>
      <w:pPr>
        <w:ind w:right="200"/>
        <w:spacing w:after="0" w:line="256" w:lineRule="auto"/>
        <w:rPr>
          <w:sz w:val="20"/>
          <w:szCs w:val="20"/>
          <w:color w:val="auto"/>
        </w:rPr>
      </w:pPr>
      <w:r>
        <w:rPr>
          <w:rFonts w:ascii="Arial" w:cs="Arial" w:eastAsia="Arial" w:hAnsi="Arial"/>
          <w:sz w:val="18"/>
          <w:szCs w:val="18"/>
          <w:color w:val="auto"/>
        </w:rPr>
        <w:t>casino(s) will be subject to extensive state and local regulation, and licensing and gaming authorities have significant control over their operations, which could have a negative effect on our business." The scope of approvals required to open Le Rêve is extensive and failure to obtain or maintain such approvals could prevent or delay the completion or opening of all or part of Le Rêve, or otherwise affect the design and features of Le Rêve, and could materially and adversely affect our financial position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management and other key personnel could significantly harm our business.</w:t>
      </w:r>
    </w:p>
    <w:p>
      <w:pPr>
        <w:spacing w:after="0" w:line="231"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Our ability to maintain our competitive position is dependent to a large degree on the efforts and skills of our senior management team, including Stephen A. Wynn, the Chairman of the Board and Chief Executive Officer and one of the principal stockholders of Wynn Resorts. We have entered into employment agreements with several of our senior executives, and we plan to enter into additional employment agreements with some of our other senior executives, including Stephen A. Wynn. However, we cannot guarantee that these individuals will remain with us. If we lose the services of any members of our management team or other key personnel, or if they are unable to devote sufficient attention to our operations, our business may be significantly impaired. We cannot assure you that we will be able to retain our existing senior management personnel or to attract additional qualified senior management personnel. See "Management."</w:t>
      </w:r>
    </w:p>
    <w:p>
      <w:pPr>
        <w:spacing w:after="0" w:line="15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our officers, directors and certain key employees also will be required to file applications with the Nevada gaming authorities and may be required to be licensed or found suitable by the Nevada gaming authorities. In Macau, officers, directors and key employees of concession holders are also subject to suitability requirements in terms of background, business experience, associations and reputation. If the Nevada gaming authorities or the Macau government were to find an officer, director or key employee unsuitable for licensing or unsuitable to continue having a relationship with us, we would have to sever all relationships with that person. Furthermore, the Nevada Gaming Commission or the Macau government may require us to terminate the employment of any person who refuses to file appropriate applications. Either result could adversely affect our gaming operations.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staff at relatively low levels. We will be required to undertake a major recruiting and training program before Le Rêve opens. However, the pool of experienced gaming and other personnel is limited and competition to recruit and retain gaming and other personnel is likely to intensify as more hotel casinos are opened.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retail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date of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Las Vegas Retail Competition. </w:t>
      </w:r>
      <w:r>
        <w:rPr>
          <w:rFonts w:ascii="Arial" w:cs="Arial" w:eastAsia="Arial" w:hAnsi="Arial"/>
          <w:sz w:val="16"/>
          <w:szCs w:val="16"/>
          <w:color w:val="auto"/>
        </w:rPr>
        <w:t>Retail shops in Le Rêve will compete with retail malls in or near Las Vegas, including the Fashion Show Mall,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is undergoing a substantial remodeling and expansion, retail stores at Bellagio, The Forum Shops at Caesars Palace, which is expected to complete a 200,000 square foot expansion in 2004, The Grand Canal Shoppes at The Venetian, the Desert Passage at Aladdin Resort &amp; Casino and other retailers in resorts on the Las Vegas Strip, all of which may attract customers away from Le Rêve's retail shops.</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Other Competition for Le Rêve. </w:t>
      </w:r>
      <w:r>
        <w:rPr>
          <w:rFonts w:ascii="Arial" w:cs="Arial" w:eastAsia="Arial" w:hAnsi="Arial"/>
          <w:sz w:val="18"/>
          <w:szCs w:val="18"/>
          <w:color w:val="auto"/>
        </w:rPr>
        <w:t>Le Rêve will also compete, to some extent, with other hotel/casino facilities in Nevada and in Atlantic City, with riverboat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w:t>
      </w:r>
    </w:p>
    <w:p>
      <w:pPr>
        <w:sectPr>
          <w:pgSz w:w="11900" w:h="16838" w:orient="portrait"/>
          <w:cols w:equalWidth="0" w:num="1">
            <w:col w:w="11420"/>
          </w:cols>
          <w:pgMar w:left="240" w:top="131" w:right="239" w:bottom="45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54" w:gutter="0" w:footer="0" w:header="0"/>
          <w:type w:val="continuous"/>
        </w:sectPr>
      </w:pPr>
    </w:p>
    <w:bookmarkStart w:id="15" w:name="page16"/>
    <w:bookmarkEnd w:id="15"/>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9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that is more geographically or otherwise diversified.</w:t>
      </w:r>
    </w:p>
    <w:p>
      <w:pPr>
        <w:spacing w:after="0" w:line="18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do not expect to have material assets or operations other than Le Rêve and Wynn Macau's casino(s) for the foreseeable future. As a result, we likely will be entirely dependent upon Le Rêve and the Macau casino(s) for all of our cash flow. In addition, the financing documents for each of the Le Rêve project and the Macau opportunity may contain restrictions or prohibitions on the distribution to Wynn Resorts of any cash flow generated by these projects. See "—Risks Related to Our Substantial Indebtedness—We may not generate sufficient cash flow to meet our substantial debt service and other obligations."</w:t>
      </w:r>
    </w:p>
    <w:p>
      <w:pPr>
        <w:spacing w:after="0" w:line="16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Although we own a parcel of approximately 20 acres of land located next to Le Rêve along Las Vegas Boulevard and the Le Rêve golf course land that will be available for future development should they be released from the liens under the credit facilities and second mortgage notes upon satisfaction of prescribed cash flow tests after commencing operations at Le Rêve, we currently have no plans to develop these parcels. In addition, because our operations will only focus on Las Vegas and Macau, we will be subject to greater degrees of risk than a gaming company that is more geographically or otherwise diverse. The risks to which we will have a greater degree of exposure include the following:</w:t>
      </w:r>
    </w:p>
    <w:p>
      <w:pPr>
        <w:spacing w:after="0" w:line="18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second mortgage notes pursuant to the indenture,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credit facilities or the FF&amp;E facility or with respect to our other debt. See "—Risks Associated with the Macau Opportunity."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could have a negative impact on our operations.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Also, the terrorist attacks of September 11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costs may increase and we may not be able to obtain full insurance coverage in the future.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cost of new insurance policies are higher as a result of general increases in premium levels. The cost of coverage may become so high that we will need to reduce our policy limits or agree to certain exclusions from coverage, and we may not be able to purchase or renew insurance policies on favorable terms or at all. If we are forced to reduce, or prevented from obtaining or renewing, insurance coverage with respect to the occurrence of certain casualties, we could be exposed to heavy losses in the event that any damages result from such an occurrence.</w:t>
      </w:r>
    </w:p>
    <w:p>
      <w:pPr>
        <w:sectPr>
          <w:pgSz w:w="11900" w:h="16898" w:orient="portrait"/>
          <w:cols w:equalWidth="0" w:num="1">
            <w:col w:w="11420"/>
          </w:cols>
          <w:pgMar w:left="240" w:top="131" w:right="239" w:bottom="0" w:gutter="0" w:footer="0" w:header="0"/>
        </w:sectPr>
      </w:pPr>
    </w:p>
    <w:bookmarkStart w:id="16" w:name="page17"/>
    <w:bookmarkEnd w:id="16"/>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 By the time this offering closes, all current stockholders holding 5% or more of the capital stock of Wynn Macau will have been found suitable or submitted applications for a finding of suitability with the Macau government.</w:t>
      </w:r>
    </w:p>
    <w:p>
      <w:pPr>
        <w:spacing w:after="0" w:line="198"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Gaming Commission may impose unanticipated requirements regarding the licensing of owners of Wynn Resorts.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Kazuo Okada is the owner of a controlling interest in Aruze Corp., the parent company of Aruze USA, Inc., referred to as Aruze USA, which, immediately before the closing of this offering, will own approximately 47.4%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20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were to act adversely with respect to the pending proceeding involving Universal Distributing, that decision could adversely affect an application filed by Aruze USA, Aruze Corp., Kazuo Okada or Tomohiro Okada in respect of Wynn Resorts.</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ectPr>
          <w:pgSz w:w="11900" w:h="16838" w:orient="portrait"/>
          <w:cols w:equalWidth="0" w:num="1">
            <w:col w:w="11420"/>
          </w:cols>
          <w:pgMar w:left="240" w:top="125" w:right="239" w:bottom="0" w:gutter="0" w:footer="0" w:header="0"/>
        </w:sectPr>
      </w:pPr>
    </w:p>
    <w:bookmarkStart w:id="17" w:name="page18"/>
    <w:bookmarkEnd w:id="17"/>
    <w:p>
      <w:pPr>
        <w:spacing w:after="0" w:line="86"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9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60" w:firstLine="348"/>
        <w:spacing w:after="0" w:line="310" w:lineRule="auto"/>
        <w:rPr>
          <w:sz w:val="20"/>
          <w:szCs w:val="20"/>
          <w:color w:val="auto"/>
        </w:rPr>
      </w:pPr>
      <w:r>
        <w:rPr>
          <w:rFonts w:ascii="Arial" w:cs="Arial" w:eastAsia="Arial" w:hAnsi="Arial"/>
          <w:sz w:val="15"/>
          <w:szCs w:val="15"/>
          <w:color w:val="auto"/>
        </w:rPr>
        <w:t>We have conducted a Phase I Environmental Assessment. The Phase I report, as updated in August 2002, identified two areas where further sampling is recommended. Based on our prior work at the site and the other information in the Phase I report, we believe that, if any sampling indicates that remediation is required, the remediation will not be material, although we can provide no assurance with respect to the outcome. Otherwise, 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62"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significantly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ectPr>
          <w:pgSz w:w="11900" w:h="16924" w:orient="portrait"/>
          <w:cols w:equalWidth="0" w:num="1">
            <w:col w:w="11400"/>
          </w:cols>
          <w:pgMar w:left="240" w:top="131" w:right="259" w:bottom="0" w:gutter="0" w:footer="0" w:header="0"/>
        </w:sectPr>
      </w:pPr>
    </w:p>
    <w:bookmarkStart w:id="18" w:name="page19"/>
    <w:bookmarkEnd w:id="18"/>
    <w:p>
      <w:pPr>
        <w:spacing w:after="0" w:line="10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8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have applied to register the "LE RÊVE" service mark with the United States Patent and Trademark Office, referred to as the PTO, for casino and hotel services, as well as for other ancillary uses. Our application for the hotel services mark has cleared the PTO examination process, meaning that "LE RÊVE" will be registered for hotel and other related services if no member of the public objects by a published deadline. Our application for the casino services mark remains pending and, we expect it to be published for opposition soon.</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Even if we are able to obtain registration of the "LE RÊVE" mark for the above described applications, such federal registration is not completely dispositive of the right to such trademarks. Third parties with prior rights with respect to marks similar to "LE RÊVE," including to the English translation " THE DREAM," may nonetheless challenge our use of "LE RÊVE" and seek to overcome the presumptions afforded by the registration. They also could attempt to prevent our use of "LE RÊVE" and/or seek monetary damages as a result of our use. Any such failure to register or successful challenge by a third party could have a material impact on our business with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 subsidiaries might employ could also seek to collectively negotiate the terms and conditions of their employment with Wynn Resorts' Macau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Desert Inn Improvement Co. is a public utility under Nevada law. The public utility status of Desert Inn Improvement Co. imposes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 Nevada. Each of such actions requires the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operating our business in a manner that might be beneficial to our stockholders.</w:t>
      </w:r>
    </w:p>
    <w:p>
      <w:pPr>
        <w:spacing w:after="0" w:line="16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explore opportunities to develop additional gaming or related businesses that could have an adverse impact on our business if unsuccessful.</w:t>
      </w:r>
    </w:p>
    <w:p>
      <w:pPr>
        <w:spacing w:after="0" w:line="254"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We continue to explore opportunities to develop additional gaming or related businesses in Las Vegas or other markets, whether through acquisition, investment or development. Any acquisition, investment or development would have the potential to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would also cause our business to suffer.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w:t>
      </w:r>
    </w:p>
    <w:p>
      <w:pPr>
        <w:sectPr>
          <w:pgSz w:w="11900" w:h="16939"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revenues.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Associated with the Macau Opportunity</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patacas to one U.S. dollar, the exchange rate as of August 11, 2002. While the rate of exchange may fluctuate over the term of the concession agreement, the rate of exchange between the U.S. dollar and the Hong Kong dollar and, in turn, the Macau pataca, has remained relatively stable over the past several years. Wynn Resorts' indirect economic ownership interest in Wynn Macau is expected to be approximately 82.5% prior to any financing for the Macau opportunity.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may not be able to develop the Macau opportunity.</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Macau has entered into a concession agreement with the Macau government that obligates it to construct and operate at least one casino resort in Macau. According to the concession agreement, Wynn Macau must invest no less than a total of 4 billion patacas (currently approximately $500 million)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Before Wynn Macau can construct and operate these casino(s), it must, among other things:</w:t>
      </w:r>
    </w:p>
    <w:p>
      <w:pPr>
        <w:spacing w:after="0" w:line="212" w:lineRule="exact"/>
        <w:rPr>
          <w:sz w:val="20"/>
          <w:szCs w:val="20"/>
          <w:color w:val="auto"/>
        </w:rPr>
      </w:pPr>
    </w:p>
    <w:p>
      <w:pPr>
        <w:ind w:left="1080" w:right="1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the rights to use suitable parcels of land on satisfactory terms and in acceptable locations in Macau on which to build casino(s), although Wynn Macau has an agreement in principle relating to the location of its first proposed casino;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 sufficient number of qualified management, key personnel and employees to operate the casino(s);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the necessary debt or equity financing to fund the development, design and construction of any casino or casinos in Macau.</w:t>
      </w: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cannot assure you that Wynn Macau or Wynn Resorts' other Macau-related subsidiaries would be able to accomplish any of the above and, if they fail to do so, Wynn Macau may not be able to develop the Macau opportunity.</w:t>
      </w:r>
    </w:p>
    <w:p>
      <w:pPr>
        <w:spacing w:after="0" w:line="18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opens one or more casinos in Macau, its operations will be subject to unique risks,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risks related to Macau's untested regulatory framework. In light of the untested regulatory framework, Wynn Macau may need to develop operating procedures which are different from those used in domestic casinos. Failure to adapt to the regulatory and gaming environment in Macau could result in the revocation of Wynn Macau's concession or otherwise negatively affect its operations there. Moreover, Wynn Resorts would be subject to the risk that Macau's gaming regulatory framework will not develop in a way that would permit Wynn Resorts, as 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450 years of Portuguese control, Portugal returned Macau to Chinese administration.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20" w:name="page21"/>
    <w:bookmarkEnd w:id="20"/>
    <w:p>
      <w:pPr>
        <w:ind w:left="1080"/>
        <w:spacing w:after="0"/>
        <w:rPr>
          <w:sz w:val="20"/>
          <w:szCs w:val="20"/>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62" w:lineRule="exact"/>
        <w:rPr>
          <w:sz w:val="20"/>
          <w:szCs w:val="20"/>
          <w:color w:val="auto"/>
        </w:rPr>
      </w:pPr>
    </w:p>
    <w:p>
      <w:pPr>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disadvantage due to the ownership of substantially all of the water ferry services and the helicopter shuttle service that link Macau and Hong Kong and Kowloon, as well as the ferry terminal in Hong Kong, by Stanley Ho, who controls Sociedade de Jogos de Macau, the existing casino concession holder and operator in Macau and one of Wynn Macau's competitors;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obtaining relief, through legislative actions, from the complementary income tax and the withholding tax on dividends imposed in Macau;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Wynn Macau may not proceed with the construction of casino(s) in Macau if, in the judgment of its management, such conditions and risks cannot be adequately resolved, or if these conditions and risks would adversely affect Wynn Resorts'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However, if the law in</w:t>
      </w:r>
      <w:r>
        <w:rPr>
          <w:rFonts w:ascii="Arial" w:cs="Arial" w:eastAsia="Arial" w:hAnsi="Arial"/>
          <w:sz w:val="16"/>
          <w:szCs w:val="16"/>
          <w:i w:val="1"/>
          <w:iCs w:val="1"/>
          <w:color w:val="auto"/>
        </w:rPr>
        <w:t xml:space="preserve"> </w:t>
      </w:r>
      <w:r>
        <w:rPr>
          <w:rFonts w:ascii="Arial" w:cs="Arial" w:eastAsia="Arial" w:hAnsi="Arial"/>
          <w:sz w:val="16"/>
          <w:szCs w:val="16"/>
          <w:color w:val="auto"/>
        </w:rPr>
        <w:t>Macau is changed to permit casino operators to extend credit to gaming customers, Wynn Macau may not be able to collect all of its gaming receivables from its credit players. Furthermore,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countries, Wynn Macau may not have access to a forum in which it will be able to collect all of its gaming receivables and because, among other reasons, courts of many countries do not enforce gaming debts, Wynn Macau may encounter forums that will refuse to enforce such debts. Wynn Macau's inability to collect gaming debts could have a significant negative impact on its operating results.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increased volumes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potential investment in Macau would be made through a number of wholly owned and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domestic and foreign entities. Although we believe that transfers to these entities of the assets and stock of Wynn Macau can be accomplished on a tax-free basis, there is a risk that the Internal Revenue Service could assert that any appreciation in the transferred assets or its stock is currently taxable.</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exportation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48" w:lineRule="exact"/>
        <w:rPr>
          <w:rFonts w:ascii="Arial" w:cs="Arial" w:eastAsia="Arial" w:hAnsi="Arial"/>
          <w:sz w:val="16"/>
          <w:szCs w:val="16"/>
          <w:color w:val="auto"/>
        </w:rPr>
      </w:pPr>
    </w:p>
    <w:p>
      <w:pPr>
        <w:spacing w:after="0"/>
        <w:tabs>
          <w:tab w:leader="none" w:pos="0" w:val="left"/>
        </w:tabs>
        <w:numPr>
          <w:ilvl w:val="0"/>
          <w:numId w:val="27"/>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21" w:name="page22"/>
    <w:bookmarkEnd w:id="21"/>
    <w:p>
      <w:pPr>
        <w:spacing w:after="0" w:line="100" w:lineRule="exact"/>
        <w:rPr>
          <w:sz w:val="20"/>
          <w:szCs w:val="20"/>
          <w:color w:val="auto"/>
        </w:rPr>
      </w:pPr>
    </w:p>
    <w:p>
      <w:pPr>
        <w:ind w:left="1080" w:right="40"/>
        <w:spacing w:after="0" w:line="370" w:lineRule="auto"/>
        <w:rPr>
          <w:sz w:val="20"/>
          <w:szCs w:val="20"/>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3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Galaxy Casino Company Limited, referred to as Galaxy, also has been awarded a concession to operate casinos in Macau. Galaxy is a joint venture between an affiliate of the operators of The Venetian in Las Vegas and a group of Hong Kong investors, which, according to news reports, has plans to build a major casino on Taipa, the island where Macau's international airport is located, and possibly other casinos. Wynn Macau was awarded the third concession.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 Currently, SJM is reported to be planning a major remodeling of the Hotel Lisboa and, through a related entity, a new Fisherman's Wharf development, which will include a casino, in the area of the Macau ferry terminal.</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Stanley Ho, who controls SJM, also controls, through affiliates, substantially all of the water ferry and the helicopter shuttle services that link Macau and Hong Kong, as well as the Macau ferry terminal in Hong Kong. In addition, affiliates of Stanley Ho control certain real estate and other assets, such as the Mandarin Oriental Hotel in Macau. Such businesses and assets could provide a competitive advantage for SJM.</w:t>
      </w:r>
    </w:p>
    <w:p>
      <w:pPr>
        <w:spacing w:after="0" w:line="161" w:lineRule="exact"/>
        <w:rPr>
          <w:sz w:val="20"/>
          <w:szCs w:val="20"/>
          <w:color w:val="auto"/>
        </w:rPr>
      </w:pPr>
    </w:p>
    <w:p>
      <w:pPr>
        <w:jc w:val="both"/>
        <w:ind w:right="40" w:firstLine="348"/>
        <w:spacing w:after="0" w:line="294" w:lineRule="auto"/>
        <w:rPr>
          <w:sz w:val="20"/>
          <w:szCs w:val="20"/>
          <w:color w:val="auto"/>
        </w:rPr>
      </w:pPr>
      <w:r>
        <w:rPr>
          <w:rFonts w:ascii="Arial" w:cs="Arial" w:eastAsia="Arial" w:hAnsi="Arial"/>
          <w:sz w:val="16"/>
          <w:szCs w:val="16"/>
          <w:color w:val="auto"/>
        </w:rPr>
        <w:t>Wynn Macau's gaming business would face significant regional competition from casinos located in Asia, as well as other major casino destinations around the world. For example, Genting Highlands Resort, an entertainment complex just outside of Kuala Lumpur, Malaysia, which currently has five hotels, a casino, theme park,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fewer gaming customers might visit Macau and the results of operations of Wynn Macau's casinos could be negatively affected.</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construction of one or more casinos in Macau by Wynn Macau would entail significant risks associated with construction projects. These risks are similar to the risks we face in constructing Le Rêve. For examples of the construction risks that may apply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91"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The summary of the concession agreement between Wynn Macau and the Macau government set forth in this prospectus is based on English translations of Chinese and Portuguese versions of the concession agreement.</w:t>
      </w:r>
    </w:p>
    <w:p>
      <w:pPr>
        <w:sectPr>
          <w:pgSz w:w="11900" w:h="16939" w:orient="portrait"/>
          <w:cols w:equalWidth="0" w:num="1">
            <w:col w:w="11400"/>
          </w:cols>
          <w:pgMar w:left="240" w:top="131" w:right="259" w:bottom="0" w:gutter="0" w:footer="0" w:header="0"/>
        </w:sectPr>
      </w:pPr>
    </w:p>
    <w:bookmarkStart w:id="22" w:name="page23"/>
    <w:bookmarkEnd w:id="22"/>
    <w:p>
      <w:pPr>
        <w:spacing w:after="0" w:line="100"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concession agreement between Wynn Macau and the government of Macau was prepared in Chinese and Portuguese, and each of these versions of the concession agreement is an official document of equal authority. The summary of the concession agreement set forth in the section of this prospectus entitled "Concession Agreement with the Government of Macau" is based on unofficial English translations of both of the official Chinese and Portuguese versions of the agreement. We believe that the summary of the concession agreement set forth in this prospectus accurately reflects the key terms of the concession agreement in all material regards. However, because of the difficulties inherent in translation due to context, word order and the multiple meanings of words,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summarization of the key terms of the concession agreement is complicated by the difficulties in ascertaining how a Macau court will interpret the concession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Wynn Macau fails to abide by the terms of the concession agreement, it will face substantial penalties.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concession agreement provides for the imposition of substantial penalties if Wynn Macau violates certain terms of the concession agreement. The concession agreement prohibits Wynn Macau from ceding, transferring, alienating or in any way burdening its concession to conduct a gaming business in whole or in part without the approval of the government of Macau. The concession agreement provides that Wynn Macau will be liable to the government of Macau for 1 billion patacas (approximately US $125 million based on the August 11, 2002 exchange rate) if it assigns the whole concession without government approval, and 500 million patacas (approximately US $62.5 million based on the August 11, 2002 exchange rate) if it assigns part of the concession without government approval. If Wynn Macau encumbers the concession, in whole or in part, to conduct gaming activities in violation of the agreement, the concession agreement provides that it will be liable to the government of Macau for 300 million patacas (currently approximately US $37.5 million). Wynn Macau does not intend to assign or encumber all or part of the concession without government approval.</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the concession agreement prohibits Wynn Macau from granting without government approval a sub-concession to conduct gaming in Macau. If Wynn Macau violates this provision by granting a sub-concession of the whole agreement without governmental approval, the concession agreement provides that it will be liable to the government of Macau for 500 million patacas (approximately US $62.5 million based on the August 11, 2002 exchange rate), and if Wynn Macau grants a sub-concession of part of the agreement without governmental approval, the concession agreement provides that it will be liable to the government of Macau for 300 million patacas (approximately US $37.5 million based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August 11, 2002 exchange rate). Wynn Macau does not intend to grant any sub-concession without government approval.</w:t>
      </w:r>
    </w:p>
    <w:p>
      <w:pPr>
        <w:spacing w:after="0" w:line="21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If Wynn Macau builds one or more casinos in Macau, the value of Wynn Resorts' investment will vary depending on fluctuations, if any, in the currency exchange rate between the U.S. dollar and foreign currencies, including the Hong Kong dollar and the Macau pataca.</w:t>
      </w:r>
    </w:p>
    <w:p>
      <w:pPr>
        <w:spacing w:after="0" w:line="13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Macau pataca is not a freely convertible currency, the Macau pataca and the Hong Kong dollar are linked to each other, and in many cases are used interchangeably in Macau. If Wynn Macau builds and/or operates one or more casinos in Macau, Wynn Resorts will be subject to foreign exchange risk with respect to the foreign currency exchange rates between the Hong Kong dollar and the U.S. dollar. We expect that most of the revenue for any casino that Wynn Macau operates in Macau will be in Hong Kong dollars. We expect that some of the revenue will be in Macau patacas, and we intend that substantially all expenses for such casino operations will be paid in Macau patacas first, and then in Hong Kong dollars. The exchange rate between the U.S. dollar and the Hong Kong dollar is linked and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and economic and political developments. Also, if Wynn Resorts' Macau-related entities incur debt denominated in U.S. dollars, fluctuations in the exchange rates of the Macau pataca or the Hong Kong dollar, in relation to the U.S. dollar, could have an adverse effect on Wynn Macau's ability to service its debt and its results of operations and financial condition. In addition, Wynn Macau's payment and expenditure obligations under the concession agreement would increase in the case of unfavorable currency rate changes. Wynn Resorts has not yet determined whether it will engage in hedging activities to protect against foreign currency risk.</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Before this offering, there has been no public market for our common stock. We cannot predict the effect, if any, that market sales of shares of common stock or the availability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w:t>
      </w:r>
    </w:p>
    <w:p>
      <w:pPr>
        <w:sectPr>
          <w:pgSz w:w="11900" w:h="16939" w:orient="portrait"/>
          <w:cols w:equalWidth="0" w:num="1">
            <w:col w:w="11400"/>
          </w:cols>
          <w:pgMar w:left="240" w:top="131" w:right="259" w:bottom="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the resale of all or some of these securities in a secondary offering. Immediately following the completion of this offering, Aruze USA will hold % of our issued and outstanding common stock. A sale of all or some of Aruze USA's shares in a secondary offering could significantly reduce the market price of the common stock.</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 outstanding shares of common stock belonging to officers, directors and other stockholders are currently "restricted securities" under the Securities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Act. We expect that up to shares of these restricted securities will be eligible for sale in the public market pursuant to Rule 144 under the Securities Act, or otherwise, beginning in August 2003. Sales of a significant number of these shares of common stock in the public market could reduce the market price of our common stock.</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for the payment of dividends. See "Description of Certain Indebtedness." Our board of directors has the authority to issue one or more series of preferred stock without action of the stockholders. The issuance of preferred stock could have the effect of limiting dividends on the common stock. Wynn Resorts' articles of incorporation also will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After this offering,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a result of this voting arrangement, Mr. Wynn may,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part of a sale of Wynn Resorts or its assets and might reduce the market price of Wynn Resorts' common stock. For more information about the stockholders agreement between Mr. Wynn, Aruze USA and Baron Asset Fund, see "Certain Relationships and Related Party Transactions—Stockholders Agreement" and "Ownership of Capital Stock."</w:t>
      </w:r>
    </w:p>
    <w:p>
      <w:pPr>
        <w:spacing w:after="0" w:line="18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the initial public offering price to be substantially higher than the net tangible book value per share of the outstanding common stock. If you</w:t>
      </w:r>
    </w:p>
    <w:p>
      <w:pPr>
        <w:spacing w:after="0" w:line="38"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purchase shares of our common stock, you will incur immediate and substantial dilution in the amount of $</w:t>
      </w:r>
      <w:r>
        <w:rPr>
          <w:sz w:val="20"/>
          <w:szCs w:val="20"/>
          <w:color w:val="auto"/>
        </w:rPr>
        <w:tab/>
      </w:r>
      <w:r>
        <w:rPr>
          <w:rFonts w:ascii="Arial" w:cs="Arial" w:eastAsia="Arial" w:hAnsi="Arial"/>
          <w:sz w:val="15"/>
          <w:szCs w:val="15"/>
          <w:color w:val="auto"/>
        </w:rPr>
        <w:t>per share, based on an assumed initial public</w:t>
      </w:r>
    </w:p>
    <w:p>
      <w:pPr>
        <w:spacing w:after="0" w:line="9"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offering price of $ per share, which is the mid-point of the initial public offering price range set forth on the cover of this prospectus. This means that if we were to be liquidated immediately after the offering, there may be no assets available for distribution to you after satisfaction of all of our obligations to creditors.</w:t>
      </w:r>
    </w:p>
    <w:p>
      <w:pPr>
        <w:spacing w:after="0" w:line="14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Wynn Macau's plans relating to the financing of the Macau opportunity are in preliminary stages. Wynn Macau is considering different financing alternatives, including equity financing at the Wynn Macau level or at the level of one of Wynn Macau's intermediary holding companies, such as Wynn Resorts (Macau), Limited, and debt financing at the Wynn Macau level. If additional equity is raised at the Wynn Macau or intermediary holding company level, you would indirectly hold a smaller interest in Wynn Macau as the minority interest in the Macau-related entities increases. If Wynn Resorts decides to raise equity at the Wynn Resorts level to fund the Macau opportunity, you would suffer dilution of your interest in Wynn Resorts.</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Provisions of our articles of incorporation and bylaws, as they will be in effect at the completion of this offering, as well as provisions of Nevada law, could discourage, delay or prevent a merger, acquisition or other change in control of Wynn Resorts, even if a change in control would benefit our stockholders. These provisions will:</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the ability of holders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w:t>
      </w:r>
    </w:p>
    <w:p>
      <w:pPr>
        <w:sectPr>
          <w:pgSz w:w="11900" w:h="16838" w:orient="portrait"/>
          <w:cols w:equalWidth="0" w:num="1">
            <w:col w:w="11400"/>
          </w:cols>
          <w:pgMar w:left="240" w:top="131" w:right="259" w:bottom="0" w:gutter="0" w:footer="0" w:header="0"/>
        </w:sectPr>
      </w:pPr>
    </w:p>
    <w:bookmarkStart w:id="24" w:name="page25"/>
    <w:bookmarkEnd w:id="24"/>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require a super-majority stockholders' vote to approve mergers, conversions or share exchanges or sales of all or substantially all of our assets;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 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97"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Nevada law also provides that directors may resist a change or potential change in control if the directors determine that the change is opposed to, or not in the best interest of, the corporation. See "Description of Capital Stock—Redemption of Securities Owned or Controlled by an Unsuitable Person or an Affiliate."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articles of incorporation, which will be adopted prior to the consummation of this offering,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and could determine not to approve the issuance of the promissory note to the unsuitable person or its affiliate. See "Risk Factors—General Risks Associated with Our Business—The Nevada Gaming Commission may impose unanticipated requirements regarding the licensing of owners of Wynn Resorts" and "Regulation and Licensing—Redemption of Securities Owned by an Unsuitable Person."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ectPr>
          <w:pgSz w:w="11900" w:h="16838" w:orient="portrait"/>
          <w:cols w:equalWidth="0" w:num="1">
            <w:col w:w="11380"/>
          </w:cols>
          <w:pgMar w:left="240" w:top="145" w:right="279" w:bottom="0" w:gutter="0" w:footer="0" w:header="0"/>
        </w:sectPr>
      </w:pPr>
    </w:p>
    <w:bookmarkStart w:id="25" w:name="page26"/>
    <w:bookmarkEnd w:id="25"/>
    <w:p>
      <w:pPr>
        <w:ind w:left="1080" w:right="2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existing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receive approximately $363.5 million in net proceeds from the sale of shares of our common stock in this offering based on the sale of</w:t>
      </w:r>
    </w:p>
    <w:p>
      <w:pPr>
        <w:spacing w:after="0" w:line="3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million shares at an assumed initial public offering price of $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$418.5 million.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Concurrently with the consummation of this offering:</w:t>
      </w:r>
    </w:p>
    <w:p>
      <w:pPr>
        <w:spacing w:after="0" w:line="239" w:lineRule="exact"/>
        <w:rPr>
          <w:sz w:val="20"/>
          <w:szCs w:val="20"/>
          <w:color w:val="auto"/>
        </w:rPr>
      </w:pPr>
    </w:p>
    <w:p>
      <w:pPr>
        <w:ind w:left="540" w:right="8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and Wynn Capital to receive approximately $335.7 million in net proceeds from the second mortgage note offering, after deducting underwriting discounts and commissions and estimated offering expenses.</w:t>
      </w:r>
    </w:p>
    <w:p>
      <w:pPr>
        <w:spacing w:after="0" w:line="221"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subsidiaries will enter into a $750.0 million revolving credit facility, a $250.0 million delay draw term loan facility and a $178.5 million FF&amp;E facility. We have received commitments for the credit facility and the delay draw term loan. We have entered into an engagement letter with respect to the FF&amp;E facility, which facility is currently being syndicated. See "Description of Certain Indebtedness."</w:t>
      </w:r>
    </w:p>
    <w:p>
      <w:pPr>
        <w:spacing w:after="0" w:line="19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use net proceeds from this offering and our existing cash on hand that are contributed to Wynn Las Vegas, net proceeds from the second mortgage notes offering, borrowings under the revolving credit facility, delay draw term loan facility and FF&amp;E facility to design, develop, construct, equip and open Le Rêve. None of the proceeds of this offering, except possibly from the underwriters' exercise, if it occurs, of the over-allotment option, will be used to fund the construction and development of Wynn Macau's casinos in Macau. The disbursement agreement will require that project costs be funded first from contributions we made to Wynn Las Vegas, then from the net proceeds of the second mortgage notes offering and then from the other debt facilities.</w:t>
      </w:r>
    </w:p>
    <w:p>
      <w:pPr>
        <w:spacing w:after="0" w:line="170"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"—Risks Related to Our Substantial Indebtedness," "Management's Discussion and Analysis of Financial Condition and Results of Operations" and our financial statements and the accompanying notes.</w:t>
      </w:r>
    </w:p>
    <w:p>
      <w:pPr>
        <w:sectPr>
          <w:pgSz w:w="11900" w:h="16838" w:orient="portrait"/>
          <w:cols w:equalWidth="0" w:num="1">
            <w:col w:w="11420"/>
          </w:cols>
          <w:pgMar w:left="240" w:top="145" w:right="239" w:bottom="137" w:gutter="0" w:footer="0" w:header="0"/>
        </w:sectPr>
      </w:pPr>
    </w:p>
    <w:bookmarkStart w:id="26" w:name="page27"/>
    <w:bookmarkEnd w:id="26"/>
    <w:p>
      <w:pPr>
        <w:spacing w:after="0" w:line="18"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to provide additional liquidity for our construction and debt service expenses relating to Le Rêve, to make expenditures related to the Macau opportunity, to fund our working capital needs or for general corporate purposes. We may, but are not obligated to, contribute these funds to Wynn Las Vegas. Pending application of the net proceeds as described above, we intend to invest the net proceeds in short-term highly-rated securities.</w:t>
      </w:r>
    </w:p>
    <w:p>
      <w:pPr>
        <w:spacing w:after="0" w:line="197" w:lineRule="exact"/>
        <w:rPr>
          <w:sz w:val="20"/>
          <w:szCs w:val="20"/>
          <w:color w:val="auto"/>
        </w:rPr>
      </w:pPr>
    </w:p>
    <w:p>
      <w:pPr>
        <w:ind w:right="480" w:firstLine="341"/>
        <w:spacing w:after="0" w:line="259" w:lineRule="auto"/>
        <w:rPr>
          <w:sz w:val="20"/>
          <w:szCs w:val="20"/>
          <w:color w:val="auto"/>
        </w:rPr>
      </w:pPr>
      <w:r>
        <w:rPr>
          <w:rFonts w:ascii="Arial" w:cs="Arial" w:eastAsia="Arial" w:hAnsi="Arial"/>
          <w:sz w:val="18"/>
          <w:szCs w:val="18"/>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us on a gradual basis to apply to the costs of the project only after fifty percent of the Le Rêve construction work has been completed. Upon the occurrence of an event of default under our subsidiaries' credit facilities or the indenture governing the second mortgage notes, the lenders under our subsidiaries'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the second mortgage note holders to secure Wynn Las Vegas' obligation to complete the project. Until the opening of Le Rêve, these funds may be applied to the costs to develop and construct Le Rêve in accordance with the disbursement agreement. Following the completion and opening of Le Rêve, these funds will be available to meet our subsidiaries' debt service needs in connection with Le Rêve. Once Wynn Las Vegas has met prescribed cash flow tests for a period of four consecutive fiscal quarters after the completion and opening of Le Rêve, any remaining funds will be used to reduce the outstanding balance on the revolving credit facility, but without reducing the revolving credit facility commitment.</w:t>
      </w:r>
    </w:p>
    <w:p>
      <w:pPr>
        <w:spacing w:after="0" w:line="17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remaining net proceeds from this offering will be used, along with our existing cash on hand, to fund the development and construction of Le Rêve, including pre-opening and debt service payments. We expect that these remaining net proceeds will be used to fund the initial phases of construction, including contractor monthly payment applications, design fees and operational payroll.</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table sets forth estimated sources and uses of funds to design, construct, develop, equip and open Le Rêve and for other operations related primarily to the Le Rêve project. The table assumes that the financing transactions, including this offering, close on September 30, 2002. For purposes of calculating total construction costs, the revolving credit facility balance and interest and commitment fees, this table also includes certain final construction cost payments that we assume will be made after the opening of Le Rêve.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table does not include amounts necessary to finance the design, construction, development, equipping and opening of casino(s) in Macau.</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20" w:type="dxa"/>
            <w:vAlign w:val="bottom"/>
          </w:tcPr>
          <w:p>
            <w:pPr>
              <w:ind w:left="1520"/>
              <w:spacing w:after="0"/>
              <w:rPr>
                <w:sz w:val="20"/>
                <w:szCs w:val="20"/>
                <w:color w:val="auto"/>
              </w:rPr>
            </w:pPr>
            <w:r>
              <w:rPr>
                <w:rFonts w:ascii="Arial" w:cs="Arial" w:eastAsia="Arial" w:hAnsi="Arial"/>
                <w:sz w:val="14"/>
                <w:szCs w:val="14"/>
                <w:b w:val="1"/>
                <w:bCs w:val="1"/>
                <w:color w:val="auto"/>
              </w:rPr>
              <w:t>Sources (in millions)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701.4</w:t>
            </w: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Delay draw term loan facility (1)</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 (7)</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 (2)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Second mortgage notes (3)</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 (4)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Income (5)</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 (8)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 and buildings (10)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Owner-acquired FF&amp;E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 production costs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expenditures (12)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(13)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and commitment fees (14)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-3940175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-3940175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-3940175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-3940175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-1452880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-1452880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Working capital needs at opening (15)</w:t>
            </w:r>
          </w:p>
        </w:tc>
        <w:tc>
          <w:tcPr>
            <w:tcW w:w="3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8"/>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 completion guarantee (16)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Liquidity reserve (17)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fees and expenses (18)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Investment in Macau (19)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Sources</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2,495.9</w:t>
            </w:r>
          </w:p>
        </w:tc>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Uses</w:t>
            </w: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196" w:lineRule="auto"/>
        <w:tabs>
          <w:tab w:leader="none" w:pos="540" w:val="left"/>
        </w:tabs>
        <w:numPr>
          <w:ilvl w:val="0"/>
          <w:numId w:val="35"/>
        </w:numPr>
        <w:rPr>
          <w:rFonts w:ascii="Arial" w:cs="Arial" w:eastAsia="Arial" w:hAnsi="Arial"/>
          <w:sz w:val="27"/>
          <w:szCs w:val="27"/>
          <w:color w:val="auto"/>
          <w:vertAlign w:val="subscript"/>
        </w:rPr>
      </w:pPr>
      <w:r>
        <w:rPr>
          <w:rFonts w:ascii="Arial" w:cs="Arial" w:eastAsia="Arial" w:hAnsi="Arial"/>
          <w:sz w:val="14"/>
          <w:szCs w:val="14"/>
          <w:color w:val="auto"/>
        </w:rPr>
        <w:t>Wynn Las Vegas, Wynn Resorts Holdings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Certain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88" w:lineRule="exact"/>
        <w:rPr>
          <w:rFonts w:ascii="Arial" w:cs="Arial" w:eastAsia="Arial" w:hAnsi="Arial"/>
          <w:sz w:val="27"/>
          <w:szCs w:val="27"/>
          <w:color w:val="auto"/>
          <w:vertAlign w:val="subscript"/>
        </w:rPr>
      </w:pPr>
    </w:p>
    <w:p>
      <w:pPr>
        <w:ind w:left="540" w:right="40" w:hanging="532"/>
        <w:spacing w:after="0" w:line="209" w:lineRule="auto"/>
        <w:tabs>
          <w:tab w:leader="none" w:pos="54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to Wynn Las Vegas an intercompany note in the amount of the funds received by World Travel to repay the Bank of America loan.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4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 and after expending all of the net proceeds of this offering.</w:t>
      </w:r>
    </w:p>
    <w:p>
      <w:pPr>
        <w:ind w:left="540" w:hanging="532"/>
        <w:spacing w:after="0" w:line="187"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Includes (a) Valvino member net contributions of approximately $586.1 million, and (b) the anticipated gross proceeds from this offering of approximately $395.0 million.</w:t>
      </w:r>
    </w:p>
    <w:p>
      <w:pPr>
        <w:spacing w:after="0" w:line="85" w:lineRule="exact"/>
        <w:rPr>
          <w:rFonts w:ascii="Arial" w:cs="Arial" w:eastAsia="Arial" w:hAnsi="Arial"/>
          <w:sz w:val="27"/>
          <w:szCs w:val="27"/>
          <w:color w:val="auto"/>
          <w:vertAlign w:val="subscript"/>
        </w:rPr>
      </w:pPr>
    </w:p>
    <w:p>
      <w:pPr>
        <w:ind w:left="540" w:right="60" w:hanging="532"/>
        <w:spacing w:after="0" w:line="205"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 In addition, because of the large percentage of Wynn Resorts' outstanding stock that will be owned directly or indirectly by a small number of individuals, our interest income may also be subject to federal personal holding company taxes during the period before Le Rêve commences operations. Any such taxes that become payable would increase the usage of the revolving credit facility.</w:t>
      </w:r>
    </w:p>
    <w:p>
      <w:pPr>
        <w:spacing w:after="0" w:line="71" w:lineRule="exact"/>
        <w:rPr>
          <w:rFonts w:ascii="Arial" w:cs="Arial" w:eastAsia="Arial" w:hAnsi="Arial"/>
          <w:sz w:val="26"/>
          <w:szCs w:val="26"/>
          <w:color w:val="auto"/>
          <w:vertAlign w:val="subscript"/>
        </w:rPr>
      </w:pPr>
    </w:p>
    <w:p>
      <w:pPr>
        <w:ind w:left="540" w:right="8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right="20" w:hanging="532"/>
        <w:spacing w:after="0" w:line="19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Represents the guaranteed maximum price of construction of Le Rêve under the construction contract and includes an owner's contingency of approximately $7.6 million. The construction contract contains financial incentives for Marnell Corrao to complete Le Rêve before the deadline set forth in the construction contract, as well as liquidated damages payable to us for certain unexcused delays. See "Construction Contracts for Le Rêve—Construction of the Hotel/Casino—Early or Late Completion." The guaranteed maximum price under the construction contract is subject to adjustment under various circumstances which could increase our costs. See "Risk Factors—Risks Associated with Our Construction."</w:t>
      </w:r>
    </w:p>
    <w:p>
      <w:pPr>
        <w:spacing w:after="0" w:line="85"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Represents estimated insurance costs for builder's risk insurance, fees and reserves related to our insurance program, umbrella and excess liability insurance and design professional liability insurance. We may need to incur additional insurance costs in the future.</w:t>
      </w:r>
    </w:p>
    <w:p>
      <w:pPr>
        <w:spacing w:after="0" w:line="70" w:lineRule="exact"/>
        <w:rPr>
          <w:rFonts w:ascii="Arial" w:cs="Arial" w:eastAsia="Arial" w:hAnsi="Arial"/>
          <w:sz w:val="24"/>
          <w:szCs w:val="24"/>
          <w:color w:val="auto"/>
          <w:vertAlign w:val="subscript"/>
        </w:rPr>
      </w:pPr>
    </w:p>
    <w:p>
      <w:pPr>
        <w:ind w:left="540" w:right="500" w:hanging="532"/>
        <w:spacing w:after="0" w:line="186" w:lineRule="auto"/>
        <w:tabs>
          <w:tab w:leader="none" w:pos="540" w:val="left"/>
        </w:tabs>
        <w:numPr>
          <w:ilvl w:val="0"/>
          <w:numId w:val="36"/>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6"/>
        </w:numPr>
        <w:rPr>
          <w:rFonts w:ascii="Arial" w:cs="Arial" w:eastAsia="Arial" w:hAnsi="Arial"/>
          <w:sz w:val="23"/>
          <w:szCs w:val="23"/>
          <w:color w:val="auto"/>
          <w:vertAlign w:val="subscript"/>
        </w:rPr>
      </w:pPr>
      <w:r>
        <w:rPr>
          <w:rFonts w:ascii="Arial" w:cs="Arial" w:eastAsia="Arial" w:hAnsi="Arial"/>
          <w:sz w:val="12"/>
          <w:szCs w:val="12"/>
          <w:color w:val="auto"/>
        </w:rPr>
        <w:t>Represents the cost of creating, designing and producing the Franco Dragone water show.</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6"/>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hanging="532"/>
        <w:spacing w:after="0" w:line="18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Represents (a) a purchase price of $38.2 million for our corporate aircraft, of which approximately $9.7 million was paid in cash at the time of purchase and $28.5 million was represented by a loan from Bank of America, N.A (see footnote (2) above) and (b) approximately $0.5 million in principal repayments on the Bank of America loan anticipated to be made prior to the closing of this offering. Borrowings under the FF&amp;E facility, but not proceeds from this offering, will be used to repay the outstanding balance of this loan.</w:t>
      </w:r>
    </w:p>
    <w:p>
      <w:pPr>
        <w:spacing w:after="0" w:line="85" w:lineRule="exact"/>
        <w:rPr>
          <w:rFonts w:ascii="Arial" w:cs="Arial" w:eastAsia="Arial" w:hAnsi="Arial"/>
          <w:sz w:val="26"/>
          <w:szCs w:val="26"/>
          <w:color w:val="auto"/>
          <w:vertAlign w:val="subscript"/>
        </w:rPr>
      </w:pPr>
    </w:p>
    <w:p>
      <w:pPr>
        <w:ind w:left="540" w:right="40" w:hanging="532"/>
        <w:spacing w:after="0" w:line="18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Includes interest expense on the second mortgage notes, and expected interest expense and commitment fees on the revolving credit facility, the term loan facility and FF&amp;E facility through the scheduled opening date. Interest on the revolving credit facility, the term loan facility and FF&amp;E facility has been computed assuming a LIBOR rate ranging from 2% to 4%, plus the applicable margin, which is a 4% margin for the revolving credit facility and the FF&amp;E facility and a 4.25% margin for the delay draw term loan facility.</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Represents the operating cash needed to open Le Rêve, including purchasing the initial retail inventory and food and beverage inventory.</w:t>
      </w:r>
    </w:p>
    <w:p>
      <w:pPr>
        <w:spacing w:after="0" w:line="85" w:lineRule="exact"/>
        <w:rPr>
          <w:rFonts w:ascii="Arial" w:cs="Arial" w:eastAsia="Arial" w:hAnsi="Arial"/>
          <w:sz w:val="27"/>
          <w:szCs w:val="27"/>
          <w:color w:val="auto"/>
          <w:vertAlign w:val="subscript"/>
        </w:rPr>
      </w:pPr>
    </w:p>
    <w:p>
      <w:pPr>
        <w:ind w:left="540" w:hanging="532"/>
        <w:spacing w:after="0" w:line="18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$50.0 million of the net proceeds of this offering to a special purpose entity formed with the intention of being bankruptcy-remote. This special purpose subsidiary will use these funds to provide a $50.0 million completion guarantee in favor of the lenders under the credit facilities and the second mortgage note holders in connection with the construction and opening of Le Rêve.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4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$30.0 million of the net proceeds of this offering to Wynn Las Vegas, which will be placed in a liquidity reserve account to be used in case there are not sufficient funds to complete Le Rêve. The liquidity reserve account will be pledged to the lenders under the credit facilities and the second mortgage note holders.</w:t>
      </w:r>
    </w:p>
    <w:p>
      <w:pPr>
        <w:ind w:left="540" w:hanging="532"/>
        <w:spacing w:after="0" w:line="187" w:lineRule="auto"/>
        <w:tabs>
          <w:tab w:leader="none" w:pos="540" w:val="left"/>
        </w:tabs>
        <w:numPr>
          <w:ilvl w:val="0"/>
          <w:numId w:val="37"/>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(b) the second mortgage note offering and (c) the revolving credit facility, the term loan facility and the FF&amp;E facility.</w:t>
      </w:r>
    </w:p>
    <w:p>
      <w:pPr>
        <w:spacing w:after="0" w:line="85" w:lineRule="exact"/>
        <w:rPr>
          <w:rFonts w:ascii="Arial" w:cs="Arial" w:eastAsia="Arial" w:hAnsi="Arial"/>
          <w:sz w:val="27"/>
          <w:szCs w:val="27"/>
          <w:color w:val="auto"/>
          <w:vertAlign w:val="subscript"/>
        </w:rPr>
      </w:pPr>
    </w:p>
    <w:p>
      <w:pPr>
        <w:ind w:left="540" w:right="10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Represents expenditures in connection with negotiation of the Macau concession agreement, including Wynn Macau's share of a capital contribution required by Macau law. Does not include amounts necessary to finance the design, construction, development, equipping and opening of casino(s) in Macau.</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earnings to fund the design, construction development, equipping and opening of Le Rêve and to otherwise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Since we expect the credit facilities, the FF&amp;E facility and the indenture governing the second mortgage notes to restrict our subsidiaries' ability to provide funds to Wynn Resorts, funds from subsidiaries of Wynn Resorts are not expected to be available to Wynn Resorts for the payment of dividends. Wynn Resorts' future dividend policy will also depend on the requirements of any future financing agreements to which it may be a party and other factors considered relevant by its board of directors, including the provisions of the Nevada Revised Statutes which govern corporations. 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w:t>
      </w:r>
    </w:p>
    <w:p>
      <w:pPr>
        <w:sectPr>
          <w:pgSz w:w="11900" w:h="16838" w:orient="portrait"/>
          <w:cols w:equalWidth="0" w:num="1">
            <w:col w:w="11420"/>
          </w:cols>
          <w:pgMar w:left="240" w:top="131" w:right="239" w:bottom="0" w:gutter="0" w:footer="0" w:header="0"/>
        </w:sectPr>
      </w:pPr>
    </w:p>
    <w:bookmarkStart w:id="28" w:name="page29"/>
    <w:bookmarkEnd w:id="28"/>
    <w:p>
      <w:pPr>
        <w:jc w:val="both"/>
        <w:ind w:right="100"/>
        <w:spacing w:after="0" w:line="259" w:lineRule="auto"/>
        <w:rPr>
          <w:sz w:val="20"/>
          <w:szCs w:val="20"/>
          <w:color w:val="auto"/>
        </w:rPr>
      </w:pPr>
      <w:r>
        <w:rPr>
          <w:rFonts w:ascii="Arial" w:cs="Arial" w:eastAsia="Arial" w:hAnsi="Arial"/>
          <w:sz w:val="18"/>
          <w:szCs w:val="18"/>
          <w:color w:val="auto"/>
        </w:rPr>
        <w:t>dividends on the common stock. Upon the consummation of this offering, Wynn Resorts' articles of incorporation will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a pro forma basis to give effect on the closing date of this offering to the sale of shares of Wynn Resorts' common stock in this offering at an assumed initial public offering price of $ per share, which is the mid-point of the initial public offering price range set forth on the cover of this prospectus, the expected concurrent sale of $350 million in aggregate principal amount of the second mortgage notes and the intended application of the net proceeds of both offerings, net of underwriting discounts and commissions and estimated expenses;</w:t>
      </w:r>
    </w:p>
    <w:p>
      <w:pPr>
        <w:spacing w:after="0" w:line="180" w:lineRule="exact"/>
        <w:rPr>
          <w:sz w:val="20"/>
          <w:szCs w:val="20"/>
          <w:color w:val="auto"/>
        </w:rPr>
      </w:pPr>
    </w:p>
    <w:p>
      <w:pPr>
        <w:sectPr>
          <w:pgSz w:w="11900" w:h="16838" w:orient="portrait"/>
          <w:cols w:equalWidth="0" w:num="2">
            <w:col w:w="600" w:space="480"/>
            <w:col w:w="10320"/>
          </w:cols>
          <w:pgMar w:left="240" w:top="131" w:right="259" w:bottom="0" w:gutter="0" w:footer="0" w:header="0"/>
          <w:type w:val="continuous"/>
        </w:sectPr>
      </w:pPr>
    </w:p>
    <w:p>
      <w:pPr>
        <w:ind w:left="1080" w:right="20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 pro forma, as adjusted basis once all of the funding under the revolving credit facility, the delay draw term loan, the second mortgage note offering and the FF&amp;E facility expected to be necessary for the construction of Le Rêve has occurred. See "Use of Proceeds." We have assumed that approximately $701.4 million of the $750 million revolving credit facility will be drawn for the construction of Le Rêve;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w:t>
      </w:r>
    </w:p>
    <w:p>
      <w:pPr>
        <w:spacing w:after="0" w:line="225"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ind w:right="201"/>
              <w:spacing w:after="0"/>
              <w:rPr>
                <w:sz w:val="20"/>
                <w:szCs w:val="20"/>
                <w:color w:val="auto"/>
              </w:rPr>
            </w:pPr>
            <w:r>
              <w:rPr>
                <w:rFonts w:ascii="Arial" w:cs="Arial" w:eastAsia="Arial" w:hAnsi="Arial"/>
                <w:sz w:val="14"/>
                <w:szCs w:val="14"/>
                <w:b w:val="1"/>
                <w:bCs w:val="1"/>
                <w:color w:val="auto"/>
              </w:rPr>
              <w:t>As of June 30, 2002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ind w:right="421"/>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 Forma, as 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8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Borrowings Expected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5"/>
              </w:rPr>
              <w:t>Second Mortgage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1"/>
              </w:rPr>
              <w:t>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center"/>
              <w:ind w:right="221"/>
              <w:spacing w:after="0"/>
              <w:rPr>
                <w:sz w:val="20"/>
                <w:szCs w:val="20"/>
                <w:color w:val="auto"/>
              </w:rPr>
            </w:pPr>
            <w:r>
              <w:rPr>
                <w:rFonts w:ascii="Arial" w:cs="Arial" w:eastAsia="Arial" w:hAnsi="Arial"/>
                <w:sz w:val="14"/>
                <w:szCs w:val="14"/>
                <w:b w:val="1"/>
                <w:bCs w:val="1"/>
                <w:color w:val="auto"/>
                <w:w w:val="88"/>
              </w:rPr>
              <w:t>Note Offerings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facility(1)</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FF&amp;E facility(2)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Second mortgage notes(3)</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Other long-term debt(4)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-2613025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-2613025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-1986915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-1986915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-923290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-923290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hanging="532"/>
        <w:spacing w:after="0" w:line="196" w:lineRule="auto"/>
        <w:tabs>
          <w:tab w:leader="none" w:pos="540" w:val="left"/>
        </w:tabs>
        <w:numPr>
          <w:ilvl w:val="0"/>
          <w:numId w:val="40"/>
        </w:numPr>
        <w:rPr>
          <w:rFonts w:ascii="Arial" w:cs="Arial" w:eastAsia="Arial" w:hAnsi="Arial"/>
          <w:sz w:val="27"/>
          <w:szCs w:val="27"/>
          <w:color w:val="auto"/>
          <w:vertAlign w:val="subscript"/>
        </w:rPr>
      </w:pPr>
      <w:r>
        <w:rPr>
          <w:rFonts w:ascii="Arial" w:cs="Arial" w:eastAsia="Arial" w:hAnsi="Arial"/>
          <w:sz w:val="14"/>
          <w:szCs w:val="14"/>
          <w:color w:val="auto"/>
        </w:rPr>
        <w:t>Wynn Las Vegas, Wynn Resorts Holdings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Certain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80" w:hanging="532"/>
        <w:spacing w:after="0" w:line="196" w:lineRule="auto"/>
        <w:tabs>
          <w:tab w:leader="none" w:pos="540" w:val="left"/>
        </w:tabs>
        <w:numPr>
          <w:ilvl w:val="0"/>
          <w:numId w:val="41"/>
        </w:numPr>
        <w:rPr>
          <w:rFonts w:ascii="Arial" w:cs="Arial" w:eastAsia="Arial" w:hAnsi="Arial"/>
          <w:sz w:val="27"/>
          <w:szCs w:val="27"/>
          <w:color w:val="auto"/>
          <w:vertAlign w:val="subscript"/>
        </w:rPr>
      </w:pPr>
      <w:r>
        <w:rPr>
          <w:rFonts w:ascii="Arial" w:cs="Arial" w:eastAsia="Arial" w:hAnsi="Arial"/>
          <w:sz w:val="14"/>
          <w:szCs w:val="14"/>
          <w:color w:val="auto"/>
        </w:rPr>
        <w:t>Wynn Las Vegas has entered into an engagement letter with Bank of America, N.A., Banc of America Leasing &amp; Capital LLC and Deutsche Bank Securities Inc. for a $178.5 million FF&amp;E facility, which is currently syndicated. This facility will close concurrently with the closing of this offering. Wynn Las Vegas intends to use approximately $28.5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Wynn Las Vegas an intercompany note in the amount of the funds received by World Travel to repay the Bank of America loan.</w:t>
      </w:r>
    </w:p>
    <w:p>
      <w:pPr>
        <w:spacing w:after="0" w:line="74"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41"/>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 and after expending all of the net proceeds of this offering.</w:t>
      </w:r>
    </w:p>
    <w:p>
      <w:pPr>
        <w:spacing w:after="0" w:line="84" w:lineRule="exact"/>
        <w:rPr>
          <w:rFonts w:ascii="Arial" w:cs="Arial" w:eastAsia="Arial" w:hAnsi="Arial"/>
          <w:sz w:val="24"/>
          <w:szCs w:val="24"/>
          <w:color w:val="auto"/>
          <w:vertAlign w:val="subscript"/>
        </w:rPr>
      </w:pPr>
    </w:p>
    <w:p>
      <w:pPr>
        <w:ind w:left="540" w:right="260" w:hanging="532"/>
        <w:spacing w:after="0" w:line="188" w:lineRule="auto"/>
        <w:tabs>
          <w:tab w:leader="none" w:pos="540" w:val="left"/>
        </w:tabs>
        <w:numPr>
          <w:ilvl w:val="0"/>
          <w:numId w:val="41"/>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the aircraft. See footnote (2).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ectPr>
          <w:pgSz w:w="11900" w:h="16838" w:orient="portrait"/>
          <w:cols w:equalWidth="0" w:num="1">
            <w:col w:w="11400"/>
          </w:cols>
          <w:pgMar w:left="240" w:top="131" w:right="259" w:bottom="0" w:gutter="0" w:footer="0" w:header="0"/>
          <w:type w:val="continuous"/>
        </w:sectPr>
      </w:pPr>
    </w:p>
    <w:bookmarkStart w:id="29" w:name="page30"/>
    <w:bookmarkEnd w:id="29"/>
    <w:p>
      <w:pPr>
        <w:ind w:right="20" w:firstLine="348"/>
        <w:spacing w:after="0" w:line="283" w:lineRule="auto"/>
        <w:rPr>
          <w:sz w:val="20"/>
          <w:szCs w:val="20"/>
          <w:color w:val="auto"/>
        </w:rPr>
      </w:pPr>
      <w:r>
        <w:rPr>
          <w:rFonts w:ascii="Arial" w:cs="Arial" w:eastAsia="Arial" w:hAnsi="Arial"/>
          <w:sz w:val="16"/>
          <w:szCs w:val="16"/>
          <w:color w:val="auto"/>
        </w:rPr>
        <w:t>The net tangible book value of our common stock on June 30, 2002 was $ million, or approximately $ per share. Net tangible book value per share represents the amount of our total tangible assets less total liabilities,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gridSpan w:val="2"/>
          </w:tcPr>
          <w:p>
            <w:pPr>
              <w:spacing w:after="0"/>
              <w:rPr>
                <w:sz w:val="20"/>
                <w:szCs w:val="20"/>
                <w:color w:val="auto"/>
              </w:rPr>
            </w:pPr>
            <w:r>
              <w:rPr>
                <w:rFonts w:ascii="Arial" w:cs="Arial" w:eastAsia="Arial" w:hAnsi="Arial"/>
                <w:sz w:val="18"/>
                <w:szCs w:val="18"/>
                <w:color w:val="auto"/>
              </w:rPr>
              <w:t>public offering price of $</w:t>
            </w:r>
          </w:p>
        </w:tc>
        <w:tc>
          <w:tcPr>
            <w:tcW w:w="9080" w:type="dxa"/>
            <w:vAlign w:val="bottom"/>
            <w:gridSpan w:val="4"/>
          </w:tcPr>
          <w:p>
            <w:pPr>
              <w:ind w:left="60"/>
              <w:spacing w:after="0"/>
              <w:rPr>
                <w:sz w:val="20"/>
                <w:szCs w:val="20"/>
                <w:color w:val="auto"/>
              </w:rPr>
            </w:pPr>
            <w:r>
              <w:rPr>
                <w:rFonts w:ascii="Arial" w:cs="Arial" w:eastAsia="Arial" w:hAnsi="Arial"/>
                <w:sz w:val="18"/>
                <w:szCs w:val="18"/>
                <w:color w:val="auto"/>
                <w:w w:val="92"/>
              </w:rPr>
              <w:t>per share, which is the mid-point of the initial public offering price range set forth on the cover of this prospectus, and after</w:t>
            </w:r>
          </w:p>
        </w:tc>
        <w:tc>
          <w:tcPr>
            <w:tcW w:w="0" w:type="dxa"/>
            <w:vAlign w:val="bottom"/>
          </w:tcPr>
          <w:p>
            <w:pPr>
              <w:spacing w:after="0"/>
              <w:rPr>
                <w:sz w:val="1"/>
                <w:szCs w:val="1"/>
                <w:color w:val="auto"/>
              </w:rPr>
            </w:pPr>
          </w:p>
        </w:tc>
      </w:tr>
      <w:tr>
        <w:trPr>
          <w:trHeight w:val="216"/>
        </w:trPr>
        <w:tc>
          <w:tcPr>
            <w:tcW w:w="9320" w:type="dxa"/>
            <w:vAlign w:val="bottom"/>
            <w:gridSpan w:val="5"/>
          </w:tcPr>
          <w:p>
            <w:pPr>
              <w:spacing w:after="0"/>
              <w:rPr>
                <w:sz w:val="20"/>
                <w:szCs w:val="20"/>
                <w:color w:val="auto"/>
              </w:rPr>
            </w:pPr>
            <w:r>
              <w:rPr>
                <w:rFonts w:ascii="Arial" w:cs="Arial" w:eastAsia="Arial" w:hAnsi="Arial"/>
                <w:sz w:val="18"/>
                <w:szCs w:val="18"/>
                <w:color w:val="auto"/>
                <w:w w:val="89"/>
              </w:rPr>
              <w:t>deducting estimated underwriting discounts and commissions and offering expenses payable by us, our net tangible book value at</w:t>
            </w:r>
          </w:p>
        </w:tc>
        <w:tc>
          <w:tcPr>
            <w:tcW w:w="2000" w:type="dxa"/>
            <w:vAlign w:val="bottom"/>
          </w:tcPr>
          <w:p>
            <w:pPr>
              <w:ind w:left="320"/>
              <w:spacing w:after="0"/>
              <w:rPr>
                <w:sz w:val="20"/>
                <w:szCs w:val="20"/>
                <w:color w:val="auto"/>
              </w:rPr>
            </w:pPr>
            <w:r>
              <w:rPr>
                <w:rFonts w:ascii="Arial" w:cs="Arial" w:eastAsia="Arial" w:hAnsi="Arial"/>
                <w:sz w:val="18"/>
                <w:szCs w:val="18"/>
                <w:color w:val="auto"/>
                <w:w w:val="86"/>
              </w:rPr>
              <w:t>, 2002 would have been</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w w:val="96"/>
              </w:rPr>
              <w:t>approximately $  million, or $</w:t>
            </w:r>
          </w:p>
        </w:tc>
        <w:tc>
          <w:tcPr>
            <w:tcW w:w="7080" w:type="dxa"/>
            <w:vAlign w:val="bottom"/>
            <w:gridSpan w:val="3"/>
          </w:tcPr>
          <w:p>
            <w:pPr>
              <w:jc w:val="right"/>
              <w:ind w:right="912"/>
              <w:spacing w:after="0"/>
              <w:rPr>
                <w:sz w:val="20"/>
                <w:szCs w:val="20"/>
                <w:color w:val="auto"/>
              </w:rPr>
            </w:pPr>
            <w:r>
              <w:rPr>
                <w:rFonts w:ascii="Arial" w:cs="Arial" w:eastAsia="Arial" w:hAnsi="Arial"/>
                <w:sz w:val="18"/>
                <w:szCs w:val="18"/>
                <w:color w:val="auto"/>
                <w:w w:val="94"/>
              </w:rPr>
              <w:t>per share. This represents an immediate increase in net tangible book value of $</w:t>
            </w:r>
          </w:p>
        </w:tc>
        <w:tc>
          <w:tcPr>
            <w:tcW w:w="2000" w:type="dxa"/>
            <w:vAlign w:val="bottom"/>
          </w:tcPr>
          <w:p>
            <w:pPr>
              <w:ind w:left="580"/>
              <w:spacing w:after="0"/>
              <w:rPr>
                <w:sz w:val="20"/>
                <w:szCs w:val="20"/>
                <w:color w:val="auto"/>
              </w:rPr>
            </w:pPr>
            <w:r>
              <w:rPr>
                <w:rFonts w:ascii="Arial" w:cs="Arial" w:eastAsia="Arial" w:hAnsi="Arial"/>
                <w:sz w:val="18"/>
                <w:szCs w:val="18"/>
                <w:color w:val="auto"/>
                <w:w w:val="86"/>
              </w:rPr>
              <w:t>per share to existing</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stockholders and an immediate dilution in net tangible book value of $</w:t>
            </w:r>
          </w:p>
        </w:tc>
        <w:tc>
          <w:tcPr>
            <w:tcW w:w="5720" w:type="dxa"/>
            <w:vAlign w:val="bottom"/>
            <w:gridSpan w:val="3"/>
          </w:tcPr>
          <w:p>
            <w:pPr>
              <w:ind w:left="420"/>
              <w:spacing w:after="0"/>
              <w:rPr>
                <w:sz w:val="20"/>
                <w:szCs w:val="20"/>
                <w:color w:val="auto"/>
              </w:rPr>
            </w:pPr>
            <w:r>
              <w:rPr>
                <w:rFonts w:ascii="Arial" w:cs="Arial" w:eastAsia="Arial" w:hAnsi="Arial"/>
                <w:sz w:val="18"/>
                <w:szCs w:val="18"/>
                <w:color w:val="auto"/>
                <w:w w:val="94"/>
              </w:rPr>
              <w:t>per share to new investors purchasing shares of common stock in this</w:t>
            </w:r>
          </w:p>
        </w:tc>
        <w:tc>
          <w:tcPr>
            <w:tcW w:w="0" w:type="dxa"/>
            <w:vAlign w:val="bottom"/>
          </w:tcPr>
          <w:p>
            <w:pPr>
              <w:spacing w:after="0"/>
              <w:rPr>
                <w:sz w:val="1"/>
                <w:szCs w:val="1"/>
                <w:color w:val="auto"/>
              </w:rPr>
            </w:pPr>
          </w:p>
        </w:tc>
      </w:tr>
      <w:tr>
        <w:trPr>
          <w:trHeight w:val="222"/>
        </w:trPr>
        <w:tc>
          <w:tcPr>
            <w:tcW w:w="5600" w:type="dxa"/>
            <w:vAlign w:val="bottom"/>
            <w:gridSpan w:val="3"/>
          </w:tcPr>
          <w:p>
            <w:pPr>
              <w:spacing w:after="0"/>
              <w:rPr>
                <w:sz w:val="20"/>
                <w:szCs w:val="20"/>
                <w:color w:val="auto"/>
              </w:rPr>
            </w:pPr>
            <w:r>
              <w:rPr>
                <w:rFonts w:ascii="Arial" w:cs="Arial" w:eastAsia="Arial" w:hAnsi="Arial"/>
                <w:sz w:val="18"/>
                <w:szCs w:val="18"/>
                <w:color w:val="auto"/>
                <w:w w:val="98"/>
              </w:rPr>
              <w:t>offering. The following table illustrates this dilution on a per share basis:</w:t>
            </w:r>
          </w:p>
        </w:tc>
        <w:tc>
          <w:tcPr>
            <w:tcW w:w="1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20" w:type="dxa"/>
            <w:vAlign w:val="bottom"/>
            <w:vMerge w:val="restart"/>
          </w:tcPr>
          <w:p>
            <w:pPr>
              <w:spacing w:after="0"/>
              <w:rPr>
                <w:sz w:val="18"/>
                <w:szCs w:val="18"/>
                <w:color w:val="auto"/>
              </w:rPr>
            </w:pPr>
          </w:p>
        </w:tc>
        <w:tc>
          <w:tcPr>
            <w:tcW w:w="34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Net tangible book value per share at</w:t>
            </w:r>
          </w:p>
        </w:tc>
        <w:tc>
          <w:tcPr>
            <w:tcW w:w="1760" w:type="dxa"/>
            <w:vAlign w:val="bottom"/>
          </w:tcPr>
          <w:p>
            <w:pPr>
              <w:jc w:val="right"/>
              <w:ind w:right="1032"/>
              <w:spacing w:after="0"/>
              <w:rPr>
                <w:sz w:val="20"/>
                <w:szCs w:val="20"/>
                <w:color w:val="auto"/>
              </w:rPr>
            </w:pPr>
            <w:r>
              <w:rPr>
                <w:rFonts w:ascii="Arial" w:cs="Arial" w:eastAsia="Arial" w:hAnsi="Arial"/>
                <w:sz w:val="18"/>
                <w:szCs w:val="18"/>
                <w:color w:val="auto"/>
              </w:rPr>
              <w:t>, 2002</w:t>
            </w:r>
          </w:p>
        </w:tc>
        <w:tc>
          <w:tcPr>
            <w:tcW w:w="19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Increase per share attributable to this offering</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19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24"/>
                <w:szCs w:val="2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-1290320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-1290320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-758190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-758190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-758190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-758190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-509905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-509905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-509905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-509905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-509905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-509905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-509905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-509905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-509905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-509905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66" w:lineRule="exact"/>
        <w:rPr>
          <w:sz w:val="20"/>
          <w:szCs w:val="20"/>
          <w:color w:val="auto"/>
        </w:rPr>
      </w:pPr>
    </w:p>
    <w:p>
      <w:pPr>
        <w:ind w:left="540" w:right="120" w:hanging="532"/>
        <w:spacing w:after="0" w:line="188" w:lineRule="auto"/>
        <w:tabs>
          <w:tab w:leader="none" w:pos="540" w:val="left"/>
        </w:tabs>
        <w:numPr>
          <w:ilvl w:val="0"/>
          <w:numId w:val="42"/>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preceding discussion and tables assume no exercise by the underwriters of their over-allotment option. 8,600,000 shares are reserved for issuance under our stock incentive plan. To the extent the over-allotment option is exercised, or any shares under the stock incentive plan are issued, there may be further dilution to new investors.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From 1973 until 2000, Mr. Wynn served as the Chairman of the Board, President and Chief Executive Officer of Mirage Resorts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predecessor. Mr. Wynn has more than thirty years of experience in the gaming, hotel and tourism industries as a designer, developer and operator of hotel casino resorts.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4"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August 16, 2002, Aruze Corp. had a market capitalization of approximately ¥221 billion, or approximately $1.9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w:t>
      </w:r>
    </w:p>
    <w:p>
      <w:pPr>
        <w:sectPr>
          <w:pgSz w:w="11900" w:h="16838" w:orient="portrait"/>
          <w:cols w:equalWidth="0" w:num="1">
            <w:col w:w="11420"/>
          </w:cols>
          <w:pgMar w:left="240" w:top="131" w:right="239" w:bottom="0" w:gutter="0" w:footer="0" w:header="0"/>
        </w:sectPr>
      </w:pPr>
    </w:p>
    <w:bookmarkStart w:id="30" w:name="page31"/>
    <w:bookmarkEnd w:id="30"/>
    <w:p>
      <w:pPr>
        <w:ind w:right="40"/>
        <w:spacing w:after="0" w:line="370" w:lineRule="auto"/>
        <w:rPr>
          <w:sz w:val="20"/>
          <w:szCs w:val="20"/>
          <w:color w:val="auto"/>
        </w:rPr>
      </w:pPr>
      <w:r>
        <w:rPr>
          <w:rFonts w:ascii="Arial" w:cs="Arial" w:eastAsia="Arial" w:hAnsi="Arial"/>
          <w:sz w:val="15"/>
          <w:szCs w:val="15"/>
          <w:color w:val="auto"/>
        </w:rPr>
        <w:t>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1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4"/>
          </w:tcPr>
          <w:p>
            <w:pPr>
              <w:jc w:val="center"/>
              <w:ind w:left="224"/>
              <w:spacing w:after="0" w:line="14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left="281"/>
              <w:spacing w:after="0"/>
              <w:rPr>
                <w:sz w:val="20"/>
                <w:szCs w:val="20"/>
                <w:color w:val="auto"/>
              </w:rPr>
            </w:pPr>
            <w:r>
              <w:rPr>
                <w:rFonts w:ascii="Arial" w:cs="Arial" w:eastAsia="Arial" w:hAnsi="Arial"/>
                <w:sz w:val="14"/>
                <w:szCs w:val="14"/>
                <w:b w:val="1"/>
                <w:bCs w:val="1"/>
                <w:color w:val="auto"/>
                <w:w w:val="89"/>
              </w:rPr>
              <w:t>2000</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89"/>
              </w:rPr>
              <w:t>2001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ind w:right="399"/>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342</w:t>
            </w:r>
          </w:p>
        </w:tc>
        <w:tc>
          <w:tcPr>
            <w:tcW w:w="80" w:type="dxa"/>
            <w:vAlign w:val="bottom"/>
          </w:tcPr>
          <w:p>
            <w:pPr>
              <w:spacing w:after="0"/>
              <w:rPr>
                <w:sz w:val="21"/>
                <w:szCs w:val="21"/>
                <w:color w:val="auto"/>
              </w:rPr>
            </w:pPr>
          </w:p>
        </w:tc>
        <w:tc>
          <w:tcPr>
            <w:tcW w:w="500" w:type="dxa"/>
            <w:vAlign w:val="bottom"/>
            <w:gridSpan w:val="2"/>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(10,572)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(19,233)</w:t>
            </w: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(9,471)</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(15,627)</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(16,899)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(7,935)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(14,693)</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(82.24)</w:t>
            </w: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(39.04)</w:t>
            </w:r>
          </w:p>
        </w:tc>
        <w:tc>
          <w:tcPr>
            <w:tcW w:w="5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2000</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4"/>
              </w:rPr>
              <w:t>June 30, 2002</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36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388,467</w:t>
            </w:r>
          </w:p>
        </w:tc>
        <w:tc>
          <w:tcPr>
            <w:tcW w:w="260" w:type="dxa"/>
            <w:vAlign w:val="bottom"/>
          </w:tcPr>
          <w:p>
            <w:pPr>
              <w:spacing w:after="0"/>
              <w:rPr>
                <w:sz w:val="18"/>
                <w:szCs w:val="18"/>
                <w:color w:val="auto"/>
              </w:rPr>
            </w:pP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390,788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586,407</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28,810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383,417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386,518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545,319</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-2320925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-2320925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-2320925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-2320925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-2320925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-2320925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-2320925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-2320925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-2320925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-2320925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-966470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-966470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-966470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-966470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-966470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-966470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44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Until the contribution of the Valvino membership interests to Wynn Resorts, Wynn Resorts will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43"/>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historical financial statements and related notes included elsewhere in this prospectus. Some of the information contained in this discussion and analysis or set forth elsewhere in this prospectus, including information with respect to our plans and strategies for our business, includes forward-looking statements that involve risk and uncertainties. You should review the "Risk Factors" set forth elsewhere in this prospectus for a discussion of important factors which could cause actual results to differ materially from the results described in or implied by the forward-looking statements contained herein. See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Valvino was organized in April 2000. Wynn Resorts was formed in June 2002, and before the consummation of this offering, Mr. Wynn, Aruze USA, Baron Asset Fund and the Kenneth R. Wynn Family Trust will contribute their Valvino membership interests to Wynn Resorts in exchange for all of the issued and outstanding shares of Wynn Resorts. Since Valvino's formation, our activities have been limited principally to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at a premier location on the Las Vegas Strip in Las Vegas, Nevada. The site is the former location of the Desert Inn Resort &amp; Casino. We expect Le Rêve to commence operations in March 2005.</w:t>
      </w:r>
    </w:p>
    <w:p>
      <w:pPr>
        <w:spacing w:after="0" w:line="172"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4 billion patacas (currently approximately $500 million) on Macau-related projects by June 26, 2009 and to commence operations of its</w:t>
      </w:r>
    </w:p>
    <w:p>
      <w:pPr>
        <w:sectPr>
          <w:pgSz w:w="11900" w:h="16838" w:orient="portrait"/>
          <w:cols w:equalWidth="0" w:num="1">
            <w:col w:w="11420"/>
          </w:cols>
          <w:pgMar w:left="240" w:top="131" w:right="239" w:bottom="0" w:gutter="0" w:footer="0" w:header="0"/>
        </w:sectPr>
      </w:pPr>
    </w:p>
    <w:bookmarkStart w:id="31" w:name="page32"/>
    <w:bookmarkEnd w:id="31"/>
    <w:p>
      <w:pPr>
        <w:spacing w:after="0" w:line="8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first permanent casino resort no later than December 2006. Wynn Macau, the entity which will own and operate Wynn Resorts' Macau operations, is majority-owned by Wynn Resorts through a series of wholly owned and partially owned domestic and foreign subsidiaries, none of which are guarantors of the second mortgage notes or the other debt facilities related to Le Rêve.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was recently formed with Stephen A. Wynn owning one share of common stock of the corporation. As of June 30, 2002, Wynn Resorts had no assets, liabilities or operations. Until the contribution of the Valvino membership interests to Wynn Resorts occurs and Valvino becomes a wholly owned subsidiary, Wynn Resorts will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rounded to the nearest share, will be issued in exchange for each common share of Valvino membership interests. Upon the contribution of membership interests,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will reflect the financial position and results of operations of Valvino and its subsidiaries.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will be a tax-free contribution under the Internal Revenue Code and will be accounted for as a reorganization of entities under common control.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occurs as if the contribution of equity interests had occurred at the beginning of the period. Financial information for prior periods will be restated to furnish comparative information. Upon the contribution,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39"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had no significant operations to date. In June 2000, we acquired the Desert Inn Resort &amp; Casino assets from Starwood Hotels &amp; Resorts Worldwide, Inc. We ceased operating the Desert Inn Resort &amp; Casino after approximately ten weeks. We have demolished some of the buildings constituting the former Desert Inn Resort &amp; Casino hotel in anticipation of the construction of Le Rêve. The remaining structures have been and will continue to be utilized as offices at least through the completion of Le Rêve. Since we ceased operating the Desert Inn Resort &amp; Casino, our efforts have been devoted principally to the development activities described above with respect to Le Rêve and Wynn Macau's opportunity in Macau. In addition, we continue to operate an art gallery displaying works from The Wynn Collection, which consists of artwork from the personal art collection of Stephen and Elaine Wynn, and, until summer 2002, the golf course located on the site of the former Desert Inn Resort &amp; Casino. Our historical operating results will not be indicative of future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a result of increased development activities, Valvino recognized a net loss accumulated during the development stage of approximately $16.9 million for the year ended December 31, 2001, an approximate increase of 85% from the loss incurred during the period from inception (April 21, 2000) to December 2000 of approximately $9.2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$920,000 from the period from inception to December 31, 2000 primarily as a result of Kevyn, LLC, which Valvino acquired in April 2001, leasing its aircraft to Las Vegas 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$9.6 million as compared to the period from inception to December 31, 2000 primarily as a result of increased pre-opening costs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Pre-opening costs for the year ended December 31, 2001 increased approximately $6.5 million, as compared to the period from inception to December 31,</w:t>
      </w:r>
    </w:p>
    <w:p>
      <w:pPr>
        <w:spacing w:after="0" w:line="38"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auto"/>
        </w:rPr>
        <w:t>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ectPr>
          <w:pgSz w:w="11900" w:h="16924" w:orient="portrait"/>
          <w:cols w:equalWidth="0" w:num="1">
            <w:col w:w="11420"/>
          </w:cols>
          <w:pgMar w:left="240" w:top="131" w:right="239" w:bottom="0" w:gutter="0" w:footer="0" w:header="0"/>
        </w:sectPr>
      </w:pPr>
    </w:p>
    <w:bookmarkStart w:id="32" w:name="page33"/>
    <w:bookmarkEnd w:id="32"/>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Continued development activities resulted in a net loss during the development stage for the six months ended June 30, 2002. The net loss for the six months ended June 30,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was approximately $14.7 million as compared to an approximate $7.9 million net loss accumulated during the development stage for the six months ended June 2001.</w:t>
      </w:r>
    </w:p>
    <w:p>
      <w:pPr>
        <w:spacing w:after="0" w:line="186"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 revenues was partially offset by revenues from the art gallery and the retail shop, which were opened in November 2001.</w:t>
      </w:r>
    </w:p>
    <w:p>
      <w:pPr>
        <w:spacing w:after="0" w:line="142"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is directly attributable to an increase in pre-opening activities as compared to the same period in the prior year. Management expects pre-opening costs to continue to increase as development of Le Rêve progresses. During the six months ended June 30, 2002, Valvino acquired an affiliate, Las Vegas Jet, and forgave amounts receivable from Las Vegas Jet, which resulted in the recognition of a loss on the acquisition.</w:t>
      </w:r>
    </w:p>
    <w:p>
      <w:pPr>
        <w:spacing w:after="0" w:line="15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results of operations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72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Mr. Stephen A. Wynn organized Valvino and, initially, Mr. Wynn was the sole member of Valvino. Between April of 2000 and September of 2000, Mr. Wynn made equity contributions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Valvino in an aggregate amount of approximately $220.7 million. On June 15, 2000, Mr. Wynn loaned Valvino $100 million at an interest rate of 7.875% per year.</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all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ectPr>
          <w:pgSz w:w="11900" w:h="16838" w:orient="portrait"/>
          <w:cols w:equalWidth="0" w:num="1">
            <w:col w:w="11420"/>
          </w:cols>
          <w:pgMar w:left="240" w:top="131" w:right="239" w:bottom="135" w:gutter="0" w:footer="0" w:header="0"/>
        </w:sectPr>
      </w:pPr>
    </w:p>
    <w:bookmarkStart w:id="33" w:name="page34"/>
    <w:bookmarkEnd w:id="33"/>
    <w:p>
      <w:pPr>
        <w:jc w:val="both"/>
        <w:ind w:right="460" w:firstLine="351"/>
        <w:spacing w:after="0" w:line="259" w:lineRule="auto"/>
        <w:rPr>
          <w:sz w:val="20"/>
          <w:szCs w:val="20"/>
          <w:color w:val="auto"/>
        </w:rPr>
      </w:pPr>
      <w:r>
        <w:rPr>
          <w:rFonts w:ascii="Arial" w:cs="Arial" w:eastAsia="Arial" w:hAnsi="Arial"/>
          <w:sz w:val="18"/>
          <w:szCs w:val="18"/>
          <w:color w:val="auto"/>
        </w:rPr>
        <w:t>On July 11,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10, 2000, the Deutsche Bank loan was repaid in full and $70 million of Mr. Wynn's loan was repaid out of the proceeds of this capital contribution.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9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interest in Wynn Macau, which in June 2002 entered into a concession agreement with the government of Macau permitting the construction and operation of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in Valvino. The percentage of membership interests held by Baron Asset Fund are held by it on behalf of two series of Baron Asset Fund:</w:t>
      </w:r>
    </w:p>
    <w:p>
      <w:pPr>
        <w:spacing w:after="0" w:line="38" w:lineRule="exact"/>
        <w:rPr>
          <w:sz w:val="20"/>
          <w:szCs w:val="20"/>
          <w:color w:val="auto"/>
        </w:rPr>
      </w:pPr>
    </w:p>
    <w:p>
      <w:pPr>
        <w:ind w:right="40" w:firstLine="8"/>
        <w:spacing w:after="0" w:line="25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Baron Asset Fund Series, on whose behalf approximately 3.7% of the membership interests in Valvino are held, and (2) the Baron Growth Fund Series, on whose behalf approximately 1.4% of the membership interests in Valvino are held. Neither Mr. Wynn nor Aruze USA received additional shares in connection with the April 2002 capital contributions.</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Contributions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ind w:right="499"/>
              <w:spacing w:after="0"/>
              <w:rPr>
                <w:sz w:val="20"/>
                <w:szCs w:val="20"/>
                <w:color w:val="auto"/>
              </w:rPr>
            </w:pPr>
            <w:r>
              <w:rPr>
                <w:rFonts w:ascii="Arial" w:cs="Arial" w:eastAsia="Arial" w:hAnsi="Arial"/>
                <w:sz w:val="14"/>
                <w:szCs w:val="14"/>
                <w:b w:val="1"/>
                <w:bCs w:val="1"/>
                <w:color w:val="auto"/>
              </w:rPr>
              <w:t>Net Value of Non-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1880" w:type="dxa"/>
            <w:vAlign w:val="bottom"/>
          </w:tcPr>
          <w:p>
            <w:pPr>
              <w:jc w:val="right"/>
              <w:ind w:right="459"/>
              <w:spacing w:after="0"/>
              <w:rPr>
                <w:sz w:val="20"/>
                <w:szCs w:val="20"/>
                <w:color w:val="auto"/>
              </w:rPr>
            </w:pPr>
            <w:r>
              <w:rPr>
                <w:rFonts w:ascii="Arial" w:cs="Arial" w:eastAsia="Arial" w:hAnsi="Arial"/>
                <w:sz w:val="14"/>
                <w:szCs w:val="14"/>
                <w:b w:val="1"/>
                <w:bCs w:val="1"/>
                <w:color w:val="auto"/>
              </w:rPr>
              <w:t>Cash Contributions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6"/>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approximately $55,659,000 by the parties in the negotiation of Mr. Wynn's contribution of such interest to Valvino in April 2002, prior to Wynn Macau's entry into a concession agreement with the government of Macau permitting the construction and operation of one or more casinos in Macau.</w:t>
      </w:r>
    </w:p>
    <w:p>
      <w:pPr>
        <w:spacing w:after="0" w:line="195"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approximately $2 billion of the estimated development costs for Le Rêve is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borrowings of approximately $701.4 million of the available $750 million under the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borrowings of $250 million under the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borrowings of $178.5 million under the FF&amp;E facility;</w:t>
      </w:r>
    </w:p>
    <w:p>
      <w:pPr>
        <w:sectPr>
          <w:pgSz w:w="11900" w:h="16838" w:orient="portrait"/>
          <w:cols w:equalWidth="0" w:num="1">
            <w:col w:w="11400"/>
          </w:cols>
          <w:pgMar w:left="240" w:top="131" w:right="259" w:bottom="0" w:gutter="0" w:footer="0" w:header="0"/>
        </w:sectPr>
      </w:pPr>
    </w:p>
    <w:bookmarkStart w:id="34" w:name="page35"/>
    <w:bookmarkEnd w:id="34"/>
    <w:p>
      <w:pPr>
        <w:spacing w:after="0" w:line="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anticipated interest income of approximately $30.5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gross proceeds from the expected offering of second mortgage notes of approximately $350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gross proceeds from Wynn Resorts' initial public offering of approximately $395 million;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$45 million of our cash on hand.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w w:val="86"/>
              </w:rPr>
              <w:t>4-5 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—(1)</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Total long-term indebtedness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1,480.2</w:t>
            </w:r>
          </w:p>
        </w:tc>
        <w:tc>
          <w:tcPr>
            <w:tcW w:w="200" w:type="dxa"/>
            <w:vAlign w:val="bottom"/>
          </w:tcPr>
          <w:p>
            <w:pPr>
              <w:spacing w:after="0"/>
              <w:rPr>
                <w:sz w:val="24"/>
                <w:szCs w:val="24"/>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-1755140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-1755140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-1412240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-1412240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-1412240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-1412240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-1412240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-1412240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-1412240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-1412240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-1412240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-1412240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-1412240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-323215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-323215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-323215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-323215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 Year</w:t>
            </w: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4-5 Years</w:t>
            </w:r>
          </w:p>
        </w:tc>
        <w:tc>
          <w:tcPr>
            <w:tcW w:w="20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5"/>
          </w:tcPr>
          <w:p>
            <w:pPr>
              <w:jc w:val="center"/>
              <w:ind w:left="302"/>
              <w:spacing w:after="0"/>
              <w:rPr>
                <w:sz w:val="20"/>
                <w:szCs w:val="20"/>
                <w:color w:val="auto"/>
              </w:rPr>
            </w:pPr>
            <w:r>
              <w:rPr>
                <w:rFonts w:ascii="Arial" w:cs="Arial" w:eastAsia="Arial" w:hAnsi="Arial"/>
                <w:sz w:val="14"/>
                <w:szCs w:val="14"/>
                <w:b w:val="1"/>
                <w:bCs w:val="1"/>
                <w:color w:val="auto"/>
                <w:w w:val="89"/>
              </w:rPr>
              <w:t>(in millions)</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9"/>
              </w:rPr>
              <w:t>—(7)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—(7)</w:t>
            </w:r>
          </w:p>
        </w:tc>
        <w:tc>
          <w:tcPr>
            <w:tcW w:w="8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671.7</w:t>
            </w:r>
          </w:p>
        </w:tc>
        <w:tc>
          <w:tcPr>
            <w:tcW w:w="200" w:type="dxa"/>
            <w:vAlign w:val="bottom"/>
          </w:tcPr>
          <w:p>
            <w:pPr>
              <w:spacing w:after="0"/>
              <w:rPr>
                <w:sz w:val="24"/>
                <w:szCs w:val="24"/>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hanging="532"/>
        <w:spacing w:after="0" w:line="192" w:lineRule="auto"/>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We anticipate that we will draw down approximately $701.4 million under the revolving credit facility to fund the design, construction, development, equipping and opening of Le Rêve, assuming that Le Rêve is completed on schedule.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3"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Term loans under this facility will be repayable in quarterly installments in amounts to be determined from the opening of Le Rêve until the seventh anniversary of the closing.</w:t>
      </w:r>
    </w:p>
    <w:p>
      <w:pPr>
        <w:spacing w:after="0" w:line="71" w:lineRule="exact"/>
        <w:rPr>
          <w:rFonts w:ascii="Arial" w:cs="Arial" w:eastAsia="Arial" w:hAnsi="Arial"/>
          <w:sz w:val="27"/>
          <w:szCs w:val="27"/>
          <w:color w:val="auto"/>
          <w:vertAlign w:val="subscript"/>
        </w:rPr>
      </w:pPr>
    </w:p>
    <w:p>
      <w:pPr>
        <w:ind w:left="540" w:right="80" w:hanging="532"/>
        <w:spacing w:after="0" w:line="196" w:lineRule="auto"/>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Wynn Las Vegas has entered into an engagement letter with Bank of America, N.A., Banc of America Leasing &amp; Capital LLC and Deutsche Bank Securities Inc. for a $178.5 million FF&amp;E facility, which is currently syndicated. This facility will close concurrently with the closing of this offering. Wynn Las Vegas intends to use approximately $28.5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Wynn Las Vegas an intercompany note in the amount of the funds received by World Travel to repay the Bank of America loan.</w:t>
      </w:r>
    </w:p>
    <w:p>
      <w:pPr>
        <w:spacing w:after="0" w:line="88" w:lineRule="exact"/>
        <w:rPr>
          <w:rFonts w:ascii="Arial" w:cs="Arial" w:eastAsia="Arial" w:hAnsi="Arial"/>
          <w:sz w:val="27"/>
          <w:szCs w:val="27"/>
          <w:color w:val="auto"/>
          <w:vertAlign w:val="subscript"/>
        </w:rPr>
      </w:pPr>
    </w:p>
    <w:p>
      <w:pPr>
        <w:ind w:left="540" w:right="8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8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84" w:lineRule="exact"/>
        <w:rPr>
          <w:rFonts w:ascii="Arial" w:cs="Arial" w:eastAsia="Arial" w:hAnsi="Arial"/>
          <w:sz w:val="27"/>
          <w:szCs w:val="27"/>
          <w:color w:val="auto"/>
          <w:vertAlign w:val="subscript"/>
        </w:rPr>
      </w:pPr>
    </w:p>
    <w:p>
      <w:pPr>
        <w:ind w:left="540" w:right="20" w:hanging="532"/>
        <w:spacing w:after="0" w:line="199"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The Macau concession agreement requires Wynn Macau to invest approximately $500 millon (using the exchange rate as of August 11, 2002) on one or more Macau projects over a seven year period. Wynn Macau is obligated to open to the public its first casino in Macau by December 2006. Wynn Macau has not yet determined how many casinos it will build, the timing of the project(s), or whether it will begin construction and operations in separate phases at the first permanent casino resort site or open one or more temporary casinos during the construction of a permanent casino resort.</w:t>
      </w:r>
    </w:p>
    <w:p>
      <w:pPr>
        <w:ind w:left="540"/>
        <w:spacing w:after="0"/>
        <w:rPr>
          <w:rFonts w:ascii="Arial" w:cs="Arial" w:eastAsia="Arial" w:hAnsi="Arial"/>
          <w:sz w:val="24"/>
          <w:szCs w:val="24"/>
          <w:color w:val="auto"/>
          <w:vertAlign w:val="subscript"/>
        </w:rPr>
      </w:pPr>
      <w:r>
        <w:rPr>
          <w:rFonts w:ascii="Arial" w:cs="Arial" w:eastAsia="Arial" w:hAnsi="Arial"/>
          <w:sz w:val="14"/>
          <w:szCs w:val="14"/>
          <w:color w:val="auto"/>
        </w:rPr>
        <w:t>Accordingly, the full contractual commitment is shown as having to be made after five years, but the timing of the expenditures is subject to change.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the joint book-running managers of this offering. The revolving credit facility will mature on the sixth anniversary of the closing of the credit facilities. Borrowings under the delay draw term loan facility will be available until the second anniversary of the closing of the credit facilities and will be repayable in quarterly installments in amounts to be determined from the</w:t>
      </w:r>
    </w:p>
    <w:p>
      <w:pPr>
        <w:sectPr>
          <w:pgSz w:w="11900" w:h="16841" w:orient="portrait"/>
          <w:cols w:equalWidth="0" w:num="1">
            <w:col w:w="11400"/>
          </w:cols>
          <w:pgMar w:left="240" w:top="145" w:right="259" w:bottom="0" w:gutter="0" w:footer="0" w:header="0"/>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t>opening of Le Rêve until the seventh anniversary of the closing of the credit facilities. The credit facilities are expected to close concurrently with the closing of this offering. All amounts outstanding under the credit facilities will bear interest, at our option (subject to certain limitations), at either (1) a base rate equal to the greater of the administrative agent's prime lending rate and 0.5% in excess of the federal funds rate or (2) the Eurodollar rate, as determined by the administrative agent, in both cases plus certain margins. For each year after Le Rêve commences operations, our subsidiaries will be required to prepay our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Obtaining the FF&amp;E facility will be a condition to the consummation of this offering. For more information, see "Use of Proceeds," "Certain Relationships and Related Party Transactions—Aircraft Arrangements" and "Description of Certain Indebtedness."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$350 million in aggregate principal amount of second mortgage notes as part of the financing for Le Rêve. We expect that the second mortgage notes will be secured by first priority liens on the account holding the proceeds of the second mortgage notes, by second priority liens on the assets that secure the credit facilities and by third priority liens on the assets that secure the FF&amp;E facility. For additional information about the terms of the second mortgage notes, see "Description of Certain Indebtedness—Second Mortgage Notes."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and its domestic and foreign subsidiaries related to the Macau opportunity will not be guarantors and will not be subject to the covenants in the second mortgage notes and the credit facilities. However, Wynn Resorts itself will become a guarantor, but will not be bound by the covenants, under the second mortgage notes or the credit facilities if Wynn Resorts incurs, or becomes a guarantor on, other indebtedness, subject to certain limited exceptions. 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representatives for the lenders under the credit facilities and the trustee for the second mortgage notes may release the liens on the approximately 137-acre golf course parcel and related collateral. The credit facility and the indenture will provide that the liens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Upon such release by the representatives for the lenders, the trustee for the noteholders will automatically release their second priority liens on the 20-acre parcel. Upon release by the trustee and bank agent,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ectPr>
          <w:pgSz w:w="11900" w:h="16838" w:orient="portrait"/>
          <w:cols w:equalWidth="0" w:num="1">
            <w:col w:w="11420"/>
          </w:cols>
          <w:pgMar w:left="240" w:top="131" w:right="239" w:bottom="0" w:gutter="0" w:footer="0" w:header="0"/>
        </w:sectPr>
      </w:pPr>
    </w:p>
    <w:bookmarkStart w:id="36" w:name="page37"/>
    <w:bookmarkEnd w:id="36"/>
    <w:p>
      <w:pPr>
        <w:spacing w:after="0" w:line="1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these assets are released from the liens under our subsidiaries' indebtedness, then those parcels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contributed to Wynn Las Vegas before accessing the proceeds from the offering of the second mortgage notes or borrowing under the credit facilities or the FF&amp;E facility. We do not expect to request disbursements of the second mortgage note proceeds or to borrow under the credit facilities or the FF&amp;E facility until approximately ten to twelve months after the closing of this offering.</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the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permitted extensions due to force majeure events;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shall have been entered into and shall be in full force and effect to ensure that a gaming license for the Le Rêve project will be obtainable in the event that one of our major stockholders is unable to qualify for such license;</w:t>
      </w:r>
    </w:p>
    <w:p>
      <w:pPr>
        <w:spacing w:after="0" w:line="221"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subsidiaries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207"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See "Risk Factors—Risks Associated with Our Construction—There are significant conditions to the funding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Factors—Risks Associated with Our Construction— Development costs of Le Rêve are estimates only and actual costs may be higher than expected." The disbursement agreement will contain conditions precedent to our entering into scope change orders that will increase the anticipated costs of the project. These conditions will require us to fund equity into an account subject to a security interest in favor of the lenders under the credit facilities and the holders of the second mortgage notes in an amount equal to the anticipated incremental cost of the change orders. In addition, if we do not complete construction of Le Rêve by August 31, 2005, subject to limited permitted extensions due to force majeure events, our subsidiaries will be in default under the credit facilities, the indenture governing the second mortgage notes and the FF&amp;E facility, and the holders of the indebtedness will have the right to accelerate the indebtedness and exercise other rights and remedies against our subsidiaries, and against Wynn Resorts if Wynn Resorts becomes a guarantor of the indebtedness under the credit facilities and the second mortgage notes, or if liens on assets of Wynn Resorts secure the credit facilities or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Following the completion of Le Rêve, we expect to fund our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our subsidiaries'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our subsidiaries to service and repay their indebtedness and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fund our other liquidity needs. We may need to refinance all or a portion of our subsidiaries' indebtedness on or before maturity and, if Wynn Resorts incurs debt to do this, it may become a guarantor under the second mortgage notes and the credit facilities, subject to certain limited exceptions. Similarly, if Wynn Resorts</w:t>
      </w:r>
    </w:p>
    <w:p>
      <w:pPr>
        <w:sectPr>
          <w:pgSz w:w="11900" w:h="16854" w:orient="portrait"/>
          <w:cols w:equalWidth="0" w:num="1">
            <w:col w:w="11420"/>
          </w:cols>
          <w:pgMar w:left="240" w:top="131" w:right="239" w:bottom="0" w:gutter="0" w:footer="0" w:header="0"/>
        </w:sectPr>
      </w:pPr>
    </w:p>
    <w:bookmarkStart w:id="37" w:name="page38"/>
    <w:bookmarkEnd w:id="37"/>
    <w:p>
      <w:pPr>
        <w:spacing w:after="0" w:line="12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pledges assets to secure guarantees of other specified indebtedness prior to meeting prescribed leverage ratio and debt rating tests, then the credit facilities and second mortgage notes may be secured by liens on the Wynn Resorts' assets. We cannot assure you that we will be able to refinance any of the indebtedness, including the credit facilities, the FF&amp;E facility or the second mortgage notes on acceptable terms or at all. See "Risk Factors—Risks Related to Our Substantial Indebtedness—We may not generate sufficient cash flow to meet our substantial debt service obligations and other obligations."</w:t>
      </w:r>
    </w:p>
    <w:p>
      <w:pPr>
        <w:spacing w:after="0" w:line="16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quarantee. These funds will be deposited into a collateral account to be held in cash or short-term highly-rated securities, and pledged to the senior lenders under the credit facilities and the holders of the second mortgage notes as security for the completion quarantee.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complete Le Rêve. Until the opening of Le Rêve, these funds may be applied to the costs to develop and construct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At such time as Wynn Las Vegas has met prescribed earnings before interest, taxes, depreciation and amortization targets for a period of four consecutive fiscal quarters after the opening of Le Rêve, any remaining funds will be used to reduce the outstanding balance on our revolving credit facility, but without reducing the revolving credit facility commitment.</w:t>
      </w:r>
    </w:p>
    <w:p>
      <w:pPr>
        <w:spacing w:after="0" w:line="174"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As noted above, we operate an art gallery displaying works from The Wynn Collection on the former premises of the Desert Inn Resort &amp; Casino. We expect the art gallery to remain open during the construction of Le Rêve. We currently lease The Wynn Collection from Mr. and Mrs. Wynn at a monthly rate equal to the gross revenue received by the gallery each month, less direct expenses, subject to a monthly cap. Our lease agreement with Mr.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Mrs. Wynn did not require any such lease payments through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5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will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no less than a total of 4 billion patacas (currently approximately $500 million) on one or more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While Wynn Macau is still formulating its plans for the development of its operations in Macau, it is expected that significant additional financing will be needed to fund the development and construction of any Wynn Macau project in Macau. We do not expect financing for any such project to be provided by or through any of the issuers or guarantors (except for possibly Wynn Resorts, if it becomes a guarantor) of the second mortgage notes or any other financing relating to the Le Rêve project. Wynn Resorts' indirect economic ownership interest in Wynn Macau is expected to be approximately 82.5% prior to any such financing.</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Limited, and debt financing at the Wynn Macau level. If Wynn Resorts decides to raise equity at the Wynn Resorts level or at the Wynn Macau or intermediary holding company level to fund the Macau opportunity, its stockholders would suffer direct or indirect dilution of their interests. Wynn Macau has no commitments relating to such financing and we cannot assure you that Wynn Macau will be able to obtain such financing on acceptable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w:t>
      </w:r>
    </w:p>
    <w:p>
      <w:pPr>
        <w:sectPr>
          <w:pgSz w:w="11900" w:h="16962" w:orient="portrait"/>
          <w:cols w:equalWidth="0" w:num="1">
            <w:col w:w="11420"/>
          </w:cols>
          <w:pgMar w:left="240" w:top="131" w:right="239" w:bottom="0" w:gutter="0" w:footer="0" w:header="0"/>
        </w:sectPr>
      </w:pPr>
    </w:p>
    <w:bookmarkStart w:id="38" w:name="page39"/>
    <w:bookmarkEnd w:id="38"/>
    <w:p>
      <w:pPr>
        <w:ind w:right="20"/>
        <w:spacing w:after="0" w:line="298" w:lineRule="auto"/>
        <w:rPr>
          <w:sz w:val="20"/>
          <w:szCs w:val="20"/>
          <w:color w:val="auto"/>
        </w:rPr>
      </w:pPr>
      <w:r>
        <w:rPr>
          <w:rFonts w:ascii="Arial" w:cs="Arial" w:eastAsia="Arial" w:hAnsi="Arial"/>
          <w:sz w:val="16"/>
          <w:szCs w:val="16"/>
          <w:color w:val="auto"/>
        </w:rPr>
        <w:t>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Macau pataca is not a freely convertible currency, the Macau pataca and the Hong Kong dollar are linked to each other, and in many cases are used interchangeably in Macau. If Wynn Macau builds and/or operates one or more casinos in Macau, Wynn Resorts will be subject to foreign exchange risk with respect to the foreign currency exchange rates between the Hong Kong dollar and the U.S. dollar. We expect that most of the revenue for any casino that Wynn Macau operates in Macau will be in Hong Kong dollars. We expect that some of the revenue will be in Macau patacas, and we intend that substantially all expenses for such casino operations will be paid in Macau patacas first, and then in Hong Kong dollars. The exchange rate between the U.S. dollar and the Hong Kong dollar is linked and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and economic and political developments. Also, if Wynn Resorts' Macau-related entities incur debt denominated in U.S. dollars, fluctuations in the exchange rates of the Macau pataca or the Hong Kong dollar, in relation to the U.S. dollar, could have an adverse effect on Wynn Macau's ability to service its debt and its results of operations and financial condition. In addition, Wynn Macau's payment and expenditure obligations under the concession agreement would increase in the case of unfavorable currency rate changes. Wynn Resorts has not yet determined whether it will engage in hedging activities to protect against foreign currency risk.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Party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111,500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In addition to our planned operations in Las Vegas, Wynn Macau, which is a majority-owned indirect subsidiary of Wynn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Resorts, recently entered into a 20-year concession agreement with the government of the Macau Special Administrative Region of the People's Republic of China permitting Wynn Macau to construct and operate one or more casino gaming properties in Macau. Macau has been an established gaming market for at least 40 years and according to the U.S. &amp; Foreign Commercial Service American Consulate General, Hong Kong, generated approximately US $2.1 billion in gaming revenue in 2000. Wynn Macau is obligated to invest no less than a total of 4 billion patacas (currently approximately US $500 million) in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projects of public interest designated by the Macau government. There remain a number of objectives to be met by Wynn Macau and the government of Macau before Wynn Macau can pursue this opportunity. Currently, Wynn Macau is in the preliminary stages of formulating the strategy for its Macau operations. For example, in connection with the development and construction of the permanent Macau casino resort(s), Wynn Macau may decide to begin operations in separate phases at the first permanent Macau casino resort site or open one or more temporary casinos in Macau in locations other than the permanent site. Wynn Macau may begin casino operations in Macau prior to the opening of Le Rêve. See "Concession Agreement with the Government of Macau."</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ectPr>
          <w:pgSz w:w="11900" w:h="16838" w:orient="portrait"/>
          <w:cols w:equalWidth="0" w:num="1">
            <w:col w:w="11400"/>
          </w:cols>
          <w:pgMar w:left="240" w:top="131" w:right="259" w:bottom="0" w:gutter="0" w:footer="0" w:header="0"/>
        </w:sect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Showcase the "Wynn Brand."</w:t>
      </w:r>
    </w:p>
    <w:p>
      <w:pPr>
        <w:sectPr>
          <w:pgSz w:w="11900" w:h="16838" w:orient="portrait"/>
          <w:cols w:equalWidth="0" w:num="1">
            <w:col w:w="11400"/>
          </w:cols>
          <w:pgMar w:left="240" w:top="131" w:right="259" w:bottom="0" w:gutter="0" w:footer="0" w:header="0"/>
          <w:type w:val="continuous"/>
        </w:sectPr>
      </w:pPr>
    </w:p>
    <w:bookmarkStart w:id="39" w:name="page40"/>
    <w:bookmarkEnd w:id="39"/>
    <w:p>
      <w:pPr>
        <w:ind w:right="100" w:firstLine="348"/>
        <w:spacing w:after="0" w:line="259" w:lineRule="auto"/>
        <w:rPr>
          <w:sz w:val="20"/>
          <w:szCs w:val="20"/>
          <w:color w:val="auto"/>
        </w:rPr>
      </w:pPr>
      <w:r>
        <w:rPr>
          <w:rFonts w:ascii="Arial" w:cs="Arial" w:eastAsia="Arial" w:hAnsi="Arial"/>
          <w:sz w:val="18"/>
          <w:szCs w:val="18"/>
          <w:color w:val="auto"/>
        </w:rPr>
        <w:t>We believe that Mr. Wynn's involvement with Le Rêve and the Macau opportunity provides a distinct advantage over other 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gridSpan w:val="2"/>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2005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111,500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Approx. Show Rooms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dealership</w:t>
            </w:r>
          </w:p>
        </w:tc>
      </w:tr>
      <w:tr>
        <w:trPr>
          <w:trHeight w:val="120"/>
        </w:trPr>
        <w:tc>
          <w:tcPr>
            <w:tcW w:w="680" w:type="dxa"/>
            <w:vAlign w:val="bottom"/>
            <w:tcBorders>
              <w:bottom w:val="single" w:sz="8" w:color="808080"/>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-3736340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-3736340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-3736340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-3736340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-3736340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-3736340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3"/>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3"/>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53"/>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5" w:lineRule="auto"/>
        <w:tabs>
          <w:tab w:leader="none" w:pos="540" w:val="left"/>
        </w:tabs>
        <w:numPr>
          <w:ilvl w:val="0"/>
          <w:numId w:val="53"/>
        </w:numPr>
        <w:rPr>
          <w:rFonts w:ascii="Arial" w:cs="Arial" w:eastAsia="Arial" w:hAnsi="Arial"/>
          <w:sz w:val="18"/>
          <w:szCs w:val="18"/>
          <w:color w:val="auto"/>
          <w:vertAlign w:val="subscript"/>
        </w:rPr>
      </w:pPr>
      <w:r>
        <w:rPr>
          <w:rFonts w:ascii="Arial" w:cs="Arial" w:eastAsia="Arial" w:hAnsi="Arial"/>
          <w:sz w:val="10"/>
          <w:szCs w:val="10"/>
          <w:color w:val="auto"/>
        </w:rPr>
        <w:t>Featuring works from The Wynn Collection.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an established gaming market with access to gaming patrons principally from Hong Kong and mainland China. The concession agreement into which Wynn Macau has entered with the Macau government obligates Wynn Macau to invest not less than 4 billion patacas (currently approximately</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$500 million) on one or more casino projects by June 26, 2009 and to commence operations of its first permanent casino resort by the end of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Wynn Macau is in the preliminary stages of formulating its strategy to capitalize on this opportunity while managing the risks of developing and operating gaming facilities in Macau. See "Business—The Macau Opportunity."</w:t>
      </w:r>
    </w:p>
    <w:p>
      <w:pPr>
        <w:sectPr>
          <w:pgSz w:w="11900" w:h="16838" w:orient="portrait"/>
          <w:cols w:equalWidth="0" w:num="1">
            <w:col w:w="11420"/>
          </w:cols>
          <w:pgMar w:left="240" w:top="131" w:right="239" w:bottom="0" w:gutter="0" w:footer="0" w:header="0"/>
        </w:sectPr>
      </w:pPr>
    </w:p>
    <w:bookmarkStart w:id="40" w:name="page41"/>
    <w:bookmarkEnd w:id="40"/>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also decide to conduct any such development through Wynn Resorts or through a line of subsidiaries separate from the Le Rêve entities.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Our Experienced Management Team</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members of our management team have extensive experience in developing and operating large scale hotels and casinos, and many of them worked with Mr. Wynn at Mirage Resorts to develop Bellagio. In addition to our executive officers, each of whose backgrounds is described in "Management," Wynn Resorts' management team includes:</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team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w:t>
      </w:r>
    </w:p>
    <w:p>
      <w:pPr>
        <w:sectPr>
          <w:pgSz w:w="11900" w:h="16838" w:orient="portrait"/>
          <w:cols w:equalWidth="0" w:num="1">
            <w:col w:w="11420"/>
          </w:cols>
          <w:pgMar w:left="240" w:top="131" w:right="239" w:bottom="765"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5" w:gutter="0" w:footer="0" w:header="0"/>
          <w:type w:val="continuous"/>
        </w:sectPr>
      </w:pPr>
    </w:p>
    <w:bookmarkStart w:id="41" w:name="page42"/>
    <w:bookmarkEnd w:id="41"/>
    <w:p>
      <w:pPr>
        <w:ind w:right="400"/>
        <w:spacing w:after="0" w:line="268" w:lineRule="auto"/>
        <w:rPr>
          <w:sz w:val="20"/>
          <w:szCs w:val="20"/>
          <w:color w:val="auto"/>
        </w:rPr>
      </w:pPr>
      <w:r>
        <w:rPr>
          <w:rFonts w:ascii="Arial" w:cs="Arial" w:eastAsia="Arial" w:hAnsi="Arial"/>
          <w:sz w:val="18"/>
          <w:szCs w:val="18"/>
          <w:color w:val="auto"/>
        </w:rPr>
        <w:t>elegance of Le Rêve, and its convenient location on the Las Vegas Strip, will appeal to a variety of market segments, including high-end, casino, convention, leisure and tour and travel customers.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will offer approximately 290 suites and six villas, all elegantly decorated and furnished.</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20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Facilities.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that Le Rêve's superior non-gaming amenities outlined above will account for a substantial portion of our overall revenue.</w:t>
      </w:r>
    </w:p>
    <w:p>
      <w:pPr>
        <w:sectPr>
          <w:pgSz w:w="11900" w:h="16838" w:orient="portrait"/>
          <w:cols w:equalWidth="0" w:num="1">
            <w:col w:w="11420"/>
          </w:cols>
          <w:pgMar w:left="240" w:top="131" w:right="239" w:bottom="182"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Capitalize on the Attractive Location of Le Rêve.</w:t>
      </w:r>
    </w:p>
    <w:p>
      <w:pPr>
        <w:sectPr>
          <w:pgSz w:w="11900" w:h="16838" w:orient="portrait"/>
          <w:cols w:equalWidth="0" w:num="1">
            <w:col w:w="11420"/>
          </w:cols>
          <w:pgMar w:left="240" w:top="131" w:right="239" w:bottom="182" w:gutter="0" w:footer="0" w:header="0"/>
          <w:type w:val="continuous"/>
        </w:sectPr>
      </w:pPr>
    </w:p>
    <w:bookmarkStart w:id="42" w:name="page43"/>
    <w:bookmarkEnd w:id="42"/>
    <w:p>
      <w:pPr>
        <w:spacing w:after="0" w:line="13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Las Vegas Convention Center contains approximately 3.2 million square feet of space. According to the Las Vegas Convention and Visitors Authority, approximately 1.3 million visitors attended trade shows and conventions at the Las Vegas Convention Center during 2001. We anticipate that Le Rêve will be connected to the Las Vegas Convention Center by a pedestrian bridge over Paradise Road, and that the Las Vegas monorail at the intersection of Desert Inn Road and Paradise Road will meet the anticipated pedestrian bridge. In addition, we anticipate that our free shuttle service will transport convention and trade show attendees and other Le Rêve visitors to and from the Las Vegas Convention Center in approximately four minutes. The shuttle service will run along the north perimeter of the golf course and will be able to move several thousand people per hour. We believe that this will be attractive to convention and trade show visitors who will not need to wait in long lines for taxicabs and can avoid traffic congestion around the Las Vegas Convention Center in travelling to or from Le Rêve.</w:t>
      </w:r>
    </w:p>
    <w:p>
      <w:pPr>
        <w:spacing w:after="0" w:line="19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Le Rêve will be connected to the Sands Expo and Convention Center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believe that our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Carefully Manage Construction Costs and Risks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Wynn Design &amp; Development, a wholly owned indirect subsidiary of Wynn Resorts, is responsible for managing construction costs and risks associated with the project. Marnell Corrao will be the builder and general contractor for Le Rêve. Marnell Corrao has extensive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based on scope changes and other exceptions, to construct the Le Rêve hotel and casino. Plans for a substantial portion of the budget for this contract have not been finalized. We plan to implement specific mechanisms that are intended to reduce the risk of construction cost overruns and delays, including:</w:t>
      </w:r>
    </w:p>
    <w:p>
      <w:pPr>
        <w:spacing w:after="0" w:line="215" w:lineRule="exact"/>
        <w:rPr>
          <w:sz w:val="20"/>
          <w:szCs w:val="20"/>
          <w:color w:val="auto"/>
        </w:rPr>
      </w:pPr>
    </w:p>
    <w:p>
      <w:pPr>
        <w:ind w:left="1080" w:right="2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420" w:hanging="532"/>
        <w:spacing w:after="0" w:line="335"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$50 million completion guarantee in favor of the lenders under the credit facilities and second mortgage note holders by a special purpose subsidiary of Wynn Las Vegas, which capital commitment will be secured by $50 million of the proceeds of this offering contributed to the subsidiary and deposited in a collateral account and pledged to the lenders under the credit facilities and second mortgage note holders, to be</w:t>
      </w:r>
    </w:p>
    <w:p>
      <w:pPr>
        <w:sectPr>
          <w:pgSz w:w="11900" w:h="16977" w:orient="portrait"/>
          <w:cols w:equalWidth="0" w:num="1">
            <w:col w:w="11400"/>
          </w:cols>
          <w:pgMar w:left="240" w:top="131" w:right="259" w:bottom="0" w:gutter="0" w:footer="0" w:header="0"/>
        </w:sectPr>
      </w:pPr>
    </w:p>
    <w:bookmarkStart w:id="43" w:name="page44"/>
    <w:bookmarkEnd w:id="43"/>
    <w:p>
      <w:pPr>
        <w:ind w:left="1080"/>
        <w:spacing w:after="0"/>
        <w:rPr>
          <w:sz w:val="20"/>
          <w:szCs w:val="20"/>
          <w:color w:val="auto"/>
        </w:rPr>
      </w:pPr>
      <w:r>
        <w:rPr>
          <w:rFonts w:ascii="Arial" w:cs="Arial" w:eastAsia="Arial" w:hAnsi="Arial"/>
          <w:sz w:val="18"/>
          <w:szCs w:val="18"/>
          <w:color w:val="auto"/>
        </w:rPr>
        <w:t>applied to the costs of the project in accordance with disbursement agreement;</w:t>
      </w:r>
    </w:p>
    <w:p>
      <w:pPr>
        <w:spacing w:after="0" w:line="239" w:lineRule="exact"/>
        <w:rPr>
          <w:sz w:val="20"/>
          <w:szCs w:val="20"/>
          <w:color w:val="auto"/>
        </w:rPr>
      </w:pPr>
    </w:p>
    <w:p>
      <w:pPr>
        <w:ind w:left="1080" w:right="180" w:hanging="532"/>
        <w:spacing w:after="0" w:line="30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separate liquidity reserve account to be held by Wynn Las Vegas into which we will deposit $30 million of the net proceeds of this offering pledged to the lenders under the credit facilities and second mortgage note holders to secure Wynn Las Vegas' obligation to complete the project and to be applied to the costs of the project in accordance with the disbursement agreement; and</w:t>
      </w:r>
    </w:p>
    <w:p>
      <w:pPr>
        <w:spacing w:after="0" w:line="187"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anticipated availability under our subsidiaries' revolving credit facility to fund interest and commitment fees on our subsidiaries' debt obligations through the fourth month after our scheduled opening, if the opening is delayed.</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expect to solicit competitive bids in late summer 2002 for construction of the new golf course and to award the contract in the fourth quarter of 2002. We expect that the newly constructed golf course will be available for play when Le Rêve opens.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Le Rêve hotel guest main arrival area will feature an atrium garden adjacent to the registration desk with a view of Le Rêve lake below. We are designing Le Rêve to provide an intimate setting by minimizing walking distances throughout the hotel with a well-designed, organized floor plan to facilitate guest orientation and familiarity with the property. On average,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the maximum walking distance to the most remote guest room will be approximately 240 feet, as compared to similar hotels such as Bellagio, The Mirage, Treasure Island at The Mirage and The Venetian at approximately 360 feet.</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will also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is not currently available in the guest rooms of other hotels in Las Vegas.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plan for Le Rêve to provide single and multiple bedroom luxury suites with superior amenities and furnishings designed to accommodate high-end hotel guests. Le Rêve will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20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area with a media center, adjacent dining or conference area, wet bar and oversized bathroom.</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Each of our fairway lanai suites will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also will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111,500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w:t>
      </w:r>
    </w:p>
    <w:p>
      <w:pPr>
        <w:sectPr>
          <w:pgSz w:w="11900" w:h="16838" w:orient="portrait"/>
          <w:cols w:equalWidth="0" w:num="1">
            <w:col w:w="11400"/>
          </w:cols>
          <w:pgMar w:left="240" w:top="131" w:right="259" w:bottom="0" w:gutter="0" w:footer="0" w:header="0"/>
        </w:sectPr>
      </w:pPr>
    </w:p>
    <w:bookmarkStart w:id="44" w:name="page45"/>
    <w:bookmarkEnd w:id="44"/>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Each private gaming room will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our course. The Le Rêve golf course will be accessible only to hotel guests of Le Rêve. We expect that the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our golf course will be adjacent to the hotel and will be visible from the windows of many of Le Rêve's meeting and convention rooms. We expect that Le Rêve's golf course will be available for play when Le Rêve opens.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Restaurants, Lounges, Bars and Nightclub. </w:t>
      </w:r>
      <w:r>
        <w:rPr>
          <w:rFonts w:ascii="Arial" w:cs="Arial" w:eastAsia="Arial" w:hAnsi="Arial"/>
          <w:sz w:val="16"/>
          <w:szCs w:val="16"/>
          <w:color w:val="auto"/>
        </w:rPr>
        <w:t>We plan to offer 18 food and beverage outlets, including six fine-dining restaurants and an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6"/>
          <w:szCs w:val="16"/>
          <w:i w:val="1"/>
          <w:iCs w:val="1"/>
          <w:color w:val="auto"/>
        </w:rPr>
        <w:t>Bon Appetit Magazine</w:t>
      </w:r>
      <w:r>
        <w:rPr>
          <w:rFonts w:ascii="Arial" w:cs="Arial" w:eastAsia="Arial" w:hAnsi="Arial"/>
          <w:sz w:val="16"/>
          <w:szCs w:val="16"/>
          <w:color w:val="auto"/>
        </w:rPr>
        <w:t>, and is known for his New York restaurants, DANIEL and Café Boulud. DANIEL has been awarded four stars by the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Times, rated one of the ten best restaurants in the world by </w:t>
      </w:r>
      <w:r>
        <w:rPr>
          <w:rFonts w:ascii="Arial" w:cs="Arial" w:eastAsia="Arial" w:hAnsi="Arial"/>
          <w:sz w:val="16"/>
          <w:szCs w:val="16"/>
          <w:i w:val="1"/>
          <w:iCs w:val="1"/>
          <w:color w:val="auto"/>
        </w:rPr>
        <w:t>The International Herald Tribune</w:t>
      </w:r>
      <w:r>
        <w:rPr>
          <w:rFonts w:ascii="Arial" w:cs="Arial" w:eastAsia="Arial" w:hAnsi="Arial"/>
          <w:sz w:val="16"/>
          <w:szCs w:val="16"/>
          <w:color w:val="auto"/>
        </w:rPr>
        <w:t xml:space="preserve"> and received </w:t>
      </w:r>
      <w:r>
        <w:rPr>
          <w:rFonts w:ascii="Arial" w:cs="Arial" w:eastAsia="Arial" w:hAnsi="Arial"/>
          <w:sz w:val="16"/>
          <w:szCs w:val="16"/>
          <w:i w:val="1"/>
          <w:iCs w:val="1"/>
          <w:color w:val="auto"/>
        </w:rPr>
        <w:t>Gourmet Magazine's</w:t>
      </w:r>
      <w:r>
        <w:rPr>
          <w:rFonts w:ascii="Arial" w:cs="Arial" w:eastAsia="Arial" w:hAnsi="Arial"/>
          <w:sz w:val="16"/>
          <w:szCs w:val="16"/>
          <w:color w:val="auto"/>
        </w:rPr>
        <w:t xml:space="preserve"> "Top Table" award.</w:t>
      </w:r>
    </w:p>
    <w:p>
      <w:pPr>
        <w:spacing w:after="0" w:line="248"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7"/>
          <w:szCs w:val="17"/>
          <w:b w:val="1"/>
          <w:bCs w:val="1"/>
          <w:i w:val="1"/>
          <w:iCs w:val="1"/>
          <w:color w:val="auto"/>
        </w:rPr>
        <w:t xml:space="preserve">The Art Gallery. </w:t>
      </w:r>
      <w:r>
        <w:rPr>
          <w:rFonts w:ascii="Arial" w:cs="Arial" w:eastAsia="Arial" w:hAnsi="Arial"/>
          <w:sz w:val="17"/>
          <w:szCs w:val="17"/>
          <w:color w:val="auto"/>
        </w:rPr>
        <w:t>Le Rêve will also offer an art gallery displaying rare paintings from The Wynn Collection. The Wynn Collection consists of works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currently operate an art gallery in our office building on the 20-acre parcel and pay for the insurance on the works of art and will continue to do so after Le Rêve opens. We lease The Wynn Collection from Mr. and Mrs. Wynn at a monthly rate equal to the gross revenue received by the gallery each month, less direct expenses, subject to a monthly cap.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340" w:firstLine="348"/>
        <w:spacing w:after="0" w:line="254" w:lineRule="auto"/>
        <w:rPr>
          <w:sz w:val="20"/>
          <w:szCs w:val="20"/>
          <w:color w:val="auto"/>
        </w:rPr>
      </w:pPr>
      <w:r>
        <w:rPr>
          <w:rFonts w:ascii="Arial" w:cs="Arial" w:eastAsia="Arial" w:hAnsi="Arial"/>
          <w:sz w:val="18"/>
          <w:szCs w:val="18"/>
          <w:color w:val="auto"/>
        </w:rPr>
        <w:t>The letters of intent require us to submit designs and plans for the dealership to Ferrari North America and Maserati North America for approval and to satisfy certain financing and other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 letters of intent, no changes in the proportional equity interests in Wynn Resorts held by Mr. Wynn,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Aruze USA, Baron Asset Fund and our public stockholders as a group upon consummation of this offering can be made without the approval of Ferrari North America and Maserati North America.</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Retail Space. </w:t>
      </w:r>
      <w:r>
        <w:rPr>
          <w:rFonts w:ascii="Arial" w:cs="Arial" w:eastAsia="Arial" w:hAnsi="Arial"/>
          <w:sz w:val="16"/>
          <w:szCs w:val="16"/>
          <w:color w:val="auto"/>
        </w:rPr>
        <w:t>Le Rêve will contain approximately 77,500 square feet dedicated to retail shops. We expect to lease approximately eight of the shops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The Spa, Salon and Fitness Complex. </w:t>
      </w:r>
      <w:r>
        <w:rPr>
          <w:rFonts w:ascii="Arial" w:cs="Arial" w:eastAsia="Arial" w:hAnsi="Arial"/>
          <w:sz w:val="16"/>
          <w:szCs w:val="16"/>
          <w:color w:val="auto"/>
        </w:rPr>
        <w:t>We will own and operate a world-class spa, salon and fitness complex offering high-end spa treatments and fitness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custom label and branded skin and body treatment products, as well as clothing, accessories, and athletic wear. The 38,000 square foot spa and salon complex will be directly accessible from the main guestrooms, the suites and villas, and pool deck elevators.</w:t>
      </w:r>
    </w:p>
    <w:p>
      <w:pPr>
        <w:sectPr>
          <w:pgSz w:w="11900" w:h="16958" w:orient="portrait"/>
          <w:cols w:equalWidth="0" w:num="1">
            <w:col w:w="11400"/>
          </w:cols>
          <w:pgMar w:left="240" w:top="131" w:right="259" w:bottom="0" w:gutter="0" w:footer="0" w:header="0"/>
        </w:sectPr>
      </w:pPr>
    </w:p>
    <w:bookmarkStart w:id="45" w:name="page46"/>
    <w:bookmarkEnd w:id="45"/>
    <w:p>
      <w:pPr>
        <w:spacing w:after="0" w:line="11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One swimming pool and one whirlpool spa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dedicated for the exclusive use of our suite guests. The pool areas will feature private cabanas and lush landscaping.</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Le Rêve will feature approximately 223,000 square feet of convention, meeting and reception space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61"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5"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Roger P. Thomas, Executive Vice President—Design. </w:t>
      </w:r>
      <w:r>
        <w:rPr>
          <w:rFonts w:ascii="Arial" w:cs="Arial" w:eastAsia="Arial" w:hAnsi="Arial"/>
          <w:sz w:val="16"/>
          <w:szCs w:val="16"/>
          <w:color w:val="auto"/>
        </w:rPr>
        <w:t>Mr. Thomas, who served as the Vice President—Design for Atlandia Design &amp; Furnishings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over 15 years, was responsible for the interior design of The Mirage, including the standard rooms, suites and villas, the spa and salon, the Siegfried &amp; Roy and Danny Gans showrooms and the expansion of the convention center. In addition, Mr. Thomas supervised the interior design of Bellagio, Treasure Island at The Mirage and the Golden Nugget—Las Vegas.</w:t>
      </w:r>
    </w:p>
    <w:p>
      <w:pPr>
        <w:spacing w:after="0" w:line="193"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scheduled groundbreaking for Le Rêve to occur in September 2002, with an opening to the general public scheduled for March 2005.</w:t>
      </w:r>
    </w:p>
    <w:p>
      <w:pPr>
        <w:spacing w:after="0" w:line="248"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golf course and principal parking garage, but excluding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w:t>
      </w:r>
    </w:p>
    <w:p>
      <w:pPr>
        <w:sectPr>
          <w:pgSz w:w="11900" w:h="16952" w:orient="portrait"/>
          <w:cols w:equalWidth="0" w:num="1">
            <w:col w:w="11400"/>
          </w:cols>
          <w:pgMar w:left="240" w:top="131" w:right="259" w:bottom="0" w:gutter="0" w:footer="0" w:header="0"/>
        </w:sectPr>
      </w:pPr>
    </w:p>
    <w:bookmarkStart w:id="46" w:name="page47"/>
    <w:bookmarkEnd w:id="46"/>
    <w:p>
      <w:pPr>
        <w:ind w:right="680"/>
        <w:spacing w:after="0" w:line="268" w:lineRule="auto"/>
        <w:rPr>
          <w:sz w:val="20"/>
          <w:szCs w:val="20"/>
          <w:color w:val="auto"/>
        </w:rPr>
      </w:pPr>
      <w:r>
        <w:rPr>
          <w:rFonts w:ascii="Arial" w:cs="Arial" w:eastAsia="Arial" w:hAnsi="Arial"/>
          <w:sz w:val="18"/>
          <w:szCs w:val="18"/>
          <w:color w:val="auto"/>
        </w:rPr>
        <w:t>responsible for excess costs with respect to these components. See "Construction Contracts for Le Rêve" and "Risk Factors—Risks Associated with Our Construction of Le Rêve."</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$485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 we expect to solicit competitive bids in late summer 2002 for construction of the new golf course and to award the construction contract in the fourth quarter of 2002;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have spent money or received non-binding bids for a total of approximately 45% of these remaining budgeted costs.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expect to solicit competitive bids in late summer 2002 for the construction of the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eighteen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right="2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second mortgage note holders by a special purpose subsidiary of Wynn Las Vegas, which will be secured by $50 million of the proceeds of this offering contributed to the subsidiary and deposited in a collateral account and pledged to the lenders under the credit facilities and the second mortgage note holders, to be applied to the costs of the project in accordance with the disbursement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into which we will deposit $30 million of the net proceeds of this offering pledged to the lenders under the credit facilities and second mortgage note holders to secure Wynn Las Vegas' obligation to</w:t>
      </w:r>
    </w:p>
    <w:p>
      <w:pPr>
        <w:sectPr>
          <w:pgSz w:w="11900" w:h="16838" w:orient="portrait"/>
          <w:cols w:equalWidth="0" w:num="1">
            <w:col w:w="11400"/>
          </w:cols>
          <w:pgMar w:left="240" w:top="131" w:right="259" w:bottom="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complete the project and to be applied to the costs of the project in accordance with the disbursement agreement; and</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subsidiaries' revolving credit facility.</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August 31, 2005, subject to limited permitted extensions due to force majeure events, our subsidiaries will be in default under the credit facilities and the second mortgage notes and the holders of the indebtedness will have the right to accelerate the indebtedness and exercise other rights and remedies against our subsidiaries. See "Risk Factors—Risks Related to Our Substantial Indebtedness—We are highly leveraged and future cash flow may not be sufficient for our subsidiaries to meet their obligations, and we might have difficulty obtaining more financing." We do not expect to be able to obtain insurance for delayed opening of Le Rêve, loss of use of the project or loss due to force majeure events. See "Risk Factors—Risks Associated with Our Construction."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 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this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7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we or one of our subsidiaries will be required to pay an additional $1 million if we exercise the option.</w:t>
      </w:r>
    </w:p>
    <w:p>
      <w:pPr>
        <w:spacing w:after="0" w:line="186" w:lineRule="exact"/>
        <w:rPr>
          <w:sz w:val="20"/>
          <w:szCs w:val="20"/>
          <w:color w:val="auto"/>
        </w:rPr>
      </w:pPr>
    </w:p>
    <w:p>
      <w:pPr>
        <w:ind w:left="360"/>
        <w:spacing w:after="0"/>
        <w:tabs>
          <w:tab w:leader="none" w:pos="7660" w:val="left"/>
        </w:tabs>
        <w:rPr>
          <w:sz w:val="20"/>
          <w:szCs w:val="20"/>
          <w:color w:val="auto"/>
        </w:rPr>
      </w:pPr>
      <w:r>
        <w:rPr>
          <w:rFonts w:ascii="Arial" w:cs="Arial" w:eastAsia="Arial" w:hAnsi="Arial"/>
          <w:sz w:val="18"/>
          <w:szCs w:val="18"/>
          <w:color w:val="auto"/>
        </w:rPr>
        <w:t>Following the completion of this offering, Wynn Resorts plans to grant Mr. Dragone an award of</w:t>
      </w:r>
      <w:r>
        <w:rPr>
          <w:sz w:val="20"/>
          <w:szCs w:val="20"/>
          <w:color w:val="auto"/>
        </w:rPr>
        <w:tab/>
      </w:r>
      <w:r>
        <w:rPr>
          <w:rFonts w:ascii="Arial" w:cs="Arial" w:eastAsia="Arial" w:hAnsi="Arial"/>
          <w:sz w:val="16"/>
          <w:szCs w:val="16"/>
          <w:color w:val="auto"/>
        </w:rPr>
        <w:t>shares of restricted stock. The restricted stock will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be subject to Wynn Resorts' repurchase right, which will lapse in June 2006. This restricted stock award is intended to be part of the compensation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Dragone for his role as principal creator of the production. Although the form of the restricted stock grant has not been finalized, management believes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based on the fair value of the stock grant at the measurement date, will be recognized and that such compensation expense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part of the cost of constructing the entertainment production. Because the price of the stock at the measurement date is presently unknown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form of the agreement has yet to be finalized, management is unable to estimate the amount of compensation expense expected to be associated with the restricted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 grant at this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visitors in 2001, a compound annual growth rate of 3.3%. Aggregate expenditures by these visitors increased at a compound annual growth rate of 7.5%, from approximately $22.5 billion in 1996 to approximately $31.6 billion in 2001. The number of residents in Clark County, the greater Las Vegas area, has increased from 1,115,940 residents in 1996 to 1,425,723 residents in 2000, a compound annual growth rate of 6.6%.</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According to the Las Vegas Convention and Visitors Authority, Clark County gross gaming revenue has increased by 31%, from approximately $5.8 billion in 1996 to approximately $7.6 billion in 2001. As a result of the increased popularity of gaming, Las Vegas has sought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123190</wp:posOffset>
            </wp:positionV>
            <wp:extent cx="5668645" cy="25298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Las Vegas Retail Sector and Non-Gaming Revenue Expenditures. </w:t>
      </w:r>
      <w:r>
        <w:rPr>
          <w:rFonts w:ascii="Arial" w:cs="Arial" w:eastAsia="Arial" w:hAnsi="Arial"/>
          <w:sz w:val="16"/>
          <w:szCs w:val="16"/>
          <w:color w:val="auto"/>
        </w:rPr>
        <w:t>The Las Vegas market continues to evolve from its historical gaming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broader entertainment and 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w:t>
      </w:r>
    </w:p>
    <w:p>
      <w:pPr>
        <w:sectPr>
          <w:pgSz w:w="11900" w:h="16838" w:orient="portrait"/>
          <w:cols w:equalWidth="0" w:num="1">
            <w:col w:w="11380"/>
          </w:cols>
          <w:pgMar w:left="240" w:top="1440" w:right="279" w:bottom="373" w:gutter="0" w:footer="0" w:header="0"/>
        </w:sectPr>
      </w:pP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373" w:gutter="0" w:footer="0" w:header="0"/>
          <w:type w:val="continuous"/>
        </w:sectPr>
      </w:pPr>
    </w:p>
    <w:bookmarkStart w:id="49" w:name="page50"/>
    <w:bookmarkEnd w:id="49"/>
    <w:p>
      <w:pPr>
        <w:ind w:right="20"/>
        <w:spacing w:after="0" w:line="289" w:lineRule="auto"/>
        <w:rPr>
          <w:sz w:val="20"/>
          <w:szCs w:val="20"/>
          <w:color w:val="auto"/>
        </w:rPr>
      </w:pPr>
      <w:r>
        <w:rPr>
          <w:rFonts w:ascii="Arial" w:cs="Arial" w:eastAsia="Arial" w:hAnsi="Arial"/>
          <w:sz w:val="16"/>
          <w:szCs w:val="16"/>
          <w:color w:val="auto"/>
        </w:rPr>
        <w:t>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4"/>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4"/>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in downtown Las Vegas, as well as a large number of hotels and motels in and near Las Vegas.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date in October 2003. Other than the expansions of The Venetian and Mandalay Bay Resort &amp; Casino, we are not aware of any significant additions of hotel rooms to major hotel casino resort properties in Las Vegas or any developments of new major hotel casino resort properties in Las Vegas in the near future.</w:t>
      </w:r>
    </w:p>
    <w:p>
      <w:pPr>
        <w:spacing w:after="0" w:line="19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Retail Competition. </w:t>
      </w:r>
      <w:r>
        <w:rPr>
          <w:rFonts w:ascii="Arial" w:cs="Arial" w:eastAsia="Arial" w:hAnsi="Arial"/>
          <w:sz w:val="15"/>
          <w:szCs w:val="15"/>
          <w:color w:val="auto"/>
        </w:rPr>
        <w:t>Le Rêve's retail stores will operate in a highly competitive environment. Le Rêve's retail stores will compete with other retail stores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located in other Las Vegas hotel casino resorts and shopping districts. Among these Las Vegas shopping locations, Le Rêve will face significant competition from</w:t>
      </w:r>
    </w:p>
    <w:p>
      <w:pPr>
        <w:sectPr>
          <w:pgSz w:w="11900" w:h="16838" w:orient="portrait"/>
          <w:cols w:equalWidth="0" w:num="1">
            <w:col w:w="11420"/>
          </w:cols>
          <w:pgMar w:left="240" w:top="131" w:right="239" w:bottom="0" w:gutter="0" w:footer="0" w:header="0"/>
        </w:sectPr>
      </w:pPr>
    </w:p>
    <w:bookmarkStart w:id="50" w:name="page51"/>
    <w:bookmarkEnd w:id="50"/>
    <w:p>
      <w:pPr>
        <w:ind w:right="440"/>
        <w:spacing w:after="0" w:line="306" w:lineRule="auto"/>
        <w:rPr>
          <w:sz w:val="20"/>
          <w:szCs w:val="20"/>
          <w:color w:val="auto"/>
        </w:rPr>
      </w:pPr>
      <w:r>
        <w:rPr>
          <w:rFonts w:ascii="Arial" w:cs="Arial" w:eastAsia="Arial" w:hAnsi="Arial"/>
          <w:sz w:val="16"/>
          <w:szCs w:val="16"/>
          <w:color w:val="auto"/>
        </w:rPr>
        <w:t>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retail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a number of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complementary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Currently, Wynn Macau is an indirect, 90% 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w:t>
      </w:r>
    </w:p>
    <w:p>
      <w:pPr>
        <w:spacing w:after="0" w:line="1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The currency used in the concession agreement is the Macau pataca. We have converted all pataca references into U.S. dollars, using the exchange rate as of August 11, 2002. While the rate of exchange may fluctuate over the term of the concession agreement, the rate of exchange between the United States dollar and the Hong Kong dollar (to which the Macau pataca is linked) has remained relatively stable over the past several years.</w:t>
      </w:r>
    </w:p>
    <w:p>
      <w:pPr>
        <w:spacing w:after="0" w:line="172"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Macau peninsula, located in southeast China on the South China Sea, is approximately 37 miles southwest of Hong Kong. Macau was a colony of Portugal for almost 450 years. In December 1999, Portugal transferred administration of Macau to China, which reestablished the territory as a special administrative region. In the past, gaming in Macau had been administered as a government-sanctioned monopoly concession held by Sociedade de Turismo e Diversoes de Macau, controlled by Mr. Stanley Ho. This gaming business in Macau is currently conducted through a different entity named Sociedade de Jogos de Macau which is controlled by Mr. Ho.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under the heading "Risk Factors—Risks Associated with Wynn Macau's Macau Opportunity," the development and completion of casino(s)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is subject to numerous conditions and risks, including the following:</w:t>
      </w:r>
    </w:p>
    <w:p>
      <w:pPr>
        <w:spacing w:after="0" w:line="232" w:lineRule="exact"/>
        <w:rPr>
          <w:sz w:val="20"/>
          <w:szCs w:val="20"/>
          <w:color w:val="auto"/>
        </w:rPr>
      </w:pPr>
    </w:p>
    <w:p>
      <w:pPr>
        <w:ind w:left="1080" w:right="3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acquiring the rights to use suitable parcels of land in satisfactory locations in Macau on which to build casino(s), although Wynn Macau has an agreement in principle relating to the site of its first proposed casino;</w:t>
      </w:r>
    </w:p>
    <w:p>
      <w:pPr>
        <w:sectPr>
          <w:pgSz w:w="11900" w:h="16838" w:orient="portrait"/>
          <w:cols w:equalWidth="0" w:num="1">
            <w:col w:w="11420"/>
          </w:cols>
          <w:pgMar w:left="240" w:top="131" w:right="239" w:bottom="0" w:gutter="0" w:footer="0" w:header="0"/>
        </w:sectPr>
      </w:pPr>
    </w:p>
    <w:bookmarkStart w:id="51" w:name="page52"/>
    <w:bookmarkEnd w:id="51"/>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obtaining significant financing to develop and construct Macau casino(s);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attracting qualified management, key personnel and employees to operate the casino(s);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political, economic and social risks inherent in doing business in an emerging market such as China, including the risks related to Macau's untested gaming regulatory framework;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obtaining relief, through legislative action, from the complementary income tax and the withholding tax on dividends imposed in Macau;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may not proceed with the construction of casino(s) in Macau if, in the judgment of its management, such conditions and risks cannot be adequately resolved, or if these conditions and risks would adversely affect our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terms of the concession agreement into which Wynn Macau has entered with the Macau government are as follows:</w:t>
      </w:r>
    </w:p>
    <w:p>
      <w:pPr>
        <w:spacing w:after="0" w:line="239" w:lineRule="exact"/>
        <w:rPr>
          <w:sz w:val="20"/>
          <w:szCs w:val="20"/>
          <w:color w:val="auto"/>
        </w:rPr>
      </w:pPr>
    </w:p>
    <w:p>
      <w:pPr>
        <w:ind w:left="1080" w:right="120" w:hanging="532"/>
        <w:spacing w:after="0" w:line="298"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Wynn Macau is obligated to invest no less than a total of 4 billion patacas (currently approximately US $500 million) on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April 1, 2009, the Macau government is prohibited from granting any additional concessions for the operation of casinos in Macau.</w:t>
      </w:r>
    </w:p>
    <w:p>
      <w:pPr>
        <w:spacing w:after="0" w:line="26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Macau must pay a fixed premium of 30 million patacas (currently approximately US $3.8 million) per year, and a variable premium based on the number of table games and machines Wynn Macau operates in Macau, with a set minimum of 45 million patacas (currently approximately US $5.6 million) per year (which is temporarily lowered if Wynn Macau operates a temporary casino before completion of its first permanent casino resort).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Macau must pay a special gaming tax of 35% on its gross gaming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Wynn Macau must contribute a total of 4.0% of its gross gaming revenue for the promotion of public interests, infrastructure and tourism.</w:t>
      </w:r>
    </w:p>
    <w:p>
      <w:pPr>
        <w:spacing w:after="0" w:line="261" w:lineRule="exact"/>
        <w:rPr>
          <w:rFonts w:ascii="Arial" w:cs="Arial" w:eastAsia="Arial" w:hAnsi="Arial"/>
          <w:sz w:val="16"/>
          <w:szCs w:val="16"/>
          <w:color w:val="auto"/>
        </w:rPr>
      </w:pPr>
    </w:p>
    <w:p>
      <w:pPr>
        <w:jc w:val="both"/>
        <w:ind w:left="1080" w:right="52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Macau must pay taxes imposed by Macau law including a complementary income tax at the rate of 15% on the profits realized from conducting business in Macau and a 15% withholding tax rate on dividends paid from Macau entities to their stockholders. Wynn Macau is seeking exemptions for both of these taxes.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Wynn Macau is obligated to maintain bank guarantees or bonds satisfactory to the government.</w:t>
      </w:r>
    </w:p>
    <w:p>
      <w:pPr>
        <w:spacing w:after="0" w:line="25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the end of the term of the concession agreement, and any agreed upon extensions, the main casino areas and all of the gaming equipment owned by Wynn Macau will be automatically transferred to the government of Macau without compensation to Wynn Macau.</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June 27, 2017 until the end of the term of the concession agreement, the government of Macau will have the right to redeem Wynn Macau's gaming concession and take title to all of its assets in Macau and the government must provide fair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compensation for a resort-hotel-casino complex under the investment plan under the agreement. However, the concession agreement is unclear as to how the compensation provision will apply if there is more than one resort-hotel-casino that is built.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more information on the concession contract between Wynn Macau and the government of Macau, see "Concession Agreement with the Government of Macau."</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Macau Special Administrative Region owns most of the land in Macau and, in most cases, private interests in real property located in Macau are obtained only through leases and other grants of rights to use land from the government. The government of Macau has provisionally awarded Wynn Macau a concession to lease a parcel of land of approximately 14 acres located opposite the Hotel Lisboa (Macau's largest and most well-known hotel and casino) on which Wynn Macau intends to construct and operate a casino project. If Wynn Macau ultimately signs a land concession agreement formalizing this agreement in principle, the amount of the rent and other terms and conditions of the land concession will be fixed in that agreement. The term of the land concession would be 25 years, commencing on the date the concession contract is published in the Macau Official Gazette, and may be renewed at the option of Wynn Macau for successive periods terminating no later than December 19, 2049. In exchange for the land concession, Wynn Macau will be obligated to pay a premium of approximately 318 million patacas (currently approximately US $40 million). In addition, once the land concession is entered into, Wynn Macau would become obligated to pay the former concessionaire of a portion of that site approximately 160 million patacas (currently approximately US $20 million) for relinquishing that entity's rights to use its part of the land. Wynn Macau would be able to credit both this land concession premium and the payment to the former concessionaire toward its 4 billion pataca required investment in Macau.</w:t>
      </w:r>
    </w:p>
    <w:p>
      <w:pPr>
        <w:sectPr>
          <w:pgSz w:w="11900" w:h="16838" w:orient="portrait"/>
          <w:cols w:equalWidth="0" w:num="1">
            <w:col w:w="11380"/>
          </w:cols>
          <w:pgMar w:left="240" w:top="145" w:right="279" w:bottom="0" w:gutter="0" w:footer="0" w:header="0"/>
        </w:sectPr>
      </w:pPr>
    </w:p>
    <w:bookmarkStart w:id="52" w:name="page53"/>
    <w:bookmarkEnd w:id="52"/>
    <w:p>
      <w:pPr>
        <w:ind w:right="140" w:firstLine="351"/>
        <w:spacing w:after="0" w:line="255" w:lineRule="auto"/>
        <w:rPr>
          <w:sz w:val="20"/>
          <w:szCs w:val="20"/>
          <w:color w:val="auto"/>
        </w:rPr>
      </w:pPr>
      <w:r>
        <w:rPr>
          <w:rFonts w:ascii="Arial" w:cs="Arial" w:eastAsia="Arial" w:hAnsi="Arial"/>
          <w:sz w:val="18"/>
          <w:szCs w:val="18"/>
          <w:color w:val="auto"/>
        </w:rPr>
        <w:t>Currently, Wynn Macau is in the preliminary stages of formulating its strategy for its Macau operations. Wynn Macau has not yet determined how many casinos it will build, the scope, design or the timing of any project, or whether it will begin construction and operations in separate phases at the first permanent Macau casino resort site or open one or more temporary casinos in Macau in locations other than the permanent site. Moreover, Wynn Macau would need to obtain the necessary financing to fund the development, design and construction of such project or projects. Nonetheless, Wynn Macau may begin casino operations in Macau prior to the opening of Le Rêve.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Macau's plans relating to the financing of the Macau opportunity are at the preliminary stages. Wynn Macau is considering different financing alternatives, including equity financing at the Wynn Macau level or at the level of one of the intermediary holding companies, such as Wynn Resorts (Macau) Holdings, Ltd., and debt financing at the Wynn Macau level. If additional equity is raised at the Wynn Macau or intermediary company holding company level, stockholders of Wynn Resorts would indirectly hold a smaller interest in Wynn Macau as the minority interest in the Macau-related entities increases. If Wynn Resorts decides to raise equity at the Wynn Resorts level to fund the Macau opportunity, its stockholders would suffer dilution of their interests. Wynn Macau has no commitments relating to such financing and we cannot assure you that Wynn Macau will be able to obtain such financing on acceptable terms or at all.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chart illustrates the organizational structure of Wynn Resorts' Macau-related subsidiaries immediately after the consummation of this offering and the restructuring transactions relating to the Macau-related entities described below are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125210" cy="58420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25210" cy="584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(Hong Kong) as nominee for Wynn Resorts (Macau) Holdings, Ltd.</w:t>
      </w:r>
    </w:p>
    <w:p>
      <w:pPr>
        <w:spacing w:after="0" w:line="19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indirectly, a 90% interest in Wynn Macau. A series of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bring minority partners into the ownership structure is currently being implemented. Once the restructuring transactions currently underway are completed, we expect that Wynn Resorts will own an approximately 82.5% economic interest in Wynn Macau indirectly through various</w:t>
      </w:r>
    </w:p>
    <w:p>
      <w:pPr>
        <w:sectPr>
          <w:pgSz w:w="11900" w:h="16838" w:orient="portrait"/>
          <w:cols w:equalWidth="0" w:num="1">
            <w:col w:w="11360"/>
          </w:cols>
          <w:pgMar w:left="240" w:top="131" w:right="299" w:bottom="454"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454" w:gutter="0" w:footer="0" w:header="0"/>
          <w:type w:val="continuous"/>
        </w:sectPr>
      </w:pPr>
    </w:p>
    <w:bookmarkStart w:id="53" w:name="page54"/>
    <w:bookmarkEnd w:id="53"/>
    <w:p>
      <w:pPr>
        <w:ind w:right="220"/>
        <w:spacing w:after="0" w:line="268" w:lineRule="auto"/>
        <w:rPr>
          <w:sz w:val="20"/>
          <w:szCs w:val="20"/>
          <w:color w:val="auto"/>
        </w:rPr>
      </w:pPr>
      <w:r>
        <w:rPr>
          <w:rFonts w:ascii="Arial" w:cs="Arial" w:eastAsia="Arial" w:hAnsi="Arial"/>
          <w:sz w:val="18"/>
          <w:szCs w:val="18"/>
          <w:color w:val="auto"/>
        </w:rPr>
        <w:t>subsidiaries. In exchange, in the aggregate, Wynn Resorts will have contributed shares of Wynn Macau with an aggregate par value of approximately $337,500 and cash of approximately $23.8 million.</w:t>
      </w:r>
    </w:p>
    <w:p>
      <w:pPr>
        <w:spacing w:after="0" w:line="186"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will hold certain shares of Wynn Macau directly, representing approximately 39% of the capital and voting power and approximately 49% of the dividends and other distributions in excess of capital contributed. Wynn Resorts International will also own approximately 33.5% of the capital and dividend participation and approximately 40.4% of the vote of Wynn Macau indirectly through its majority-owned subsidiary, Wynn Resorts (Macau) Holdings, Ltd., a Manx company. We expect that Wynn Resorts International will be entitled to an additional capital interest in Wynn Resorts (Macau) Holdings that effectively represents an additional 10% interest in the capital of Wynn Macau. Wynn Resorts (Macau) Holdings owns 100% of Wynn Resorts (Macau), Limited, a Hong Kong company. Wynn Resorts (Macau), Limited in turn will own approximately 51% of Wynn Macau.</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Minority Ownership of the Macau-Related Entities. </w:t>
      </w:r>
      <w:r>
        <w:rPr>
          <w:rFonts w:ascii="Arial" w:cs="Arial" w:eastAsia="Arial" w:hAnsi="Arial"/>
          <w:sz w:val="18"/>
          <w:szCs w:val="18"/>
          <w:color w:val="auto"/>
        </w:rPr>
        <w:t>Once the restructuring transactions currently underway are completed, we expect that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own approximately 82.5% of the rights to capital and dividends and effectively control approximately 90% of the vote of Wynn Macau indirectly through various subsidiaries. Mr. Wong Chi Seng, who is the executive director of Wynn Macau, will own, in the aggregate, approximately 10% of the rights to capital and dividends and effectively control approximately 10% of the vote of Wynn Macau. Other investors will own, indirectly, approximately 7.5% of the rights to dividends and capital of Wynn Macau.</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direct and indirect minority interests of Wynn Macau will be at two levels: at the Wynn Resorts (Macau) Holdings level and directly at the Wynn Macau level. Mr. Wong Chi Seng will own, directly and indirectly, shares representing approximately 11.8% of the voting power and 19.6% of capital and dividend participation in Wynn Resorts (Macau) Holdings. In exchange for these shares, Mr. Wong will contribute to Wynn Resorts (Macau) Holdings cash of approximately $385,000 and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will purchase his shares in Wynn Macau for an aggregate of approximately $2.5 million. Mr. Wong's shares will have the same voting rights as do the other shares in Wynn Macau, but they will be limited in their participation in dividends to up to one pataca per year, in the aggregate, and limited in other distributions to their share of the capital contributed.</w:t>
      </w:r>
    </w:p>
    <w:p>
      <w:pPr>
        <w:spacing w:after="0" w:line="172" w:lineRule="exact"/>
        <w:rPr>
          <w:sz w:val="20"/>
          <w:szCs w:val="20"/>
          <w:color w:val="auto"/>
        </w:rPr>
      </w:pPr>
    </w:p>
    <w:p>
      <w:pPr>
        <w:ind w:right="1020" w:firstLine="351"/>
        <w:spacing w:after="0" w:line="332" w:lineRule="auto"/>
        <w:rPr>
          <w:sz w:val="20"/>
          <w:szCs w:val="20"/>
          <w:color w:val="auto"/>
        </w:rPr>
      </w:pPr>
      <w:r>
        <w:rPr>
          <w:rFonts w:ascii="Arial" w:cs="Arial" w:eastAsia="Arial" w:hAnsi="Arial"/>
          <w:sz w:val="16"/>
          <w:szCs w:val="16"/>
          <w:color w:val="auto"/>
        </w:rPr>
        <w:t>Other investors, who are related to each other, collectively will contribute cash of approximately $2.2 million and will own shares representing approximately 8.9% of the voting power and 14.7% of capital and dividend participation in Wynn Resorts (Macau) Holdings.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88900</wp:posOffset>
            </wp:positionV>
            <wp:extent cx="4039235" cy="5617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Macau was a colony of Portugal for almost 450 years. In December 1999, Portugal transferred administration of Macau to China, which re-established the territory as a special administrative region. Macau has been a gaming destination for at least 40 years.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stayed overnight in hotels and guestrooms, the average length of stay was only one to two nights.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21"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04139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4139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Macau Statistics and Census Service Monthly Bulletin of Statistics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Proximity to, and ease of access from, major Asian capitals. </w:t>
      </w:r>
      <w:r>
        <w:rPr>
          <w:rFonts w:ascii="Arial" w:cs="Arial" w:eastAsia="Arial" w:hAnsi="Arial"/>
          <w:sz w:val="18"/>
          <w:szCs w:val="18"/>
          <w:color w:val="auto"/>
        </w:rPr>
        <w:t>Gaming customers traveling to Macau typically come from nearby countries in Asia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 alone.</w:t>
      </w:r>
    </w:p>
    <w:p>
      <w:pPr>
        <w:sectPr>
          <w:pgSz w:w="11900" w:h="16840" w:orient="portrait"/>
          <w:cols w:equalWidth="0" w:num="1">
            <w:col w:w="11400"/>
          </w:cols>
          <w:pgMar w:left="240" w:top="1440" w:right="259" w:bottom="0" w:gutter="0" w:footer="0" w:header="0"/>
        </w:sectPr>
      </w:pPr>
    </w:p>
    <w:bookmarkStart w:id="55" w:name="page56"/>
    <w:bookmarkEnd w:id="55"/>
    <w:p>
      <w:pPr>
        <w:ind w:firstLine="351"/>
        <w:spacing w:after="0" w:line="254" w:lineRule="auto"/>
        <w:rPr>
          <w:sz w:val="20"/>
          <w:szCs w:val="20"/>
          <w:color w:val="auto"/>
        </w:rPr>
      </w:pPr>
      <w:r>
        <w:rPr>
          <w:rFonts w:ascii="Arial" w:cs="Arial" w:eastAsia="Arial" w:hAnsi="Arial"/>
          <w:sz w:val="18"/>
          <w:szCs w:val="18"/>
          <w:color w:val="auto"/>
        </w:rPr>
        <w:t>Macau businesses benefit from the fact that 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exportation of the renminbi may impede the flow of gaming customers from China to Macau, inhibit the growth of gaming in Macau and negatively impact Wynn Macau's gaming operations.</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55 to 75 minutes. Macau is also accessible from Hong Kong by helicopter in less than 20 minutes.</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Macau completed construction of an international airport in 1995 that provides direct air service to many major cities in Asia such as Manila, Singapore, Taipei and Bangkok, and major cities in China including Beijing and Shanghai. The Macau International Airport can accomodate large commercial airliners and directly serves at least 20 cities, including at least 12 in China, with links to numerous other major Asian destinations.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gaming markets, including Indonesia, Thailand and Japan, where casinos currently are banned;</w:t>
      </w:r>
    </w:p>
    <w:p>
      <w:pPr>
        <w:spacing w:after="0" w:line="212" w:lineRule="exact"/>
        <w:rPr>
          <w:rFonts w:ascii="Arial" w:cs="Arial" w:eastAsia="Arial" w:hAnsi="Arial"/>
          <w:sz w:val="18"/>
          <w:szCs w:val="18"/>
          <w:color w:val="auto"/>
        </w:rPr>
      </w:pPr>
    </w:p>
    <w:p>
      <w:pPr>
        <w:ind w:left="1080" w:right="220" w:hanging="532"/>
        <w:spacing w:after="0" w:line="323"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such as the reported development of an entertainment complex that will include gaming amenities in the Fisherman's Wharf area of Macau planned by Sociedade de Jogos de Macau through a related entity and the casino resort on Taipa reportedly planned by Galaxy Casino, Ltd., an affiliate of Venetian Resorts, in addition to Wynn Macau's proposed casino resort, that are intended to promote Macau as casino resort destination, enhance tourism and lengthen stays;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development of Hong Kong Disneyland (scheduled to open in 2005) on Lantau Island approximately 30 miles away from Macau.</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the only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 are located in hotels. In addition, Mr. Ho, who controls SJM, owns substantially all of the water ferry services and the helicopter shuttle service that link Macau to Hong Kong and Kowloon, as well as the ferry terminal in Hong Kong.</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Wynn Macau will face increased competition if SJM or Galaxy construct new, or renovate pre-existing, casinos in Macau. SJM is reported to be planning a major remodeling of the Hotel Lisboa and a new Fisherman's Wharf entertainment complex that will include gaming amenities in the area of the Macau ferry terminal. Additionally, according to news reports, Galaxy intends to build a major casino resort on Taipa, the island where Macau's international airport is located, and possibly other casinos.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and cruise ships in Asia that offer gaming, and illegal casinos throughout Asia. Further, if current efforts to legalize gaming in Penghu, Taiwan are successful or if the reported large-scale new casino entertainment complex proposed in Manila is developed, Wynn Macau will face additional regional competition.</w:t>
      </w:r>
    </w:p>
    <w:p>
      <w:pPr>
        <w:sectPr>
          <w:pgSz w:w="11900" w:h="16838" w:orient="portrait"/>
          <w:cols w:equalWidth="0" w:num="1">
            <w:col w:w="11420"/>
          </w:cols>
          <w:pgMar w:left="240" w:top="131"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If no member of the public opposes or seeks time to oppose by August 16, 2002, LE RÊVE will be registered for hotel services, and restaurant, bar, lounge and health spa services.</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also applied to register the "LE RÊVE" service mark with the PTO for combined casino and entertainment operations. Because PTO translates "LE RÊVE" as "THE DREAM", it has cited certain "DREAM" marks as a basis for preliminarily refusing to allow some of our "LE RÊVE" applications to proceed toward registration. The PTO's objection appears to relate solely to entertainment services, and not casino services. Accordingly, we will divide the application to register LE RÊVE for casino services from entertainment services and therefore not be subject to the objections to entertainment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 are for goods or services that would, if finally rejected, have a material impact on our business.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 of LE RÊVE and seek to overcome the presumptions afforded by the registration. They also could attempt to prevent our use of LE RÊVE 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owned by Valvino, that is available for future development.</w:t>
      </w:r>
    </w:p>
    <w:p>
      <w:pPr>
        <w:spacing w:after="0" w:line="16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Las Vegas Water Rights. </w:t>
      </w:r>
      <w:r>
        <w:rPr>
          <w:rFonts w:ascii="Arial" w:cs="Arial" w:eastAsia="Arial" w:hAnsi="Arial"/>
          <w:sz w:val="16"/>
          <w:szCs w:val="16"/>
          <w:color w:val="auto"/>
        </w:rPr>
        <w:t>Valvino indirectly owns approximately 935 acre-feet of certificated water rights through its indirect subsidiary, Desert Inn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 Under Nevada law, we obtained the approval of the Public Utilities Commission of Nevada for Wynn Resorts to complete its offering of common stock.</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w:t>
      </w:r>
    </w:p>
    <w:p>
      <w:pPr>
        <w:sectPr>
          <w:pgSz w:w="11900" w:h="16838" w:orient="portrait"/>
          <w:cols w:equalWidth="0" w:num="1">
            <w:col w:w="11420"/>
          </w:cols>
          <w:pgMar w:left="240" w:top="125" w:right="239" w:bottom="25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50" w:gutter="0" w:footer="0" w:header="0"/>
          <w:type w:val="continuous"/>
        </w:sectPr>
      </w:pPr>
    </w:p>
    <w:bookmarkStart w:id="57" w:name="page58"/>
    <w:bookmarkEnd w:id="57"/>
    <w:p>
      <w:pPr>
        <w:spacing w:after="0" w:line="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61"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homeowners whose lots Valvino did not purchase filed an action in Clark County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trial in this matter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ectPr>
          <w:pgSz w:w="11900" w:h="16906" w:orient="portrait"/>
          <w:cols w:equalWidth="0" w:num="1">
            <w:col w:w="11400"/>
          </w:cols>
          <w:pgMar w:left="240" w:top="131" w:right="259" w:bottom="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2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52"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the credit facilities.</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ectPr>
          <w:pgSz w:w="11900" w:h="16838" w:orient="portrait"/>
          <w:cols w:equalWidth="0" w:num="1">
            <w:col w:w="11420"/>
          </w:cols>
          <w:pgMar w:left="240" w:top="131" w:right="239" w:bottom="0" w:gutter="0" w:footer="0" w:header="0"/>
        </w:sectPr>
      </w:pPr>
    </w:p>
    <w:bookmarkStart w:id="59" w:name="page60"/>
    <w:bookmarkEnd w:id="59"/>
    <w:p>
      <w:pPr>
        <w:spacing w:after="0" w:line="6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delays in Marnell Corrao's performance arising from a force majeure occurrence, which includes industry-wide labor disputes affecting the general Las Vegas area and not limited to the project, fire, unavoidable casualties, adverse weather conditions not reasonably anticipated; or</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w:t>
      </w:r>
    </w:p>
    <w:p>
      <w:pPr>
        <w:sectPr>
          <w:pgSz w:w="11900" w:h="16904" w:orient="portrait"/>
          <w:cols w:equalWidth="0" w:num="1">
            <w:col w:w="11400"/>
          </w:cols>
          <w:pgMar w:left="240" w:top="131" w:right="259" w:bottom="0" w:gutter="0" w:footer="0" w:header="0"/>
        </w:sectPr>
      </w:pPr>
    </w:p>
    <w:bookmarkStart w:id="60" w:name="page61"/>
    <w:bookmarkEnd w:id="60"/>
    <w:p>
      <w:pPr>
        <w:ind w:right="640"/>
        <w:spacing w:after="0" w:line="268" w:lineRule="auto"/>
        <w:rPr>
          <w:sz w:val="20"/>
          <w:szCs w:val="20"/>
          <w:color w:val="auto"/>
        </w:rPr>
      </w:pPr>
      <w:r>
        <w:rPr>
          <w:rFonts w:ascii="Arial" w:cs="Arial" w:eastAsia="Arial" w:hAnsi="Arial"/>
          <w:sz w:val="18"/>
          <w:szCs w:val="18"/>
          <w:color w:val="auto"/>
        </w:rPr>
        <w:t>the work is complete, we may elect to reduce the level of retention for selected subcontractors under certain conditions and subject to the approval of our subsidiaries' lenders.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Marnell Corrao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we will be named as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ectPr>
          <w:pgSz w:w="11900" w:h="16838" w:orient="portrait"/>
          <w:cols w:equalWidth="0" w:num="1">
            <w:col w:w="11400"/>
          </w:cols>
          <w:pgMar w:left="240" w:top="131" w:right="259" w:bottom="0" w:gutter="0" w:footer="0" w:header="0"/>
        </w:sectPr>
      </w:pPr>
    </w:p>
    <w:bookmarkStart w:id="61" w:name="page62"/>
    <w:bookmarkEnd w:id="61"/>
    <w:p>
      <w:pPr>
        <w:spacing w:after="0" w:line="15"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reasonably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w:t>
      </w:r>
    </w:p>
    <w:p>
      <w:pPr>
        <w:sectPr>
          <w:pgSz w:w="11900" w:h="16854" w:orient="portrait"/>
          <w:cols w:equalWidth="0" w:num="1">
            <w:col w:w="11420"/>
          </w:cols>
          <w:pgMar w:left="240" w:top="145" w:right="239" w:bottom="0" w:gutter="0" w:footer="0" w:header="0"/>
        </w:sectPr>
      </w:pPr>
    </w:p>
    <w:bookmarkStart w:id="62" w:name="page63"/>
    <w:bookmarkEnd w:id="62"/>
    <w:p>
      <w:pPr>
        <w:spacing w:after="0" w:line="44"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306" w:lineRule="auto"/>
        <w:rPr>
          <w:sz w:val="20"/>
          <w:szCs w:val="20"/>
          <w:color w:val="auto"/>
        </w:rPr>
      </w:pPr>
      <w:r>
        <w:rPr>
          <w:rFonts w:ascii="Arial" w:cs="Arial" w:eastAsia="Arial" w:hAnsi="Arial"/>
          <w:sz w:val="16"/>
          <w:szCs w:val="16"/>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dispute. See "Risk Factors—Risks Associated with our Construction—Development costs of Le Rêve are estimates only and actual development costs may be higher than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expect to solicit bids in late summer 2002 for the construction of the golf course and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The currency used in the concession agreement is the Macau pataca. The Macau pataca, which is not a freely convertible currency, is linked to the Hong Kong dollar, which itself is linked to the U.S. dollar. We have converted all pataca references into U.S. dollars, using the exchange rate as of August 11, 2002. While the rate of exchange may fluctuate over the term of the concession agreement, the rate of exchange between the United States dollar and the Hong Kong dollar has remained relatively stable over the past several years.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Opportunity in Macau</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Macau currently is an indirect, 90%-owned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w:t>
      </w:r>
    </w:p>
    <w:p>
      <w:pPr>
        <w:spacing w:after="0" w:line="19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Wynn Macau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(currently approximately US $500 million) in one or more Macau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Currently, Wynn Macau is in the preliminary stages of formulating the strategy for its Macau opportunity. Wynn Macau has not yet determined how many casinos it will build, the scope, design or the timing of any project, or whether it will begin construction and operations in separate phases at the first permanent casino resort site or open one or more temporary casinos during the construction of a casino. Wynn Macau may begin casino operations in Macau prior to the opening of Le Rêve.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w:t>
      </w:r>
    </w:p>
    <w:p>
      <w:pPr>
        <w:sectPr>
          <w:pgSz w:w="11900" w:h="16882" w:orient="portrait"/>
          <w:cols w:equalWidth="0" w:num="1">
            <w:col w:w="11420"/>
          </w:cols>
          <w:pgMar w:left="240" w:top="131" w:right="239" w:bottom="0" w:gutter="0" w:footer="0" w:header="0"/>
        </w:sectPr>
      </w:pPr>
    </w:p>
    <w:bookmarkStart w:id="63" w:name="page64"/>
    <w:bookmarkEnd w:id="63"/>
    <w:p>
      <w:pPr>
        <w:jc w:val="both"/>
        <w:ind w:right="60"/>
        <w:spacing w:after="0" w:line="332" w:lineRule="auto"/>
        <w:rPr>
          <w:sz w:val="20"/>
          <w:szCs w:val="20"/>
          <w:color w:val="auto"/>
        </w:rPr>
      </w:pPr>
      <w:r>
        <w:rPr>
          <w:rFonts w:ascii="Arial" w:cs="Arial" w:eastAsia="Arial" w:hAnsi="Arial"/>
          <w:sz w:val="16"/>
          <w:szCs w:val="16"/>
          <w:color w:val="auto"/>
        </w:rPr>
        <w:t>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(currently approximately US $3.8 million) per year. The amount of the variable portion of the premium is calculated according to the number of gaming tables and machines Wynn Macau operates in Macau, with a set minimum of 45 million patacas (currently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resort. If Wynn Macau operates a temporary casino before completion of its first permanent casino resort the variable portion of the premium will be calculated using the same formula applied to permanent casino resorts, with a set minimum of 9 million patacas (currently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it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Wynn Macau must pay an additional 2.4% of its gross 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 must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In addition, Macau imposes a 15% withholding tax rate on dividends paid from Macau entities to their stockholders. The Macau gaming laws permit the Chief Executive of Macau to exempt concessionaires from the complementary income tax for a period of time. The Chief Executive of Macau has no such power to exempt concessionaires from the withholding tax on dividends. Wynn Macau has requested that the Chief Executive of Macau exempt it from the complementary income tax throughout the term of the concession. Wynn Macau is seeking legislative changes to exempt concessionaires from the complementary income tax and from the withholding tax on dividends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 Deposit</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concession agreement requires that Wynn Macau have an initial paid-in capital of 200 million patacas (currently approximately US $25 million). This sum has been deposited in a Macau bank and will be credited as paid-in capital as soon as the restructuring transactions of Wynn Macau are completed. See "Business—The Macau Opportunity—Ownership Structure of Macau-Related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(currently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25" w:lineRule="exact"/>
        <w:rPr>
          <w:rFonts w:ascii="Arial" w:cs="Arial" w:eastAsia="Arial" w:hAnsi="Arial"/>
          <w:sz w:val="18"/>
          <w:szCs w:val="18"/>
          <w:color w:val="auto"/>
        </w:rPr>
      </w:pPr>
    </w:p>
    <w:p>
      <w:pPr>
        <w:spacing w:after="0"/>
        <w:tabs>
          <w:tab w:leader="none" w:pos="0" w:val="left"/>
        </w:tabs>
        <w:numPr>
          <w:ilvl w:val="0"/>
          <w:numId w:val="80"/>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sectPr>
      </w:pPr>
    </w:p>
    <w:bookmarkStart w:id="64" w:name="page65"/>
    <w:bookmarkEnd w:id="64"/>
    <w:p>
      <w:pPr>
        <w:spacing w:after="0" w:line="14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2"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60" w:firstLine="348"/>
        <w:spacing w:after="0" w:line="335" w:lineRule="auto"/>
        <w:rPr>
          <w:sz w:val="20"/>
          <w:szCs w:val="20"/>
          <w:color w:val="auto"/>
        </w:rPr>
      </w:pPr>
      <w:r>
        <w:rPr>
          <w:rFonts w:ascii="Arial" w:cs="Arial" w:eastAsia="Arial" w:hAnsi="Arial"/>
          <w:sz w:val="15"/>
          <w:szCs w:val="15"/>
          <w:color w:val="auto"/>
        </w:rPr>
        <w:t>The concession agreement requires Wynn Macau to adhere to an agreed-upon construction schedule for the completion of the first casino,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on one or more casino projects by June 26, 2009. If Wynn Macau does not invest the amount required by the concession agreement on its Macau project(s) by</w:t>
      </w:r>
    </w:p>
    <w:p>
      <w:pPr>
        <w:spacing w:after="0" w:line="261" w:lineRule="auto"/>
        <w:rPr>
          <w:sz w:val="20"/>
          <w:szCs w:val="20"/>
          <w:color w:val="auto"/>
        </w:rPr>
      </w:pPr>
      <w:r>
        <w:rPr>
          <w:rFonts w:ascii="Arial" w:cs="Arial" w:eastAsia="Arial" w:hAnsi="Arial"/>
          <w:sz w:val="18"/>
          <w:szCs w:val="18"/>
          <w:color w:val="auto"/>
        </w:rPr>
        <w:t>June 26, 2009, it is obligated to invest the remaining amount on projects related to its gaming operations in Macau that the government approves, or on projects of public interest designated by the Macau government.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Wynn Macau is required to have an executive director who is a Macau resident and holds at least 10% of the voting shares and capital in Wynn Macau. Mr. Wong Chi Seng will be the executive director of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by Wynn Resorts' principal stockholders, Mr. Wynn and Aruze USA, Inc.</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finds that the disposition is not attributable to the actions of Wynn Macau, then that controlling</w:t>
      </w:r>
    </w:p>
    <w:p>
      <w:pPr>
        <w:sectPr>
          <w:pgSz w:w="11900" w:h="16979" w:orient="portrait"/>
          <w:cols w:equalWidth="0" w:num="1">
            <w:col w:w="11400"/>
          </w:cols>
          <w:pgMar w:left="240" w:top="131" w:right="259" w:bottom="0" w:gutter="0" w:footer="0" w:header="0"/>
        </w:sectPr>
      </w:pPr>
    </w:p>
    <w:bookmarkStart w:id="65" w:name="page66"/>
    <w:bookmarkEnd w:id="65"/>
    <w:p>
      <w:pPr>
        <w:ind w:right="60"/>
        <w:spacing w:after="0" w:line="268" w:lineRule="auto"/>
        <w:rPr>
          <w:sz w:val="20"/>
          <w:szCs w:val="20"/>
          <w:color w:val="auto"/>
        </w:rPr>
      </w:pPr>
      <w:r>
        <w:rPr>
          <w:rFonts w:ascii="Arial" w:cs="Arial" w:eastAsia="Arial" w:hAnsi="Arial"/>
          <w:sz w:val="18"/>
          <w:szCs w:val="18"/>
          <w:color w:val="auto"/>
        </w:rPr>
        <w:t>stockholder will be permitted to transfer the shares that it holds without seeking government approval. If the controlling stockholder desires to transfer its shares to a third party, the government of Macau must approve of the transferee.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 By the time that this offering closes, all stockholders holding 5% or more of the capital stock of Wynn Macau prior to the closing of Wynn Resorts initial public offering will have been found suitable or have submitted applications for a finding of suitability with the government of Macau.</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Wynn Macau's gaming concession and take title to all of its assets in Macau, including any hotel-casino-resort, with one year's prior notice. If the government so redeems the concession agreement prior to its expiration, Wynn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Macau will be entitled to compensation for the resulting losses it incurs equal to the earnings from the redeemed hotel-casino-resort before interest, depreciation and amortization for the fiscal year immediately preceding the date the redemption is declared, multiplied by the number of years remaining on the term of the concession agreement. The compensation to be provided by the Macau government is for a resort-hotel-casino complex under the investment plan under the concession agreement. However, the concession agreement is unclear how the compensation provision applies if more than one resort-hotel-casino is built.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At the end of the term of the concession agreement and any agreed upon extensions, the areas defined as casino under Macau law and all the gaming equipment owned by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its main casino(s) are located, without government approval. All of the assets used in Wynn Macau's casino(s) must be free from encumbrance by the end of the concession term and Wynn Macau must hold clear title to all buildings in which its main casino(s) are operated no later than</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180 days before the end of the term of the concession agreement, unless the concession agreement terminates at an earlier date, in which case Wynn Macau will be obligated to acquire title to these buildings at the earliest possible time. If Wynn Macau dissolves or liquidates, it must assure the government of Macau full payment for the property to which the government is entitled at the end of the concession agreement by means of a guarantee or indemnity acceptable to the government of Macau.</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 xml:space="preserve">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w:t>
      </w:r>
      <w:r>
        <w:rPr>
          <w:rFonts w:ascii="Arial" w:cs="Arial" w:eastAsia="Arial" w:hAnsi="Arial"/>
          <w:sz w:val="18"/>
          <w:szCs w:val="18"/>
          <w:i w:val="1"/>
          <w:iCs w:val="1"/>
          <w:color w:val="auto"/>
        </w:rPr>
        <w:t>force majeure</w:t>
      </w:r>
      <w:r>
        <w:rPr>
          <w:rFonts w:ascii="Arial" w:cs="Arial" w:eastAsia="Arial" w:hAnsi="Arial"/>
          <w:sz w:val="18"/>
          <w:szCs w:val="18"/>
          <w:color w:val="auto"/>
        </w:rPr>
        <w:t>.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its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(currently approximately US $125 million), and if Wynn Macau assigns part of the concession agreement in contravention of its terms, Wynn Macau will be liable to the government of Macau for 500 million patacas (currently approximately US $62.5 million). If Wynn Macau encumbers the concession, in whole or in part, to conduct gaming activities in violation of the agreement, it will be liable to the government of Macau for 300 million patacas (currently approximately US $37.5 million).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without government approval, a sub-concession to conduct gaming in Macau. If Wynn Macau violates this provision by granting a sub-concession of the whole agreement without governmental approval, it will be liable to the government of Macau for 500 million patacas (currently approximately US $62.5 million), and if Wynn Macau grants a sub-concession of part of the agreement without governmental approval, it will be liable to the government of Macau for 300 million patacas (currently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ectPr>
          <w:pgSz w:w="11900" w:h="16838" w:orient="portrait"/>
          <w:cols w:equalWidth="0" w:num="1">
            <w:col w:w="11340"/>
          </w:cols>
          <w:pgMar w:left="240" w:top="131" w:right="319" w:bottom="0" w:gutter="0" w:footer="0" w:header="0"/>
        </w:sectPr>
      </w:pPr>
    </w:p>
    <w:bookmarkStart w:id="66" w:name="page67"/>
    <w:bookmarkEnd w:id="66"/>
    <w:p>
      <w:pPr>
        <w:ind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may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w:t>
      </w:r>
    </w:p>
    <w:p>
      <w:pPr>
        <w:spacing w:after="0" w:line="153"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bankruptcy or insolvency of Wynn Macau occurs;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Macau repeatedly violates applicable gaming laws.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If the government of Macau unilaterally rescinds the concession agreement, Wynn Macau will be required to compensate the government in accordance with applicable law, and its main casino(s) and gaming equipment will be transferred to the government without compensation.</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Land Concession</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connection with preparing for the possible development of a first casino in Macau, the government of Macau has provisionally awarded Wynn Macau a concession to lease a parcel of land in Macau. For more information on this land concession, see "Business—The Macau Opportunity—General."</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in Macau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ectPr>
          <w:pgSz w:w="11900" w:h="16838" w:orient="portrait"/>
          <w:cols w:equalWidth="0" w:num="1">
            <w:col w:w="11320"/>
          </w:cols>
          <w:pgMar w:left="240" w:top="131" w:right="339" w:bottom="0" w:gutter="0" w:footer="0" w:header="0"/>
        </w:sectPr>
      </w:pPr>
    </w:p>
    <w:bookmarkStart w:id="67" w:name="page68"/>
    <w:bookmarkEnd w:id="67"/>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4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Before Le Rêve opens, Wynn Las Vegas, as the owner, operator and manager of Le Rêve, will be required to seek approval from, and be licensed by, the Nevada Gaming Authorities as a limited liability company licensee, referred to as a company licensee. If we are granted a gaming license, we will have to pay periodic fees and taxes. The gaming license will not be transferable. We cannot assure you that Wynn Las Vegas will be able to obtain approval and license from the Nevada Gaming Authorities on a timely basis or at all.</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approvals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w:t>
      </w:r>
    </w:p>
    <w:p>
      <w:pPr>
        <w:spacing w:after="0" w:line="174" w:lineRule="exact"/>
        <w:rPr>
          <w:sz w:val="20"/>
          <w:szCs w:val="20"/>
          <w:color w:val="auto"/>
        </w:rPr>
      </w:pPr>
    </w:p>
    <w:p>
      <w:pPr>
        <w:ind w:right="60" w:firstLine="341"/>
        <w:spacing w:after="0" w:line="314" w:lineRule="auto"/>
        <w:rPr>
          <w:sz w:val="20"/>
          <w:szCs w:val="20"/>
          <w:color w:val="auto"/>
        </w:rPr>
      </w:pPr>
      <w:r>
        <w:rPr>
          <w:rFonts w:ascii="Arial" w:cs="Arial" w:eastAsia="Arial" w:hAnsi="Arial"/>
          <w:sz w:val="15"/>
          <w:szCs w:val="15"/>
          <w:color w:val="auto"/>
        </w:rPr>
        <w:t>Aruze USA, which, immediately before the closing of this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w:t>
      </w:r>
    </w:p>
    <w:p>
      <w:pPr>
        <w:sectPr>
          <w:pgSz w:w="11900" w:h="16920" w:orient="portrait"/>
          <w:cols w:equalWidth="0" w:num="1">
            <w:col w:w="11400"/>
          </w:cols>
          <w:pgMar w:left="240" w:top="131" w:right="259" w:bottom="0" w:gutter="0" w:footer="0" w:header="0"/>
        </w:sectPr>
      </w:pPr>
    </w:p>
    <w:bookmarkStart w:id="68" w:name="page69"/>
    <w:bookmarkEnd w:id="68"/>
    <w:p>
      <w:pPr>
        <w:ind w:right="20"/>
        <w:spacing w:after="0" w:line="294" w:lineRule="auto"/>
        <w:rPr>
          <w:sz w:val="20"/>
          <w:szCs w:val="20"/>
          <w:color w:val="auto"/>
        </w:rPr>
      </w:pPr>
      <w:r>
        <w:rPr>
          <w:rFonts w:ascii="Arial" w:cs="Arial" w:eastAsia="Arial" w:hAnsi="Arial"/>
          <w:sz w:val="16"/>
          <w:szCs w:val="16"/>
          <w:color w:val="auto"/>
        </w:rPr>
        <w:t>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Wynn Resorts' redemption rights under its articles of incorporation, 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Transactions—Buy-Out of Arzue USA Stock."</w:t>
      </w:r>
    </w:p>
    <w:p>
      <w:pPr>
        <w:spacing w:after="0" w:line="199"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w:t>
      </w:r>
    </w:p>
    <w:p>
      <w:pPr>
        <w:sectPr>
          <w:pgSz w:w="11900" w:h="16838" w:orient="portrait"/>
          <w:cols w:equalWidth="0" w:num="1">
            <w:col w:w="11400"/>
          </w:cols>
          <w:pgMar w:left="240" w:top="131" w:right="259" w:bottom="0" w:gutter="0" w:footer="0" w:header="0"/>
        </w:sectPr>
      </w:pPr>
    </w:p>
    <w:bookmarkStart w:id="69" w:name="page70"/>
    <w:bookmarkEnd w:id="69"/>
    <w:p>
      <w:pPr>
        <w:ind w:right="160"/>
        <w:spacing w:after="0" w:line="268" w:lineRule="auto"/>
        <w:rPr>
          <w:sz w:val="20"/>
          <w:szCs w:val="20"/>
          <w:color w:val="auto"/>
        </w:rPr>
      </w:pPr>
      <w:r>
        <w:rPr>
          <w:rFonts w:ascii="Arial" w:cs="Arial" w:eastAsia="Arial" w:hAnsi="Arial"/>
          <w:sz w:val="18"/>
          <w:szCs w:val="18"/>
          <w:color w:val="auto"/>
        </w:rPr>
        <w:t>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articles of incorporation of Wynn Resorts will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Clark County Liquor and Gaming License Board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the Clark County Liquor and Gaming License Board has the authority to approve all persons owning or controlling the stock of any corporation controlling a gaming license.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Wynn Resorts'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ectPr>
          <w:pgSz w:w="11900" w:h="16838" w:orient="portrait"/>
          <w:cols w:equalWidth="0" w:num="1">
            <w:col w:w="11420"/>
          </w:cols>
          <w:pgMar w:left="240" w:top="131" w:right="239" w:bottom="65" w:gutter="0" w:footer="0" w:header="0"/>
        </w:sectPr>
      </w:pPr>
    </w:p>
    <w:bookmarkStart w:id="70" w:name="page71"/>
    <w:bookmarkEnd w:id="70"/>
    <w:p>
      <w:pPr>
        <w:spacing w:after="0" w:line="5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We have filed a ruling request with the Nevada State Gaming Control Board Chairman for a ruling that it is not necessary to submit this offering of common stock or the offering of second mortgage notes by Wynn Las Vegas for prior approval. We cannot assure you that the ruling request will be granted or that it will be considered on a timely basis. If the ruling request is not granted, we will promptly file an application requesting approval of this offering. If the ruling request is not granted, this offering could be significantly delayed while we seek approval of the Nevada State Gaming Control Board and Nevada Gaming Commission. We cannot assure you that approval of this offering or the offering of the second mortgage notes, if required, will be granted or if granted, will be granted on a timely basis.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jc w:val="center"/>
        <w:ind w:right="160"/>
        <w:spacing w:after="0" w:line="370" w:lineRule="auto"/>
        <w:rPr>
          <w:sz w:val="20"/>
          <w:szCs w:val="20"/>
          <w:color w:val="auto"/>
        </w:rPr>
      </w:pPr>
      <w:r>
        <w:rPr>
          <w:rFonts w:ascii="Arial" w:cs="Arial" w:eastAsia="Arial" w:hAnsi="Arial"/>
          <w:sz w:val="15"/>
          <w:szCs w:val="15"/>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w:t>
      </w:r>
    </w:p>
    <w:p>
      <w:pPr>
        <w:sectPr>
          <w:pgSz w:w="11900" w:h="16894" w:orient="portrait"/>
          <w:cols w:equalWidth="0" w:num="1">
            <w:col w:w="11420"/>
          </w:cols>
          <w:pgMar w:left="240" w:top="131" w:right="23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and thereafter maintain, a revolving fund in the amount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211"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Sale of Alcoholic Beverages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sale of alcoholic beverages at Le Rêve will be subject to licensing, control and regulation by the Clark County Liquor and Gaming Licensing Board.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Macau government has adopted a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concessionaire is required to engage an executive director with oversight authority for casino operations,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Concessionaires also are obligated to withhold, subject to partial exemption, a 5% tax from commissions paid to junket representatives. A junket representative is defined as a person who, for the purpose of promoting casino gaming activity, arranges customer transportation, accommodations, food and beverage services and entertainment in exchange for commissions or other compensation from a concessionaire.</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term is one year, and licenses can be renewed for equal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98"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w:t>
      </w:r>
    </w:p>
    <w:p>
      <w:pPr>
        <w:sectPr>
          <w:pgSz w:w="11900" w:h="16838" w:orient="portrait"/>
          <w:cols w:equalWidth="0" w:num="1">
            <w:col w:w="11420"/>
          </w:cols>
          <w:pgMar w:left="240" w:top="131" w:right="239" w:bottom="0" w:gutter="0" w:footer="0" w:header="0"/>
        </w:sectPr>
      </w:pPr>
    </w:p>
    <w:bookmarkStart w:id="72" w:name="page73"/>
    <w:bookmarkEnd w:id="72"/>
    <w:p>
      <w:pPr>
        <w:spacing w:after="0" w:line="2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registered with one or more concessionaires and must have written contracts with such concessionaires, copies of which must be submitted to the Macau government.</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to update such lists on a quarterly basis. The Macau government may designate a maximum number of and specify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39"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government of Macau may assume temporary custody and control over the operation of a concession in certain circumstances. During any such period, the costs of operations must be borne by the concessionaire. The government of Macau also may cancel a concession by means of redemption beginning the fifteenth year after the concession was granted. In such cases, the concessionaire is entitled to compensation. Under the concession agreement, the compensation to be provided by the Macau government is for a resort-hotel-casino complex under the investment plan. However, the concession agreement is unclear as to how the compensation provision will apply if there is more than one resort-hotel-casino that is built. The government of Macau also may terminate a concession for cause, including failure of the concessionaire to fulfill its obligations under law or the concession contract, abandonment or suspension of operations or failure to pay taxes and other monetary obligations to the government of Macau, in which case no compensation is due to the concessionaire.</w:t>
      </w:r>
    </w:p>
    <w:p>
      <w:pPr>
        <w:spacing w:after="0" w:line="15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Chairman of the Board of Directors and Chief Executive</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-2275205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-2275205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-2275205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-2275205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-2275205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-2275205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our board of directors and Chief Executive Officer since June 2002. Since April 2000, Mr. Wynn has been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our board of directors.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Ronald J. Kramer </w:t>
      </w:r>
      <w:r>
        <w:rPr>
          <w:rFonts w:ascii="Arial" w:cs="Arial" w:eastAsia="Arial" w:hAnsi="Arial"/>
          <w:sz w:val="18"/>
          <w:szCs w:val="18"/>
          <w:color w:val="auto"/>
        </w:rPr>
        <w:t>has agreed to serve as President and as a director. Mr. Kramer has served as President of Wynn Resorts Holdings, a wholly 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Robert J. Miller </w:t>
      </w:r>
      <w:r>
        <w:rPr>
          <w:rFonts w:ascii="Arial" w:cs="Arial" w:eastAsia="Arial" w:hAnsi="Arial"/>
          <w:sz w:val="18"/>
          <w:szCs w:val="18"/>
          <w:color w:val="auto"/>
        </w:rPr>
        <w:t>has agreed to serve as a director. Robert J. Miller has been a partner of the Nevada law firm of Jones Vargas since January 1999. He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to KNP, a</w:t>
      </w:r>
    </w:p>
    <w:p>
      <w:pPr>
        <w:sectPr>
          <w:pgSz w:w="11900" w:h="16859" w:orient="portrait"/>
          <w:cols w:equalWidth="0" w:num="1">
            <w:col w:w="11400"/>
          </w:cols>
          <w:pgMar w:left="240" w:top="131" w:right="25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ectPr>
          <w:pgSz w:w="11900" w:h="16859" w:orient="portrait"/>
          <w:cols w:equalWidth="0" w:num="1">
            <w:col w:w="11400"/>
          </w:cols>
          <w:pgMar w:left="240" w:top="131" w:right="259" w:bottom="0" w:gutter="0" w:footer="0" w:header="0"/>
          <w:type w:val="continuous"/>
        </w:sectPr>
      </w:pPr>
    </w:p>
    <w:bookmarkStart w:id="73" w:name="page74"/>
    <w:bookmarkEnd w:id="73"/>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100"/>
        <w:spacing w:after="0" w:line="298" w:lineRule="auto"/>
        <w:rPr>
          <w:sz w:val="20"/>
          <w:szCs w:val="20"/>
          <w:color w:val="auto"/>
        </w:rPr>
      </w:pPr>
      <w:r>
        <w:rPr>
          <w:rFonts w:ascii="Arial" w:cs="Arial" w:eastAsia="Arial" w:hAnsi="Arial"/>
          <w:sz w:val="16"/>
          <w:szCs w:val="16"/>
          <w:color w:val="auto"/>
        </w:rPr>
        <w:t>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A. Moran </w:t>
      </w:r>
      <w:r>
        <w:rPr>
          <w:rFonts w:ascii="Arial" w:cs="Arial" w:eastAsia="Arial" w:hAnsi="Arial"/>
          <w:sz w:val="16"/>
          <w:szCs w:val="16"/>
          <w:color w:val="auto"/>
        </w:rPr>
        <w:t>has agreed to serve as a director. Mr. Moran is the retired Chairman of Dyson-Kissner-Moran Corporation, a private investment entity.</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Mrs. Wynn has served as Co-Chairperson of the Greater Las Vegas Inner-City Games Foundation since</w:t>
      </w:r>
    </w:p>
    <w:p>
      <w:pPr>
        <w:spacing w:after="0" w:line="38"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3"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i w:val="1"/>
          <w:iCs w:val="1"/>
          <w:color w:val="auto"/>
        </w:rPr>
        <w:t xml:space="preserve">Stanley R. Zax </w:t>
      </w:r>
      <w:r>
        <w:rPr>
          <w:rFonts w:ascii="Arial" w:cs="Arial" w:eastAsia="Arial" w:hAnsi="Arial"/>
          <w:sz w:val="15"/>
          <w:szCs w:val="15"/>
          <w:color w:val="auto"/>
        </w:rPr>
        <w:t>has agreed to serve as a director. Since 1977 Mr. Zax has served as Chairman of the Board, and, since 1978, has served as President, CEO and</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4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agreed to serve as a director. Mr. Zeman has served as chairman of Lan Kwai Fong Holdings Limited, a company engaged in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John Strzemp </w:t>
      </w:r>
      <w:r>
        <w:rPr>
          <w:rFonts w:ascii="Arial" w:cs="Arial" w:eastAsia="Arial" w:hAnsi="Arial"/>
          <w:sz w:val="16"/>
          <w:szCs w:val="16"/>
          <w:color w:val="auto"/>
        </w:rPr>
        <w:t>serves as Executive Vice President and Chief Financial Officer. Since November 2001, Mr. Strzemp has served as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Marc H. Rubinstein </w:t>
      </w:r>
      <w:r>
        <w:rPr>
          <w:rFonts w:ascii="Arial" w:cs="Arial" w:eastAsia="Arial" w:hAnsi="Arial"/>
          <w:sz w:val="18"/>
          <w:szCs w:val="18"/>
          <w:color w:val="auto"/>
        </w:rPr>
        <w:t>serves as Senior Vice President and General Counsel. Since April 2001, Mr. Rubinstein has served as Senior Vice President—General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Wynn Resorts Holdings. Since June 2000, Mr. Rubinstein has also served as Senior Vice President—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6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70"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Our articles of incorporation and bylaws will, upon the completion of this offering,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two of the members of the board of directors will be Class I directors elected to one-year terms, two will be Class II directors elected to two-year terms and three will be Class III directors elected to three-year terms. Thereafter, directors will be elected for three-</w:t>
      </w:r>
    </w:p>
    <w:p>
      <w:pPr>
        <w:spacing w:after="0" w:line="3" w:lineRule="exact"/>
        <w:rPr>
          <w:sz w:val="20"/>
          <w:szCs w:val="20"/>
          <w:color w:val="auto"/>
        </w:rPr>
      </w:pPr>
    </w:p>
    <w:p>
      <w:pPr>
        <w:spacing w:after="0"/>
        <w:tabs>
          <w:tab w:leader="none" w:pos="5520" w:val="left"/>
          <w:tab w:leader="none" w:pos="6120" w:val="left"/>
          <w:tab w:leader="none" w:pos="8320" w:val="left"/>
          <w:tab w:leader="none" w:pos="8940" w:val="left"/>
          <w:tab w:leader="none" w:pos="11320" w:val="left"/>
        </w:tabs>
        <w:rPr>
          <w:sz w:val="20"/>
          <w:szCs w:val="20"/>
          <w:color w:val="auto"/>
        </w:rPr>
      </w:pPr>
      <w:r>
        <w:rPr>
          <w:rFonts w:ascii="Arial" w:cs="Arial" w:eastAsia="Arial" w:hAnsi="Arial"/>
          <w:sz w:val="18"/>
          <w:szCs w:val="18"/>
          <w:color w:val="auto"/>
        </w:rPr>
        <w:t>year terms. Upon the completion of this offering, Class 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Class II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Class III will consist of</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ectPr>
          <w:pgSz w:w="11900" w:h="16859" w:orient="portrait"/>
          <w:cols w:equalWidth="0" w:num="1">
            <w:col w:w="11400"/>
          </w:cols>
          <w:pgMar w:left="240" w:top="725" w:right="259" w:bottom="0" w:gutter="0" w:footer="0" w:header="0"/>
        </w:sectPr>
      </w:pPr>
    </w:p>
    <w:bookmarkStart w:id="74" w:name="page75"/>
    <w:bookmarkEnd w:id="74"/>
    <w:p>
      <w:pPr>
        <w:spacing w:after="0" w:line="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Upon completion of this offering, our board of directors intends to appoint an executive committee, an audit committee and a compensation committee. The executive committee will have all of the powers and authority of the board of directors in managing our business and affairs to the fullest extent authorized by Nevada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The composition of the audit committee will comply with the requirements of The Nasdaq National Market and the Sarbanes-Oxley Act of 2002.</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Each non-employee director will receive stock options each year under our 2002 stock incentive plan. The stock options will have an exercise price equal to the market value of Wynn Resorts' common stock on the date of grant and will vest over a period defined in the option grant.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Non-employee directors will also be eligible to participate in our Directors' Deferred Compensation Plan, a non-qualified, unfunded deferred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sets forth the annual and long-term compensation of Wynn Resorts' Chief Executive Officer.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Annual Compensation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Wynn(2)(3)</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Chairman and Chief Executive Officer of Wynn Resorts Holdings</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820" w:type="dxa"/>
            <w:vAlign w:val="bottom"/>
            <w:gridSpan w:val="3"/>
          </w:tcPr>
          <w:p>
            <w:pPr>
              <w:spacing w:after="0"/>
              <w:rPr>
                <w:sz w:val="20"/>
                <w:szCs w:val="20"/>
                <w:color w:val="auto"/>
              </w:rPr>
            </w:pPr>
            <w:r>
              <w:rPr>
                <w:rFonts w:ascii="Arial" w:cs="Arial" w:eastAsia="Arial" w:hAnsi="Arial"/>
                <w:sz w:val="14"/>
                <w:szCs w:val="14"/>
                <w:color w:val="auto"/>
              </w:rPr>
              <w:t>Marc D. Schorr(3)(4)</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2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Wynn(3)(5)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820" w:type="dxa"/>
            <w:vAlign w:val="bottom"/>
            <w:gridSpan w:val="3"/>
          </w:tcPr>
          <w:p>
            <w:pPr>
              <w:spacing w:after="0"/>
              <w:rPr>
                <w:sz w:val="20"/>
                <w:szCs w:val="20"/>
                <w:color w:val="auto"/>
              </w:rPr>
            </w:pPr>
            <w:r>
              <w:rPr>
                <w:rFonts w:ascii="Arial" w:cs="Arial" w:eastAsia="Arial" w:hAnsi="Arial"/>
                <w:sz w:val="14"/>
                <w:szCs w:val="14"/>
                <w:color w:val="auto"/>
              </w:rPr>
              <w:t>John Strzemp(6)</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59"/>
        </w:trPr>
        <w:tc>
          <w:tcPr>
            <w:tcW w:w="5820" w:type="dxa"/>
            <w:vAlign w:val="bottom"/>
            <w:gridSpan w:val="3"/>
          </w:tcPr>
          <w:p>
            <w:pPr>
              <w:spacing w:after="0" w:line="159" w:lineRule="exact"/>
              <w:rPr>
                <w:sz w:val="20"/>
                <w:szCs w:val="20"/>
                <w:color w:val="auto"/>
              </w:rPr>
            </w:pPr>
            <w:r>
              <w:rPr>
                <w:rFonts w:ascii="Arial" w:cs="Arial" w:eastAsia="Arial" w:hAnsi="Arial"/>
                <w:sz w:val="14"/>
                <w:szCs w:val="14"/>
                <w:color w:val="auto"/>
              </w:rPr>
              <w:t>Executive Vice President and Chief Financial Officer of Wynn Resorts Holdings</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65,769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150,000</w:t>
            </w:r>
          </w:p>
        </w:tc>
        <w:tc>
          <w:tcPr>
            <w:tcW w:w="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DeRuyter O. Butler(7)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Executive Vice President—Architecture of Wynn Design &amp; Development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197,885</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35,000</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820" w:type="dxa"/>
            <w:vAlign w:val="bottom"/>
            <w:gridSpan w:val="3"/>
          </w:tcPr>
          <w:p>
            <w:pPr>
              <w:spacing w:after="0"/>
              <w:rPr>
                <w:sz w:val="20"/>
                <w:szCs w:val="20"/>
                <w:color w:val="auto"/>
              </w:rPr>
            </w:pPr>
            <w:r>
              <w:rPr>
                <w:rFonts w:ascii="Arial" w:cs="Arial" w:eastAsia="Arial" w:hAnsi="Arial"/>
                <w:sz w:val="14"/>
                <w:szCs w:val="14"/>
                <w:color w:val="auto"/>
              </w:rPr>
              <w:t>Marc H. Rubinstein(8)</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286,279</w:t>
            </w: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11,847</w:t>
            </w:r>
          </w:p>
        </w:tc>
        <w:tc>
          <w:tcPr>
            <w:tcW w:w="0" w:type="dxa"/>
            <w:vAlign w:val="bottom"/>
          </w:tcPr>
          <w:p>
            <w:pPr>
              <w:spacing w:after="0"/>
              <w:rPr>
                <w:sz w:val="1"/>
                <w:szCs w:val="1"/>
                <w:color w:val="auto"/>
              </w:rPr>
            </w:pPr>
          </w:p>
        </w:tc>
      </w:tr>
      <w:tr>
        <w:trPr>
          <w:trHeight w:val="172"/>
        </w:trPr>
        <w:tc>
          <w:tcPr>
            <w:tcW w:w="5820" w:type="dxa"/>
            <w:vAlign w:val="bottom"/>
            <w:gridSpan w:val="3"/>
          </w:tcPr>
          <w:p>
            <w:pPr>
              <w:spacing w:after="0"/>
              <w:rPr>
                <w:sz w:val="20"/>
                <w:szCs w:val="20"/>
                <w:color w:val="auto"/>
              </w:rPr>
            </w:pPr>
            <w:r>
              <w:rPr>
                <w:rFonts w:ascii="Arial" w:cs="Arial" w:eastAsia="Arial" w:hAnsi="Arial"/>
                <w:sz w:val="14"/>
                <w:szCs w:val="14"/>
                <w:color w:val="auto"/>
              </w:rPr>
              <w:t>Senior Vice President and General Counsel of Wynn Resorts Holdings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-2063750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-2063750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-1772285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-1772285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-1772285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-1772285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-1772285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-1772285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-1772285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-1772285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-1772285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95"/>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95"/>
        </w:numPr>
        <w:rPr>
          <w:rFonts w:ascii="Arial" w:cs="Arial" w:eastAsia="Arial" w:hAnsi="Arial"/>
          <w:sz w:val="10"/>
          <w:szCs w:val="10"/>
          <w:color w:val="auto"/>
          <w:vertAlign w:val="subscript"/>
        </w:rPr>
      </w:pPr>
      <w:r>
        <w:rPr>
          <w:rFonts w:ascii="Arial" w:cs="Arial" w:eastAsia="Arial" w:hAnsi="Arial"/>
          <w:sz w:val="8"/>
          <w:szCs w:val="8"/>
          <w:color w:val="auto"/>
        </w:rPr>
        <w:t>Stephen A. Wynn's employment with Valvino commenced on June 1, 2000.</w:t>
      </w:r>
    </w:p>
    <w:p>
      <w:pPr>
        <w:ind w:left="540" w:right="100" w:hanging="532"/>
        <w:spacing w:after="0" w:line="181" w:lineRule="auto"/>
        <w:tabs>
          <w:tab w:leader="none" w:pos="540" w:val="left"/>
        </w:tabs>
        <w:numPr>
          <w:ilvl w:val="0"/>
          <w:numId w:val="95"/>
        </w:numPr>
        <w:rPr>
          <w:rFonts w:ascii="Arial" w:cs="Arial" w:eastAsia="Arial" w:hAnsi="Arial"/>
          <w:sz w:val="18"/>
          <w:szCs w:val="18"/>
          <w:color w:val="auto"/>
          <w:vertAlign w:val="subscript"/>
        </w:rPr>
      </w:pPr>
      <w:r>
        <w:rPr>
          <w:rFonts w:ascii="Arial" w:cs="Arial" w:eastAsia="Arial" w:hAnsi="Arial"/>
          <w:sz w:val="10"/>
          <w:szCs w:val="10"/>
          <w:color w:val="auto"/>
        </w:rPr>
        <w:t>Stephen A. Wynn, Marc D. Schorr and Kenneth R. Wynn may each have received perquisites and other personal benefits in an aggregate amount in excess of 10% of his annual salary and bonus of $0 or $1.00, as applicable. Any amount that any of them may have received was not material.</w:t>
      </w:r>
    </w:p>
    <w:p>
      <w:pPr>
        <w:ind w:left="540" w:hanging="532"/>
        <w:spacing w:after="0" w:line="187" w:lineRule="auto"/>
        <w:tabs>
          <w:tab w:leader="none" w:pos="540" w:val="left"/>
        </w:tabs>
        <w:numPr>
          <w:ilvl w:val="0"/>
          <w:numId w:val="95"/>
        </w:numPr>
        <w:rPr>
          <w:rFonts w:ascii="Arial" w:cs="Arial" w:eastAsia="Arial" w:hAnsi="Arial"/>
          <w:sz w:val="12"/>
          <w:szCs w:val="12"/>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95"/>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97" w:lineRule="auto"/>
        <w:tabs>
          <w:tab w:leader="none" w:pos="540" w:val="left"/>
        </w:tabs>
        <w:numPr>
          <w:ilvl w:val="0"/>
          <w:numId w:val="95"/>
        </w:numPr>
        <w:rPr>
          <w:rFonts w:ascii="Arial" w:cs="Arial" w:eastAsia="Arial" w:hAnsi="Arial"/>
          <w:sz w:val="10"/>
          <w:szCs w:val="10"/>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87" w:lineRule="auto"/>
        <w:tabs>
          <w:tab w:leader="none" w:pos="540" w:val="left"/>
        </w:tabs>
        <w:numPr>
          <w:ilvl w:val="0"/>
          <w:numId w:val="95"/>
        </w:numPr>
        <w:rPr>
          <w:rFonts w:ascii="Arial" w:cs="Arial" w:eastAsia="Arial" w:hAnsi="Arial"/>
          <w:sz w:val="12"/>
          <w:szCs w:val="12"/>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95"/>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ectPr>
          <w:pgSz w:w="11900" w:h="16908" w:orient="portrait"/>
          <w:cols w:equalWidth="0" w:num="1">
            <w:col w:w="11420"/>
          </w:cols>
          <w:pgMar w:left="240" w:top="131" w:right="239" w:bottom="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intend to adopt our 2002 stock incentive plan before the closing of this offering. The 2002 stock incentive plan provides for the grant of stock awards, incentive stock options and non-qualified stock options to our employees, directors and specified consultants. We intend to reserve a total of 8,600,000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exercise price of incentive stock options must be at least 100% of the fair market value of the common stock on the date of grant. Incentive stock options granted to optionees who own more than 10% of our outstanding common stock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 (1) pursuant to a qualified domestic relations order or (2) to a family member. During any fiscal year, no optionee may receive grants of incentive stock options and nonqualified stock options in the aggregate which cover more</w:t>
      </w:r>
    </w:p>
    <w:p>
      <w:pPr>
        <w:spacing w:after="0"/>
        <w:tabs>
          <w:tab w:leader="none" w:pos="72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shares.</w:t>
      </w:r>
    </w:p>
    <w:p>
      <w:pPr>
        <w:spacing w:after="0" w:line="219"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If termination is for cause, all options, including vested and exercisable ones, are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optionee or increase the number of shares for which options and stock awards may be granted. We may amend the plan with stockholder approval to increase the number of shares for which options and stock awards may be granted.</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Following the completion of this offering, we intend to grant awards of shares of restricted stock under our 2002 stock incentive plan to each of the following employees: DeRuyter O. Butler, William Todd Nisbet, Marc D. Schorr, John Strzemp, Roger P. Thomas and Kenneth R. Wynn. We also intend to</w:t>
      </w:r>
    </w:p>
    <w:p>
      <w:pPr>
        <w:ind w:right="60"/>
        <w:spacing w:after="0" w:line="288" w:lineRule="auto"/>
        <w:rPr>
          <w:sz w:val="20"/>
          <w:szCs w:val="20"/>
          <w:color w:val="auto"/>
        </w:rPr>
      </w:pPr>
      <w:r>
        <w:rPr>
          <w:rFonts w:ascii="Arial" w:cs="Arial" w:eastAsia="Arial" w:hAnsi="Arial"/>
          <w:sz w:val="16"/>
          <w:szCs w:val="16"/>
          <w:color w:val="auto"/>
        </w:rPr>
        <w:t>grant an award of shares of restricted stock outside of the 2002 stock incentive plan to Franco Dragone, the creator of our new entertainment production. The restricted stock will be subject to our repurchase right, which will lapse in November 2004 as to Mr. Strzemp, in June 2005 as to Mr. Schorr and Mr. Kenneth Wynn, in June 2006 as to Mr. Butler, Mr. Thomas and Mr. Dragone and in July 2006 as to Mr. Nisbet. Our repurchase right will lapse immediately with respect to any individual other than Mr. Dragone if such individual terminates employment with us under circumstances which entitle him to receive a "separation payment" under his employment contract (as described below). In the case of Messrs. Butler, Nisbet, and Thomas, however, the lapse of our restriction right on a termination of employment which entitles such individual to receive a separation payment will not occur to the extent that such early lapsing would subject the individual to the golden parachute excise tax under Internal Revenue Code Section 4999.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intend to enter into employment contracts with certain other named executive officers, including Stephen A. Wynn, Marc D. Schorr, Kenneth R. Wynn, John Strzemp, DeRuyter O. Butler and Marc H. Rubinstein, prior to the completion of this offering.</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Under the employment contracts, the annual base salaries will be $1,250,000 for Stephen A. Wynn, $750,000 for Mr. Schorr, $459,000 for Mr. Strzemp, $350,000 for Mr. Butler, $360,000 for Mr. Rubinstein and $250,000 for Kenneth Wynn.</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other terms of the employment contracts will be substantially similar for each executive. Each executive will receive a bonus at such times and in such amounts as our board of directors, in its sole and exclusive discretion, may determine. However, after our board of directors adopts a performance-based bonus plan, bonuses will be determined in accordance with the plan except for Mr. Strzemp, who will be entitled to a minimum annual bonus of $150,000 per year. The term of each employment contract will begin on the later of the effective date of this offering or October 1, 2002, and end five years later, except that the term of Mr. Strzemp's employment contract will end on October 31, 2004.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our sole</w:t>
      </w:r>
    </w:p>
    <w:p>
      <w:pPr>
        <w:sectPr>
          <w:pgSz w:w="11900" w:h="16838" w:orient="portrait"/>
          <w:cols w:equalWidth="0" w:num="1">
            <w:col w:w="11420"/>
          </w:cols>
          <w:pgMar w:left="240" w:top="131" w:right="239" w:bottom="0" w:gutter="0" w:footer="0" w:header="0"/>
        </w:sectPr>
      </w:pPr>
    </w:p>
    <w:bookmarkStart w:id="76" w:name="page77"/>
    <w:bookmarkEnd w:id="76"/>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we terminate the employment of an executive without "cause," or the executive terminates his employment with us upon "good reason" following a "change of control" (as these terms are defined in the employment contracts), we will pay the executive a "separation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(b) a prorated portion of the bonus that the executive received for the preceding bonus period, (c) any accrued but unpaid vacation pay and (d) an amount necessary to gross the executive up for any golden parachute excise tax the executive incurs under Internal Revenue Code Section 4999. The separation payment of Mr. Butler, however, will be limited to the amount necessary to avoid subjecting him to the goldgen parachute excise tax of Internal Revenue Code Section 4999. If the executive is entitled to receive the separation payment, he will also be entitled to continue participating in our health benefits coverage for the remaining portion of the term (but for not less than one year)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w:t>
      </w:r>
    </w:p>
    <w:p>
      <w:pPr>
        <w:spacing w:after="0" w:line="16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ectPr>
          <w:pgSz w:w="11900" w:h="16932" w:orient="portrait"/>
          <w:cols w:equalWidth="0" w:num="1">
            <w:col w:w="11420"/>
          </w:cols>
          <w:pgMar w:left="240" w:top="131" w:right="239" w:bottom="0" w:gutter="0" w:footer="0" w:header="0"/>
        </w:sectPr>
      </w:pPr>
    </w:p>
    <w:bookmarkStart w:id="77" w:name="page78"/>
    <w:bookmarkEnd w:id="77"/>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RELATED PARTY TRANSACTIONS</w:t>
      </w:r>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Mr. Wynn owned a majority of the outstanding equity interests of Wynn Macau.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has entered into a concession agreement with the government of Macau permitting the construction and operation of casinos in Macau. See "Management's Discussion &amp; Analysis of Financial Condition and Results of Operations—Liquidity and Capital Resources—Material Transactions Affecting Liquidity and Capital Resources."</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As previously discussed, Mr. Wynn, Aruze USA and Baron Asset Fund are parties to a stockholders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agreement establishes 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such private placement.</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the parties also granted each other a tag-along right on their respective shares of Wynn Resorts' common stock. Under this tag-along right, any party to the stockholders agreement, before transferring his or its shares to any person other than a permitted transferee, must first allow the other parties to the agreement to participate in such transfer on the same terms and conditions.</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ectPr>
          <w:pgSz w:w="11900" w:h="16838" w:orient="portrait"/>
          <w:cols w:equalWidth="0" w:num="1">
            <w:col w:w="11420"/>
          </w:cols>
          <w:pgMar w:left="240" w:top="131" w:right="239" w:bottom="0" w:gutter="0" w:footer="0" w:header="0"/>
        </w:sectPr>
      </w:pPr>
    </w:p>
    <w:bookmarkStart w:id="78" w:name="page79"/>
    <w:bookmarkEnd w:id="78"/>
    <w:p>
      <w:pPr>
        <w:spacing w:after="0" w:line="10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40" w:firstLine="345"/>
        <w:spacing w:after="0" w:line="254" w:lineRule="auto"/>
        <w:rPr>
          <w:sz w:val="20"/>
          <w:szCs w:val="20"/>
          <w:color w:val="auto"/>
        </w:rPr>
      </w:pPr>
      <w:r>
        <w:rPr>
          <w:rFonts w:ascii="Arial" w:cs="Arial" w:eastAsia="Arial" w:hAnsi="Arial"/>
          <w:sz w:val="18"/>
          <w:szCs w:val="18"/>
          <w:b w:val="1"/>
          <w:bCs w:val="1"/>
          <w:i w:val="1"/>
          <w:iCs w:val="1"/>
          <w:color w:val="auto"/>
        </w:rPr>
        <w:t xml:space="preserve">Art Gallery. </w:t>
      </w:r>
      <w:r>
        <w:rPr>
          <w:rFonts w:ascii="Arial" w:cs="Arial" w:eastAsia="Arial" w:hAnsi="Arial"/>
          <w:sz w:val="18"/>
          <w:szCs w:val="18"/>
          <w:color w:val="auto"/>
        </w:rPr>
        <w:t>We operate an art gallery at the former premises of the Desert Inn Resort &amp; Casino in which we display paintings from The Wynn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art gallery is expected to remain open during the construction of Le Rêve. We lease The Wynn Collection from Mr. and Mrs. Wynn pursuant to an Art Rental and Licensing Agreement. Under the agreement, we pay the expenses of exhibiting works from The Wynn Collection and reimburse Mr. and Mrs. Wynn for the expense of insuring the collection while we exhibit it, which insurance costs for the eight months ended June 30, 2002 were approximately $55,000 and for the twelve months ended June 30, 2003 will be approximately $275,000. In addition, we have agreed to make monthly lease payments for the art at a rate equal to the gross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Any payment to Mr. and Mrs. Wynn would be made only from the net revenue of the art gallery. It is contemplated that, after Le Rêve opens, we will continue to lease The Wynn Collection under similar terms and will exhibit the works as an attraction at Le Rêve. Under the Art Rental and Licensing Agreement, subject to certain notice restrictions, Mr. and Mrs. Wynn will retain the right to remove or replace any or all of the works of art that will be displayed in the art gallery.</w:t>
      </w:r>
    </w:p>
    <w:p>
      <w:pPr>
        <w:spacing w:after="0" w:line="159"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On May 30, 2002, Mr. Wynn sold World Travel and Las Vegas Jet to Valvino for approximately $38.2 million,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59"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 under a Part 91 certificate. In connection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World Travel, approximately $2 million of accounts payable to Valvino from Las Vegas Jet were forgiven.</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the company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of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Stephen A.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intend to enter into a tax indemnification agreement relating to their respective income tax liabilities. Prior to the</w:t>
      </w:r>
    </w:p>
    <w:p>
      <w:pPr>
        <w:sectPr>
          <w:pgSz w:w="11900" w:h="16939" w:orient="portrait"/>
          <w:cols w:equalWidth="0" w:num="1">
            <w:col w:w="11420"/>
          </w:cols>
          <w:pgMar w:left="240" w:top="131" w:right="239" w:bottom="0" w:gutter="0" w:footer="0" w:header="0"/>
        </w:sectPr>
      </w:pPr>
    </w:p>
    <w:bookmarkStart w:id="79" w:name="page80"/>
    <w:bookmarkEnd w:id="79"/>
    <w:p>
      <w:pPr>
        <w:spacing w:after="0" w:line="308" w:lineRule="auto"/>
        <w:rPr>
          <w:sz w:val="20"/>
          <w:szCs w:val="20"/>
          <w:color w:val="auto"/>
        </w:rPr>
      </w:pPr>
      <w:r>
        <w:rPr>
          <w:rFonts w:ascii="Arial" w:cs="Arial" w:eastAsia="Arial" w:hAnsi="Arial"/>
          <w:sz w:val="15"/>
          <w:szCs w:val="15"/>
          <w:color w:val="auto"/>
        </w:rPr>
        <w:t>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reported by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63"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June 12, 2002, after giving effect to the contribution of membership interests in Valvino to Wynn Resorts, by:</w:t>
      </w:r>
    </w:p>
    <w:p>
      <w:pPr>
        <w:spacing w:after="0" w:line="208"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Percentage ownership is based on 40,000,000 shares of common stock outstanding as of 2002 and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24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7"/>
              </w:rPr>
              <w:t>Beneficial</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left="4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7"/>
              </w:rPr>
              <w:t>Before Offering</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left="440"/>
              <w:spacing w:after="0"/>
              <w:rPr>
                <w:sz w:val="20"/>
                <w:szCs w:val="20"/>
                <w:color w:val="auto"/>
              </w:rPr>
            </w:pPr>
            <w:r>
              <w:rPr>
                <w:rFonts w:ascii="Arial" w:cs="Arial" w:eastAsia="Arial" w:hAnsi="Arial"/>
                <w:sz w:val="14"/>
                <w:szCs w:val="14"/>
                <w:b w:val="1"/>
                <w:bCs w:val="1"/>
                <w:color w:val="auto"/>
                <w:w w:val="90"/>
              </w:rPr>
              <w:t>After Offering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Percent</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1,997,085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1,997,085</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Kazuo Okada(1)(3)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Wynn(5)</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58,317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38,002,915</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95.008%</w:t>
            </w:r>
          </w:p>
        </w:tc>
        <w:tc>
          <w:tcPr>
            <w:tcW w:w="1240" w:type="dxa"/>
            <w:vAlign w:val="bottom"/>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-2254250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-2254250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-2254250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-2254250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-2005965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-2005965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-2005965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-2005965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-2005965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-2005965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-2005965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-2005965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-2005965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-2005965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43307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73" w:lineRule="exact"/>
        <w:rPr>
          <w:sz w:val="20"/>
          <w:szCs w:val="20"/>
          <w:color w:val="auto"/>
        </w:rPr>
      </w:pPr>
    </w:p>
    <w:p>
      <w:pPr>
        <w:ind w:left="540" w:right="400" w:hanging="532"/>
        <w:spacing w:after="0" w:line="214" w:lineRule="auto"/>
        <w:tabs>
          <w:tab w:leader="none" w:pos="540" w:val="left"/>
        </w:tabs>
        <w:numPr>
          <w:ilvl w:val="0"/>
          <w:numId w:val="99"/>
        </w:numPr>
        <w:rPr>
          <w:rFonts w:ascii="Arial" w:cs="Arial" w:eastAsia="Arial" w:hAnsi="Arial"/>
          <w:sz w:val="24"/>
          <w:szCs w:val="24"/>
          <w:color w:val="auto"/>
          <w:vertAlign w:val="subscript"/>
        </w:rPr>
      </w:pPr>
      <w:r>
        <w:rPr>
          <w:rFonts w:ascii="Arial" w:cs="Arial" w:eastAsia="Arial" w:hAnsi="Arial"/>
          <w:sz w:val="12"/>
          <w:szCs w:val="12"/>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Party Transactions—Stockholders Agreement." Mr. Wynn, Aruze and USA Kazuo Okada disclaim beneficial ownership of such shares.</w:t>
      </w:r>
    </w:p>
    <w:p>
      <w:pPr>
        <w:spacing w:after="0" w:line="73" w:lineRule="exact"/>
        <w:rPr>
          <w:rFonts w:ascii="Arial" w:cs="Arial" w:eastAsia="Arial" w:hAnsi="Arial"/>
          <w:sz w:val="24"/>
          <w:szCs w:val="24"/>
          <w:color w:val="auto"/>
          <w:vertAlign w:val="subscript"/>
        </w:rPr>
      </w:pPr>
    </w:p>
    <w:p>
      <w:pPr>
        <w:ind w:left="540" w:right="220" w:hanging="532"/>
        <w:spacing w:after="0" w:line="186" w:lineRule="auto"/>
        <w:tabs>
          <w:tab w:leader="none" w:pos="540" w:val="left"/>
        </w:tabs>
        <w:numPr>
          <w:ilvl w:val="0"/>
          <w:numId w:val="99"/>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is denied by Nevada gaming authorities or withdrawn or is not filled within 90 days after the filing of Wynn Resorts' application. Mr. Wynn disclaims beneficial ownership of such shares.</w:t>
      </w:r>
    </w:p>
    <w:p>
      <w:pPr>
        <w:spacing w:after="0" w:line="173" w:lineRule="exact"/>
        <w:rPr>
          <w:sz w:val="20"/>
          <w:szCs w:val="20"/>
          <w:color w:val="auto"/>
        </w:rPr>
      </w:pPr>
    </w:p>
    <w:p>
      <w:pPr>
        <w:ind w:left="540" w:right="60" w:hanging="532"/>
        <w:spacing w:after="0" w:line="186" w:lineRule="auto"/>
        <w:tabs>
          <w:tab w:leader="none" w:pos="540" w:val="left"/>
        </w:tabs>
        <w:numPr>
          <w:ilvl w:val="0"/>
          <w:numId w:val="100"/>
        </w:numPr>
        <w:rPr>
          <w:rFonts w:ascii="Arial" w:cs="Arial" w:eastAsia="Arial" w:hAnsi="Arial"/>
          <w:sz w:val="24"/>
          <w:szCs w:val="24"/>
          <w:color w:val="auto"/>
          <w:vertAlign w:val="subscript"/>
        </w:rPr>
      </w:pPr>
      <w:r>
        <w:rPr>
          <w:rFonts w:ascii="Arial" w:cs="Arial" w:eastAsia="Arial" w:hAnsi="Arial"/>
          <w:sz w:val="12"/>
          <w:szCs w:val="12"/>
          <w:color w:val="auto"/>
        </w:rPr>
        <w:t>Aruze USA's address 745 Greier Drive, Las Vegas, Nevada 89119. Aruze USA is a subsidiary of Aruze Corp., of which Mr.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100"/>
        </w:numPr>
        <w:rPr>
          <w:rFonts w:ascii="Arial" w:cs="Arial" w:eastAsia="Arial" w:hAnsi="Arial"/>
          <w:sz w:val="27"/>
          <w:szCs w:val="27"/>
          <w:color w:val="auto"/>
          <w:vertAlign w:val="subscript"/>
        </w:rPr>
      </w:pPr>
      <w:r>
        <w:rPr>
          <w:rFonts w:ascii="Arial" w:cs="Arial" w:eastAsia="Arial" w:hAnsi="Arial"/>
          <w:sz w:val="14"/>
          <w:szCs w:val="14"/>
          <w:color w:val="auto"/>
        </w:rPr>
        <w:t>Includes 1,459,408 shares, or 3.644%, held on behalf of the Baron Asset Fund Series and 537,677 shares, or 1.348%, held on behalf of the Baron Growth Fund Series.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00"/>
        </w:numPr>
        <w:rPr>
          <w:rFonts w:ascii="Arial" w:cs="Arial" w:eastAsia="Arial" w:hAnsi="Arial"/>
          <w:sz w:val="23"/>
          <w:szCs w:val="23"/>
          <w:color w:val="auto"/>
          <w:vertAlign w:val="subscript"/>
        </w:rPr>
      </w:pPr>
      <w:r>
        <w:rPr>
          <w:rFonts w:ascii="Arial" w:cs="Arial" w:eastAsia="Arial" w:hAnsi="Arial"/>
          <w:sz w:val="12"/>
          <w:szCs w:val="12"/>
          <w:color w:val="auto"/>
        </w:rPr>
        <w:t>These shares are held by the Kenneth R. Wynn Family Trust. Kenneth Wynn may be deemed to have beneficial ownership of these shares.</w:t>
      </w:r>
    </w:p>
    <w:p>
      <w:pPr>
        <w:sectPr>
          <w:pgSz w:w="11900" w:h="16838" w:orient="portrait"/>
          <w:cols w:equalWidth="0" w:num="1">
            <w:col w:w="11420"/>
          </w:cols>
          <w:pgMar w:left="240" w:top="131" w:right="239" w:bottom="0" w:gutter="0" w:footer="0" w:header="0"/>
        </w:sectPr>
      </w:pPr>
    </w:p>
    <w:bookmarkStart w:id="80" w:name="page81"/>
    <w:bookmarkEnd w:id="80"/>
    <w:p>
      <w:pPr>
        <w:ind w:left="540" w:right="240" w:hanging="532"/>
        <w:spacing w:after="0" w:line="239"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jc w:val="both"/>
        <w:ind w:right="2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William Todd Nisbet, Marc D. Schorr, John Strzemp, Roger P. Thomas and Kenneth R.</w:t>
      </w:r>
    </w:p>
    <w:p>
      <w:pPr>
        <w:jc w:val="both"/>
        <w:ind w:right="220"/>
        <w:spacing w:after="0" w:line="302" w:lineRule="auto"/>
        <w:rPr>
          <w:sz w:val="20"/>
          <w:szCs w:val="20"/>
          <w:color w:val="auto"/>
        </w:rPr>
      </w:pPr>
      <w:r>
        <w:rPr>
          <w:rFonts w:ascii="Arial" w:cs="Arial" w:eastAsia="Arial" w:hAnsi="Arial"/>
          <w:sz w:val="16"/>
          <w:szCs w:val="16"/>
          <w:color w:val="auto"/>
        </w:rPr>
        <w:t>Wynn. We also intend to grant an award of shares of restricted stock outside of the 2002 stock incentive plan to Franco Dragone, the creator of our new entertainment production. The restricted stock will be subject to our repurchase right, which will lapse in November 2004 as to Mr. Strzemp, in June 2005 as to Mr. Schorr and Kenneth R. Wynn, in June 2006 as to Mr. Butler, Mr. Thomas and Mr. Dragone and in July 2006 as to Mr. Nisbet.</w:t>
      </w:r>
    </w:p>
    <w:p>
      <w:pPr>
        <w:spacing w:after="0" w:line="163"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Party Transactions— Stockholders Agreement."</w:t>
      </w:r>
    </w:p>
    <w:p>
      <w:pPr>
        <w:spacing w:after="0" w:line="17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and "— The Nevada Gaming Commission may impose unanticipated requirements regarding the licensing of owners of Wynn Resorts."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tabs>
          <w:tab w:leader="none" w:pos="5620" w:val="left"/>
          <w:tab w:leader="none" w:pos="8140" w:val="left"/>
        </w:tabs>
        <w:rPr>
          <w:sz w:val="20"/>
          <w:szCs w:val="20"/>
          <w:color w:val="auto"/>
        </w:rPr>
      </w:pPr>
      <w:r>
        <w:rPr>
          <w:rFonts w:ascii="Arial" w:cs="Arial" w:eastAsia="Arial" w:hAnsi="Arial"/>
          <w:sz w:val="18"/>
          <w:szCs w:val="18"/>
          <w:color w:val="auto"/>
        </w:rPr>
        <w:t>Upon the completion of this offering, we will be authorized to issue</w:t>
      </w:r>
      <w:r>
        <w:rPr>
          <w:sz w:val="20"/>
          <w:szCs w:val="20"/>
          <w:color w:val="auto"/>
        </w:rPr>
        <w:tab/>
      </w:r>
      <w:r>
        <w:rPr>
          <w:rFonts w:ascii="Arial" w:cs="Arial" w:eastAsia="Arial" w:hAnsi="Arial"/>
          <w:sz w:val="18"/>
          <w:szCs w:val="18"/>
          <w:color w:val="auto"/>
        </w:rPr>
        <w:t>shares of common stock and</w:t>
      </w:r>
      <w:r>
        <w:rPr>
          <w:sz w:val="20"/>
          <w:szCs w:val="20"/>
          <w:color w:val="auto"/>
        </w:rPr>
        <w:tab/>
      </w:r>
      <w:r>
        <w:rPr>
          <w:rFonts w:ascii="Arial" w:cs="Arial" w:eastAsia="Arial" w:hAnsi="Arial"/>
          <w:sz w:val="15"/>
          <w:szCs w:val="15"/>
          <w:color w:val="auto"/>
        </w:rPr>
        <w:t>shares of undesignated preferred stock,</w:t>
      </w:r>
    </w:p>
    <w:p>
      <w:pPr>
        <w:spacing w:after="0" w:line="15" w:lineRule="exact"/>
        <w:rPr>
          <w:sz w:val="20"/>
          <w:szCs w:val="20"/>
          <w:color w:val="auto"/>
        </w:rPr>
      </w:pPr>
    </w:p>
    <w:p>
      <w:pPr>
        <w:ind w:right="20" w:firstLine="8"/>
        <w:spacing w:after="0" w:line="254" w:lineRule="auto"/>
        <w:tabs>
          <w:tab w:leader="none" w:pos="6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 The following description gives effect to the amendment and restatement of our articles of incorporation and bylaws to be effected immediately before the closing of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As of , 2002, there were shares of common stock outstanding, which were held of record by approximately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5580" w:right="3940" w:hanging="5032"/>
        <w:spacing w:after="0" w:line="519" w:lineRule="auto"/>
        <w:tabs>
          <w:tab w:leader="none" w:pos="108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and Prohibitions on the Receipt of Dividends, the Exercise of Voting or Other Rights or the Receipt of Other Remuneration</w:t>
      </w:r>
    </w:p>
    <w:p>
      <w:pPr>
        <w:sectPr>
          <w:pgSz w:w="11900" w:h="16838" w:orient="portrait"/>
          <w:cols w:equalWidth="0" w:num="1">
            <w:col w:w="11420"/>
          </w:cols>
          <w:pgMar w:left="240" w:top="129" w:right="239" w:bottom="0" w:gutter="0" w:footer="0" w:header="0"/>
          <w:type w:val="continuous"/>
        </w:sectPr>
      </w:pPr>
    </w:p>
    <w:bookmarkStart w:id="81" w:name="page82"/>
    <w:bookmarkEnd w:id="81"/>
    <w:p>
      <w:pPr>
        <w:ind w:left="360"/>
        <w:spacing w:after="0"/>
        <w:rPr>
          <w:sz w:val="20"/>
          <w:szCs w:val="20"/>
          <w:color w:val="auto"/>
        </w:rPr>
      </w:pPr>
      <w:r>
        <w:rPr>
          <w:rFonts w:ascii="Arial" w:cs="Arial" w:eastAsia="Arial" w:hAnsi="Arial"/>
          <w:sz w:val="18"/>
          <w:szCs w:val="18"/>
          <w:color w:val="auto"/>
        </w:rPr>
        <w:t>The articles of incorporation of Wynn Resorts will prohibit anyone who is an unsuitable person or an affiliate of an unsuitable person from:</w:t>
      </w:r>
    </w:p>
    <w:p>
      <w:pPr>
        <w:spacing w:after="0" w:line="23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articles of incorporation will provide that capital stock, securities of or interests in Wynn Resorts that are owned or controlled by an unsuitable person or an affiliate of an unsuitable person are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asked prices, as quoted by any other generally recognized reporting system. The redemption price may be paid in cash, by promissory note, or both, as required by the applicable gaming authority and, if not, as Wynn Resorts elects.</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will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39"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Wynn Resorts' articles of incorporation and bylaws will provide for its board of directors to be divided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serving staggered three-year terms, with one-third of the board of directors being elected each year. As a result, at least two annual meetings of stockholder may be necessary to change a majority of the directors.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will provide that subject to the rights, if any, of the holders of the preferred stock, only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chairman of the board of directors, the chief executive officer or the president may call special meetings of stockholders.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will establish advance notice procedures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will provide that stockholders may only take action at an annual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of stockholders and may not act by written consent.</w:t>
      </w:r>
    </w:p>
    <w:p>
      <w:pPr>
        <w:sectPr>
          <w:pgSz w:w="11900" w:h="16838" w:orient="portrait"/>
          <w:cols w:equalWidth="0" w:num="1">
            <w:col w:w="11380"/>
          </w:cols>
          <w:pgMar w:left="240" w:top="131" w:right="279" w:bottom="68" w:gutter="0" w:footer="0" w:header="0"/>
        </w:sectPr>
      </w:pPr>
    </w:p>
    <w:bookmarkStart w:id="82" w:name="page83"/>
    <w:bookmarkEnd w:id="82"/>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Nevada Control Share Laws. </w:t>
      </w:r>
      <w:r>
        <w:rPr>
          <w:rFonts w:ascii="Arial" w:cs="Arial" w:eastAsia="Arial" w:hAnsi="Arial"/>
          <w:sz w:val="18"/>
          <w:szCs w:val="18"/>
          <w:color w:val="auto"/>
        </w:rPr>
        <w:t>Following the closing of this offering, Wynn Resorts may become subject to Nevada's laws which govern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will not provide for cumulative voting in the election of directors.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Super-Majority Vote Requirement. </w:t>
      </w:r>
      <w:r>
        <w:rPr>
          <w:rFonts w:ascii="Arial" w:cs="Arial" w:eastAsia="Arial" w:hAnsi="Arial"/>
          <w:sz w:val="16"/>
          <w:szCs w:val="16"/>
          <w:color w:val="auto"/>
        </w:rPr>
        <w:t>Wynn Resorts' articles of incorporation will require a super-majority stockholders vote to approve any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or exchange to which Wynn Resorts is a party and which requires stockholder approval under the Nevada Revised Statutes and for any sale, lease or exchange by Wynn Resorts of all of its property pursuant to Nevada Revised Statutes 78.565 unless the fact or event shall have occurred.</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filed an application to have our common stock approved for quotation on The Nasdaq National Market under the symbol "WYNN."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in this prospectus mean Wynn Resorts Holdings, Wynn Las Vegas, Wynn Capital, Wynn Design &amp; Development, World Travel, Las Vegas Jet, Desert Inn Water Company, Desert Inn Improvement Company and Palo, LLC. References to the "guarantors" in this prospectus mean Valvino and the restricted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indirect subsidiary, 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53" w:lineRule="exact"/>
        <w:rPr>
          <w:sz w:val="20"/>
          <w:szCs w:val="20"/>
          <w:color w:val="auto"/>
        </w:rPr>
      </w:pPr>
    </w:p>
    <w:p>
      <w:pPr>
        <w:ind w:left="1080" w:right="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borrowings outstanding under our revolving facility equal or exceed $200 million, the lenders' agent will have the right to convert $100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ectPr>
          <w:pgSz w:w="11900" w:h="16838" w:orient="portrait"/>
          <w:cols w:equalWidth="0" w:num="1">
            <w:col w:w="11420"/>
          </w:cols>
          <w:pgMar w:left="240" w:top="131" w:right="239" w:bottom="0" w:gutter="0" w:footer="0" w:header="0"/>
        </w:sectPr>
      </w:pPr>
    </w:p>
    <w:bookmarkStart w:id="83" w:name="page84"/>
    <w:bookmarkEnd w:id="83"/>
    <w:p>
      <w:pPr>
        <w:spacing w:after="0" w:line="6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24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before Le Rêve opens, our borrowings will bear interest at Wynn Las Vegas' election, at either (i) the prime rate plus a margin still to be determined for both revolving loans and term loans or (ii) the reserve adjusted Eurodollar Rate plus 4.00% per annum for revolving leans or the reserve adjusted Euro dollar rate plus 4.25% per annum for term lans;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prime rate or reserve adjusted Eurodollar Rate, as Wynn Las Vegas elects, plus, in either case, a margin based on our leverage ratio.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Until Le Rêve opens, Wynn Las Vegas will pay, quarterly in arrears, 2.00% per annum on unborrowed availability under our revolving credit facility. The amount Wynn Las Vegas will pay will be calculated on the daily average of the unborrowed availability under the revolving credit facility.</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defualt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credit facilities, Wynn Las Vegas, its subsidiaries and certain of its affiliates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 are outstanding under the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full consecutive fiscal quarters after Le Rêve opens, any remaining amounts in the liquidity reserve account will be used to reduce the outstanding balance on the revolving credit facility but without reducing the revolving credit facility commitment;</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restricted entities to the extent permitted by applicable law;</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w:t>
      </w:r>
    </w:p>
    <w:p>
      <w:pPr>
        <w:sectPr>
          <w:pgSz w:w="11900" w:h="16898" w:orient="portrait"/>
          <w:cols w:equalWidth="0" w:num="1">
            <w:col w:w="11420"/>
          </w:cols>
          <w:pgMar w:left="240" w:top="131" w:right="239" w:bottom="0" w:gutter="0" w:footer="0" w:header="0"/>
        </w:sectPr>
      </w:pPr>
    </w:p>
    <w:bookmarkStart w:id="84" w:name="page85"/>
    <w:bookmarkEnd w:id="84"/>
    <w:p>
      <w:pPr>
        <w:spacing w:after="0" w:line="106" w:lineRule="exact"/>
        <w:rPr>
          <w:sz w:val="20"/>
          <w:szCs w:val="20"/>
          <w:color w:val="auto"/>
        </w:rPr>
      </w:pPr>
    </w:p>
    <w:p>
      <w:pPr>
        <w:ind w:left="1080" w:right="240"/>
        <w:spacing w:after="0" w:line="259" w:lineRule="auto"/>
        <w:rPr>
          <w:sz w:val="20"/>
          <w:szCs w:val="20"/>
          <w:color w:val="auto"/>
        </w:rPr>
      </w:pPr>
      <w:r>
        <w:rPr>
          <w:rFonts w:ascii="Arial" w:cs="Arial" w:eastAsia="Arial" w:hAnsi="Arial"/>
          <w:sz w:val="18"/>
          <w:szCs w:val="18"/>
          <w:color w:val="auto"/>
        </w:rPr>
        <w:t>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08" w:lineRule="exact"/>
        <w:rPr>
          <w:sz w:val="20"/>
          <w:szCs w:val="20"/>
          <w:color w:val="auto"/>
        </w:rPr>
      </w:pPr>
    </w:p>
    <w:p>
      <w:pPr>
        <w:ind w:left="1080" w:right="1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the other existing and future assets of Wynn Las Vegas and the restricted entities other than the collateral securing the FF&amp;E facility, subject to certain exceptions;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second priority interest on the furniture, fixtures and equipment securing the FF&amp;E facility, excluding the aircraft.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Wynn Las Vegas' obligations under the credit facilities will also be secured by second priority security interests on the furniture, fixtures and equipment financed with the FF&amp;E facility. See "—FF&amp;E Facility." Wynn Las Vegas' obligations under the credit facilities will not be secured by any interest in the secured account holding the proceeds of the second mortgage notes.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specified percentages, ranging from a specified percentage (not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 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restricted entities will be required to comply with negative and affirmative covenants, including, without limitation, limitations on:</w:t>
      </w:r>
    </w:p>
    <w:p>
      <w:pPr>
        <w:spacing w:after="0" w:line="23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ectPr>
          <w:pgSz w:w="11900" w:h="16945" w:orient="portrait"/>
          <w:cols w:equalWidth="0" w:num="1">
            <w:col w:w="11360"/>
          </w:cols>
          <w:pgMar w:left="240" w:top="131" w:right="299" w:bottom="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impairment of security interests in collateral, change of control and, prior to final completion of Le Rêve, specified events under the disbursement agreement, subject in some cases to applicable notice provisions and grace periods. See "— Disbursement Agreement." Events of default will apply to the restricted entities and, in some cases, to Valvino and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w:t>
      </w:r>
    </w:p>
    <w:p>
      <w:pPr>
        <w:spacing w:after="0" w:line="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and , as trustee, pursuant to which the issuers will issue second mortgage notes with an aggregate principal amount of $350 million. The second mortgage notes will:</w:t>
      </w:r>
    </w:p>
    <w:p>
      <w:pPr>
        <w:spacing w:after="0" w:line="205"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be secured by a security interest in certain of the existing and future assets of Valvino, the issuers and certain other restricted entities and, in certain limited circumstances, may be secured by a security interest in certain of the existing and future assets of Wynn Resorts;</w:t>
      </w:r>
    </w:p>
    <w:p>
      <w:pPr>
        <w:spacing w:after="0" w:line="152" w:lineRule="exact"/>
        <w:rPr>
          <w:rFonts w:ascii="Arial" w:cs="Arial" w:eastAsia="Arial" w:hAnsi="Arial"/>
          <w:sz w:val="16"/>
          <w:szCs w:val="16"/>
          <w:color w:val="auto"/>
        </w:rPr>
      </w:pPr>
    </w:p>
    <w:p>
      <w:pPr>
        <w:jc w:val="both"/>
        <w:ind w:left="1080" w:right="320" w:hanging="532"/>
        <w:spacing w:after="0" w:line="298"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obligations of Wynn Las Vegas under the second mortgage notes will also be jointly and severally guaranteed by the other restricted entities. In the event that Wynn Resorts incurs indebtedness or provides guarantees of other specified indebtedness prior to meeting a prescribed leverage ratio and debt rating test, then Wynn Resorts will also be required to guarantee the second mortgage notes, subject to certain limited exceptions.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secured obligation of each guarantor, secured by a second priority security interest in certain of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permitted liens and applicable law, the second mortgage notes will be secured by, among other things: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86" w:name="page87"/>
    <w:bookmarkEnd w:id="86"/>
    <w:p>
      <w:pPr>
        <w:spacing w:after="0" w:line="15" w:lineRule="exact"/>
        <w:rPr>
          <w:sz w:val="20"/>
          <w:szCs w:val="20"/>
          <w:color w:val="auto"/>
        </w:rPr>
      </w:pPr>
    </w:p>
    <w:p>
      <w:pPr>
        <w:ind w:left="1080" w:right="500"/>
        <w:spacing w:after="0" w:line="268" w:lineRule="auto"/>
        <w:rPr>
          <w:sz w:val="20"/>
          <w:szCs w:val="20"/>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199" w:lineRule="exact"/>
        <w:rPr>
          <w:sz w:val="20"/>
          <w:szCs w:val="20"/>
          <w:color w:val="auto"/>
        </w:rPr>
      </w:pPr>
    </w:p>
    <w:p>
      <w:pPr>
        <w:ind w:left="1080" w:hanging="532"/>
        <w:spacing w:after="0" w:line="255"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four full consecutive quarters after Le Rêve opens, any remaining amounts in the liquidity reserve account will be used to reduce the outstanding balance on the revolving credit facility;</w:t>
      </w:r>
    </w:p>
    <w:p>
      <w:pPr>
        <w:spacing w:after="0" w:line="213"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261"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other restricted entities, and subject to certain exceptions; and</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left="340"/>
        <w:spacing w:after="0"/>
        <w:tabs>
          <w:tab w:leader="none" w:pos="184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second mortgage notes upon not less than 30 nor more than 60 days' notice, at certain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specified redemption prices based on timing of the redemption.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issuers will be required in certain circumstances to offer to repurchase the second mortgage notes at a purchase price equal to the principal amount of the second mortgage notes, plus any accrued and unpaid interest to the date of repurchase, with the net cash proceeds of certain asset sales and events of loss.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other restricted entities, including, without limitation, limitations on:</w:t>
      </w:r>
    </w:p>
    <w:p>
      <w:pPr>
        <w:spacing w:after="0" w:line="19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5" w:lineRule="exact"/>
        <w:rPr>
          <w:rFonts w:ascii="Arial" w:cs="Arial" w:eastAsia="Arial" w:hAnsi="Arial"/>
          <w:sz w:val="18"/>
          <w:szCs w:val="18"/>
          <w:color w:val="auto"/>
        </w:rPr>
      </w:pPr>
    </w:p>
    <w:p>
      <w:pPr>
        <w:spacing w:after="0"/>
        <w:tabs>
          <w:tab w:leader="none" w:pos="0" w:val="left"/>
        </w:tabs>
        <w:numPr>
          <w:ilvl w:val="0"/>
          <w:numId w:val="115"/>
        </w:numPr>
        <w:rPr>
          <w:rFonts w:ascii="Arial" w:cs="Arial" w:eastAsia="Arial" w:hAnsi="Arial"/>
          <w:sz w:val="18"/>
          <w:szCs w:val="18"/>
          <w:color w:val="auto"/>
        </w:rPr>
      </w:pPr>
    </w:p>
    <w:p>
      <w:pPr>
        <w:sectPr>
          <w:pgSz w:w="11900" w:h="16853" w:orient="portrait"/>
          <w:cols w:equalWidth="0" w:num="1">
            <w:col w:w="11420"/>
          </w:cols>
          <w:pgMar w:left="240" w:top="131" w:right="239" w:bottom="0" w:gutter="0" w:footer="0" w:header="0"/>
        </w:sectPr>
      </w:pPr>
    </w:p>
    <w:bookmarkStart w:id="87" w:name="page88"/>
    <w:bookmarkEnd w:id="87"/>
    <w:p>
      <w:pPr>
        <w:spacing w:after="0" w:line="1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indebtedness;</w:t>
      </w:r>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38" w:lineRule="exact"/>
        <w:rPr>
          <w:rFonts w:ascii="Arial" w:cs="Arial" w:eastAsia="Arial" w:hAnsi="Arial"/>
          <w:sz w:val="18"/>
          <w:szCs w:val="18"/>
          <w:color w:val="auto"/>
        </w:rPr>
      </w:pPr>
    </w:p>
    <w:p>
      <w:pPr>
        <w:jc w:val="right"/>
        <w:ind w:left="5580" w:right="5540" w:hanging="5032"/>
        <w:spacing w:after="0" w:line="670" w:lineRule="auto"/>
        <w:tabs>
          <w:tab w:leader="none" w:pos="108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issuances and sales of equity interests in wholly owned subsidiaries.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2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Valvino, though not a restricted entity, will be subject to certain limited restrictions under the indenture governing the second mortgage notes limiting its ability to encumber assets pledged to the lenders and the second mortgage note holders as collateral and to incur indebtedness, other than non-recourse debt, prior to the release of the 20-acre parcel of land fronting Las Vegas Boulevard adjacent to the site of Le Rêve.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Wynn Las Vegas may use additional proceeds of the FF&amp;E facility to refinance other furniture, fixtures or equipment purchased with proceeds of this offering or other funds. Obtaining the FF&amp;E facility will be a condition to the consummation of this offering. For more information, see "Use of Proceeds," "Management's Discussion and Analysis of Financial Condition and Results of Operations" and "Certain Relationships and Related Party Transactions—Aircraft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restricted entities, other than collateral securing the FF&amp;E facility, excluding the aircraft in which the lenders under the FF&amp;E facility will have a first priority security interest, the lenders under the credit facilities will have a second priority security interest and the second mortgage note holders will have a third priority security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Neither the lenders under the credit facilities nor the second mortgage note holders will have a security interest in the aircraft.</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w:t>
      </w:r>
    </w:p>
    <w:p>
      <w:pPr>
        <w:sectPr>
          <w:pgSz w:w="11900" w:h="16989" w:orient="portrait"/>
          <w:cols w:equalWidth="0" w:num="1">
            <w:col w:w="11420"/>
          </w:cols>
          <w:pgMar w:left="240" w:top="131" w:right="239" w:bottom="0" w:gutter="0" w:footer="0" w:header="0"/>
        </w:sectPr>
      </w:pPr>
    </w:p>
    <w:bookmarkStart w:id="88" w:name="page89"/>
    <w:bookmarkEnd w:id="88"/>
    <w:p>
      <w:pPr>
        <w:ind w:right="100"/>
        <w:spacing w:after="0" w:line="298" w:lineRule="auto"/>
        <w:rPr>
          <w:sz w:val="20"/>
          <w:szCs w:val="20"/>
          <w:color w:val="auto"/>
        </w:rPr>
      </w:pPr>
      <w:r>
        <w:rPr>
          <w:rFonts w:ascii="Arial" w:cs="Arial" w:eastAsia="Arial" w:hAnsi="Arial"/>
          <w:sz w:val="16"/>
          <w:szCs w:val="16"/>
          <w:color w:val="auto"/>
        </w:rPr>
        <w:t>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and Wynn Capital will enter into a disbursement agreement with Deutsche Bank Trust Company Americas, as the bank agent,</w:t>
      </w:r>
    </w:p>
    <w:p>
      <w:pPr>
        <w:spacing w:after="0" w:line="38" w:lineRule="exact"/>
        <w:rPr>
          <w:sz w:val="20"/>
          <w:szCs w:val="20"/>
          <w:color w:val="auto"/>
        </w:rPr>
      </w:pPr>
    </w:p>
    <w:p>
      <w:pPr>
        <w:ind w:left="840"/>
        <w:spacing w:after="0"/>
        <w:tabs>
          <w:tab w:leader="none" w:pos="3700" w:val="left"/>
        </w:tabs>
        <w:rPr>
          <w:sz w:val="20"/>
          <w:szCs w:val="20"/>
          <w:color w:val="auto"/>
        </w:rPr>
      </w:pPr>
      <w:r>
        <w:rPr>
          <w:rFonts w:ascii="Arial" w:cs="Arial" w:eastAsia="Arial" w:hAnsi="Arial"/>
          <w:sz w:val="18"/>
          <w:szCs w:val="18"/>
          <w:color w:val="auto"/>
        </w:rPr>
        <w:t>], as the mortgage note trustee, [</w:t>
      </w:r>
      <w:r>
        <w:rPr>
          <w:sz w:val="20"/>
          <w:szCs w:val="20"/>
          <w:color w:val="auto"/>
        </w:rPr>
        <w:tab/>
      </w:r>
      <w:r>
        <w:rPr>
          <w:rFonts w:ascii="Arial" w:cs="Arial" w:eastAsia="Arial" w:hAnsi="Arial"/>
          <w:sz w:val="15"/>
          <w:szCs w:val="15"/>
          <w:color w:val="auto"/>
        </w:rPr>
        <w:t>] as the FF&amp;E facility agent, and Deutsche Bank Trust Company Americas, as the disbursement agent.</w:t>
      </w:r>
    </w:p>
    <w:p>
      <w:pPr>
        <w:spacing w:after="0" w:line="200" w:lineRule="exact"/>
        <w:rPr>
          <w:sz w:val="20"/>
          <w:szCs w:val="20"/>
          <w:color w:val="auto"/>
        </w:rPr>
      </w:pPr>
    </w:p>
    <w:p>
      <w:pPr>
        <w:sectPr>
          <w:pgSz w:w="11900" w:h="16838" w:orient="portrait"/>
          <w:cols w:equalWidth="0" w:num="2">
            <w:col w:w="60" w:space="300"/>
            <w:col w:w="11040"/>
          </w:cols>
          <w:pgMar w:left="240" w:top="131" w:right="259" w:bottom="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and the FF&amp;E facility and the obligation of the second mortgage notes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expect to commence construction of Le Rêve in September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780" w:hanging="532"/>
        <w:spacing w:after="0" w:line="268" w:lineRule="auto"/>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120" w:hanging="532"/>
        <w:spacing w:after="0" w:line="268"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August 31, 2005, subject to limited permitted extensions due to force majeure events,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259" w:lineRule="exact"/>
        <w:rPr>
          <w:rFonts w:ascii="Arial" w:cs="Arial" w:eastAsia="Arial" w:hAnsi="Arial"/>
          <w:sz w:val="15"/>
          <w:szCs w:val="15"/>
          <w:color w:val="auto"/>
        </w:rPr>
      </w:pPr>
    </w:p>
    <w:p>
      <w:pPr>
        <w:spacing w:after="0"/>
        <w:tabs>
          <w:tab w:leader="none" w:pos="0" w:val="left"/>
        </w:tabs>
        <w:numPr>
          <w:ilvl w:val="0"/>
          <w:numId w:val="118"/>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type w:val="continuous"/>
        </w:sectPr>
      </w:pPr>
    </w:p>
    <w:bookmarkStart w:id="89" w:name="page90"/>
    <w:bookmarkEnd w:id="89"/>
    <w:p>
      <w:pPr>
        <w:ind w:left="1620" w:right="60"/>
        <w:spacing w:after="0" w:line="268" w:lineRule="auto"/>
        <w:rPr>
          <w:sz w:val="20"/>
          <w:szCs w:val="20"/>
          <w:color w:val="auto"/>
        </w:rPr>
      </w:pPr>
      <w:r>
        <w:rPr>
          <w:rFonts w:ascii="Arial" w:cs="Arial" w:eastAsia="Arial" w:hAnsi="Arial"/>
          <w:sz w:val="18"/>
          <w:szCs w:val="18"/>
          <w:color w:val="auto"/>
        </w:rPr>
        <w:t>the sufficiency of remaining funds (net of the completion capital commitment and liquidity reserve, and contingency amount) to complete Le Rêve, and</w:t>
      </w:r>
    </w:p>
    <w:p>
      <w:pPr>
        <w:spacing w:after="0" w:line="199" w:lineRule="exact"/>
        <w:rPr>
          <w:sz w:val="20"/>
          <w:szCs w:val="20"/>
          <w:color w:val="auto"/>
        </w:rPr>
      </w:pPr>
    </w:p>
    <w:p>
      <w:pPr>
        <w:ind w:left="1620" w:right="60" w:hanging="532"/>
        <w:spacing w:after="0" w:line="268"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delivery by the construction consultant and the contractors of certificates corroborating various matters set forth in our disbursement request and certificate;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Amounts on deposit in the completion guarantee deposit account may, on a gradual basis from time to time after fifty percent of the Le Rêve construction work has been completed, be transferred to the company's funds account for application to pay budgeted costs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will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permitted to exercise remedies against such sums and apply such sums against the obligations under their respective debt documents. Any interest which may accrue on amounts deposited in the completion capital account deposit account shall be deposited in the company's funds account until applied as provided in the disbursement agreement. These funds will not be available for any other purpose until Le Rêve is completed and opened, at which time any amounts remaining in the account will be released to Wynn Resorts.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At such time as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ectPr>
          <w:pgSz w:w="11900" w:h="16838" w:orient="portrait"/>
          <w:cols w:equalWidth="0" w:num="1">
            <w:col w:w="11380"/>
          </w:cols>
          <w:pgMar w:left="240" w:top="131" w:right="279" w:bottom="0" w:gutter="0" w:footer="0" w:header="0"/>
        </w:sectPr>
      </w:pPr>
    </w:p>
    <w:bookmarkStart w:id="90" w:name="page91"/>
    <w:bookmarkEnd w:id="90"/>
    <w:p>
      <w:pPr>
        <w:spacing w:after="0" w:line="1" w:lineRule="exact"/>
        <w:rPr>
          <w:sz w:val="20"/>
          <w:szCs w:val="20"/>
          <w:color w:val="auto"/>
        </w:rPr>
      </w:pPr>
    </w:p>
    <w:p>
      <w:pPr>
        <w:ind w:left="1080" w:right="4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disbursement agreement contains various affirmative covenants that we are obligated to comply with. Such covenants include the following:</w:t>
      </w:r>
    </w:p>
    <w:p>
      <w:pPr>
        <w:spacing w:after="0" w:line="275" w:lineRule="exact"/>
        <w:rPr>
          <w:sz w:val="20"/>
          <w:szCs w:val="20"/>
          <w:color w:val="auto"/>
        </w:rPr>
      </w:pPr>
    </w:p>
    <w:p>
      <w:pPr>
        <w:ind w:left="1080" w:right="4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restricted entities' ability to:</w:t>
      </w:r>
    </w:p>
    <w:p>
      <w:pPr>
        <w:spacing w:after="0" w:line="199" w:lineRule="exact"/>
        <w:rPr>
          <w:sz w:val="20"/>
          <w:szCs w:val="20"/>
          <w:color w:val="auto"/>
        </w:rPr>
      </w:pPr>
    </w:p>
    <w:p>
      <w:pPr>
        <w:ind w:left="1080" w:right="6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guaranty, other material project documents or any required governmental approval;</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87"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implement any material change in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anticipated completion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 or</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release any hazardous substance in violation of any legal requirement or governmental approval if it could reasonably be expected to have a material adverse effect.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disbursement agreement and the other financing documents, upon the occurrence of an event of default under the credit facilities, the FF&amp;E facility or the second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our subsidiaries' lenders will be permitted to exercise remedies, including one or more of the following:</w:t>
      </w:r>
    </w:p>
    <w:p>
      <w:pPr>
        <w:spacing w:after="0" w:line="252"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taking possession of Le Rêve and completing its construction and/or operating and maintaining Le Rêve, or appointing a trustee or receiver to do the same;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9" w:orient="portrait"/>
          <w:cols w:equalWidth="0" w:num="1">
            <w:col w:w="11380"/>
          </w:cols>
          <w:pgMar w:left="240" w:top="145" w:right="279" w:bottom="0" w:gutter="0" w:footer="0" w:header="0"/>
        </w:sectPr>
      </w:pPr>
    </w:p>
    <w:bookmarkStart w:id="91" w:name="page92"/>
    <w:bookmarkEnd w:id="91"/>
    <w:p>
      <w:pPr>
        <w:ind w:left="1080" w:right="120"/>
        <w:spacing w:after="0" w:line="268" w:lineRule="auto"/>
        <w:rPr>
          <w:sz w:val="20"/>
          <w:szCs w:val="20"/>
          <w:color w:val="auto"/>
        </w:rPr>
      </w:pPr>
      <w:r>
        <w:rPr>
          <w:rFonts w:ascii="Arial" w:cs="Arial" w:eastAsia="Arial" w:hAnsi="Arial"/>
          <w:sz w:val="18"/>
          <w:szCs w:val="18"/>
          <w:color w:val="auto"/>
        </w:rPr>
        <w:t>setting off and applying all cash and securities on deposit in any account with the disbursement agent to our obligations under the credit facilities and the indenture; and</w:t>
      </w:r>
    </w:p>
    <w:p>
      <w:pPr>
        <w:spacing w:after="0" w:line="199" w:lineRule="exact"/>
        <w:rPr>
          <w:sz w:val="20"/>
          <w:szCs w:val="20"/>
          <w:color w:val="auto"/>
        </w:rPr>
      </w:pPr>
    </w:p>
    <w:p>
      <w:pPr>
        <w:ind w:right="4460" w:firstLine="548"/>
        <w:spacing w:after="0" w:line="563"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subject to certain limitations, assuming our rights under the project documents. The disbursement agreement will terminate on or about the date on which final completion occurs.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Before this offering, there has been no public trading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 the public market could adversely affect the market price of our common stock and could impair our future ability to raise capital through the sale of our equity securities.</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Upon the completion of this offering, we will have shares of its common stock outstanding, assuming no exercise of the underwriters' over-allotment option. All of the shares sold in this offering will be freely tradable, except that any shares purchased by our affiliates may only be sold in compliance with the applicable limitations of Rule 144. The remaining 40,000,000 shares of our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9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provisions of Rules 144, 144(k) and 701, no shares of our common stock will be available for sale in the public market upon the expiration of the 180-day lock-up period. We expect that 40,000,000 shares of our common stock will become eligible for public sale in August 2003.</w:t>
      </w:r>
    </w:p>
    <w:p>
      <w:pPr>
        <w:spacing w:after="0" w:line="13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If our stockholders sell substantial amounts of our common stock in the public market following this offering, the prevailing market price of our common stock could decline. Furthermore, sales of substantial amounts of our common stock in the public market after contractual and legal restrictions lapse could adversely affect the prevailing market price of the common stock and our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21"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Under Rule 144(k), a person who is not deemed to have been our affiliate at any time during the three months preceding a sale, and who has beneficially owned the shares proposed to be sold for at least two years including the holding period of any prior 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control, or are controlled by, or are under common control with, Wynn Resorts. These persons typically include our executive officers and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 shares from us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ours. If they are an affiliate, they are eligible to resell the shares 90 days after the effective date of this offering, subject to lock-up agreements, in reliance on Rule 144 but without compliance with the holding period contained in Rule 144.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Immediately after this offering, we intend to file a registration statement on Form S-8 under the Securities Act covering shares of common stock reserved for issuance under our stock option plan. Shares registered under that registration statement will, upon the optionee's exercise and depending on vesting provisions and Rule 144 volume limitations applicable to our affiliates, be available for resale in the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400"/>
          </w:cols>
          <w:pgMar w:left="240" w:top="131" w:right="259" w:bottom="0" w:gutter="0" w:footer="0" w:header="0"/>
        </w:sectPr>
      </w:pPr>
    </w:p>
    <w:bookmarkStart w:id="92" w:name="page93"/>
    <w:bookmarkEnd w:id="92"/>
    <w:p>
      <w:pPr>
        <w:ind w:firstLine="348"/>
        <w:spacing w:after="0" w:line="287" w:lineRule="auto"/>
        <w:rPr>
          <w:sz w:val="20"/>
          <w:szCs w:val="20"/>
          <w:color w:val="auto"/>
        </w:rPr>
      </w:pPr>
      <w:r>
        <w:rPr>
          <w:rFonts w:ascii="Arial" w:cs="Arial" w:eastAsia="Arial" w:hAnsi="Arial"/>
          <w:sz w:val="16"/>
          <w:szCs w:val="16"/>
          <w:color w:val="auto"/>
        </w:rPr>
        <w:t>We, all of our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us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our common stock and the hardship of the person requesting the waiver.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7" w:lineRule="exact"/>
        <w:rPr>
          <w:sz w:val="20"/>
          <w:szCs w:val="20"/>
          <w:color w:val="auto"/>
        </w:rPr>
      </w:pPr>
    </w:p>
    <w:p>
      <w:pPr>
        <w:jc w:val="center"/>
        <w:spacing w:after="0" w:line="370" w:lineRule="auto"/>
        <w:rPr>
          <w:sz w:val="20"/>
          <w:szCs w:val="20"/>
          <w:color w:val="auto"/>
        </w:rPr>
      </w:pPr>
      <w:r>
        <w:rPr>
          <w:rFonts w:ascii="Arial" w:cs="Arial" w:eastAsia="Arial" w:hAnsi="Arial"/>
          <w:sz w:val="15"/>
          <w:szCs w:val="15"/>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w:t>
      </w:r>
    </w:p>
    <w:p>
      <w:pPr>
        <w:sectPr>
          <w:pgSz w:w="11900" w:h="16838" w:orient="portrait"/>
          <w:cols w:equalWidth="0" w:num="1">
            <w:col w:w="11400"/>
          </w:cols>
          <w:pgMar w:left="240" w:top="131" w:right="259" w:bottom="0" w:gutter="0" w:footer="0" w:header="0"/>
        </w:sectPr>
      </w:pPr>
    </w:p>
    <w:bookmarkStart w:id="93" w:name="page94"/>
    <w:bookmarkEnd w:id="93"/>
    <w:p>
      <w:pPr>
        <w:spacing w:after="0" w:line="268" w:lineRule="auto"/>
        <w:rPr>
          <w:sz w:val="20"/>
          <w:szCs w:val="20"/>
          <w:color w:val="auto"/>
        </w:rPr>
      </w:pPr>
      <w:r>
        <w:rPr>
          <w:rFonts w:ascii="Arial" w:cs="Arial" w:eastAsia="Arial" w:hAnsi="Arial"/>
          <w:sz w:val="18"/>
          <w:szCs w:val="18"/>
          <w:color w:val="auto"/>
        </w:rPr>
        <w:t>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w:t>
      </w:r>
      <w:r>
        <w:rPr>
          <w:sz w:val="20"/>
          <w:szCs w:val="20"/>
          <w:color w:val="auto"/>
        </w:rPr>
        <w:tab/>
      </w:r>
      <w:r>
        <w:rPr>
          <w:rFonts w:ascii="Arial" w:cs="Arial" w:eastAsia="Arial" w:hAnsi="Arial"/>
          <w:sz w:val="15"/>
          <w:szCs w:val="15"/>
          <w:color w:val="auto"/>
        </w:rPr>
        <w:t>] per share under the public</w:t>
      </w:r>
    </w:p>
    <w:p>
      <w:pPr>
        <w:sectPr>
          <w:pgSz w:w="11900" w:h="16838" w:orient="portrait"/>
          <w:cols w:equalWidth="0" w:num="1">
            <w:col w:w="11400"/>
          </w:cols>
          <w:pgMar w:left="240" w:top="131" w:right="259" w:bottom="0" w:gutter="0" w:footer="0" w:header="0"/>
        </w:sectPr>
      </w:pPr>
    </w:p>
    <w:bookmarkStart w:id="94" w:name="page95"/>
    <w:bookmarkEnd w:id="94"/>
    <w:p>
      <w:pPr>
        <w:spacing w:after="0" w:line="332" w:lineRule="auto"/>
        <w:rPr>
          <w:sz w:val="20"/>
          <w:szCs w:val="20"/>
          <w:color w:val="auto"/>
        </w:rPr>
      </w:pPr>
      <w:r>
        <w:rPr>
          <w:rFonts w:ascii="Arial" w:cs="Arial" w:eastAsia="Arial" w:hAnsi="Arial"/>
          <w:sz w:val="16"/>
          <w:szCs w:val="16"/>
          <w:color w:val="auto"/>
        </w:rPr>
        <w:t>offering price. The underwriters may allow, and these dealers may re-allow, a concession of not more than $[ public offering, representatives of the underwriters may change the offering price and other selling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share to other dealers. After the initial</w:t>
      </w:r>
    </w:p>
    <w:p>
      <w:pPr>
        <w:spacing w:after="0" w:line="464" w:lineRule="exact"/>
        <w:rPr>
          <w:sz w:val="20"/>
          <w:szCs w:val="20"/>
          <w:color w:val="auto"/>
        </w:rPr>
      </w:pPr>
    </w:p>
    <w:p>
      <w:pPr>
        <w:sectPr>
          <w:pgSz w:w="11900" w:h="16838" w:orient="portrait"/>
          <w:cols w:equalWidth="0" w:num="2">
            <w:col w:w="7660" w:space="520"/>
            <w:col w:w="3240"/>
          </w:cols>
          <w:pgMar w:left="240" w:top="131" w:right="239" w:bottom="0" w:gutter="0" w:footer="0" w:header="0"/>
        </w:sectPr>
      </w:pPr>
    </w:p>
    <w:p>
      <w:pPr>
        <w:ind w:left="360"/>
        <w:spacing w:after="0"/>
        <w:tabs>
          <w:tab w:leader="none" w:pos="10180" w:val="left"/>
        </w:tabs>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w:t>
      </w:r>
      <w:r>
        <w:rPr>
          <w:sz w:val="20"/>
          <w:szCs w:val="20"/>
          <w:color w:val="auto"/>
        </w:rPr>
        <w:tab/>
      </w:r>
      <w:r>
        <w:rPr>
          <w:rFonts w:ascii="Arial" w:cs="Arial" w:eastAsia="Arial" w:hAnsi="Arial"/>
          <w:sz w:val="16"/>
          <w:szCs w:val="16"/>
          <w:color w:val="auto"/>
        </w:rPr>
        <w:t>] additional</w:t>
      </w:r>
    </w:p>
    <w:p>
      <w:pPr>
        <w:sectPr>
          <w:pgSz w:w="11900" w:h="16838" w:orient="portrait"/>
          <w:cols w:equalWidth="0" w:num="1">
            <w:col w:w="11420"/>
          </w:cols>
          <w:pgMar w:left="240" w:top="131" w:right="239" w:bottom="0" w:gutter="0" w:footer="0" w:header="0"/>
          <w:type w:val="continuous"/>
        </w:sectPr>
      </w:pP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commissions, assuming either no exercise or full exercise by the underwriters of the underwriters' over-allotment option: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New York Stock Exchange, in the over-the-counter market or otherwise.</w:t>
      </w:r>
    </w:p>
    <w:p>
      <w:pPr>
        <w:spacing w:after="0" w:line="197" w:lineRule="exact"/>
        <w:rPr>
          <w:sz w:val="20"/>
          <w:szCs w:val="20"/>
          <w:color w:val="auto"/>
        </w:rPr>
      </w:pPr>
    </w:p>
    <w:p>
      <w:pPr>
        <w:ind w:left="340"/>
        <w:spacing w:after="0"/>
        <w:tabs>
          <w:tab w:leader="none" w:pos="75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 [</w:t>
      </w:r>
      <w:r>
        <w:rPr>
          <w:sz w:val="20"/>
          <w:szCs w:val="20"/>
          <w:color w:val="auto"/>
        </w:rPr>
        <w:tab/>
      </w:r>
      <w:r>
        <w:rPr>
          <w:rFonts w:ascii="Arial" w:cs="Arial" w:eastAsia="Arial" w:hAnsi="Arial"/>
          <w:sz w:val="16"/>
          <w:szCs w:val="16"/>
          <w:color w:val="auto"/>
        </w:rPr>
        <w:t>] shares of our common stock being sold in this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ectPr>
          <w:pgSz w:w="11900" w:h="16838" w:orient="portrait"/>
          <w:cols w:equalWidth="0" w:num="1">
            <w:col w:w="11420"/>
          </w:cols>
          <w:pgMar w:left="240" w:top="131" w:right="239" w:bottom="0" w:gutter="0" w:footer="0" w:header="0"/>
          <w:type w:val="continuous"/>
        </w:sectPr>
      </w:pPr>
    </w:p>
    <w:bookmarkStart w:id="95" w:name="page96"/>
    <w:bookmarkEnd w:id="95"/>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Deutsche Bank Securities Inc., Bear, Stearns &amp; Co. Inc., Banc of America Securities LLC and Dresdner Kleinwort Wasserstein Securities LLC, or one of their respective affiliates, will provide investment banking services to us and our subsidiaries and affiliates in connection with other financings expected to close concurrently with this offering, and will receive certain fees for their services.</w:t>
      </w:r>
    </w:p>
    <w:p>
      <w:pPr>
        <w:spacing w:after="0" w:line="194"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Certain Indebtedness—Credit Facilities."</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6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Affiliates of Dresdner Kleinwort Wasserstein Securities LLC and J.P. Morgan Securities Inc. may participate in the credit facilities and/or FF&amp;E facility and will receive certain fees for their services.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Godfrey, Las Vegas, Nevada. Certain matters of the law of the Macau Special Administrative Region of the People's Republic of China will be passed upon for Wynn Resorts by A. Correia da Silva, Macau Special Administrative Region of the People's Republic of China.</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ectPr>
          <w:pgSz w:w="11900" w:h="16838" w:orient="portrait"/>
          <w:cols w:equalWidth="0" w:num="1">
            <w:col w:w="11420"/>
          </w:cols>
          <w:pgMar w:left="240" w:top="131" w:right="239" w:bottom="0" w:gutter="0" w:footer="0" w:header="0"/>
        </w:sectPr>
      </w:pPr>
    </w:p>
    <w:bookmarkStart w:id="96" w:name="page97"/>
    <w:bookmarkEnd w:id="96"/>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 Through the present date, there have been no disagreements between Valvino and Andersen on any matter of accounting principles or practices, financial statement disclosure, or auditing scope or procedure, which disagreements,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1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Valvino Lamore, LLC and Subsidiaries</w:t>
            </w:r>
          </w:p>
        </w:tc>
        <w:tc>
          <w:tcPr>
            <w:tcW w:w="5480" w:type="dxa"/>
            <w:vAlign w:val="bottom"/>
            <w:shd w:val="clear" w:color="auto" w:fill="CCEEFF"/>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Development Stage Company)</w:t>
            </w:r>
          </w:p>
        </w:tc>
        <w:tc>
          <w:tcPr>
            <w:tcW w:w="5480" w:type="dxa"/>
            <w:vAlign w:val="bottom"/>
            <w:shd w:val="clear" w:color="auto" w:fill="CCEEFF"/>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300" w:type="dxa"/>
            <w:vAlign w:val="bottom"/>
            <w:gridSpan w:val="2"/>
          </w:tcPr>
          <w:p>
            <w:pPr>
              <w:spacing w:after="0"/>
              <w:rPr>
                <w:sz w:val="20"/>
                <w:szCs w:val="20"/>
                <w:color w:val="auto"/>
              </w:rPr>
            </w:pPr>
            <w:r>
              <w:rPr>
                <w:rFonts w:ascii="Arial" w:cs="Arial" w:eastAsia="Arial" w:hAnsi="Arial"/>
                <w:sz w:val="18"/>
                <w:szCs w:val="18"/>
                <w:color w:val="auto"/>
              </w:rPr>
              <w:t>Independent Auditors' Report</w:t>
            </w:r>
          </w:p>
        </w:tc>
        <w:tc>
          <w:tcPr>
            <w:tcW w:w="8120" w:type="dxa"/>
            <w:vAlign w:val="bottom"/>
            <w:gridSpan w:val="2"/>
          </w:tcPr>
          <w:p>
            <w:pPr>
              <w:ind w:left="524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8120" w:type="dxa"/>
            <w:vAlign w:val="bottom"/>
            <w:gridSpan w:val="2"/>
          </w:tcPr>
          <w:p>
            <w:pPr>
              <w:ind w:left="524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0"/>
              </w:rPr>
              <w:t>Consolidated Statements of Members' Equity</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8120" w:type="dxa"/>
            <w:vAlign w:val="bottom"/>
            <w:gridSpan w:val="2"/>
          </w:tcPr>
          <w:p>
            <w:pPr>
              <w:ind w:left="524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Notes to Consolidated Financial Statements</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120" w:type="dxa"/>
            <w:vAlign w:val="bottom"/>
            <w:gridSpan w:val="2"/>
          </w:tcPr>
          <w:p>
            <w:pPr>
              <w:ind w:left="2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ectPr>
          <w:pgSz w:w="11900" w:h="16838" w:orient="portrait"/>
          <w:cols w:equalWidth="0" w:num="1">
            <w:col w:w="11420"/>
          </w:cols>
          <w:pgMar w:left="240" w:top="341" w:right="239" w:bottom="0" w:gutter="0" w:footer="0" w:header="0"/>
        </w:sectPr>
      </w:pPr>
    </w:p>
    <w:bookmarkStart w:id="97" w:name="page98"/>
    <w:bookmarkEnd w:id="97"/>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Deficit accumulated from inception during the development stage</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(40,747)</w:t>
            </w:r>
          </w:p>
        </w:tc>
        <w:tc>
          <w:tcPr>
            <w:tcW w:w="2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(26,054)</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390,788</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388,467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-5991860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-5991860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-5991860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-5991860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-5991860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-5991860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-4353560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-4353560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-4353560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-4353560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-4353560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-4353560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-3359150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-3359150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-3359150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-3359150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-3359150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-3359150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-1901190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-1901190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-1901190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-1901190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-1901190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-1901190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-631825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-631825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-631825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-631825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-631825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-631825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-340360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-340360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-340360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-340360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-340360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-340360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131" w:right="279" w:bottom="0" w:gutter="0" w:footer="0" w:header="0"/>
        </w:sectPr>
      </w:pPr>
    </w:p>
    <w:bookmarkStart w:id="98" w:name="page99"/>
    <w:bookmarkEnd w:id="9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VALVINO LAMORE, LLC AND SUBSIDIARIES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8"/>
          </w:tcPr>
          <w:p>
            <w:pPr>
              <w:jc w:val="center"/>
              <w:ind w:left="250"/>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30"/>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50"/>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 2001</w:t>
            </w:r>
          </w:p>
        </w:tc>
        <w:tc>
          <w:tcPr>
            <w:tcW w:w="10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Airplane lease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21"/>
                <w:szCs w:val="2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24,695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3,681</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w w:val="96"/>
              </w:rPr>
              <w:t>Loss on affiliate acquisitions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2,092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Loss on sale of fixed assets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10,572</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46,638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(15,627)</w:t>
            </w: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(9,471)</w:t>
            </w:r>
          </w:p>
        </w:tc>
        <w:tc>
          <w:tcPr>
            <w:tcW w:w="1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(19,233)</w:t>
            </w:r>
          </w:p>
        </w:tc>
        <w:tc>
          <w:tcPr>
            <w:tcW w:w="10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(10,572)</w:t>
            </w:r>
          </w:p>
        </w:tc>
        <w:tc>
          <w:tcPr>
            <w:tcW w:w="10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100" w:type="dxa"/>
            <w:vAlign w:val="bottom"/>
          </w:tcPr>
          <w:p>
            <w:pPr>
              <w:spacing w:after="0"/>
              <w:rPr>
                <w:sz w:val="13"/>
                <w:szCs w:val="13"/>
                <w:color w:val="auto"/>
              </w:rPr>
            </w:pPr>
          </w:p>
        </w:tc>
        <w:tc>
          <w:tcPr>
            <w:tcW w:w="13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3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1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w w:val="95"/>
              </w:rPr>
              <w:t>Net loss accumulated during</w:t>
            </w: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the development stage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(7,935)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(16,899)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(9,155)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(70.37)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(39.04)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(82.24)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(45.78)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-5114290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-5114290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-5114290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-5114290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-5114290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-5114290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-5114290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-5114290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-5114290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-5114290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-3999865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-3999865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-3999865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-3999865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-3999865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-3999865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-3999865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-3999865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-3999865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-3999865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-2164715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-2164715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-2164715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-2164715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-2164715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-2164715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-2164715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-2164715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-2164715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-2164715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-1915795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-1915795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-1915795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-1915795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-1915795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-1915795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-1915795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-1915795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-1915795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-1915795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-1169670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-1169670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-1169670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-1169670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-1169670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-1169670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-1169670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-1169670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-1169670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-1169670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-826770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-826770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-826770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-826770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-826770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-826770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-826770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-826770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-826770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-826770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Kenneth R.</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6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Stephen A. Wynn</w:t>
            </w:r>
          </w:p>
        </w:tc>
        <w:tc>
          <w:tcPr>
            <w:tcW w:w="14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Aruze USA,</w:t>
            </w: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Baron Asset</w:t>
            </w: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Capital</w:t>
            </w:r>
          </w:p>
        </w:tc>
        <w:tc>
          <w:tcPr>
            <w:tcW w:w="146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 Capital</w:t>
            </w: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Fund</w:t>
            </w: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Trust</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4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4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4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3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4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46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4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8"/>
        </w:trPr>
        <w:tc>
          <w:tcPr>
            <w:tcW w:w="2920" w:type="dxa"/>
            <w:vAlign w:val="bottom"/>
            <w:gridSpan w:val="2"/>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2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135,291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-1572895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-1572895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-1572895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-1572895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-1572895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-1572895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-1572895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-1572895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-1572895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-1572895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-1572895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-1572895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-544195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-544195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-544195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-544195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-544195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-544195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-544195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-544195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-544195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-544195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-544195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-544195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0840"/>
          </w:cols>
          <w:pgMar w:left="240" w:top="584" w:right="819" w:bottom="0" w:gutter="0" w:footer="0" w:header="0"/>
        </w:sectPr>
      </w:pPr>
    </w:p>
    <w:bookmarkStart w:id="99" w:name="page100"/>
    <w:bookmarkEnd w:id="9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18"/>
        </w:trPr>
        <w:tc>
          <w:tcPr>
            <w:tcW w:w="2920" w:type="dxa"/>
            <w:vAlign w:val="bottom"/>
            <w:gridSpan w:val="2"/>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2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260" w:type="dxa"/>
            <w:vAlign w:val="bottom"/>
          </w:tcPr>
          <w:p>
            <w:pPr>
              <w:jc w:val="right"/>
              <w:spacing w:after="0"/>
              <w:rPr>
                <w:sz w:val="20"/>
                <w:szCs w:val="20"/>
                <w:color w:val="auto"/>
              </w:rPr>
            </w:pPr>
            <w:r>
              <w:rPr>
                <w:rFonts w:ascii="Arial" w:cs="Arial" w:eastAsia="Arial" w:hAnsi="Arial"/>
                <w:sz w:val="18"/>
                <w:szCs w:val="18"/>
                <w:color w:val="auto"/>
              </w:rPr>
              <w:t>207,692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127,078</w:t>
            </w:r>
          </w:p>
        </w:tc>
        <w:tc>
          <w:tcPr>
            <w:tcW w:w="120" w:type="dxa"/>
            <w:vAlign w:val="bottom"/>
          </w:tcPr>
          <w:p>
            <w:pPr>
              <w:spacing w:after="0"/>
              <w:rPr>
                <w:sz w:val="24"/>
                <w:szCs w:val="24"/>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239,913</w:t>
            </w:r>
          </w:p>
        </w:tc>
        <w:tc>
          <w:tcPr>
            <w:tcW w:w="1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development stage (unaudited)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-1214755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-1214755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-1214755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-1214755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-1214755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-1214755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-1214755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-1214755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-1214755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-1214755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-1214755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-323215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-323215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-323215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Inception to</w:t>
            </w: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December 31, 2000</w:t>
            </w:r>
          </w:p>
        </w:tc>
        <w:tc>
          <w:tcPr>
            <w:tcW w:w="8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6"/>
              </w:rPr>
              <w:t>Net loss accumulated during the development</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(7,935)</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(16,899)</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(9,155)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Adjustments to reconcile net loss accumulated</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7"/>
              </w:rPr>
              <w:t>Increase (decrease) in cash from changes in:</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Accounts payable and accrued expenses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(9,064)</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Cash Provided by / (Used in) Operating</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579</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(4,187)</w:t>
            </w:r>
          </w:p>
        </w:tc>
        <w:tc>
          <w:tcPr>
            <w:tcW w:w="16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(4,807)</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(270,718)</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200"/>
              <w:spacing w:after="0" w:line="138" w:lineRule="exact"/>
              <w:rPr>
                <w:sz w:val="20"/>
                <w:szCs w:val="20"/>
                <w:color w:val="auto"/>
              </w:rPr>
            </w:pPr>
            <w:r>
              <w:rPr>
                <w:rFonts w:ascii="Arial" w:cs="Arial" w:eastAsia="Arial" w:hAnsi="Arial"/>
                <w:sz w:val="14"/>
                <w:szCs w:val="14"/>
                <w:color w:val="auto"/>
              </w:rPr>
              <w:t>Capital expenditures, net of construction</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(19,306)</w:t>
            </w: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(14,961)</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(29,080)</w:t>
            </w:r>
          </w:p>
        </w:tc>
        <w:tc>
          <w:tcPr>
            <w:tcW w:w="160" w:type="dxa"/>
            <w:vAlign w:val="bottom"/>
          </w:tcPr>
          <w:p>
            <w:pPr>
              <w:spacing w:after="0"/>
              <w:rPr>
                <w:sz w:val="13"/>
                <w:szCs w:val="13"/>
                <w:color w:val="auto"/>
              </w:rPr>
            </w:pPr>
          </w:p>
        </w:tc>
        <w:tc>
          <w:tcPr>
            <w:tcW w:w="12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(47,068)</w:t>
            </w:r>
          </w:p>
        </w:tc>
        <w:tc>
          <w:tcPr>
            <w:tcW w:w="8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(4,714)</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(968)</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(1,720)</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(1,299)</w:t>
            </w:r>
          </w:p>
        </w:tc>
        <w:tc>
          <w:tcPr>
            <w:tcW w:w="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(1,465)</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9,559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(23,438)</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(25,573)</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(40,979)</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(319,472)</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-4797425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-4797425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-4797425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-4797425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-4797425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-4797425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-4797425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-4797425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-4797425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-4797425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16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680" w:type="dxa"/>
            <w:vAlign w:val="bottom"/>
          </w:tcPr>
          <w:p>
            <w:pPr>
              <w:jc w:val="right"/>
              <w:ind w:right="552"/>
              <w:spacing w:after="0"/>
              <w:rPr>
                <w:sz w:val="20"/>
                <w:szCs w:val="20"/>
                <w:color w:val="auto"/>
              </w:rPr>
            </w:pPr>
            <w:r>
              <w:rPr>
                <w:rFonts w:ascii="Arial" w:cs="Arial" w:eastAsia="Arial" w:hAnsi="Arial"/>
                <w:sz w:val="14"/>
                <w:szCs w:val="14"/>
                <w:color w:val="auto"/>
              </w:rPr>
              <w:t>173,494</w:t>
            </w:r>
          </w:p>
        </w:tc>
        <w:tc>
          <w:tcPr>
            <w:tcW w:w="1480" w:type="dxa"/>
            <w:vAlign w:val="bottom"/>
          </w:tcPr>
          <w:p>
            <w:pPr>
              <w:jc w:val="right"/>
              <w:ind w:right="452"/>
              <w:spacing w:after="0"/>
              <w:rPr>
                <w:sz w:val="20"/>
                <w:szCs w:val="20"/>
                <w:color w:val="auto"/>
              </w:rPr>
            </w:pPr>
            <w:r>
              <w:rPr>
                <w:rFonts w:ascii="Arial" w:cs="Arial" w:eastAsia="Arial" w:hAnsi="Arial"/>
                <w:sz w:val="14"/>
                <w:szCs w:val="14"/>
                <w:color w:val="auto"/>
              </w:rPr>
              <w:t>20,800</w:t>
            </w:r>
          </w:p>
        </w:tc>
        <w:tc>
          <w:tcPr>
            <w:tcW w:w="1340" w:type="dxa"/>
            <w:vAlign w:val="bottom"/>
          </w:tcPr>
          <w:p>
            <w:pPr>
              <w:jc w:val="right"/>
              <w:ind w:right="412"/>
              <w:spacing w:after="0"/>
              <w:rPr>
                <w:sz w:val="20"/>
                <w:szCs w:val="20"/>
                <w:color w:val="auto"/>
              </w:rPr>
            </w:pPr>
            <w:r>
              <w:rPr>
                <w:rFonts w:ascii="Arial" w:cs="Arial" w:eastAsia="Arial" w:hAnsi="Arial"/>
                <w:sz w:val="14"/>
                <w:szCs w:val="14"/>
                <w:color w:val="auto"/>
              </w:rPr>
              <w:t>20,800</w:t>
            </w:r>
          </w:p>
        </w:tc>
        <w:tc>
          <w:tcPr>
            <w:tcW w:w="1520" w:type="dxa"/>
            <w:vAlign w:val="bottom"/>
          </w:tcPr>
          <w:p>
            <w:pPr>
              <w:jc w:val="right"/>
              <w:ind w:right="532"/>
              <w:spacing w:after="0"/>
              <w:rPr>
                <w:sz w:val="20"/>
                <w:szCs w:val="20"/>
                <w:color w:val="auto"/>
              </w:rPr>
            </w:pPr>
            <w:r>
              <w:rPr>
                <w:rFonts w:ascii="Arial" w:cs="Arial" w:eastAsia="Arial" w:hAnsi="Arial"/>
                <w:sz w:val="14"/>
                <w:szCs w:val="14"/>
                <w:color w:val="auto"/>
              </w:rPr>
              <w:t>480,713</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675,007</w:t>
            </w:r>
          </w:p>
        </w:tc>
      </w:tr>
      <w:tr>
        <w:trPr>
          <w:trHeight w:val="243"/>
        </w:trPr>
        <w:tc>
          <w:tcPr>
            <w:tcW w:w="3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168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(110,482)</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(110,482)</w:t>
            </w:r>
          </w:p>
        </w:tc>
      </w:tr>
      <w:tr>
        <w:trPr>
          <w:trHeight w:val="243"/>
        </w:trPr>
        <w:tc>
          <w:tcPr>
            <w:tcW w:w="310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168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12"/>
              <w:spacing w:after="0"/>
              <w:rPr>
                <w:sz w:val="20"/>
                <w:szCs w:val="20"/>
                <w:color w:val="auto"/>
              </w:rPr>
            </w:pPr>
            <w:r>
              <w:rPr>
                <w:rFonts w:ascii="Arial" w:cs="Arial" w:eastAsia="Arial" w:hAnsi="Arial"/>
                <w:sz w:val="14"/>
                <w:szCs w:val="14"/>
                <w:color w:val="auto"/>
              </w:rPr>
              <w:t>(800)</w:t>
            </w:r>
          </w:p>
        </w:tc>
        <w:tc>
          <w:tcPr>
            <w:tcW w:w="1340" w:type="dxa"/>
            <w:vAlign w:val="bottom"/>
          </w:tcPr>
          <w:p>
            <w:pPr>
              <w:jc w:val="right"/>
              <w:ind w:right="352"/>
              <w:spacing w:after="0"/>
              <w:rPr>
                <w:sz w:val="20"/>
                <w:szCs w:val="20"/>
                <w:color w:val="auto"/>
              </w:rPr>
            </w:pPr>
            <w:r>
              <w:rPr>
                <w:rFonts w:ascii="Arial" w:cs="Arial" w:eastAsia="Arial" w:hAnsi="Arial"/>
                <w:sz w:val="14"/>
                <w:szCs w:val="14"/>
                <w:color w:val="auto"/>
              </w:rPr>
              <w:t>(800)</w:t>
            </w:r>
          </w:p>
        </w:tc>
        <w:tc>
          <w:tcPr>
            <w:tcW w:w="1520" w:type="dxa"/>
            <w:vAlign w:val="bottom"/>
          </w:tcPr>
          <w:p>
            <w:pPr>
              <w:jc w:val="right"/>
              <w:ind w:right="472"/>
              <w:spacing w:after="0"/>
              <w:rPr>
                <w:sz w:val="20"/>
                <w:szCs w:val="20"/>
                <w:color w:val="auto"/>
              </w:rPr>
            </w:pPr>
            <w:r>
              <w:rPr>
                <w:rFonts w:ascii="Arial" w:cs="Arial" w:eastAsia="Arial" w:hAnsi="Arial"/>
                <w:sz w:val="14"/>
                <w:szCs w:val="14"/>
                <w:color w:val="auto"/>
              </w:rPr>
              <w:t>(10,000)</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(10,800)</w:t>
            </w:r>
          </w:p>
        </w:tc>
      </w:tr>
      <w:tr>
        <w:trPr>
          <w:trHeight w:val="243"/>
        </w:trPr>
        <w:tc>
          <w:tcPr>
            <w:tcW w:w="3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68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3,056</w:t>
            </w:r>
          </w:p>
        </w:tc>
        <w:tc>
          <w:tcPr>
            <w:tcW w:w="148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3,056</w:t>
            </w:r>
          </w:p>
        </w:tc>
      </w:tr>
      <w:tr>
        <w:trPr>
          <w:trHeight w:val="243"/>
        </w:trPr>
        <w:tc>
          <w:tcPr>
            <w:tcW w:w="310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168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32"/>
              <w:spacing w:after="0"/>
              <w:rPr>
                <w:sz w:val="20"/>
                <w:szCs w:val="20"/>
                <w:color w:val="auto"/>
              </w:rPr>
            </w:pPr>
            <w:r>
              <w:rPr>
                <w:rFonts w:ascii="Arial" w:cs="Arial" w:eastAsia="Arial" w:hAnsi="Arial"/>
                <w:sz w:val="14"/>
                <w:szCs w:val="14"/>
                <w:color w:val="auto"/>
              </w:rPr>
              <w:t>125,000</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125,000</w:t>
            </w:r>
          </w:p>
        </w:tc>
      </w:tr>
      <w:tr>
        <w:trPr>
          <w:trHeight w:val="243"/>
        </w:trPr>
        <w:tc>
          <w:tcPr>
            <w:tcW w:w="3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16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(16)</w:t>
            </w:r>
          </w:p>
        </w:tc>
        <w:tc>
          <w:tcPr>
            <w:tcW w:w="148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(15)</w:t>
            </w:r>
          </w:p>
        </w:tc>
        <w:tc>
          <w:tcPr>
            <w:tcW w:w="134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(32)</w:t>
            </w:r>
          </w:p>
        </w:tc>
        <w:tc>
          <w:tcPr>
            <w:tcW w:w="152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(125,018)</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(125,066)</w:t>
            </w:r>
          </w:p>
        </w:tc>
      </w:tr>
    </w:tbl>
    <w:p>
      <w:pPr>
        <w:sectPr>
          <w:pgSz w:w="11900" w:h="16843" w:orient="portrait"/>
          <w:cols w:equalWidth="0" w:num="1">
            <w:col w:w="10840"/>
          </w:cols>
          <w:pgMar w:left="240" w:top="131" w:right="81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 (used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148,589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(5,009)</w:t>
            </w: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(25,198)</w:t>
            </w:r>
          </w:p>
        </w:tc>
        <w:tc>
          <w:tcPr>
            <w:tcW w:w="4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64,469</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59,460</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39,271</w:t>
            </w:r>
          </w:p>
        </w:tc>
        <w:tc>
          <w:tcPr>
            <w:tcW w:w="22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3"/>
                <w:szCs w:val="23"/>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2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 connection with the May 2002 acquisition of Las Vegas Jet (Note 10. c.), the Company forgave approximately $2 million of related party accounts receivable due from Las Vegas Jet.</w:t>
      </w:r>
    </w:p>
    <w:p>
      <w:pPr>
        <w:spacing w:after="0" w:line="227" w:lineRule="exact"/>
        <w:rPr>
          <w:sz w:val="20"/>
          <w:szCs w:val="20"/>
          <w:color w:val="auto"/>
        </w:rPr>
      </w:pPr>
    </w:p>
    <w:p>
      <w:pPr>
        <w:ind w:left="10740"/>
        <w:spacing w:after="0"/>
        <w:rPr>
          <w:sz w:val="20"/>
          <w:szCs w:val="20"/>
          <w:color w:val="auto"/>
        </w:rPr>
      </w:pPr>
      <w:r>
        <w:rPr>
          <w:rFonts w:ascii="Arial" w:cs="Arial" w:eastAsia="Arial" w:hAnsi="Arial"/>
          <w:sz w:val="12"/>
          <w:szCs w:val="12"/>
          <w:color w:val="auto"/>
        </w:rPr>
        <w:t>(Concluded)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4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200" w:firstLine="351"/>
        <w:spacing w:after="0" w:line="335" w:lineRule="auto"/>
        <w:rPr>
          <w:sz w:val="20"/>
          <w:szCs w:val="20"/>
          <w:color w:val="auto"/>
        </w:rPr>
      </w:pPr>
      <w:r>
        <w:rPr>
          <w:rFonts w:ascii="Arial" w:cs="Arial" w:eastAsia="Arial" w:hAnsi="Arial"/>
          <w:sz w:val="15"/>
          <w:szCs w:val="15"/>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42" w:lineRule="exact"/>
        <w:rPr>
          <w:sz w:val="20"/>
          <w:szCs w:val="20"/>
          <w:color w:val="auto"/>
        </w:rPr>
      </w:pPr>
    </w:p>
    <w:p>
      <w:pPr>
        <w:ind w:left="540" w:right="140" w:firstLine="341"/>
        <w:spacing w:after="0" w:line="268"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w:t>
      </w:r>
    </w:p>
    <w:p>
      <w:pPr>
        <w:sectPr>
          <w:pgSz w:w="11900" w:h="16838" w:orient="portrait"/>
          <w:cols w:equalWidth="0" w:num="1">
            <w:col w:w="11420"/>
          </w:cols>
          <w:pgMar w:left="240" w:top="129" w:right="239" w:bottom="0" w:gutter="0" w:footer="0" w:header="0"/>
        </w:sectPr>
      </w:pPr>
    </w:p>
    <w:bookmarkStart w:id="101" w:name="page102"/>
    <w:bookmarkEnd w:id="101"/>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208"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88"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75"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for financial reporting purposes as follows:</w:t>
      </w:r>
    </w:p>
    <w:p>
      <w:pPr>
        <w:spacing w:after="0" w:line="169"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1 to 3 years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Parking garage</w:t>
            </w:r>
          </w:p>
        </w:tc>
        <w:tc>
          <w:tcPr>
            <w:tcW w:w="4620" w:type="dxa"/>
            <w:vAlign w:val="bottom"/>
          </w:tcPr>
          <w:p>
            <w:pPr>
              <w:ind w:left="3080"/>
              <w:spacing w:after="0"/>
              <w:rPr>
                <w:sz w:val="20"/>
                <w:szCs w:val="20"/>
                <w:color w:val="auto"/>
              </w:rPr>
            </w:pPr>
            <w:r>
              <w:rPr>
                <w:rFonts w:ascii="Arial" w:cs="Arial" w:eastAsia="Arial" w:hAnsi="Arial"/>
                <w:sz w:val="18"/>
                <w:szCs w:val="18"/>
                <w:color w:val="auto"/>
              </w:rPr>
              <w:t>15 years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7 years</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620" w:type="dxa"/>
            <w:vAlign w:val="bottom"/>
          </w:tcPr>
          <w:p>
            <w:pPr>
              <w:ind w:left="3080"/>
              <w:spacing w:after="0"/>
              <w:rPr>
                <w:sz w:val="20"/>
                <w:szCs w:val="20"/>
                <w:color w:val="auto"/>
              </w:rPr>
            </w:pPr>
            <w:r>
              <w:rPr>
                <w:rFonts w:ascii="Arial" w:cs="Arial" w:eastAsia="Arial" w:hAnsi="Arial"/>
                <w:sz w:val="18"/>
                <w:szCs w:val="18"/>
                <w:color w:val="auto"/>
              </w:rPr>
              <w:t>3 to 5 years</w:t>
            </w:r>
          </w:p>
        </w:tc>
      </w:tr>
      <w:tr>
        <w:trPr>
          <w:trHeight w:val="424"/>
        </w:trPr>
        <w:tc>
          <w:tcPr>
            <w:tcW w:w="3020" w:type="dxa"/>
            <w:vAlign w:val="bottom"/>
          </w:tcPr>
          <w:p>
            <w:pPr>
              <w:spacing w:after="0"/>
              <w:rPr>
                <w:sz w:val="24"/>
                <w:szCs w:val="24"/>
                <w:color w:val="auto"/>
              </w:rPr>
            </w:pPr>
          </w:p>
        </w:tc>
        <w:tc>
          <w:tcPr>
            <w:tcW w:w="4620" w:type="dxa"/>
            <w:vAlign w:val="bottom"/>
          </w:tcPr>
          <w:p>
            <w:pPr>
              <w:ind w:left="680"/>
              <w:spacing w:after="0"/>
              <w:rPr>
                <w:sz w:val="20"/>
                <w:szCs w:val="20"/>
                <w:color w:val="auto"/>
              </w:rPr>
            </w:pPr>
            <w:r>
              <w:rPr>
                <w:rFonts w:ascii="Arial" w:cs="Arial" w:eastAsia="Arial" w:hAnsi="Arial"/>
                <w:sz w:val="18"/>
                <w:szCs w:val="18"/>
                <w:color w:val="auto"/>
              </w:rPr>
              <w:t>F-9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136525</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Members' Equity</w:t>
      </w:r>
    </w:p>
    <w:p>
      <w:pPr>
        <w:sectPr>
          <w:pgSz w:w="11900" w:h="16838" w:orient="portrait"/>
          <w:cols w:equalWidth="0" w:num="1">
            <w:col w:w="10880"/>
          </w:cols>
          <w:pgMar w:left="780" w:top="131" w:right="239" w:bottom="0" w:gutter="0" w:footer="0" w:header="0"/>
        </w:sectPr>
      </w:pPr>
    </w:p>
    <w:bookmarkStart w:id="102" w:name="page103"/>
    <w:bookmarkEnd w:id="102"/>
    <w:p>
      <w:pPr>
        <w:ind w:firstLine="341"/>
        <w:spacing w:after="0" w:line="287" w:lineRule="auto"/>
        <w:rPr>
          <w:sz w:val="20"/>
          <w:szCs w:val="20"/>
          <w:color w:val="auto"/>
        </w:rPr>
      </w:pPr>
      <w:r>
        <w:rPr>
          <w:rFonts w:ascii="Arial" w:cs="Arial" w:eastAsia="Arial" w:hAnsi="Arial"/>
          <w:sz w:val="16"/>
          <w:szCs w:val="16"/>
          <w:color w:val="auto"/>
        </w:rPr>
        <w:t>As of December 31, 2001, there were 207,692.31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Wynn Resorts, Limited, a Nevada corporation, was recently organized to offer shares of its common stock for sale to the public in an initial public offering (IPO). At June 30, 2002, Wynn Resorts, Limited has one share of common stock outstanding, which is held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by Mr. Wynn. All of the assets and operations of Wynn Resort, Limited are presently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contribution will be a tax-free contribution under the Internal Revenue Code and will be accounted for as a reorganization of entities under common control. Accordingly,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212"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24"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w:t>
      </w:r>
    </w:p>
    <w:p>
      <w:pPr>
        <w:sectPr>
          <w:pgSz w:w="11900" w:h="16838" w:orient="portrait"/>
          <w:cols w:equalWidth="0" w:num="1">
            <w:col w:w="10880"/>
          </w:cols>
          <w:pgMar w:left="780" w:top="131" w:right="239" w:bottom="0" w:gutter="0" w:footer="0" w:header="0"/>
        </w:sectPr>
      </w:pPr>
    </w:p>
    <w:bookmarkStart w:id="103" w:name="page104"/>
    <w:bookmarkEnd w:id="103"/>
    <w:p>
      <w:pPr>
        <w:ind w:left="540" w:right="80"/>
        <w:spacing w:after="0" w:line="259" w:lineRule="auto"/>
        <w:rPr>
          <w:sz w:val="20"/>
          <w:szCs w:val="20"/>
          <w:color w:val="auto"/>
        </w:rPr>
      </w:pPr>
      <w:r>
        <w:rPr>
          <w:rFonts w:ascii="Arial" w:cs="Arial" w:eastAsia="Arial" w:hAnsi="Arial"/>
          <w:sz w:val="18"/>
          <w:szCs w:val="18"/>
          <w:color w:val="auto"/>
        </w:rPr>
        <w:t>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94"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40" w:right="20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statement will have an impact on its consolidated financial position or results of operations.</w:t>
      </w:r>
    </w:p>
    <w:p>
      <w:pPr>
        <w:spacing w:after="0" w:line="225" w:lineRule="exact"/>
        <w:rPr>
          <w:sz w:val="20"/>
          <w:szCs w:val="20"/>
          <w:color w:val="auto"/>
        </w:rPr>
      </w:pPr>
    </w:p>
    <w:p>
      <w:pPr>
        <w:ind w:left="540" w:firstLine="351"/>
        <w:spacing w:after="0" w:line="253"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15"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 prices for comparable assets and estimates made by management. The allocation of the purchase price was completed within one year from the acquisition date and is as follows: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 plan the development of a new casino/hotel project named "Le Rêve" on the existing site. In accordance with SFAS No. 67, "Accounting for Costs and Initial Rental Operations of Real Estate Projects," both the casino/hotel operation and the golf course and related operations are being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$3,611,000 and $1,198,000 for the year ended December 31, 2001 and the period April 21, 2000 through December 31, 2000,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Incidental operations resulting in a net loss are reported in the Statement of Operations.</w:t>
      </w:r>
    </w:p>
    <w:p>
      <w:pPr>
        <w:spacing w:after="0" w:line="232"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receivables as of December 31 were as follows:</w:t>
      </w:r>
    </w:p>
    <w:p>
      <w:pPr>
        <w:sectPr>
          <w:pgSz w:w="11900" w:h="16838" w:orient="portrait"/>
          <w:cols w:equalWidth="0" w:num="1">
            <w:col w:w="11420"/>
          </w:cols>
          <w:pgMar w:left="240" w:top="131" w:right="239" w:bottom="0" w:gutter="0" w:footer="0" w:header="0"/>
        </w:sectPr>
      </w:pPr>
    </w:p>
    <w:bookmarkStart w:id="104" w:name="page105"/>
    <w:bookmarkEnd w:id="104"/>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1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loan was repaid on October 10, 2000. The remaining $30 million principal and $2.3 million accrued interest was converted to equity as a member contribution.</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ectPr>
          <w:pgSz w:w="11900" w:h="16838" w:orient="portrait"/>
          <w:cols w:equalWidth="0" w:num="1">
            <w:col w:w="11400"/>
          </w:cols>
          <w:pgMar w:left="240" w:top="127" w:right="259" w:bottom="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color w:val="auto"/>
        </w:rPr>
        <w:t>At December 31 amounts due from related parties were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05"/>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32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3"/>
                <w:szCs w:val="23"/>
                <w:color w:val="auto"/>
              </w:rPr>
            </w:pPr>
          </w:p>
        </w:tc>
      </w:tr>
      <w:tr>
        <w:trPr>
          <w:trHeight w:val="105"/>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3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Las Vegas CharterJet, LLC</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Kevyn, LLC</w:t>
            </w:r>
          </w:p>
        </w:tc>
        <w:tc>
          <w:tcPr>
            <w:tcW w:w="3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Other Related Parties</w:t>
            </w: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112"/>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32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r>
      <w:tr>
        <w:trPr>
          <w:trHeight w:val="105"/>
        </w:trPr>
        <w:tc>
          <w:tcPr>
            <w:tcW w:w="32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3220" w:type="dxa"/>
            <w:vAlign w:val="bottom"/>
          </w:tcPr>
          <w:p>
            <w:pPr>
              <w:spacing w:after="0"/>
              <w:rPr>
                <w:sz w:val="5"/>
                <w:szCs w:val="5"/>
                <w:color w:val="auto"/>
              </w:rPr>
            </w:pPr>
          </w:p>
        </w:tc>
        <w:tc>
          <w:tcPr>
            <w:tcW w:w="33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535"/>
        </w:trPr>
        <w:tc>
          <w:tcPr>
            <w:tcW w:w="3220" w:type="dxa"/>
            <w:vAlign w:val="bottom"/>
          </w:tcPr>
          <w:p>
            <w:pPr>
              <w:spacing w:after="0"/>
              <w:rPr>
                <w:sz w:val="24"/>
                <w:szCs w:val="24"/>
                <w:color w:val="auto"/>
              </w:rPr>
            </w:pPr>
          </w:p>
        </w:tc>
        <w:tc>
          <w:tcPr>
            <w:tcW w:w="3580" w:type="dxa"/>
            <w:vAlign w:val="bottom"/>
            <w:gridSpan w:val="2"/>
          </w:tcPr>
          <w:p>
            <w:pPr>
              <w:jc w:val="right"/>
              <w:ind w:right="2360"/>
              <w:spacing w:after="0"/>
              <w:rPr>
                <w:sz w:val="20"/>
                <w:szCs w:val="20"/>
                <w:color w:val="auto"/>
              </w:rPr>
            </w:pPr>
            <w:r>
              <w:rPr>
                <w:rFonts w:ascii="Arial" w:cs="Arial" w:eastAsia="Arial" w:hAnsi="Arial"/>
                <w:sz w:val="18"/>
                <w:szCs w:val="18"/>
                <w:color w:val="auto"/>
              </w:rPr>
              <w:t>F-15</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-1614805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-1614805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-1365885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-1365885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-1365885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-1365885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-662940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-662940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-662940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183"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ectPr>
          <w:pgSz w:w="11900" w:h="16838" w:orient="portrait"/>
          <w:cols w:equalWidth="0" w:num="1">
            <w:col w:w="11400"/>
          </w:cols>
          <w:pgMar w:left="240" w:top="131" w:right="259" w:bottom="0" w:gutter="0" w:footer="0" w:header="0"/>
        </w:sectPr>
      </w:pPr>
    </w:p>
    <w:bookmarkStart w:id="106" w:name="page107"/>
    <w:bookmarkEnd w:id="106"/>
    <w:p>
      <w:pPr>
        <w:spacing w:after="0" w:line="141"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48"/>
        <w:spacing w:after="0" w:line="294" w:lineRule="auto"/>
        <w:rPr>
          <w:sz w:val="20"/>
          <w:szCs w:val="20"/>
          <w:color w:val="auto"/>
        </w:rPr>
      </w:pPr>
      <w:r>
        <w:rPr>
          <w:rFonts w:ascii="Arial" w:cs="Arial" w:eastAsia="Arial" w:hAnsi="Arial"/>
          <w:sz w:val="16"/>
          <w:szCs w:val="16"/>
          <w:color w:val="auto"/>
        </w:rPr>
        <w:t>Through the completion of various legal agreements and transactions, in April 2002, the Company and Wynn Resorts (Macau), S.A achieved the contribution of Mr. Wynn's 90% ownership interest in Wynn Resorts (Macau), S.A. to the Company. In addition, Mr. Wynn made additional contributions to the Company including an approximate $8.6 million in cash and the right to be reimbursed for approximately $825,000 of expenses advanced by him. These transactions were accounted for as approximately $32 million, in aggregate, of contributions to members' equity. No additional shares of Valvino Lamore, LLC were issued to Mr. Wynn in such contribution.</w:t>
      </w:r>
    </w:p>
    <w:p>
      <w:pPr>
        <w:spacing w:after="0" w:line="170" w:lineRule="exact"/>
        <w:rPr>
          <w:sz w:val="20"/>
          <w:szCs w:val="20"/>
          <w:color w:val="auto"/>
        </w:rPr>
      </w:pPr>
    </w:p>
    <w:p>
      <w:pPr>
        <w:ind w:left="540" w:right="340" w:firstLine="351"/>
        <w:spacing w:after="0" w:line="268" w:lineRule="auto"/>
        <w:rPr>
          <w:sz w:val="20"/>
          <w:szCs w:val="20"/>
          <w:color w:val="auto"/>
        </w:rPr>
      </w:pPr>
      <w:r>
        <w:rPr>
          <w:rFonts w:ascii="Arial" w:cs="Arial" w:eastAsia="Arial" w:hAnsi="Arial"/>
          <w:sz w:val="18"/>
          <w:szCs w:val="18"/>
          <w:color w:val="auto"/>
        </w:rPr>
        <w:t>In connection with this transaction, advances by the Company to Wynn Resorts (Macau), S.A. of approximately $458,000 were treated as capital contributions.</w:t>
      </w:r>
    </w:p>
    <w:p>
      <w:pPr>
        <w:spacing w:after="0" w:line="186" w:lineRule="exact"/>
        <w:rPr>
          <w:sz w:val="20"/>
          <w:szCs w:val="20"/>
          <w:color w:val="auto"/>
        </w:rPr>
      </w:pPr>
    </w:p>
    <w:p>
      <w:pPr>
        <w:ind w:left="540" w:right="760" w:firstLine="351"/>
        <w:spacing w:after="0" w:line="268" w:lineRule="auto"/>
        <w:rPr>
          <w:sz w:val="20"/>
          <w:szCs w:val="20"/>
          <w:color w:val="auto"/>
        </w:rPr>
      </w:pPr>
      <w:r>
        <w:rPr>
          <w:rFonts w:ascii="Arial" w:cs="Arial" w:eastAsia="Arial" w:hAnsi="Arial"/>
          <w:sz w:val="18"/>
          <w:szCs w:val="18"/>
          <w:color w:val="auto"/>
        </w:rPr>
        <w:t>In addition, in April 2002, Aruze USA, Inc. contributed an additional $120 million in cash and Baron Asset Fund contributed an additional approximately $20.3 million in cash.</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Immediately following those additional capital contributions, Mr. Wynn and Aruze USA, Inc. each owned 47.5% of the membership interests in the Company, and Baron Asset Fund owned 5% of the membership interests in the Company.</w:t>
      </w:r>
    </w:p>
    <w:p>
      <w:pPr>
        <w:spacing w:after="0" w:line="186"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53"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 March 26, 2002, the Company sold the aircraft (See Note 7) for approximately $8 million resulting in a loss of approximately $69,000.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In May 2002, the Company acquired World Travel and Las Vegas Jet, entities previously wholly owned by Mr. Wynn.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and estimates made by management. In connection with the acquisition, approximately $2 million of accounts payable to the Company were forgiven. The allocation of the purchase price will be complete within one year from the date of acquisitions and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6"/>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Airplane and related assets</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-751840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213" w:lineRule="exact"/>
        <w:rPr>
          <w:sz w:val="20"/>
          <w:szCs w:val="20"/>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79"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100" w:firstLine="351"/>
        <w:spacing w:after="0" w:line="332"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 of the amounts outstanding to term</w:t>
      </w:r>
    </w:p>
    <w:p>
      <w:pPr>
        <w:sectPr>
          <w:pgSz w:w="11900" w:h="16979" w:orient="portrait"/>
          <w:cols w:equalWidth="0" w:num="1">
            <w:col w:w="11420"/>
          </w:cols>
          <w:pgMar w:left="240" w:top="145" w:right="239" w:bottom="0" w:gutter="0" w:footer="0" w:header="0"/>
          <w:type w:val="continuous"/>
        </w:sectPr>
      </w:pPr>
    </w:p>
    <w:bookmarkStart w:id="107" w:name="page108"/>
    <w:bookmarkEnd w:id="107"/>
    <w:p>
      <w:pPr>
        <w:ind w:left="540"/>
        <w:spacing w:after="0"/>
        <w:rPr>
          <w:sz w:val="20"/>
          <w:szCs w:val="20"/>
          <w:color w:val="auto"/>
        </w:rPr>
      </w:pPr>
      <w:r>
        <w:rPr>
          <w:rFonts w:ascii="Arial" w:cs="Arial" w:eastAsia="Arial" w:hAnsi="Arial"/>
          <w:sz w:val="18"/>
          <w:szCs w:val="18"/>
          <w:color w:val="auto"/>
        </w:rPr>
        <w:t>loans with the same terms and conditions as those made under the delay draw term loan facility.</w:t>
      </w:r>
    </w:p>
    <w:p>
      <w:pPr>
        <w:spacing w:after="0" w:line="225"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2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120" w:firstLine="348"/>
        <w:spacing w:after="0" w:line="254" w:lineRule="auto"/>
        <w:rPr>
          <w:sz w:val="20"/>
          <w:szCs w:val="20"/>
          <w:color w:val="auto"/>
        </w:rPr>
      </w:pPr>
      <w:r>
        <w:rPr>
          <w:rFonts w:ascii="Arial" w:cs="Arial" w:eastAsia="Arial" w:hAnsi="Arial"/>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8" w:lineRule="exact"/>
        <w:rPr>
          <w:sz w:val="20"/>
          <w:szCs w:val="20"/>
          <w:color w:val="auto"/>
        </w:rPr>
      </w:pPr>
    </w:p>
    <w:p>
      <w:pPr>
        <w:ind w:left="540" w:right="10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per annum unless an optional rate equal to LIBOR plus 2.50% is elected, subject to certain requirements. Interest is payable monthly commencing June 1,</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99" w:lineRule="exact"/>
        <w:rPr>
          <w:sz w:val="20"/>
          <w:szCs w:val="20"/>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Condensed Consolidating Financial Information of Guarantors and Issuers</w:t>
      </w:r>
    </w:p>
    <w:p>
      <w:pPr>
        <w:spacing w:after="0" w:line="225" w:lineRule="exact"/>
        <w:rPr>
          <w:sz w:val="20"/>
          <w:szCs w:val="20"/>
          <w:color w:val="auto"/>
        </w:rPr>
      </w:pPr>
    </w:p>
    <w:p>
      <w:pPr>
        <w:jc w:val="both"/>
        <w:ind w:right="660" w:firstLine="348"/>
        <w:spacing w:after="0" w:line="259" w:lineRule="auto"/>
        <w:rPr>
          <w:sz w:val="20"/>
          <w:szCs w:val="20"/>
          <w:color w:val="auto"/>
        </w:rPr>
      </w:pPr>
      <w:r>
        <w:rPr>
          <w:rFonts w:ascii="Arial" w:cs="Arial" w:eastAsia="Arial" w:hAnsi="Arial"/>
          <w:sz w:val="18"/>
          <w:szCs w:val="18"/>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The following combining financial statements present information related to the</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issuers, guarantors and non-guarantors as of June 30, 2002 and December 31, 2001 and 2000 and for the six months ended June 30, 2002 and 2001, the year ended December 31, 2001 and the periods from inception to December 31, 2000 and June 30,2002.</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Wynn Las Vegas,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580" w:type="dxa"/>
            <w:vAlign w:val="bottom"/>
          </w:tcPr>
          <w:p>
            <w:pPr>
              <w:jc w:val="right"/>
              <w:ind w:right="56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Vegas Capital Corp.</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580" w:type="dxa"/>
            <w:vAlign w:val="bottom"/>
          </w:tcPr>
          <w:p>
            <w:pPr>
              <w:jc w:val="right"/>
              <w:ind w:right="360"/>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Entries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-904240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-904240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-904240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-904240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-904240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-904240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-904240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-904240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-904240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-904240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-904240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-904240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100" w:type="dxa"/>
            <w:vAlign w:val="bottom"/>
            <w:tcBorders>
              <w:lef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380,236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Intercompany Balances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(166,852)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(3,361)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7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563,109</w:t>
            </w: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28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tcBorders>
              <w:lef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lef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Inception During the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558,511</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4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w:t>
            </w:r>
          </w:p>
        </w:tc>
        <w:tc>
          <w:tcPr>
            <w:tcW w:w="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563,109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3"/>
          </w:tcPr>
          <w:p>
            <w:pPr>
              <w:jc w:val="center"/>
              <w:ind w:right="63"/>
              <w:spacing w:after="0"/>
              <w:rPr>
                <w:sz w:val="20"/>
                <w:szCs w:val="20"/>
                <w:color w:val="auto"/>
              </w:rPr>
            </w:pPr>
            <w:r>
              <w:rPr>
                <w:rFonts w:ascii="Arial" w:cs="Arial" w:eastAsia="Arial" w:hAnsi="Arial"/>
                <w:sz w:val="18"/>
                <w:szCs w:val="18"/>
                <w:color w:val="auto"/>
                <w:w w:val="91"/>
              </w:rPr>
              <w:t>F-21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18"/>
          </w:tcPr>
          <w:p>
            <w:pPr>
              <w:jc w:val="center"/>
              <w:ind w:right="54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gridSpan w:val="15"/>
          </w:tcPr>
          <w:p>
            <w:pPr>
              <w:jc w:val="center"/>
              <w:ind w:right="12"/>
              <w:spacing w:after="0"/>
              <w:rPr>
                <w:sz w:val="20"/>
                <w:szCs w:val="20"/>
                <w:color w:val="auto"/>
              </w:rPr>
            </w:pPr>
            <w:r>
              <w:rPr>
                <w:rFonts w:ascii="Arial" w:cs="Arial" w:eastAsia="Arial" w:hAnsi="Arial"/>
                <w:sz w:val="18"/>
                <w:szCs w:val="18"/>
                <w:b w:val="1"/>
                <w:bCs w:val="1"/>
                <w:color w:val="auto"/>
                <w:w w:val="97"/>
              </w:rPr>
              <w:t>CONSOLIDATING BALANCE SHEETS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jc w:val="center"/>
              <w:ind w:right="14"/>
              <w:spacing w:after="0"/>
              <w:rPr>
                <w:sz w:val="20"/>
                <w:szCs w:val="20"/>
                <w:color w:val="auto"/>
              </w:rPr>
            </w:pPr>
            <w:r>
              <w:rPr>
                <w:rFonts w:ascii="Arial" w:cs="Arial" w:eastAsia="Arial" w:hAnsi="Arial"/>
                <w:sz w:val="18"/>
                <w:szCs w:val="18"/>
                <w:b w:val="1"/>
                <w:bCs w:val="1"/>
                <w:color w:val="auto"/>
                <w:w w:val="87"/>
              </w:rPr>
              <w:t>As of December 31, 2001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jc w:val="center"/>
              <w:ind w:right="14"/>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53"/>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Non-Guarantors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Borders>
              <w:left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88"/>
              </w:rPr>
              <w:t>Due from Related Parties, Current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100" w:type="dxa"/>
            <w:vAlign w:val="bottom"/>
            <w:tcBorders>
              <w:left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Intercompany Balances, Net of</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82,733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(66,270)</w:t>
            </w:r>
          </w:p>
        </w:tc>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(11,785)</w:t>
            </w: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395,520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(3,539)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(578)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100" w:type="dxa"/>
            <w:vAlign w:val="bottom"/>
            <w:tcBorders>
              <w:left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-9721850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-9721850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-9721850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-9721850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-9721850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-9721850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-9721850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-9721850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-9721850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-9721850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-9721850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-9721850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-8727440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-8727440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-8727440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-8727440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-8727440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-8727440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-8727440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-8727440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-8727440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-8727440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-8727440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-8727440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-7149465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-7149465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-7149465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-7149465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-7149465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-7149465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-7149465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-7149465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-7149465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-7149465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-7149465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-7149465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-5880100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-5880100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-5880100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-5880100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-5880100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-5880100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-5880100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-5880100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-5880100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-5880100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-5880100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-5880100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-5588635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-5588635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-5588635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-5588635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-5588635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-5588635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-5588635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-5588635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-5588635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-5588635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-5588635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-5588635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-4645025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-2998470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-2998470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-2998470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-2998470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-2998470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-2998470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-2998470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-2998470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-2998470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-2998470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-2998470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-2998470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-1609090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-1609090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-1609090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-1609090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-1609090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-1609090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-1609090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-1609090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-1609090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-1609090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-1609090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-1609090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-340360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-340360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-340360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-340360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-340360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-340360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-340360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-340360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-340360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-340360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-340360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sectPr>
      </w:pPr>
    </w:p>
    <w:bookmarkStart w:id="109" w:name="page110"/>
    <w:bookmarkEnd w:id="109"/>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Members'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3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20" w:type="dxa"/>
            <w:vAlign w:val="bottom"/>
          </w:tcPr>
          <w:p>
            <w:pPr>
              <w:jc w:val="right"/>
              <w:ind w:right="154"/>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00" w:type="dxa"/>
            <w:vAlign w:val="bottom"/>
          </w:tcPr>
          <w:p>
            <w:pPr>
              <w:jc w:val="center"/>
              <w:ind w:right="51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(19,016)</w:t>
            </w:r>
          </w:p>
        </w:tc>
        <w:tc>
          <w:tcPr>
            <w:tcW w:w="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(5,742)</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(614)</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393,556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(5,724)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(614)</w:t>
            </w:r>
          </w:p>
        </w:tc>
        <w:tc>
          <w:tcPr>
            <w:tcW w:w="70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386,518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8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395,520</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(578)</w:t>
            </w:r>
          </w:p>
        </w:tc>
        <w:tc>
          <w:tcPr>
            <w:tcW w:w="700" w:type="dxa"/>
            <w:vAlign w:val="bottom"/>
            <w:shd w:val="clear" w:color="auto" w:fill="CCEEFF"/>
          </w:tcPr>
          <w:p>
            <w:pPr>
              <w:jc w:val="center"/>
              <w:ind w:right="512"/>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1"/>
              </w:rPr>
              <w:t>F-22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gridSpan w:val="4"/>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16"/>
          </w:tcPr>
          <w:p>
            <w:pPr>
              <w:jc w:val="center"/>
              <w:ind w:right="34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16"/>
          </w:tcPr>
          <w:p>
            <w:pPr>
              <w:jc w:val="center"/>
              <w:ind w:right="340"/>
              <w:spacing w:after="0"/>
              <w:rPr>
                <w:sz w:val="20"/>
                <w:szCs w:val="20"/>
                <w:color w:val="auto"/>
              </w:rPr>
            </w:pPr>
            <w:r>
              <w:rPr>
                <w:rFonts w:ascii="Arial" w:cs="Arial" w:eastAsia="Arial" w:hAnsi="Arial"/>
                <w:sz w:val="18"/>
                <w:szCs w:val="18"/>
                <w:b w:val="1"/>
                <w:bCs w:val="1"/>
                <w:color w:val="auto"/>
                <w:w w:val="97"/>
              </w:rPr>
              <w:t>CONSOLIDATING BALANCE SHEETS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1"/>
          </w:tcPr>
          <w:p>
            <w:pPr>
              <w:jc w:val="center"/>
              <w:ind w:right="200"/>
              <w:spacing w:after="0"/>
              <w:rPr>
                <w:sz w:val="20"/>
                <w:szCs w:val="20"/>
                <w:color w:val="auto"/>
              </w:rPr>
            </w:pPr>
            <w:r>
              <w:rPr>
                <w:rFonts w:ascii="Arial" w:cs="Arial" w:eastAsia="Arial" w:hAnsi="Arial"/>
                <w:sz w:val="18"/>
                <w:szCs w:val="18"/>
                <w:b w:val="1"/>
                <w:bCs w:val="1"/>
                <w:color w:val="auto"/>
                <w:w w:val="93"/>
              </w:rPr>
              <w:t>AS OF DECEMBER 31, 2000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4"/>
                <w:szCs w:val="24"/>
                <w:color w:val="auto"/>
              </w:rPr>
            </w:pPr>
          </w:p>
        </w:tc>
        <w:tc>
          <w:tcPr>
            <w:tcW w:w="11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Eliminating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Lamore, LLC</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Guarantors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16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867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27,516</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(27,912)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Liabilities and Members' Equity:</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503</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Current Portion of Long-Term Debt</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5"/>
          </w:tcPr>
          <w:p>
            <w:pPr>
              <w:jc w:val="right"/>
              <w:ind w:right="140"/>
              <w:spacing w:after="0"/>
              <w:rPr>
                <w:sz w:val="20"/>
                <w:szCs w:val="20"/>
                <w:color w:val="auto"/>
              </w:rPr>
            </w:pPr>
            <w:r>
              <w:rPr>
                <w:rFonts w:ascii="Arial" w:cs="Arial" w:eastAsia="Arial" w:hAnsi="Arial"/>
                <w:sz w:val="18"/>
                <w:szCs w:val="18"/>
                <w:color w:val="auto"/>
              </w:rPr>
              <w:t>(8,562)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(536)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(9,155)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-9444355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-9444355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-9444355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-9444355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-9444355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-9444355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-9444355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-9444355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-9444355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-9444355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-9444355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-9444355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-8174990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-8174990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-8174990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-8174990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-8174990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-8174990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-8174990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-8174990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-8174990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-8174990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-8174990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-8174990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-7883525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-7883525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-7883525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-7883525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-7883525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-7883525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-7883525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-7883525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-7883525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-7883525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-7883525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-7883525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-6939915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-6939915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-5293360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-5293360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-5293360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-5293360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-5293360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-5293360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-5293360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-5293360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-5293360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-5293360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-3973195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-3973195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-3973195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-3973195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-3973195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-3973195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-3973195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-3973195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-3973195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-3973195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-2823845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-2823845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-2823845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-2823845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-2823845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-2823845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-2823845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-2823845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-2823845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-2823845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-1211580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-1211580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-1211580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-1211580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-1211580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-1211580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-1211580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-1211580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-1211580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-1211580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368" w:right="23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2"/>
        </w:trPr>
        <w:tc>
          <w:tcPr>
            <w:tcW w:w="30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040" w:type="dxa"/>
            <w:vAlign w:val="bottom"/>
            <w:vMerge w:val="restart"/>
          </w:tcPr>
          <w:p>
            <w:pPr>
              <w:ind w:left="660"/>
              <w:spacing w:after="0"/>
              <w:rPr>
                <w:sz w:val="20"/>
                <w:szCs w:val="20"/>
                <w:color w:val="auto"/>
              </w:rPr>
            </w:pPr>
            <w:r>
              <w:rPr>
                <w:rFonts w:ascii="Arial" w:cs="Arial" w:eastAsia="Arial" w:hAnsi="Arial"/>
                <w:sz w:val="18"/>
                <w:szCs w:val="18"/>
                <w:color w:val="auto"/>
                <w:w w:val="98"/>
              </w:rPr>
              <w:t>Total Liabilities and Members'</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660"/>
              <w:spacing w:after="0"/>
              <w:rPr>
                <w:sz w:val="20"/>
                <w:szCs w:val="20"/>
                <w:color w:val="auto"/>
              </w:rPr>
            </w:pPr>
            <w:r>
              <w:rPr>
                <w:rFonts w:ascii="Arial" w:cs="Arial" w:eastAsia="Arial" w:hAnsi="Arial"/>
                <w:sz w:val="18"/>
                <w:szCs w:val="18"/>
                <w:color w:val="auto"/>
              </w:rPr>
              <w:t>Equity</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388,928</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F-23</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(8,539)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8"/>
                <w:szCs w:val="18"/>
                <w:color w:val="auto"/>
              </w:rPr>
              <w:t>F-24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-5794375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-5794375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-5794375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-5794375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-5794375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-5794375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-5794375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-5794375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-5794375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-5794375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-5794375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-4885055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-4885055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-4885055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-4885055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-4885055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-4885055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-4885055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-4885055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-4885055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-4885055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-4885055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-4885055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ectPr>
          <w:pgSz w:w="11900" w:h="16838" w:orient="portrait"/>
          <w:cols w:equalWidth="0" w:num="1">
            <w:col w:w="11420"/>
          </w:cols>
          <w:pgMar w:left="240" w:top="131" w:right="239" w:bottom="0" w:gutter="0" w:footer="0" w:header="0"/>
        </w:sectPr>
      </w:pPr>
    </w:p>
    <w:bookmarkStart w:id="111" w:name="page112"/>
    <w:bookmarkEnd w:id="111"/>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Selling, General &amp; Administrative</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24"/>
                <w:szCs w:val="24"/>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220" w:type="dxa"/>
            <w:vAlign w:val="bottom"/>
            <w:shd w:val="clear" w:color="auto" w:fill="CCEEFF"/>
          </w:tcPr>
          <w:p>
            <w:pPr>
              <w:spacing w:after="0"/>
              <w:rPr>
                <w:sz w:val="24"/>
                <w:szCs w:val="24"/>
                <w:color w:val="auto"/>
              </w:rPr>
            </w:pPr>
          </w:p>
        </w:tc>
        <w:tc>
          <w:tcPr>
            <w:tcW w:w="1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431"/>
        </w:trPr>
        <w:tc>
          <w:tcPr>
            <w:tcW w:w="288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Interest Expense, Net of Amounts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w:t>
            </w: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the 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(5,712)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-4919345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-4919345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-4919345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-4919345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-4919345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-4919345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-4919345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-4919345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-4919345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-4919345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-4919345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-4919345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-4319270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-4319270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-4319270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-4319270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-4319270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-4319270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-4319270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-4319270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-4319270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-4319270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-4319270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-2689860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-1403350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-1094740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left="332"/>
              <w:spacing w:after="0"/>
              <w:rPr>
                <w:sz w:val="20"/>
                <w:szCs w:val="20"/>
                <w:color w:val="auto"/>
              </w:rPr>
            </w:pPr>
            <w:r>
              <w:rPr>
                <w:rFonts w:ascii="Arial" w:cs="Arial" w:eastAsia="Arial" w:hAnsi="Arial"/>
                <w:sz w:val="14"/>
                <w:szCs w:val="14"/>
                <w:b w:val="1"/>
                <w:bCs w:val="1"/>
                <w:color w:val="auto"/>
                <w:w w:val="84"/>
              </w:rPr>
              <w:t>Valvino</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Wynn Las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All Other</w:t>
            </w: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left="312"/>
              <w:spacing w:after="0"/>
              <w:rPr>
                <w:sz w:val="20"/>
                <w:szCs w:val="20"/>
                <w:color w:val="auto"/>
              </w:rPr>
            </w:pPr>
            <w:r>
              <w:rPr>
                <w:rFonts w:ascii="Arial" w:cs="Arial" w:eastAsia="Arial" w:hAnsi="Arial"/>
                <w:sz w:val="14"/>
                <w:szCs w:val="14"/>
                <w:b w:val="1"/>
                <w:bCs w:val="1"/>
                <w:color w:val="auto"/>
                <w:w w:val="93"/>
              </w:rPr>
              <w:t>Lamore, LLC</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252"/>
              <w:spacing w:after="0"/>
              <w:rPr>
                <w:sz w:val="20"/>
                <w:szCs w:val="20"/>
                <w:color w:val="auto"/>
              </w:rPr>
            </w:pPr>
            <w:r>
              <w:rPr>
                <w:rFonts w:ascii="Arial" w:cs="Arial" w:eastAsia="Arial" w:hAnsi="Arial"/>
                <w:sz w:val="14"/>
                <w:szCs w:val="14"/>
                <w:b w:val="1"/>
                <w:bCs w:val="1"/>
                <w:color w:val="auto"/>
                <w:w w:val="86"/>
              </w:rPr>
              <w:t>Vegas, LLC</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Guarantors</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Entries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146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rPr>
              <w:t>—  $</w:t>
            </w:r>
          </w:p>
        </w:tc>
        <w:tc>
          <w:tcPr>
            <w:tcW w:w="64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60" w:type="dxa"/>
            <w:vAlign w:val="bottom"/>
            <w:gridSpan w:val="3"/>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gridSpan w:val="3"/>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5,241</w:t>
            </w: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5,025</w:t>
            </w: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6,780</w:t>
            </w:r>
          </w:p>
        </w:tc>
        <w:tc>
          <w:tcPr>
            <w:tcW w:w="1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14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140" w:type="dxa"/>
            <w:vAlign w:val="bottom"/>
          </w:tcPr>
          <w:p>
            <w:pPr>
              <w:spacing w:after="0"/>
              <w:rPr>
                <w:sz w:val="21"/>
                <w:szCs w:val="21"/>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3"/>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-2858135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-2858135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-2858135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-2858135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-2858135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-2858135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-2858135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-2858135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-2858135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-2858135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-2858135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-2858135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-1948815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-1948815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-1948815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-1948815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-1948815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-1948815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-1948815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-1948815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-1948815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-1948815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-1948815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-1948815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25"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3"/>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60" w:type="dxa"/>
            <w:vAlign w:val="bottom"/>
            <w:shd w:val="clear" w:color="auto" w:fill="CCEEFF"/>
          </w:tcPr>
          <w:p>
            <w:pPr>
              <w:spacing w:after="0"/>
              <w:rPr>
                <w:sz w:val="21"/>
                <w:szCs w:val="21"/>
                <w:color w:val="auto"/>
              </w:rPr>
            </w:pPr>
          </w:p>
        </w:tc>
      </w:tr>
      <w:tr>
        <w:trPr>
          <w:trHeight w:val="118"/>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6"/>
        </w:trPr>
        <w:tc>
          <w:tcPr>
            <w:tcW w:w="2420" w:type="dxa"/>
            <w:vAlign w:val="bottom"/>
          </w:tcPr>
          <w:p>
            <w:pPr>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(12,788)</w:t>
            </w:r>
          </w:p>
        </w:tc>
        <w:tc>
          <w:tcPr>
            <w:tcW w:w="6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5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6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56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(19,233)</w:t>
            </w:r>
          </w:p>
        </w:tc>
      </w:tr>
      <w:tr>
        <w:trPr>
          <w:trHeight w:val="43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rPr>
              <w:t>Interest Expense, Net of</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Amounts Capitalized</w:t>
            </w:r>
          </w:p>
        </w:tc>
        <w:tc>
          <w:tcPr>
            <w:tcW w:w="5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42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Accumulated</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During the Development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Stage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(10,454)</w:t>
            </w: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(5,206)</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(16,899)</w:t>
            </w: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3"/>
          </w:tcPr>
          <w:p>
            <w:pPr>
              <w:jc w:val="right"/>
              <w:ind w:right="303"/>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1690370</wp:posOffset>
            </wp:positionH>
            <wp:positionV relativeFrom="page">
              <wp:posOffset>88900</wp:posOffset>
            </wp:positionV>
            <wp:extent cx="5672455" cy="1905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5672455" cy="1905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-2672715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-2672715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-2672715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-2672715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-2672715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-2672715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-2672715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-2672715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-2672715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-2672715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-2672715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-2672715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-1540510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-1540510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-1540510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-1540510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-1540510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-1540510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-1540510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-1540510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-1540510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-1540510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-1540510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-1540510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-1231900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-1231900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-1231900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-1231900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-1231900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-1231900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-1231900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-1231900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-1231900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-1231900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(9,979)</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24"/>
                <w:szCs w:val="24"/>
                <w:color w:val="auto"/>
              </w:rPr>
            </w:pPr>
          </w:p>
        </w:tc>
        <w:tc>
          <w:tcPr>
            <w:tcW w:w="1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431"/>
        </w:trPr>
        <w:tc>
          <w:tcPr>
            <w:tcW w:w="334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F-27</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-4027805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-4027805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-4027805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-4027805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-4027805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-4027805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-4027805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-4027805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-4027805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-2707005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-2707005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-2707005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-2707005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-2707005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-2707005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-2707005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-2707005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-2398395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-2398395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-2398395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-2398395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-2398395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-2398395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-2398395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-2398395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p>
      <w:pPr>
        <w:ind w:left="3020"/>
        <w:spacing w:after="0"/>
        <w:tabs>
          <w:tab w:leader="none" w:pos="4260" w:val="left"/>
          <w:tab w:leader="none" w:pos="5880" w:val="left"/>
          <w:tab w:leader="none" w:pos="7580" w:val="left"/>
          <w:tab w:leader="none" w:pos="9140" w:val="left"/>
          <w:tab w:leader="none" w:pos="10620" w:val="left"/>
        </w:tabs>
        <w:rPr>
          <w:sz w:val="20"/>
          <w:szCs w:val="20"/>
          <w:color w:val="auto"/>
        </w:rPr>
      </w:pPr>
      <w:r>
        <w:rPr>
          <w:rFonts w:ascii="Arial" w:cs="Arial" w:eastAsia="Arial" w:hAnsi="Arial"/>
          <w:sz w:val="14"/>
          <w:szCs w:val="14"/>
          <w:b w:val="1"/>
          <w:bCs w:val="1"/>
          <w:color w:val="auto"/>
        </w:rPr>
        <w:t>Valvino</w:t>
      </w:r>
      <w:r>
        <w:rPr>
          <w:sz w:val="20"/>
          <w:szCs w:val="20"/>
          <w:color w:val="auto"/>
        </w:rPr>
        <w:tab/>
      </w:r>
      <w:r>
        <w:rPr>
          <w:rFonts w:ascii="Arial" w:cs="Arial" w:eastAsia="Arial" w:hAnsi="Arial"/>
          <w:sz w:val="14"/>
          <w:szCs w:val="14"/>
          <w:b w:val="1"/>
          <w:bCs w:val="1"/>
          <w:color w:val="auto"/>
        </w:rPr>
        <w:t>Wynn Las Vegas,</w:t>
      </w:r>
      <w:r>
        <w:rPr>
          <w:sz w:val="20"/>
          <w:szCs w:val="20"/>
          <w:color w:val="auto"/>
        </w:rPr>
        <w:tab/>
      </w:r>
      <w:r>
        <w:rPr>
          <w:rFonts w:ascii="Arial" w:cs="Arial" w:eastAsia="Arial" w:hAnsi="Arial"/>
          <w:sz w:val="14"/>
          <w:szCs w:val="14"/>
          <w:b w:val="1"/>
          <w:bCs w:val="1"/>
          <w:color w:val="auto"/>
        </w:rPr>
        <w:t>All Other</w:t>
      </w:r>
      <w:r>
        <w:rPr>
          <w:sz w:val="20"/>
          <w:szCs w:val="20"/>
          <w:color w:val="auto"/>
        </w:rPr>
        <w:tab/>
      </w:r>
      <w:r>
        <w:rPr>
          <w:rFonts w:ascii="Arial" w:cs="Arial" w:eastAsia="Arial" w:hAnsi="Arial"/>
          <w:sz w:val="14"/>
          <w:szCs w:val="14"/>
          <w:b w:val="1"/>
          <w:bCs w:val="1"/>
          <w:color w:val="auto"/>
        </w:rPr>
        <w:t>All Other</w:t>
      </w:r>
      <w:r>
        <w:rPr>
          <w:sz w:val="20"/>
          <w:szCs w:val="20"/>
          <w:color w:val="auto"/>
        </w:rPr>
        <w:tab/>
      </w:r>
      <w:r>
        <w:rPr>
          <w:rFonts w:ascii="Arial" w:cs="Arial" w:eastAsia="Arial" w:hAnsi="Arial"/>
          <w:sz w:val="14"/>
          <w:szCs w:val="14"/>
          <w:b w:val="1"/>
          <w:bCs w:val="1"/>
          <w:color w:val="auto"/>
        </w:rPr>
        <w:t>Eliminating</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66675</wp:posOffset>
            </wp:positionV>
            <wp:extent cx="715645" cy="1206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5645" cy="12065"/>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LLC and Wynn Las</w:t>
            </w:r>
          </w:p>
        </w:tc>
        <w:tc>
          <w:tcPr>
            <w:tcW w:w="22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4"/>
                <w:szCs w:val="1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right"/>
              <w:ind w:right="140"/>
              <w:spacing w:after="0" w:line="131" w:lineRule="exact"/>
              <w:rPr>
                <w:sz w:val="20"/>
                <w:szCs w:val="20"/>
                <w:color w:val="auto"/>
              </w:rPr>
            </w:pPr>
            <w:r>
              <w:rPr>
                <w:rFonts w:ascii="Arial" w:cs="Arial" w:eastAsia="Arial" w:hAnsi="Arial"/>
                <w:sz w:val="14"/>
                <w:szCs w:val="14"/>
                <w:b w:val="1"/>
                <w:bCs w:val="1"/>
                <w:color w:val="auto"/>
                <w:w w:val="89"/>
              </w:rPr>
              <w:t>Vegas Capital Corp.</w:t>
            </w: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8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Transactions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5"/>
              </w:rPr>
              <w:t>Loss / (Gain) from Incidental</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(29,535)</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(8,940)</w:t>
            </w:r>
          </w:p>
        </w:tc>
        <w:tc>
          <w:tcPr>
            <w:tcW w:w="2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(5,586)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26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1080"/>
              <w:spacing w:after="0"/>
              <w:rPr>
                <w:sz w:val="20"/>
                <w:szCs w:val="20"/>
                <w:color w:val="auto"/>
              </w:rPr>
            </w:pPr>
            <w:r>
              <w:rPr>
                <w:rFonts w:ascii="Arial" w:cs="Arial" w:eastAsia="Arial" w:hAnsi="Arial"/>
                <w:sz w:val="18"/>
                <w:szCs w:val="18"/>
                <w:color w:val="auto"/>
                <w:w w:val="97"/>
              </w:rPr>
              <w:t>F-28</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-6163310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-6163310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-6068695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-6068695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-6163310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-6163310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-6163310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-6163310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-6163310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-6163310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-5160010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-5160010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-5160010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-5160010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-5160010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-5160010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-5160010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-5160010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-5160010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-5160010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-5160010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-5160010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-2724150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-2724150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-2724150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-2724150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-2724150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-2724150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-2724150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-2724150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-2724150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-2724150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-2724150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-1557655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-1557655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-1557655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-1557655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-1557655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-1557655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-1557655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-1557655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-1557655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-1557655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-1094740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-1094740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-1094740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-1094740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-1094740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-1094740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-1094740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-1094740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-1094740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-1094740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-1094740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Wynn Las Vegas,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2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88"/>
              </w:rPr>
              <w:t>Valvino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20" w:type="dxa"/>
            <w:vAlign w:val="bottom"/>
          </w:tcPr>
          <w:p>
            <w:pPr>
              <w:jc w:val="center"/>
              <w:ind w:left="318"/>
              <w:spacing w:after="0"/>
              <w:rPr>
                <w:sz w:val="20"/>
                <w:szCs w:val="20"/>
                <w:color w:val="auto"/>
              </w:rPr>
            </w:pPr>
            <w:r>
              <w:rPr>
                <w:rFonts w:ascii="Arial" w:cs="Arial" w:eastAsia="Arial" w:hAnsi="Arial"/>
                <w:sz w:val="14"/>
                <w:szCs w:val="14"/>
                <w:b w:val="1"/>
                <w:bCs w:val="1"/>
                <w:color w:val="auto"/>
                <w:w w:val="93"/>
              </w:rPr>
              <w:t>Lamore, LLC</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Vegas Capital Corp.</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1220" w:type="dxa"/>
            <w:vAlign w:val="bottom"/>
          </w:tcPr>
          <w:p>
            <w:pPr>
              <w:jc w:val="right"/>
              <w:ind w:right="109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0"/>
              </w:rPr>
              <w:t>(8,539)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(703)</w:t>
            </w:r>
          </w:p>
        </w:tc>
        <w:tc>
          <w:tcPr>
            <w:tcW w:w="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(3,312)</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(4,954)</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80" w:type="dxa"/>
            <w:vAlign w:val="bottom"/>
          </w:tcPr>
          <w:p>
            <w:pPr>
              <w:spacing w:after="0"/>
              <w:rPr>
                <w:sz w:val="13"/>
                <w:szCs w:val="13"/>
                <w:color w:val="auto"/>
              </w:rPr>
            </w:pPr>
          </w:p>
        </w:tc>
        <w:tc>
          <w:tcPr>
            <w:tcW w:w="2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Stage to Net Cash Provided by/(Used in)</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form Macau</w:t>
            </w:r>
          </w:p>
        </w:tc>
        <w:tc>
          <w:tcPr>
            <w:tcW w:w="12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(2,534)</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w w:val="97"/>
              </w:rPr>
              <w:t>Loss / (Gain) on Affiliate Transactions</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(2,092)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2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Increase (Decrease) in Cash from Changes</w:t>
            </w:r>
          </w:p>
        </w:tc>
        <w:tc>
          <w:tcPr>
            <w:tcW w:w="1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w:t>
            </w: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(1,788)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2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Inventories</w:t>
            </w:r>
          </w:p>
        </w:tc>
        <w:tc>
          <w:tcPr>
            <w:tcW w:w="12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-2183765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-2183765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-2183765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-2183765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-2183765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-2183765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-2183765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-2183765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-2183765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-2183765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-2183765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-2183765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4" w:right="239" w:bottom="0" w:gutter="0" w:footer="0" w:header="0"/>
        </w:sectPr>
      </w:pPr>
    </w:p>
    <w:bookmarkStart w:id="114" w:name="page115"/>
    <w:bookmarkEnd w:id="1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4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Expenses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2,619</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(2,522)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(3,243)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(19,222)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(9,591)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2"/>
              <w:spacing w:after="0"/>
              <w:rPr>
                <w:sz w:val="20"/>
                <w:szCs w:val="20"/>
                <w:color w:val="auto"/>
              </w:rPr>
            </w:pPr>
            <w:r>
              <w:rPr>
                <w:rFonts w:ascii="Arial" w:cs="Arial" w:eastAsia="Arial" w:hAnsi="Arial"/>
                <w:sz w:val="14"/>
                <w:szCs w:val="14"/>
                <w:color w:val="auto"/>
              </w:rPr>
              <w:t>(27,518)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(27,051)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Investing Activities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(54,561)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25,897</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(23,438)</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Cash Flows From Financing Activities</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23,804</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Macau</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Principal Payments of Long-Term Debt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Financing</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173,478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26,860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Increase/(Decrease) in Cash and Cash</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Equivalents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122,513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26,997</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148,589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320" w:type="dxa"/>
            <w:vAlign w:val="bottom"/>
            <w:shd w:val="clear" w:color="auto" w:fill="CCEEFF"/>
          </w:tcPr>
          <w:p>
            <w:pPr>
              <w:jc w:val="right"/>
              <w:ind w:right="242"/>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Arial" w:cs="Arial" w:eastAsia="Arial" w:hAnsi="Arial"/>
                <w:sz w:val="14"/>
                <w:szCs w:val="14"/>
                <w:color w:val="auto"/>
              </w:rPr>
              <w:t>Supplemental Cash Flow Disclosure:</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7"/>
              </w:rPr>
              <w:t>Interest Paid, Net of Amounts Capitalized</w:t>
            </w:r>
          </w:p>
        </w:tc>
        <w:tc>
          <w:tcPr>
            <w:tcW w:w="320" w:type="dxa"/>
            <w:vAlign w:val="bottom"/>
            <w:shd w:val="clear" w:color="auto" w:fill="CCEEFF"/>
          </w:tcPr>
          <w:p>
            <w:pPr>
              <w:jc w:val="right"/>
              <w:ind w:right="242"/>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8"/>
                <w:szCs w:val="18"/>
                <w:color w:val="auto"/>
                <w:w w:val="91"/>
              </w:rPr>
              <w:t>F-29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gridSpan w:val="16"/>
          </w:tcPr>
          <w:p>
            <w:pPr>
              <w:jc w:val="center"/>
              <w:ind w:left="591"/>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gridSpan w:val="18"/>
          </w:tcPr>
          <w:p>
            <w:pPr>
              <w:jc w:val="center"/>
              <w:ind w:right="640"/>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8"/>
              </w:rPr>
              <w:t>Six Months Ended June 30, 2001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Eliminating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Guarantors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Non-Guarantors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(5,712)</w:t>
            </w:r>
          </w:p>
        </w:tc>
        <w:tc>
          <w:tcPr>
            <w:tcW w:w="1080" w:type="dxa"/>
            <w:vAlign w:val="bottom"/>
            <w:gridSpan w:val="2"/>
          </w:tcPr>
          <w:p>
            <w:pPr>
              <w:jc w:val="right"/>
              <w:ind w:right="91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(38) $</w:t>
            </w:r>
          </w:p>
        </w:tc>
        <w:tc>
          <w:tcPr>
            <w:tcW w:w="106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(1,950)</w:t>
            </w:r>
          </w:p>
        </w:tc>
        <w:tc>
          <w:tcPr>
            <w:tcW w:w="3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(235)</w:t>
            </w:r>
          </w:p>
        </w:tc>
        <w:tc>
          <w:tcPr>
            <w:tcW w:w="2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4"/>
          </w:tcPr>
          <w:p>
            <w:pPr>
              <w:jc w:val="center"/>
              <w:ind w:left="752"/>
              <w:spacing w:after="0" w:line="159" w:lineRule="exact"/>
              <w:rPr>
                <w:sz w:val="20"/>
                <w:szCs w:val="20"/>
                <w:color w:val="auto"/>
              </w:rPr>
            </w:pPr>
            <w:r>
              <w:rPr>
                <w:rFonts w:ascii="Arial" w:cs="Arial" w:eastAsia="Arial" w:hAnsi="Arial"/>
                <w:sz w:val="14"/>
                <w:szCs w:val="14"/>
                <w:color w:val="auto"/>
              </w:rPr>
              <w:t>—  $</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rPr>
              <w:t>During the Development Stage to Net Cash</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w w:val="92"/>
              </w:rPr>
              <w:t>Provided by / (Used in) Operating Activities: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4"/>
                <w:szCs w:val="14"/>
                <w:color w:val="auto"/>
              </w:rPr>
              <w:t>3,610</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Gain / (Loss) on Sale of Fixed Assets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5"/>
              </w:rPr>
              <w:t>178</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4"/>
                <w:szCs w:val="14"/>
                <w:color w:val="auto"/>
              </w:rPr>
              <w:t>3,210</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86"/>
              </w:rPr>
              <w:t>Increase (Decrease) in Cash from Changes in:</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w w:val="85"/>
              </w:rPr>
              <w:t>588</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5"/>
              </w:rPr>
              <w:t>107</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87"/>
              </w:rPr>
              <w:t>Accounts Payable and Accrued Expenses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(1,273)</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w w:val="85"/>
              </w:rPr>
              <w:t>756</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color w:val="auto"/>
              </w:rPr>
              <w:t>(7,525)</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(7,434)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(9,489)</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4"/>
                <w:szCs w:val="14"/>
                <w:color w:val="auto"/>
              </w:rPr>
              <w:t>1,187</w:t>
            </w:r>
          </w:p>
        </w:tc>
        <w:tc>
          <w:tcPr>
            <w:tcW w:w="1540" w:type="dxa"/>
            <w:vAlign w:val="bottom"/>
            <w:gridSpan w:val="5"/>
          </w:tcPr>
          <w:p>
            <w:pPr>
              <w:jc w:val="right"/>
              <w:ind w:right="80"/>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(7,573)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(19,489)</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15,025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w w:val="85"/>
              </w:rPr>
              <w:t>343</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Investing</w:t>
            </w: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(25,484)</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(25,573)</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Cash Flows From Financing Activities</w:t>
            </w: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20,000</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righ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-9944735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-9944735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-9944735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-9944735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-9944735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-9944735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-9944735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-9944735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-9944735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-9944735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-9944735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-9944735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-9601835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-9601835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-9601835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-9601835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-9601835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-9601835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-9601835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-9601835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-9601835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-9601835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-9601835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-9601835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-8581390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-8581390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-8581390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-8581390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-8581390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-8581390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-8581390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-8581390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-8581390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-8581390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-8581390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-8581390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-8237855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-8237855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-8237855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-8237855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-8237855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-8237855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-8237855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-8237855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-8237855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-8237855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-8237855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-8237855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-7526020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-7526020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-7526020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-7526020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-7526020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-7526020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-7526020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-7526020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-7526020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-7526020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-7526020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-7526020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-7183120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-7183120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-7183120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-7183120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-7183120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-7183120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-7183120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-7183120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-7183120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-7183120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-7183120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-7183120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-6745605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-6745605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-6745605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-6745605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-6745605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-6745605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-6745605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-6745605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-6745605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-6745605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-6745605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-6745605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-5793740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-5793740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-3916045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-3916045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-3916045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-3916045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-3916045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-3916045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-3916045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-3916045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-3916045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-3916045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-3916045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-3916045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-2020570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-2020570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-2020570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-2020570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-2020570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-2020570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-2020570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-2020570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-2020570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-2020570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-2020570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-2020570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-1677670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-1677670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-1677670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-1677670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-1677670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-1677670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-1677670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-1677670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-1677670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-1677670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-1677670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-1677670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-657225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-657225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-657225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-657225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-657225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-657225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-657225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-657225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-657225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-657225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-657225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-657225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-313690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-313690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-313690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-313690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-313690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-313690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-313690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-313690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-313690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-313690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-313690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-313690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15" w:name="page116"/>
    <w:bookmarkEnd w:id="11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tcPr>
          <w:p>
            <w:pPr>
              <w:spacing w:after="0"/>
              <w:rPr>
                <w:sz w:val="20"/>
                <w:szCs w:val="20"/>
                <w:color w:val="auto"/>
              </w:rPr>
            </w:pPr>
            <w:r>
              <w:rPr>
                <w:rFonts w:ascii="Arial" w:cs="Arial" w:eastAsia="Arial" w:hAnsi="Arial"/>
                <w:sz w:val="14"/>
                <w:szCs w:val="14"/>
                <w:color w:val="auto"/>
                <w:w w:val="86"/>
              </w:rPr>
              <w:t>Increase/(Decrease) in Cash and Cash Equivalents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(4,743)</w:t>
            </w:r>
          </w:p>
        </w:tc>
        <w:tc>
          <w:tcPr>
            <w:tcW w:w="1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(245)</w:t>
            </w:r>
          </w:p>
        </w:tc>
        <w:tc>
          <w:tcPr>
            <w:tcW w:w="2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64,474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59,731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(270)</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59,460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center"/>
              <w:ind w:left="597"/>
              <w:spacing w:after="0"/>
              <w:rPr>
                <w:sz w:val="20"/>
                <w:szCs w:val="20"/>
                <w:color w:val="auto"/>
              </w:rPr>
            </w:pPr>
            <w:r>
              <w:rPr>
                <w:rFonts w:ascii="Arial" w:cs="Arial" w:eastAsia="Arial" w:hAnsi="Arial"/>
                <w:sz w:val="18"/>
                <w:szCs w:val="18"/>
                <w:color w:val="auto"/>
                <w:w w:val="91"/>
              </w:rPr>
              <w:t>F-30</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gridSpan w:val="2"/>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340" w:type="dxa"/>
            <w:vAlign w:val="bottom"/>
            <w:tcBorders>
              <w:bottom w:val="single" w:sz="8" w:color="808080"/>
            </w:tcBorders>
            <w:gridSpan w:val="2"/>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14"/>
          </w:tcPr>
          <w:p>
            <w:pPr>
              <w:jc w:val="center"/>
              <w:ind w:left="677"/>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40" w:type="dxa"/>
            <w:vAlign w:val="bottom"/>
            <w:gridSpan w:val="16"/>
          </w:tcPr>
          <w:p>
            <w:pPr>
              <w:jc w:val="center"/>
              <w:ind w:right="700"/>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87"/>
              </w:rPr>
              <w:t>Year Ended December 31, 2001</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24"/>
                <w:szCs w:val="2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Vegas,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Guarantors</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Non-Guarantors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(10,454) $</w:t>
            </w: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500" w:type="dxa"/>
            <w:vAlign w:val="bottom"/>
            <w:gridSpan w:val="5"/>
          </w:tcPr>
          <w:p>
            <w:pPr>
              <w:jc w:val="right"/>
              <w:ind w:right="192"/>
              <w:spacing w:after="0"/>
              <w:rPr>
                <w:sz w:val="20"/>
                <w:szCs w:val="20"/>
                <w:color w:val="auto"/>
              </w:rPr>
            </w:pPr>
            <w:r>
              <w:rPr>
                <w:rFonts w:ascii="Arial" w:cs="Arial" w:eastAsia="Arial" w:hAnsi="Arial"/>
                <w:sz w:val="18"/>
                <w:szCs w:val="18"/>
                <w:color w:val="auto"/>
              </w:rPr>
              <w:t>(5,206) $</w:t>
            </w:r>
          </w:p>
        </w:tc>
        <w:tc>
          <w:tcPr>
            <w:tcW w:w="1420" w:type="dxa"/>
            <w:vAlign w:val="bottom"/>
          </w:tcPr>
          <w:p>
            <w:pPr>
              <w:jc w:val="right"/>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19"/>
                <w:szCs w:val="19"/>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(37,266)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(44,994)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-10133330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-10133330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-10133330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-10133330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-10133330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-10133330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-10133330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-10133330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-10133330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-10133330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-10133330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-10133330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-9824720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-9824720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-9824720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-9824720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-9824720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-9824720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-9824720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-9824720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-9824720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-9824720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-9824720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-9824720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-9481820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-9481820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-9481820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-9481820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-9481820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-9481820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-9481820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-9481820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-9481820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-9481820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-9481820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-9481820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-8529955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-8529955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-6883400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-6883400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-6883400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-6883400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-6883400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-6883400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-6883400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-6883400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-6883400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-6883400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-6883400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-6883400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-3864610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-3864610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-3864610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-3864610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-3864610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-3864610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-3864610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-3864610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-3864610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-3864610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-3864610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-3864610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-3435350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-3435350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-3435350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-3435350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-3435350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-3435350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-3435350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-3435350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-3435350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-3435350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-3435350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-3435350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-2320925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-2320925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-2320925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-2320925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-2320925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-2320925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-2320925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-2320925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-2320925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-2320925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-2320925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-2320925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-1891665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-1891665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-1891665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-1891665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-1891665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-1891665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-1891665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-1891665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-1891665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-1891665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-1891665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-1891665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-914400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-914400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-914400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-914400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-914400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-914400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-914400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-914400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-914400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-914400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-914400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-914400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-485775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-485775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-485775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-485775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-485775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-485775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-485775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-485775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-485775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-485775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-485775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-485775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6"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39,590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800" w:type="dxa"/>
            <w:vAlign w:val="bottom"/>
          </w:tcPr>
          <w:p>
            <w:pPr>
              <w:jc w:val="right"/>
              <w:ind w:right="643"/>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43"/>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3"/>
          </w:tcPr>
          <w:p>
            <w:pPr>
              <w:ind w:left="560"/>
              <w:spacing w:after="0"/>
              <w:rPr>
                <w:sz w:val="20"/>
                <w:szCs w:val="20"/>
                <w:color w:val="auto"/>
              </w:rPr>
            </w:pPr>
            <w:r>
              <w:rPr>
                <w:rFonts w:ascii="Arial" w:cs="Arial" w:eastAsia="Arial" w:hAnsi="Arial"/>
                <w:sz w:val="18"/>
                <w:szCs w:val="18"/>
                <w:color w:val="auto"/>
              </w:rPr>
              <w:t>F-31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1905000</wp:posOffset>
            </wp:positionH>
            <wp:positionV relativeFrom="page">
              <wp:posOffset>88900</wp:posOffset>
            </wp:positionV>
            <wp:extent cx="5432425" cy="1905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5432425"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Provided by / (Used in) Investing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(319,897)</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(319,472)</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Contributions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Distributions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(110,482)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3"/>
              </w:rPr>
              <w:t>Proceeds from Issuance of 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 of Long-Term Debt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(125,018)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Origination Fees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Proceeds from Issuance of Related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Party Loan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Loan</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Increase/(Decrease) in Cash and Cash</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-7543800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-7543800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-7543800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-7543800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-7543800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-7543800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-7543800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-7543800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-7543800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-7543800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-4954270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-4954270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-4954270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-4954270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-4954270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-4954270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-4954270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-4954270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-4954270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-4954270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-4525010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-4525010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-4525010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-4525010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-4525010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-4525010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-4525010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-4525010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-4525010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-4525010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-3410585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-3410585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-3410585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-3410585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-3410585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-3410585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-3410585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-3410585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-3410585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-3410585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-2981325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-2981325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-2981325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-2981325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-2981325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-2981325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-2981325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-2981325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-2981325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-2981325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-1317625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-1317625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-1317625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-1317625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-1317625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-1317625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-1317625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-1317625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-1317625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-1317625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-889000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-889000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-889000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-889000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-889000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-889000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-889000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-889000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-323215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-323215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8"/>
        </w:trPr>
        <w:tc>
          <w:tcPr>
            <w:tcW w:w="2980" w:type="dxa"/>
            <w:vAlign w:val="bottom"/>
          </w:tcPr>
          <w:p>
            <w:pPr>
              <w:ind w:left="460"/>
              <w:spacing w:after="0"/>
              <w:rPr>
                <w:sz w:val="20"/>
                <w:szCs w:val="20"/>
                <w:color w:val="auto"/>
              </w:rPr>
            </w:pPr>
            <w:r>
              <w:rPr>
                <w:rFonts w:ascii="Arial" w:cs="Arial" w:eastAsia="Arial" w:hAnsi="Arial"/>
                <w:sz w:val="18"/>
                <w:szCs w:val="18"/>
                <w:color w:val="auto"/>
              </w:rPr>
              <w:t>Interest Paid, Net of Amounts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2980" w:type="dxa"/>
            <w:vAlign w:val="bottom"/>
          </w:tcPr>
          <w:p>
            <w:pPr>
              <w:ind w:left="460"/>
              <w:spacing w:after="0"/>
              <w:rPr>
                <w:sz w:val="20"/>
                <w:szCs w:val="20"/>
                <w:color w:val="auto"/>
              </w:rPr>
            </w:pPr>
            <w:r>
              <w:rPr>
                <w:rFonts w:ascii="Arial" w:cs="Arial" w:eastAsia="Arial" w:hAnsi="Arial"/>
                <w:sz w:val="18"/>
                <w:szCs w:val="18"/>
                <w:color w:val="auto"/>
              </w:rPr>
              <w:t>Capitalized</w:t>
            </w:r>
          </w:p>
        </w:tc>
        <w:tc>
          <w:tcPr>
            <w:tcW w:w="11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140" w:type="dxa"/>
            <w:vAlign w:val="bottom"/>
          </w:tcPr>
          <w:p>
            <w:pPr>
              <w:ind w:left="960"/>
              <w:spacing w:after="0"/>
              <w:rPr>
                <w:sz w:val="20"/>
                <w:szCs w:val="20"/>
                <w:color w:val="auto"/>
              </w:rPr>
            </w:pPr>
            <w:r>
              <w:rPr>
                <w:rFonts w:ascii="Arial" w:cs="Arial" w:eastAsia="Arial" w:hAnsi="Arial"/>
                <w:sz w:val="18"/>
                <w:szCs w:val="18"/>
                <w:color w:val="auto"/>
              </w:rPr>
              <w:t>—   $</w:t>
            </w:r>
          </w:p>
        </w:tc>
        <w:tc>
          <w:tcPr>
            <w:tcW w:w="1680" w:type="dxa"/>
            <w:vAlign w:val="bottom"/>
          </w:tcPr>
          <w:p>
            <w:pPr>
              <w:ind w:left="720"/>
              <w:spacing w:after="0"/>
              <w:rPr>
                <w:sz w:val="20"/>
                <w:szCs w:val="20"/>
                <w:color w:val="auto"/>
              </w:rPr>
            </w:pPr>
            <w:r>
              <w:rPr>
                <w:rFonts w:ascii="Arial" w:cs="Arial" w:eastAsia="Arial" w:hAnsi="Arial"/>
                <w:sz w:val="18"/>
                <w:szCs w:val="18"/>
                <w:color w:val="auto"/>
              </w:rPr>
              <w:t>—   $</w:t>
            </w:r>
          </w:p>
        </w:tc>
        <w:tc>
          <w:tcPr>
            <w:tcW w:w="1460" w:type="dxa"/>
            <w:vAlign w:val="bottom"/>
          </w:tcPr>
          <w:p>
            <w:pPr>
              <w:ind w:left="50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ind w:left="140"/>
              <w:spacing w:after="0"/>
              <w:rPr>
                <w:sz w:val="20"/>
                <w:szCs w:val="20"/>
                <w:color w:val="auto"/>
              </w:rPr>
            </w:pPr>
            <w:r>
              <w:rPr>
                <w:rFonts w:ascii="Arial" w:cs="Arial" w:eastAsia="Arial" w:hAnsi="Arial"/>
                <w:sz w:val="18"/>
                <w:szCs w:val="18"/>
                <w:color w:val="auto"/>
              </w:rPr>
              <w:t>F-32</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8"/>
        </w:trPr>
        <w:tc>
          <w:tcPr>
            <w:tcW w:w="29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w w:val="91"/>
              </w:rPr>
              <w:t>Net Loss Accumulated During the Development Stage</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(27,555)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(9,054)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3"/>
              </w:rPr>
              <w:t>During the Development Stage to Net Cash Provided</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Loss/Gain on Affiliate Transactions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Loan Origination Fees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(2,288)</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Operating</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(3,619)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(7,406)</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w:t>
            </w: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(2,093)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5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(39,885)</w:t>
            </w:r>
          </w:p>
        </w:tc>
        <w:tc>
          <w:tcPr>
            <w:tcW w:w="22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(67,181)</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Net Cash Provided by/(Used in) Investing Activities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(419,452)</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Contributions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23,804</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(23,804)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Distributions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Third Party Fee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Loan Origination Fees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582,194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28,860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585,250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Increase/(Decrease) in Cash and Cash Equivalents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1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Supplemental Cash Flow Disclosure: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-6418580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-6418580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-6418580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-6418580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-6418580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-6418580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-6418580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-6418580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-6418580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-6418580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-6418580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-6418580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-3845560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-3845560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-3845560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-3845560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-3845560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-3845560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-3845560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-3845560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-3845560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-3845560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-3845560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-3845560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-3502660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-3502660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-3502660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-3502660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-3502660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-3502660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-3502660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-3502660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-3502660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-3502660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-3502660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-3502660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-2593340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-2593340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-2593340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-2593340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-2593340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-2593340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-2593340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-2593340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-2593340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-2593340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-2593340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-2593340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-2345055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-2345055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-2345055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-2345055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-2345055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-2345055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-2345055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-2345055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-2345055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-2345055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-2345055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-2345055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-1247140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-1247140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-1247140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-1247140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-1247140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-1247140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-1247140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-1247140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-1247140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-1247140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-1247140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-1247140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-998220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-998220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-998220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-998220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-998220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-998220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-998220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-998220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-998220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-998220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-998220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-998220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-655320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-655320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-655320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-655320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-655320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-655320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-655320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-655320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-655320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-655320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-655320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-655320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ectPr>
          <w:pgSz w:w="11900" w:h="16838" w:orient="portrait"/>
          <w:cols w:equalWidth="0" w:num="1">
            <w:col w:w="11420"/>
          </w:cols>
          <w:pgMar w:left="240" w:top="153" w:right="239" w:bottom="0" w:gutter="0" w:footer="0" w:header="0"/>
        </w:sectPr>
      </w:pPr>
    </w:p>
    <w:bookmarkStart w:id="118" w:name="page119"/>
    <w:bookmarkEnd w:id="11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auto"/>
        </w:rPr>
        <w:t>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Dresdner Kleinwort Wasserstein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66675</wp:posOffset>
            </wp:positionV>
            <wp:extent cx="741680"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741680" cy="21590"/>
                    </a:xfrm>
                    <a:prstGeom prst="rect">
                      <a:avLst/>
                    </a:prstGeom>
                    <a:noFill/>
                  </pic:spPr>
                </pic:pic>
              </a:graphicData>
            </a:graphic>
          </wp:anchor>
        </w:drawing>
      </w:r>
    </w:p>
    <w:p>
      <w:pPr>
        <w:sectPr>
          <w:pgSz w:w="11900" w:h="16843" w:orient="portrait"/>
          <w:cols w:equalWidth="0" w:num="1">
            <w:col w:w="11380"/>
          </w:cols>
          <w:pgMar w:left="240" w:top="125" w:right="279" w:bottom="0" w:gutter="0" w:footer="0" w:header="0"/>
        </w:sectPr>
      </w:pPr>
    </w:p>
    <w:p>
      <w:pPr>
        <w:spacing w:after="0" w:line="243"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1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30,500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ectPr>
          <w:pgSz w:w="11900" w:h="16843" w:orient="portrait"/>
          <w:cols w:equalWidth="0" w:num="1">
            <w:col w:w="11380"/>
          </w:cols>
          <w:pgMar w:left="240" w:top="125" w:right="279" w:bottom="0" w:gutter="0" w:footer="0" w:header="0"/>
          <w:type w:val="continuous"/>
        </w:sectPr>
      </w:pPr>
    </w:p>
    <w:bookmarkStart w:id="119" w:name="page120"/>
    <w:bookmarkEnd w:id="119"/>
    <w:p>
      <w:pPr>
        <w:spacing w:after="0" w:line="1" w:lineRule="exact"/>
        <w:rPr>
          <w:sz w:val="20"/>
          <w:szCs w:val="20"/>
          <w:color w:val="auto"/>
        </w:rPr>
      </w:pPr>
    </w:p>
    <w:tbl>
      <w:tblPr>
        <w:tblLayout w:type="fixed"/>
        <w:tblInd w:w="2060" w:type="dxa"/>
        <w:tblCellMar>
          <w:top w:w="0" w:type="dxa"/>
          <w:left w:w="0" w:type="dxa"/>
          <w:bottom w:w="0" w:type="dxa"/>
          <w:right w:w="0" w:type="dxa"/>
        </w:tblCellMar>
      </w:tblP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6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2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will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80" w:firstLine="359"/>
        <w:spacing w:after="0" w:line="332" w:lineRule="auto"/>
        <w:tabs>
          <w:tab w:leader="none" w:pos="117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254" w:lineRule="auto"/>
        <w:tabs>
          <w:tab w:leader="none" w:pos="11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capital contributions, each of Mr. Wynn and Aruze USA held a 47.5% interest in Valvino's profits and losses.</w:t>
      </w:r>
    </w:p>
    <w:p>
      <w:pPr>
        <w:sectPr>
          <w:pgSz w:w="11900" w:h="16838" w:orient="portrait"/>
          <w:cols w:equalWidth="0" w:num="1">
            <w:col w:w="11420"/>
          </w:cols>
          <w:pgMar w:left="240" w:top="131" w:right="239" w:bottom="0" w:gutter="0" w:footer="0" w:header="0"/>
          <w:type w:val="continuous"/>
        </w:sectPr>
      </w:pPr>
    </w:p>
    <w:bookmarkStart w:id="120" w:name="page121"/>
    <w:bookmarkEnd w:id="120"/>
    <w:p>
      <w:pPr>
        <w:spacing w:after="0" w:line="67" w:lineRule="exact"/>
        <w:rPr>
          <w:sz w:val="20"/>
          <w:szCs w:val="20"/>
          <w:color w:val="auto"/>
        </w:rPr>
      </w:pPr>
    </w:p>
    <w:p>
      <w:pPr>
        <w:ind w:left="540" w:right="400" w:firstLine="359"/>
        <w:spacing w:after="0" w:line="332" w:lineRule="auto"/>
        <w:tabs>
          <w:tab w:leader="none" w:pos="117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332" w:lineRule="auto"/>
        <w:tabs>
          <w:tab w:leader="none" w:pos="124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3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Registrant.(1)</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Registrant (to be adopted prior to the completion of this offering).</w:t>
      </w:r>
    </w:p>
    <w:p>
      <w:pPr>
        <w:spacing w:after="0" w:line="22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Bylaws of the Registrant.(1)</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Registrant (to be adopted prior to the completion of this offering).</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 Godfrey</w:t>
      </w:r>
    </w:p>
    <w:p>
      <w:pPr>
        <w:spacing w:after="0" w:line="225" w:lineRule="exact"/>
        <w:rPr>
          <w:sz w:val="20"/>
          <w:szCs w:val="20"/>
          <w:color w:val="auto"/>
        </w:rPr>
      </w:pPr>
    </w:p>
    <w:p>
      <w:pPr>
        <w:ind w:left="1080" w:right="2680" w:hanging="563"/>
        <w:spacing w:after="0" w:line="259"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94" w:lineRule="exact"/>
        <w:rPr>
          <w:sz w:val="20"/>
          <w:szCs w:val="20"/>
          <w:color w:val="auto"/>
        </w:rPr>
      </w:pPr>
    </w:p>
    <w:p>
      <w:pPr>
        <w:ind w:left="1080" w:right="2620" w:hanging="563"/>
        <w:spacing w:after="0" w:line="259"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94"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right="2560" w:hanging="563"/>
        <w:spacing w:after="0" w:line="335"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42"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ind w:left="1080" w:right="2800" w:hanging="651"/>
        <w:spacing w:after="0" w:line="268"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w:t>
      </w:r>
    </w:p>
    <w:p>
      <w:pPr>
        <w:spacing w:after="0" w:line="186" w:lineRule="exact"/>
        <w:rPr>
          <w:sz w:val="20"/>
          <w:szCs w:val="20"/>
          <w:color w:val="auto"/>
        </w:rPr>
      </w:pPr>
    </w:p>
    <w:p>
      <w:pPr>
        <w:ind w:left="1080" w:right="3160" w:hanging="563"/>
        <w:spacing w:after="0" w:line="268"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86" w:lineRule="exact"/>
        <w:rPr>
          <w:sz w:val="20"/>
          <w:szCs w:val="20"/>
          <w:color w:val="auto"/>
        </w:rPr>
      </w:pPr>
    </w:p>
    <w:p>
      <w:pPr>
        <w:ind w:left="1080" w:right="2700" w:hanging="563"/>
        <w:spacing w:after="0" w:line="268"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86" w:lineRule="exact"/>
        <w:rPr>
          <w:sz w:val="20"/>
          <w:szCs w:val="20"/>
          <w:color w:val="auto"/>
        </w:rPr>
      </w:pPr>
    </w:p>
    <w:p>
      <w:pPr>
        <w:ind w:left="1080" w:right="2660" w:hanging="651"/>
        <w:spacing w:after="0" w:line="268"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86" w:lineRule="exact"/>
        <w:rPr>
          <w:sz w:val="20"/>
          <w:szCs w:val="20"/>
          <w:color w:val="auto"/>
        </w:rPr>
      </w:pPr>
    </w:p>
    <w:p>
      <w:pPr>
        <w:ind w:left="1080" w:right="2520" w:hanging="644"/>
        <w:spacing w:after="0" w:line="268"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ectPr>
          <w:pgSz w:w="11900" w:h="16906" w:orient="portrait"/>
          <w:cols w:equalWidth="0" w:num="1">
            <w:col w:w="11420"/>
          </w:cols>
          <w:pgMar w:left="240" w:top="131" w:right="23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Continuing Guaranty, dated June 4, 2002, by Austi, Inc. in favor of Wynn Las Vegas, LLC.(1)</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Design/Build Agreement, dated June 6, 2002, by and between Wynn Las Vegas, LLC and Bomel Construction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Company, Inc.(1)</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2280" w:type="dxa"/>
            <w:vAlign w:val="bottom"/>
          </w:tcPr>
          <w:p>
            <w:pPr>
              <w:ind w:left="140"/>
              <w:spacing w:after="0"/>
              <w:rPr>
                <w:sz w:val="20"/>
                <w:szCs w:val="20"/>
                <w:color w:val="auto"/>
              </w:rPr>
            </w:pPr>
            <w:r>
              <w:rPr>
                <w:rFonts w:ascii="Arial" w:cs="Arial" w:eastAsia="Arial" w:hAnsi="Arial"/>
                <w:sz w:val="18"/>
                <w:szCs w:val="18"/>
                <w:color w:val="auto"/>
              </w:rPr>
              <w:t>2002 Stock Incentive Plan</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April 1, 2002, by and between Wynn Resorts Holdings, LLC and Ronald J.</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Kramer.(2)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Contribution Agreement, dated as of June 11, 2002 by and among Stephen A. Wynn, Aruze USA, Inc., Baron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Asset Fund, the Kenneth R. Wynn Family Trust dated February 1985 and Wynn Resorts, Limited.(2)</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Amended and Restated Business Loan Agreement, dated as of May 30, 2002, between Bank of America, N.A.</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and World Travel, LLC.(2)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Continuing Guaranty, dated May 30, 2002, by Valvino Lamore, LLC in favor of Bank of America, N.A.(2)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Agreement, dated as of June 2002, by and between Stephen A. Wynn and Wynn Resorts, Limited.(2)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Purchase Agreement, dated May 30, 2002, between Stephen A. Wynn and Valvino Lamore, LLC.(2)</w:t>
            </w:r>
          </w:p>
        </w:tc>
        <w:tc>
          <w:tcPr>
            <w:tcW w:w="0" w:type="dxa"/>
            <w:vAlign w:val="bottom"/>
          </w:tcPr>
          <w:p>
            <w:pPr>
              <w:spacing w:after="0"/>
              <w:rPr>
                <w:sz w:val="1"/>
                <w:szCs w:val="1"/>
                <w:color w:val="auto"/>
              </w:rPr>
            </w:pPr>
          </w:p>
        </w:tc>
      </w:tr>
      <w:tr>
        <w:trPr>
          <w:trHeight w:val="891"/>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0" w:type="dxa"/>
            <w:vAlign w:val="bottom"/>
          </w:tcPr>
          <w:p>
            <w:pPr>
              <w:ind w:left="236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28"/>
        </w:trPr>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2280" w:type="dxa"/>
            <w:vAlign w:val="bottom"/>
          </w:tcPr>
          <w:p>
            <w:pPr>
              <w:ind w:left="140"/>
              <w:spacing w:after="0"/>
              <w:rPr>
                <w:sz w:val="20"/>
                <w:szCs w:val="20"/>
                <w:color w:val="auto"/>
              </w:rPr>
            </w:pPr>
            <w:r>
              <w:rPr>
                <w:rFonts w:ascii="Arial" w:cs="Arial" w:eastAsia="Arial" w:hAnsi="Arial"/>
                <w:sz w:val="18"/>
                <w:szCs w:val="18"/>
                <w:color w:val="auto"/>
              </w:rPr>
              <w:t>Agreement, dated as of</w:t>
            </w:r>
          </w:p>
        </w:tc>
        <w:tc>
          <w:tcPr>
            <w:tcW w:w="8200" w:type="dxa"/>
            <w:vAlign w:val="bottom"/>
          </w:tcPr>
          <w:p>
            <w:pPr>
              <w:ind w:left="20"/>
              <w:spacing w:after="0"/>
              <w:rPr>
                <w:sz w:val="20"/>
                <w:szCs w:val="20"/>
                <w:color w:val="auto"/>
              </w:rPr>
            </w:pPr>
            <w:r>
              <w:rPr>
                <w:rFonts w:ascii="Arial" w:cs="Arial" w:eastAsia="Arial" w:hAnsi="Arial"/>
                <w:sz w:val="18"/>
                <w:szCs w:val="18"/>
                <w:color w:val="auto"/>
              </w:rPr>
              <w:t>, between Wynn Design and Development, LLC and Butler/Ashworth</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Architects, Inc.</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May 31, 2002, by and between Valvino Lamore, LLC and Matt Maddox.</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Concession Contract for the Operation of Games of Chance or Other Games in Casinos in the Macau Special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Administrative Region, dated June 24, 2002, between the Macau Special Administrative Region and Wynn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Resorts (Macau), S.A. (English translation of Portuguese version of Concession Agreement).(2)</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Amended and Restated Commitment Letter Agreement, dated June 14, 2002, among Deutsche Bank Trust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Company Americas, Deutsche Bank Securities Inc., Bank of America, N.A., Banc of America Securities LLC,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Bear Stearns Corporate Lending, Inc., Bear Stearns &amp; Co. Inc., Wynn Resorts Holdings, LLC and Wynn Las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Vegas, LLC.(2)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Agreement for Guarantee Maximum Price Construction Services Change Order, dated as of August 12, 2002,</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between Marnell Corrao Associates, Inc. and Wynn Las Vegas, LLC.(2)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Letter from Arthur Andersen LLP.(3)</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280" w:type="dxa"/>
            <w:vAlign w:val="bottom"/>
          </w:tcPr>
          <w:p>
            <w:pPr>
              <w:ind w:left="140"/>
              <w:spacing w:after="0"/>
              <w:rPr>
                <w:sz w:val="20"/>
                <w:szCs w:val="20"/>
                <w:color w:val="auto"/>
              </w:rPr>
            </w:pPr>
            <w:r>
              <w:rPr>
                <w:rFonts w:ascii="Arial" w:cs="Arial" w:eastAsia="Arial" w:hAnsi="Arial"/>
                <w:sz w:val="18"/>
                <w:szCs w:val="18"/>
                <w:color w:val="auto"/>
                <w:w w:val="88"/>
              </w:rPr>
              <w:t>Subsidiaries of the Registrant.</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Schreck Brignone Godfrey (included in Exhibit 5.1).</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Deloitte &amp; Touche LLP.(3)</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Consents of Persons Named to Become Directors.(3)</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28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540" w:type="dxa"/>
            <w:vAlign w:val="bottom"/>
            <w:gridSpan w:val="2"/>
          </w:tcPr>
          <w:p>
            <w:pPr>
              <w:spacing w:after="0"/>
              <w:rPr>
                <w:sz w:val="10"/>
                <w:szCs w:val="10"/>
                <w:color w:val="auto"/>
              </w:rPr>
            </w:pPr>
          </w:p>
        </w:tc>
        <w:tc>
          <w:tcPr>
            <w:tcW w:w="8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2960" w:type="dxa"/>
            <w:vAlign w:val="bottom"/>
            <w:gridSpan w:val="3"/>
          </w:tcPr>
          <w:p>
            <w:pPr>
              <w:ind w:left="280"/>
              <w:spacing w:after="0"/>
              <w:rPr>
                <w:sz w:val="20"/>
                <w:szCs w:val="20"/>
                <w:color w:val="auto"/>
              </w:rPr>
            </w:pPr>
            <w:r>
              <w:rPr>
                <w:rFonts w:ascii="Arial" w:cs="Arial" w:eastAsia="Arial" w:hAnsi="Arial"/>
                <w:sz w:val="14"/>
                <w:szCs w:val="14"/>
                <w:color w:val="auto"/>
              </w:rPr>
              <w:t>To be filed by amendment.</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0" w:type="dxa"/>
            <w:vAlign w:val="bottom"/>
            <w:vMerge w:val="continue"/>
          </w:tcPr>
          <w:p>
            <w:pPr>
              <w:spacing w:after="0"/>
              <w:rPr>
                <w:sz w:val="4"/>
                <w:szCs w:val="4"/>
                <w:color w:val="auto"/>
              </w:rPr>
            </w:pPr>
          </w:p>
        </w:tc>
        <w:tc>
          <w:tcPr>
            <w:tcW w:w="11160" w:type="dxa"/>
            <w:vAlign w:val="bottom"/>
            <w:gridSpan w:val="4"/>
            <w:vMerge w:val="restart"/>
          </w:tcPr>
          <w:p>
            <w:pPr>
              <w:ind w:left="280"/>
              <w:spacing w:after="0" w:line="108" w:lineRule="exact"/>
              <w:rPr>
                <w:sz w:val="20"/>
                <w:szCs w:val="20"/>
                <w:color w:val="auto"/>
              </w:rPr>
            </w:pPr>
            <w:r>
              <w:rPr>
                <w:rFonts w:ascii="Arial" w:cs="Arial" w:eastAsia="Arial" w:hAnsi="Arial"/>
                <w:sz w:val="12"/>
                <w:szCs w:val="12"/>
                <w:color w:val="auto"/>
              </w:rPr>
              <w:t>Previously filed with the Form S-1 filed by the Registrant on June 17, 2002.</w:t>
            </w:r>
          </w:p>
        </w:tc>
        <w:tc>
          <w:tcPr>
            <w:tcW w:w="0" w:type="dxa"/>
            <w:vAlign w:val="bottom"/>
          </w:tcPr>
          <w:p>
            <w:pPr>
              <w:spacing w:after="0"/>
              <w:rPr>
                <w:sz w:val="1"/>
                <w:szCs w:val="1"/>
                <w:color w:val="auto"/>
              </w:rPr>
            </w:pPr>
          </w:p>
        </w:tc>
      </w:tr>
      <w:tr>
        <w:trPr>
          <w:trHeight w:val="54"/>
        </w:trPr>
        <w:tc>
          <w:tcPr>
            <w:tcW w:w="260" w:type="dxa"/>
            <w:vAlign w:val="bottom"/>
          </w:tcPr>
          <w:p>
            <w:pPr>
              <w:spacing w:after="0" w:line="54" w:lineRule="exact"/>
              <w:rPr>
                <w:sz w:val="20"/>
                <w:szCs w:val="20"/>
                <w:color w:val="auto"/>
              </w:rPr>
            </w:pPr>
            <w:r>
              <w:rPr>
                <w:rFonts w:ascii="Arial" w:cs="Arial" w:eastAsia="Arial" w:hAnsi="Arial"/>
                <w:sz w:val="6"/>
                <w:szCs w:val="6"/>
                <w:color w:val="auto"/>
              </w:rPr>
              <w:t>(1)</w:t>
            </w:r>
          </w:p>
        </w:tc>
        <w:tc>
          <w:tcPr>
            <w:tcW w:w="11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60" w:type="dxa"/>
            <w:vAlign w:val="bottom"/>
            <w:vMerge w:val="restart"/>
          </w:tcPr>
          <w:p>
            <w:pPr>
              <w:spacing w:after="0"/>
              <w:rPr>
                <w:sz w:val="20"/>
                <w:szCs w:val="20"/>
                <w:color w:val="auto"/>
              </w:rPr>
            </w:pPr>
            <w:r>
              <w:rPr>
                <w:rFonts w:ascii="Arial" w:cs="Arial" w:eastAsia="Arial" w:hAnsi="Arial"/>
                <w:sz w:val="14"/>
                <w:szCs w:val="14"/>
                <w:color w:val="auto"/>
              </w:rPr>
              <w:t>(2)</w:t>
            </w:r>
          </w:p>
        </w:tc>
        <w:tc>
          <w:tcPr>
            <w:tcW w:w="11160" w:type="dxa"/>
            <w:vAlign w:val="bottom"/>
            <w:gridSpan w:val="4"/>
          </w:tcPr>
          <w:p>
            <w:pPr>
              <w:ind w:left="280"/>
              <w:spacing w:after="0" w:line="95" w:lineRule="exact"/>
              <w:rPr>
                <w:sz w:val="20"/>
                <w:szCs w:val="20"/>
                <w:color w:val="auto"/>
              </w:rPr>
            </w:pPr>
            <w:r>
              <w:rPr>
                <w:rFonts w:ascii="Arial" w:cs="Arial" w:eastAsia="Arial" w:hAnsi="Arial"/>
                <w:sz w:val="10"/>
                <w:szCs w:val="10"/>
                <w:color w:val="auto"/>
              </w:rPr>
              <w:t>Previously filed with Amendment No. 1 to the Form S-1 filed by the Registrant on August 20, 2002.</w:t>
            </w:r>
          </w:p>
        </w:tc>
        <w:tc>
          <w:tcPr>
            <w:tcW w:w="0" w:type="dxa"/>
            <w:vAlign w:val="bottom"/>
          </w:tcPr>
          <w:p>
            <w:pPr>
              <w:spacing w:after="0"/>
              <w:rPr>
                <w:sz w:val="1"/>
                <w:szCs w:val="1"/>
                <w:color w:val="auto"/>
              </w:rPr>
            </w:pPr>
          </w:p>
        </w:tc>
      </w:tr>
      <w:tr>
        <w:trPr>
          <w:trHeight w:val="95"/>
        </w:trPr>
        <w:tc>
          <w:tcPr>
            <w:tcW w:w="260" w:type="dxa"/>
            <w:vAlign w:val="bottom"/>
            <w:vMerge w:val="continue"/>
          </w:tcPr>
          <w:p>
            <w:pPr>
              <w:spacing w:after="0"/>
              <w:rPr>
                <w:sz w:val="8"/>
                <w:szCs w:val="8"/>
                <w:color w:val="auto"/>
              </w:rPr>
            </w:pPr>
          </w:p>
        </w:tc>
        <w:tc>
          <w:tcPr>
            <w:tcW w:w="2960" w:type="dxa"/>
            <w:vAlign w:val="bottom"/>
            <w:gridSpan w:val="3"/>
          </w:tcPr>
          <w:p>
            <w:pPr>
              <w:ind w:left="280"/>
              <w:spacing w:after="0" w:line="95" w:lineRule="exact"/>
              <w:rPr>
                <w:sz w:val="20"/>
                <w:szCs w:val="20"/>
                <w:color w:val="auto"/>
              </w:rPr>
            </w:pPr>
            <w:r>
              <w:rPr>
                <w:rFonts w:ascii="Arial" w:cs="Arial" w:eastAsia="Arial" w:hAnsi="Arial"/>
                <w:sz w:val="10"/>
                <w:szCs w:val="10"/>
                <w:color w:val="auto"/>
              </w:rPr>
              <w:t>Filed herewith.</w:t>
            </w: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-4761230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-4761230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-490220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-490220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8"/>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-217805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-217805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ectPr>
          <w:pgSz w:w="11900" w:h="16838" w:orient="portrait"/>
          <w:cols w:equalWidth="0" w:num="1">
            <w:col w:w="11420"/>
          </w:cols>
          <w:pgMar w:left="240" w:top="347" w:right="239" w:bottom="167" w:gutter="0" w:footer="0" w:header="0"/>
        </w:sectPr>
      </w:pPr>
    </w:p>
    <w:bookmarkStart w:id="122" w:name="page123"/>
    <w:bookmarkEnd w:id="122"/>
    <w:p>
      <w:pPr>
        <w:spacing w:after="0" w:line="43"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2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Chairman of the Board of Directors &amp; Chief Executive</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Officer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280" w:type="dxa"/>
            <w:vAlign w:val="bottom"/>
          </w:tcPr>
          <w:p>
            <w:pPr>
              <w:ind w:left="220"/>
              <w:spacing w:after="0"/>
              <w:rPr>
                <w:sz w:val="20"/>
                <w:szCs w:val="20"/>
                <w:color w:val="auto"/>
              </w:rPr>
            </w:pPr>
            <w:r>
              <w:rPr>
                <w:rFonts w:ascii="Arial" w:cs="Arial" w:eastAsia="Arial" w:hAnsi="Arial"/>
                <w:sz w:val="18"/>
                <w:szCs w:val="18"/>
                <w:color w:val="auto"/>
              </w:rPr>
              <w:t>Chairman of the Board of Directors and Chief Executive Officer</w:t>
            </w:r>
          </w:p>
        </w:tc>
        <w:tc>
          <w:tcPr>
            <w:tcW w:w="2320" w:type="dxa"/>
            <w:vAlign w:val="bottom"/>
          </w:tcPr>
          <w:p>
            <w:pPr>
              <w:ind w:left="52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0"/>
        </w:trPr>
        <w:tc>
          <w:tcPr>
            <w:tcW w:w="3820" w:type="dxa"/>
            <w:vAlign w:val="bottom"/>
            <w:tcBorders>
              <w:bottom w:val="single" w:sz="8" w:color="808080"/>
            </w:tcBorders>
          </w:tcPr>
          <w:p>
            <w:pPr>
              <w:spacing w:after="0"/>
              <w:rPr>
                <w:sz w:val="10"/>
                <w:szCs w:val="10"/>
                <w:color w:val="auto"/>
              </w:rPr>
            </w:pPr>
          </w:p>
        </w:tc>
        <w:tc>
          <w:tcPr>
            <w:tcW w:w="5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28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 (Principal</w:t>
            </w:r>
          </w:p>
        </w:tc>
        <w:tc>
          <w:tcPr>
            <w:tcW w:w="2320" w:type="dxa"/>
            <w:vAlign w:val="bottom"/>
          </w:tcPr>
          <w:p>
            <w:pPr>
              <w:ind w:left="52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820" w:type="dxa"/>
            <w:vAlign w:val="bottom"/>
            <w:tcBorders>
              <w:bottom w:val="single" w:sz="8" w:color="808080"/>
            </w:tcBorders>
          </w:tcPr>
          <w:p>
            <w:pPr>
              <w:spacing w:after="0"/>
              <w:rPr>
                <w:sz w:val="11"/>
                <w:szCs w:val="11"/>
                <w:color w:val="auto"/>
              </w:rPr>
            </w:pPr>
          </w:p>
        </w:tc>
        <w:tc>
          <w:tcPr>
            <w:tcW w:w="5280" w:type="dxa"/>
            <w:vAlign w:val="bottom"/>
            <w:vMerge w:val="restart"/>
          </w:tcPr>
          <w:p>
            <w:pPr>
              <w:ind w:left="220"/>
              <w:spacing w:after="0"/>
              <w:rPr>
                <w:sz w:val="20"/>
                <w:szCs w:val="20"/>
                <w:color w:val="auto"/>
              </w:rPr>
            </w:pPr>
            <w:r>
              <w:rPr>
                <w:rFonts w:ascii="Arial" w:cs="Arial" w:eastAsia="Arial" w:hAnsi="Arial"/>
                <w:sz w:val="18"/>
                <w:szCs w:val="18"/>
                <w:color w:val="auto"/>
              </w:rPr>
              <w:t>Financial Officer and Principal Accounting Officer)</w:t>
            </w: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28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5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5280" w:type="dxa"/>
            <w:vAlign w:val="bottom"/>
          </w:tcPr>
          <w:p>
            <w:pPr>
              <w:ind w:left="1760"/>
              <w:spacing w:after="0"/>
              <w:rPr>
                <w:sz w:val="20"/>
                <w:szCs w:val="20"/>
                <w:color w:val="auto"/>
              </w:rPr>
            </w:pPr>
            <w:r>
              <w:rPr>
                <w:rFonts w:ascii="Arial" w:cs="Arial" w:eastAsia="Arial" w:hAnsi="Arial"/>
                <w:sz w:val="18"/>
                <w:szCs w:val="18"/>
                <w:color w:val="auto"/>
              </w:rPr>
              <w:t>II-7</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-1214755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-648970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w:t>
      </w:r>
    </w:p>
    <w:p>
      <w:pPr>
        <w:sectPr>
          <w:pgSz w:w="11900" w:h="16882" w:orient="portrait"/>
          <w:cols w:equalWidth="0" w:num="1">
            <w:col w:w="11420"/>
          </w:cols>
          <w:pgMar w:left="240" w:top="131" w:right="239" w:bottom="0" w:gutter="0" w:footer="0" w:header="0"/>
        </w:sectPr>
      </w:pPr>
    </w:p>
    <w:bookmarkStart w:id="123" w:name="page124"/>
    <w:bookmarkEnd w:id="123"/>
    <w:p>
      <w:pPr>
        <w:spacing w:after="0" w:line="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Arial" w:cs="Arial" w:eastAsia="Arial" w:hAnsi="Arial"/>
                <w:sz w:val="14"/>
                <w:szCs w:val="14"/>
                <w:b w:val="1"/>
                <w:bCs w:val="1"/>
                <w:color w:val="auto"/>
                <w:w w:val="88"/>
              </w:rPr>
              <w:t>No.</w:t>
            </w:r>
          </w:p>
        </w:tc>
        <w:tc>
          <w:tcPr>
            <w:tcW w:w="348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Registrant (to be adopted prior to the completion of this offering).</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Bylaws of the Registrant.(1)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Registrant (to be adopted prior to the completion of this offering).</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 Godfrey</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800" w:hanging="651"/>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w:t>
      </w:r>
    </w:p>
    <w:p>
      <w:pPr>
        <w:spacing w:after="0" w:line="1" w:lineRule="exact"/>
        <w:rPr>
          <w:sz w:val="20"/>
          <w:szCs w:val="20"/>
          <w:color w:val="auto"/>
        </w:rPr>
      </w:pPr>
    </w:p>
    <w:p>
      <w:pPr>
        <w:ind w:left="1080" w:right="316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700"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80" w:right="2680" w:hanging="651"/>
        <w:spacing w:after="0" w:line="250"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1080" w:right="2520" w:hanging="644"/>
        <w:spacing w:after="0" w:line="261"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ectPr>
          <w:pgSz w:w="11900" w:h="16900" w:orient="portrait"/>
          <w:cols w:equalWidth="0" w:num="1">
            <w:col w:w="11420"/>
          </w:cols>
          <w:pgMar w:left="240" w:top="131" w:right="239" w:bottom="0" w:gutter="0" w:footer="0" w:header="0"/>
        </w:sectPr>
      </w:pPr>
    </w:p>
    <w:bookmarkStart w:id="124" w:name="page125"/>
    <w:bookmarkEnd w:id="124"/>
    <w:p>
      <w:pPr>
        <w:spacing w:after="0" w:line="2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15" w:lineRule="exact"/>
        <w:rPr>
          <w:sz w:val="20"/>
          <w:szCs w:val="20"/>
          <w:color w:val="auto"/>
        </w:rPr>
      </w:pPr>
    </w:p>
    <w:p>
      <w:pPr>
        <w:ind w:left="1080" w:right="1379" w:hanging="651"/>
        <w:spacing w:after="0" w:line="250" w:lineRule="auto"/>
        <w:tabs>
          <w:tab w:leader="none" w:pos="10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2002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w:t>
      </w:r>
    </w:p>
    <w:p>
      <w:pPr>
        <w:spacing w:after="0" w:line="15" w:lineRule="exact"/>
        <w:rPr>
          <w:sz w:val="20"/>
          <w:szCs w:val="20"/>
          <w:color w:val="auto"/>
        </w:rPr>
      </w:pPr>
    </w:p>
    <w:p>
      <w:pPr>
        <w:ind w:left="1080" w:right="1619" w:hanging="651"/>
        <w:spacing w:after="0" w:line="250" w:lineRule="auto"/>
        <w:tabs>
          <w:tab w:leader="none" w:pos="106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left="580" w:right="80"/>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1080" w:right="1399" w:hanging="651"/>
        <w:spacing w:after="0" w:line="250" w:lineRule="auto"/>
        <w:tabs>
          <w:tab w:leader="none" w:pos="106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2002, by and between Stephen A. Wynn and Wynn Resorts, Limited.(2)</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1080" w:right="2079" w:hanging="738"/>
        <w:spacing w:after="0" w:line="250" w:lineRule="auto"/>
        <w:tabs>
          <w:tab w:leader="none" w:pos="106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080" w:right="1479" w:hanging="651"/>
        <w:spacing w:after="0" w:line="281"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1080" w:right="1379" w:hanging="651"/>
        <w:spacing w:after="0" w:line="250" w:lineRule="auto"/>
        <w:tabs>
          <w:tab w:leader="none" w:pos="106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1080" w:right="1459" w:hanging="651"/>
        <w:spacing w:after="0" w:line="250" w:lineRule="auto"/>
        <w:tabs>
          <w:tab w:leader="none" w:pos="106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Godfrey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LLP.(3)</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Consents of Persons Named to Become Directors.(3)</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72"/>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72"/>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72"/>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1539"/>
        <w:spacing w:after="0" w:line="250"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CERTAIN RELATIONSHIPS AND RELATED PARTY TRANSACTIONS</w:t>
        </w:r>
      </w:hyperlink>
    </w:p>
    <w:p>
      <w:pPr>
        <w:sectPr>
          <w:pgSz w:w="11900" w:h="16859" w:orient="portrait"/>
          <w:cols w:equalWidth="0" w:num="1">
            <w:col w:w="10219"/>
          </w:cols>
          <w:pgMar w:left="240" w:top="131" w:right="1440" w:bottom="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OWNERSHIP OF CAPITAL STOCK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ind w:right="220"/>
        <w:spacing w:after="0" w:line="250" w:lineRule="auto"/>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60"/>
        <w:spacing w:after="0" w:line="281" w:lineRule="auto"/>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VALVINO LAMORE, LLC AND SUBSIDIARIES CONSOLIDATING BALANCE SHEETS As of June 30, 2002 (In thousands) (Unaudited)</w:t>
        </w:r>
      </w:hyperlink>
    </w:p>
    <w:p>
      <w:pPr>
        <w:spacing w:after="0" w:line="1" w:lineRule="exact"/>
        <w:rPr>
          <w:sz w:val="20"/>
          <w:szCs w:val="20"/>
          <w:color w:val="auto"/>
        </w:rPr>
      </w:pPr>
    </w:p>
    <w:p>
      <w:pPr>
        <w:ind w:right="660"/>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BALANCE SHEETS As of December 31, 2001 (In thousands)</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VALVINO LAMORE, LLC AND SUBSIDIARIES CONSOLIDATING BALANCE SHEETS AS OF DECEMBER 31, 2000 (In Thousands)</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VALVINO LAMORE, LLC AND SUBSIDIARIES CONSOLIDATING STATEMENTS OF OPERATIONS SIX MONTHS ENDED JUNE 30, 2002 (In</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Thousands) (Unaudited)</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VALVINO LAMORE, LLC AND SUBSIDIARIES CONSOLIDATING STATEMENTS OF OPERATIONS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VALVINO LAMORE, LLC AND SUBSIDIARIES CONSOLIDATING STATEMENTS OF OPERATIONS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VALVINO LAMORE, LLC AND SUBSIDIARIES CONSOLIDATING STATEMENTS OF OPERATIONS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VALVINO LAMORE, LLC AND SUBSIDIARIES CONSOLIDATING STATEMENTS OF CASH FLOWS Six Months Ended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VALVINO LAMORE, LLC AND SUBSIDIARIES CONSOLIDATING STATEMENTS OF CASH FLOWS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VALVINO LAMORE, LLC AND SUBSIDIARIES CONSOLIDATING STATEMENTS OF CASH FLOWS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VALVINO LAMORE, LLC AND SUBSIDIARIES CONSOLIDATING STATEMENTS OF CASH FLOWS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PART II INFORMATION NOT REQUIRED IN PROSPECTUS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INDEPENDENT AUDITORS' REPORT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6" w:name="page127"/>
    <w:bookmarkEnd w:id="126"/>
    <w:p>
      <w:pPr>
        <w:ind w:left="10520"/>
        <w:spacing w:after="0"/>
        <w:rPr>
          <w:sz w:val="20"/>
          <w:szCs w:val="20"/>
          <w:color w:val="auto"/>
        </w:rPr>
      </w:pPr>
      <w:r>
        <w:rPr>
          <w:rFonts w:ascii="Arial" w:cs="Arial" w:eastAsia="Arial" w:hAnsi="Arial"/>
          <w:sz w:val="16"/>
          <w:szCs w:val="16"/>
          <w:b w:val="1"/>
          <w:bCs w:val="1"/>
          <w:color w:val="auto"/>
        </w:rPr>
        <w:t>Exhibit 16.1</w:t>
      </w:r>
    </w:p>
    <w:p>
      <w:pPr>
        <w:spacing w:after="0" w:line="248"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 xml:space="preserve">[Logo] </w:t>
      </w:r>
      <w:r>
        <w:rPr>
          <w:rFonts w:ascii="Arial" w:cs="Arial" w:eastAsia="Arial" w:hAnsi="Arial"/>
          <w:sz w:val="16"/>
          <w:szCs w:val="16"/>
          <w:b w:val="1"/>
          <w:bCs w:val="1"/>
          <w:color w:val="auto"/>
        </w:rPr>
        <w:t>ANDERSEN</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June 17,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Chief Accountant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Arthur Andersen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501 North 44th Street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Phoenix, AZ 65008</w:t>
      </w:r>
    </w:p>
    <w:p>
      <w:pPr>
        <w:spacing w:after="0" w:line="9" w:lineRule="exact"/>
        <w:rPr>
          <w:sz w:val="20"/>
          <w:szCs w:val="20"/>
          <w:color w:val="auto"/>
        </w:rPr>
      </w:pPr>
    </w:p>
    <w:p>
      <w:pPr>
        <w:sectPr>
          <w:pgSz w:w="11900" w:h="16838" w:orient="portrait"/>
          <w:cols w:equalWidth="0" w:num="2">
            <w:col w:w="7980" w:space="720"/>
            <w:col w:w="2720"/>
          </w:cols>
          <w:pgMar w:left="240" w:top="5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450 Fifth Street,</w:t>
      </w:r>
    </w:p>
    <w:p>
      <w:pPr>
        <w:sectPr>
          <w:pgSz w:w="11900" w:h="16838" w:orient="portrait"/>
          <w:cols w:equalWidth="0" w:num="1">
            <w:col w:w="11420"/>
          </w:cols>
          <w:pgMar w:left="240" w:top="584"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N.W. Washington, D.C. 20549</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Tel: 602.285.2000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Fax: 602.286.2199</w:t>
      </w:r>
    </w:p>
    <w:p>
      <w:pPr>
        <w:spacing w:after="0" w:line="200" w:lineRule="exact"/>
        <w:rPr>
          <w:sz w:val="20"/>
          <w:szCs w:val="20"/>
          <w:color w:val="auto"/>
        </w:rPr>
      </w:pPr>
    </w:p>
    <w:p>
      <w:pPr>
        <w:sectPr>
          <w:pgSz w:w="11900" w:h="16838" w:orient="portrait"/>
          <w:cols w:equalWidth="0" w:num="2">
            <w:col w:w="7980" w:space="720"/>
            <w:col w:w="2720"/>
          </w:cols>
          <w:pgMar w:left="240" w:top="584" w:right="239" w:bottom="1440" w:gutter="0" w:footer="0" w:header="0"/>
          <w:type w:val="continuous"/>
        </w:sectPr>
      </w:pPr>
    </w:p>
    <w:p>
      <w:pPr>
        <w:spacing w:after="0" w:line="53" w:lineRule="exact"/>
        <w:rPr>
          <w:sz w:val="20"/>
          <w:szCs w:val="20"/>
          <w:color w:val="auto"/>
        </w:rPr>
      </w:pPr>
    </w:p>
    <w:p>
      <w:pPr>
        <w:ind w:left="8700"/>
        <w:spacing w:after="0"/>
        <w:rPr>
          <w:sz w:val="20"/>
          <w:szCs w:val="20"/>
          <w:color w:val="auto"/>
        </w:rPr>
      </w:pPr>
      <w:r>
        <w:rPr>
          <w:rFonts w:ascii="Arial" w:cs="Arial" w:eastAsia="Arial" w:hAnsi="Arial"/>
          <w:sz w:val="15"/>
          <w:szCs w:val="15"/>
          <w:i w:val="1"/>
          <w:iCs w:val="1"/>
          <w:color w:val="auto"/>
        </w:rPr>
        <w:t>www.andersen.com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ectPr>
          <w:pgSz w:w="11900" w:h="16838" w:orient="portrait"/>
          <w:cols w:equalWidth="0" w:num="1">
            <w:col w:w="11420"/>
          </w:cols>
          <w:pgMar w:left="240" w:top="584" w:right="239" w:bottom="1440" w:gutter="0" w:footer="0" w:header="0"/>
          <w:type w:val="continuous"/>
        </w:sectPr>
      </w:pPr>
    </w:p>
    <w:p>
      <w:pPr>
        <w:spacing w:after="0" w:line="225" w:lineRule="exact"/>
        <w:rPr>
          <w:sz w:val="20"/>
          <w:szCs w:val="20"/>
          <w:color w:val="auto"/>
        </w:rPr>
      </w:pPr>
    </w:p>
    <w:p>
      <w:pPr>
        <w:jc w:val="both"/>
        <w:ind w:right="260" w:firstLine="348"/>
        <w:spacing w:after="0" w:line="335" w:lineRule="auto"/>
        <w:rPr>
          <w:sz w:val="20"/>
          <w:szCs w:val="20"/>
          <w:color w:val="auto"/>
        </w:rPr>
      </w:pPr>
      <w:r>
        <w:rPr>
          <w:rFonts w:ascii="Arial" w:cs="Arial" w:eastAsia="Arial" w:hAnsi="Arial"/>
          <w:sz w:val="15"/>
          <w:szCs w:val="15"/>
          <w:color w:val="auto"/>
        </w:rPr>
        <w:t>We have read the first paragraph under the heading "Independent Accountants" included in the Form S-1, dated June 17, 2002, of Wynn Resorts, Limited filed with the Securities and Exchange Commission. Based solely on discussions and representations from the Andersen engagement partner (who is no longer with Andersen) on the audits of the financial statements referred to in this paragraph, we have no basis for disagreement with the statements contained therein.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 to: Mr. John Strzemp, Executive Vice President and Chief Financial Officer,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27" w:name="page128"/>
    <w:bookmarkEnd w:id="127"/>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consent to the use in this Amendment No. 2 to Registration Statement No. 333-90600 of Wynn Resorts, Limited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INDEPENDENT AUDITORS' CONSENT</w:t>
        </w:r>
      </w:hyperlink>
    </w:p>
    <w:p>
      <w:pPr>
        <w:sectPr>
          <w:pgSz w:w="11900" w:h="16838" w:orient="portrait"/>
          <w:cols w:equalWidth="0" w:num="1">
            <w:col w:w="11380"/>
          </w:cols>
          <w:pgMar w:left="240" w:top="361" w:right="279" w:bottom="1440" w:gutter="0" w:footer="0" w:header="0"/>
        </w:sectPr>
      </w:pPr>
    </w:p>
    <w:bookmarkStart w:id="128" w:name="page129"/>
    <w:bookmarkEnd w:id="128"/>
    <w:p>
      <w:pPr>
        <w:spacing w:after="0" w:line="69" w:lineRule="exact"/>
        <w:rPr>
          <w:sz w:val="20"/>
          <w:szCs w:val="20"/>
          <w:color w:val="auto"/>
        </w:rPr>
      </w:pPr>
    </w:p>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A. Moran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w:t>
      </w:r>
    </w:p>
    <w:p>
      <w:pPr>
        <w:sectPr>
          <w:pgSz w:w="11900" w:h="16908" w:orient="portrait"/>
          <w:cols w:equalWidth="0" w:num="1">
            <w:col w:w="11420"/>
          </w:cols>
          <w:pgMar w:left="240" w:top="361" w:right="239" w:bottom="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amendments thereto.</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8/26,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8/21,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2 to the registration statement on Form S-1 of Wynn Resorts, Limited dated August 26,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Allan Zeman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26 August,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CONSENT OF PERSON NAMED TO BECOME A DIRECTOR</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CONSENT OF PERSON NAMED TO BECOME A DIRECTOR</w:t>
        </w:r>
      </w:hyperlink>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
      <w:numFmt w:val="bullet"/>
      <w:start w:val="1"/>
    </w:lvl>
    <w:lvl w:ilvl="1">
      <w:lvlJc w:val="left"/>
      <w:lvlText w:val="•"/>
      <w:numFmt w:val="bullet"/>
      <w:start w:val="1"/>
    </w:lvl>
  </w:abstractNum>
  <w:abstractNum w:abstractNumId="4">
    <w:nsid w:val="14E17E33"/>
    <w:multiLevelType w:val="hybridMultilevel"/>
    <w:lvl w:ilvl="0">
      <w:lvlJc w:val="left"/>
      <w:lvlText w:val="•"/>
      <w:numFmt w:val="bullet"/>
      <w:start w:val="1"/>
    </w:lvl>
    <w:lvl w:ilvl="1">
      <w:lvlJc w:val="left"/>
      <w:lvlText w:val="•"/>
      <w:numFmt w:val="bullet"/>
      <w:start w:val="1"/>
    </w:lvl>
  </w:abstractNum>
  <w:abstractNum w:abstractNumId="5">
    <w:nsid w:val="3222E7CD"/>
    <w:multiLevelType w:val="hybridMultilevel"/>
    <w:lvl w:ilvl="0">
      <w:lvlJc w:val="left"/>
      <w:lvlText w:val="(%1)"/>
      <w:numFmt w:val="decimal"/>
      <w:start w:val="1"/>
    </w:lvl>
  </w:abstractNum>
  <w:abstractNum w:abstractNumId="6">
    <w:nsid w:val="74DE0EE3"/>
    <w:multiLevelType w:val="hybridMultilevel"/>
    <w:lvl w:ilvl="0">
      <w:lvlJc w:val="left"/>
      <w:lvlText w:val="(%1)"/>
      <w:numFmt w:val="decimal"/>
      <w:start w:val="6"/>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lvl w:ilvl="1">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
      <w:numFmt w:val="bullet"/>
      <w:start w:val="1"/>
    </w:lvl>
  </w:abstractNum>
  <w:abstractNum w:abstractNumId="30">
    <w:nsid w:val="73A1821B"/>
    <w:multiLevelType w:val="hybridMultilevel"/>
    <w:lvl w:ilvl="0">
      <w:lvlJc w:val="left"/>
      <w:lvlText w:val="•"/>
      <w:numFmt w:val="bullet"/>
      <w:start w:val="1"/>
    </w:lvl>
  </w:abstractNum>
  <w:abstractNum w:abstractNumId="31">
    <w:nsid w:val="7DE67713"/>
    <w:multiLevelType w:val="hybridMultilevel"/>
    <w:lvl w:ilvl="0">
      <w:lvlJc w:val="left"/>
      <w:lvlText w:val="•"/>
      <w:numFmt w:val="bullet"/>
      <w:start w:val="1"/>
    </w:lvl>
  </w:abstractNum>
  <w:abstractNum w:abstractNumId="32">
    <w:nsid w:val="555C55B5"/>
    <w:multiLevelType w:val="hybridMultilevel"/>
    <w:lvl w:ilvl="0">
      <w:lvlJc w:val="left"/>
      <w:lvlText w:val="•"/>
      <w:numFmt w:val="bullet"/>
      <w:start w:val="1"/>
    </w:lvl>
  </w:abstractNum>
  <w:abstractNum w:abstractNumId="33">
    <w:nsid w:val="3FA62ACA"/>
    <w:multiLevelType w:val="hybridMultilevel"/>
    <w:lvl w:ilvl="0">
      <w:lvlJc w:val="left"/>
      <w:lvlText w:val="(%1)"/>
      <w:numFmt w:val="decimal"/>
      <w:start w:val="1"/>
    </w:lvl>
  </w:abstractNum>
  <w:abstractNum w:abstractNumId="34">
    <w:nsid w:val="14FCE74E"/>
    <w:multiLevelType w:val="hybridMultilevel"/>
    <w:lvl w:ilvl="0">
      <w:lvlJc w:val="left"/>
      <w:lvlText w:val="(%1)"/>
      <w:numFmt w:val="decimal"/>
      <w:start w:val="1"/>
    </w:lvl>
  </w:abstractNum>
  <w:abstractNum w:abstractNumId="35">
    <w:nsid w:val="6A3DD3E8"/>
    <w:multiLevelType w:val="hybridMultilevel"/>
    <w:lvl w:ilvl="0">
      <w:lvlJc w:val="left"/>
      <w:lvlText w:val="(%1)"/>
      <w:numFmt w:val="decimal"/>
      <w:start w:val="3"/>
    </w:lvl>
  </w:abstractNum>
  <w:abstractNum w:abstractNumId="36">
    <w:nsid w:val="71C91298"/>
    <w:multiLevelType w:val="hybridMultilevel"/>
    <w:lvl w:ilvl="0">
      <w:lvlJc w:val="left"/>
      <w:lvlText w:val="(%1)"/>
      <w:numFmt w:val="decimal"/>
      <w:start w:val="17"/>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
      <w:numFmt w:val="bullet"/>
      <w:start w:val="1"/>
    </w:lvl>
  </w:abstractNum>
  <w:abstractNum w:abstractNumId="39">
    <w:nsid w:val="1FBFE8E0"/>
    <w:multiLevelType w:val="hybridMultilevel"/>
    <w:lvl w:ilvl="0">
      <w:lvlJc w:val="left"/>
      <w:lvlText w:val="(%1)"/>
      <w:numFmt w:val="decimal"/>
      <w:start w:val="1"/>
    </w:lvl>
  </w:abstractNum>
  <w:abstractNum w:abstractNumId="40">
    <w:nsid w:val="5092CA79"/>
    <w:multiLevelType w:val="hybridMultilevel"/>
    <w:lvl w:ilvl="0">
      <w:lvlJc w:val="left"/>
      <w:lvlText w:val="(%1)"/>
      <w:numFmt w:val="decimal"/>
      <w:start w:val="2"/>
    </w:lvl>
  </w:abstractNum>
  <w:abstractNum w:abstractNumId="41">
    <w:nsid w:val="1D545C4D"/>
    <w:multiLevelType w:val="hybridMultilevel"/>
    <w:lvl w:ilvl="0">
      <w:lvlJc w:val="left"/>
      <w:lvlText w:val="(%1)"/>
      <w:numFmt w:val="decimal"/>
      <w:start w:val="1"/>
    </w:lvl>
  </w:abstractNum>
  <w:abstractNum w:abstractNumId="42">
    <w:nsid w:val="59ADEA3D"/>
    <w:multiLevelType w:val="hybridMultilevel"/>
    <w:lvl w:ilvl="0">
      <w:lvlJc w:val="left"/>
      <w:lvlText w:val="(%1)"/>
      <w:numFmt w:val="decimal"/>
      <w:start w:val="1"/>
    </w:lvl>
  </w:abstractNum>
  <w:abstractNum w:abstractNumId="43">
    <w:nsid w:val="288F1A34"/>
    <w:multiLevelType w:val="hybridMultilevel"/>
    <w:lvl w:ilvl="0">
      <w:lvlJc w:val="left"/>
      <w:lvlText w:val="•"/>
      <w:numFmt w:val="bullet"/>
      <w:start w:val="1"/>
    </w:lvl>
  </w:abstractNum>
  <w:abstractNum w:abstractNumId="44">
    <w:nsid w:val="2A155DBC"/>
    <w:multiLevelType w:val="hybridMultilevel"/>
    <w:lvl w:ilvl="0">
      <w:lvlJc w:val="left"/>
      <w:lvlText w:val="(%1)"/>
      <w:numFmt w:val="decimal"/>
      <w:start w:val="1"/>
    </w:lvl>
  </w:abstractNum>
  <w:abstractNum w:abstractNumId="45">
    <w:nsid w:val="1D9F6E5F"/>
    <w:multiLevelType w:val="hybridMultilevel"/>
    <w:lvl w:ilvl="0">
      <w:lvlJc w:val="left"/>
      <w:lvlText w:val="(%1)"/>
      <w:numFmt w:val="decimal"/>
      <w:start w:val="1"/>
    </w:lvl>
  </w:abstractNum>
  <w:abstractNum w:abstractNumId="46">
    <w:nsid w:val="97E1B4E"/>
    <w:multiLevelType w:val="hybridMultilevel"/>
    <w:lvl w:ilvl="0">
      <w:lvlJc w:val="left"/>
      <w:lvlText w:val="•"/>
      <w:numFmt w:val="bullet"/>
      <w:start w:val="1"/>
    </w:lvl>
  </w:abstractNum>
  <w:abstractNum w:abstractNumId="47">
    <w:nsid w:val="51088277"/>
    <w:multiLevelType w:val="hybridMultilevel"/>
    <w:lvl w:ilvl="0">
      <w:lvlJc w:val="left"/>
      <w:lvlText w:val="•"/>
      <w:numFmt w:val="bullet"/>
      <w:start w:val="1"/>
    </w:lvl>
  </w:abstractNum>
  <w:abstractNum w:abstractNumId="48">
    <w:nsid w:val="1CA0C5FA"/>
    <w:multiLevelType w:val="hybridMultilevel"/>
    <w:lvl w:ilvl="0">
      <w:lvlJc w:val="left"/>
      <w:lvlText w:val="(%1)"/>
      <w:numFmt w:val="decimal"/>
      <w:start w:val="1"/>
    </w:lvl>
  </w:abstractNum>
  <w:abstractNum w:abstractNumId="49">
    <w:nsid w:val="53584BCB"/>
    <w:multiLevelType w:val="hybridMultilevel"/>
    <w:lvl w:ilvl="0">
      <w:lvlJc w:val="left"/>
      <w:lvlText w:val="(%1)"/>
      <w:numFmt w:val="decimal"/>
      <w:start w:val="6"/>
    </w:lvl>
  </w:abstractNum>
  <w:abstractNum w:abstractNumId="50">
    <w:nsid w:val="415E286C"/>
    <w:multiLevelType w:val="hybridMultilevel"/>
    <w:lvl w:ilvl="0">
      <w:lvlJc w:val="left"/>
      <w:lvlText w:val="•"/>
      <w:numFmt w:val="bullet"/>
      <w:start w:val="1"/>
    </w:lvl>
  </w:abstractNum>
  <w:abstractNum w:abstractNumId="51">
    <w:nsid w:val="7C58FD05"/>
    <w:multiLevelType w:val="hybridMultilevel"/>
    <w:lvl w:ilvl="0">
      <w:lvlJc w:val="left"/>
      <w:lvlText w:val="•"/>
      <w:numFmt w:val="bullet"/>
      <w:start w:val="1"/>
    </w:lvl>
  </w:abstractNum>
  <w:abstractNum w:abstractNumId="52">
    <w:nsid w:val="23D86AAC"/>
    <w:multiLevelType w:val="hybridMultilevel"/>
    <w:lvl w:ilvl="0">
      <w:lvlJc w:val="left"/>
      <w:lvlText w:val="(%1)"/>
      <w:numFmt w:val="decimal"/>
      <w:start w:val="1"/>
    </w:lvl>
  </w:abstractNum>
  <w:abstractNum w:abstractNumId="53">
    <w:nsid w:val="45E6D486"/>
    <w:multiLevelType w:val="hybridMultilevel"/>
    <w:lvl w:ilvl="0">
      <w:lvlJc w:val="left"/>
      <w:lvlText w:val="•"/>
      <w:numFmt w:val="bullet"/>
      <w:start w:val="1"/>
    </w:lvl>
  </w:abstractNum>
  <w:abstractNum w:abstractNumId="54">
    <w:nsid w:val="5C10FE21"/>
    <w:multiLevelType w:val="hybridMultilevel"/>
    <w:lvl w:ilvl="0">
      <w:lvlJc w:val="left"/>
      <w:lvlText w:val="•"/>
      <w:numFmt w:val="bullet"/>
      <w:start w:val="1"/>
    </w:lvl>
  </w:abstractNum>
  <w:abstractNum w:abstractNumId="55">
    <w:nsid w:val="E7FFA2B"/>
    <w:multiLevelType w:val="hybridMultilevel"/>
    <w:lvl w:ilvl="0">
      <w:lvlJc w:val="left"/>
      <w:lvlText w:val="•"/>
      <w:numFmt w:val="bullet"/>
      <w:start w:val="1"/>
    </w:lvl>
  </w:abstractNum>
  <w:abstractNum w:abstractNumId="56">
    <w:nsid w:val="3C5991AA"/>
    <w:multiLevelType w:val="hybridMultilevel"/>
    <w:lvl w:ilvl="0">
      <w:lvlJc w:val="left"/>
      <w:lvlText w:val="•"/>
      <w:numFmt w:val="bullet"/>
      <w:start w:val="1"/>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
      <w:numFmt w:val="bullet"/>
      <w:start w:val="1"/>
    </w:lvl>
  </w:abstractNum>
  <w:abstractNum w:abstractNumId="59">
    <w:nsid w:val="39B7AAA2"/>
    <w:multiLevelType w:val="hybridMultilevel"/>
    <w:lvl w:ilvl="0">
      <w:lvlJc w:val="left"/>
      <w:lvlText w:val="•"/>
      <w:numFmt w:val="bullet"/>
      <w:start w:val="1"/>
    </w:lvl>
  </w:abstractNum>
  <w:abstractNum w:abstractNumId="60">
    <w:nsid w:val="2B0D8DBE"/>
    <w:multiLevelType w:val="hybridMultilevel"/>
    <w:lvl w:ilvl="0">
      <w:lvlJc w:val="left"/>
      <w:lvlText w:val="•"/>
      <w:numFmt w:val="bullet"/>
      <w:start w:val="1"/>
    </w:lvl>
  </w:abstractNum>
  <w:abstractNum w:abstractNumId="61">
    <w:nsid w:val="6C80EC70"/>
    <w:multiLevelType w:val="hybridMultilevel"/>
    <w:lvl w:ilvl="0">
      <w:lvlJc w:val="left"/>
      <w:lvlText w:val="•"/>
      <w:numFmt w:val="bullet"/>
      <w:start w:val="1"/>
    </w:lvl>
  </w:abstractNum>
  <w:abstractNum w:abstractNumId="62">
    <w:nsid w:val="379E21B5"/>
    <w:multiLevelType w:val="hybridMultilevel"/>
    <w:lvl w:ilvl="0">
      <w:lvlJc w:val="left"/>
      <w:lvlText w:val="•"/>
      <w:numFmt w:val="bullet"/>
      <w:start w:val="1"/>
    </w:lvl>
  </w:abstractNum>
  <w:abstractNum w:abstractNumId="63">
    <w:nsid w:val="69E373"/>
    <w:multiLevelType w:val="hybridMultilevel"/>
    <w:lvl w:ilvl="0">
      <w:lvlJc w:val="left"/>
      <w:lvlText w:val="(%1)"/>
      <w:numFmt w:val="decimal"/>
      <w:start w:val="1"/>
    </w:lvl>
  </w:abstractNum>
  <w:abstractNum w:abstractNumId="64">
    <w:nsid w:val="2C27173B"/>
    <w:multiLevelType w:val="hybridMultilevel"/>
    <w:lvl w:ilvl="0">
      <w:lvlJc w:val="left"/>
      <w:lvlText w:val="•"/>
      <w:numFmt w:val="bullet"/>
      <w:start w:val="1"/>
    </w:lvl>
  </w:abstractNum>
  <w:abstractNum w:abstractNumId="65">
    <w:nsid w:val="4C9B0904"/>
    <w:multiLevelType w:val="hybridMultilevel"/>
    <w:lvl w:ilvl="0">
      <w:lvlJc w:val="left"/>
      <w:lvlText w:val="•"/>
      <w:numFmt w:val="bullet"/>
      <w:start w:val="1"/>
    </w:lvl>
  </w:abstractNum>
  <w:abstractNum w:abstractNumId="66">
    <w:nsid w:val="6AA7B75C"/>
    <w:multiLevelType w:val="hybridMultilevel"/>
    <w:lvl w:ilvl="0">
      <w:lvlJc w:val="left"/>
      <w:lvlText w:val="•"/>
      <w:numFmt w:val="bullet"/>
      <w:start w:val="1"/>
    </w:lvl>
  </w:abstractNum>
  <w:abstractNum w:abstractNumId="67">
    <w:nsid w:val="1DF029D3"/>
    <w:multiLevelType w:val="hybridMultilevel"/>
    <w:lvl w:ilvl="0">
      <w:lvlJc w:val="left"/>
      <w:lvlText w:val="*"/>
      <w:numFmt w:val="bullet"/>
      <w:start w:val="1"/>
    </w:lvl>
  </w:abstractNum>
  <w:abstractNum w:abstractNumId="68">
    <w:nsid w:val="5675FF36"/>
    <w:multiLevelType w:val="hybridMultilevel"/>
    <w:lvl w:ilvl="0">
      <w:lvlJc w:val="left"/>
      <w:lvlText w:val="•"/>
      <w:numFmt w:val="bullet"/>
      <w:start w:val="1"/>
    </w:lvl>
  </w:abstractNum>
  <w:abstractNum w:abstractNumId="69">
    <w:nsid w:val="3DD15094"/>
    <w:multiLevelType w:val="hybridMultilevel"/>
    <w:lvl w:ilvl="0">
      <w:lvlJc w:val="left"/>
      <w:lvlText w:val="•"/>
      <w:numFmt w:val="bullet"/>
      <w:start w:val="1"/>
    </w:lvl>
  </w:abstractNum>
  <w:abstractNum w:abstractNumId="70">
    <w:nsid w:val="3DB012B3"/>
    <w:multiLevelType w:val="hybridMultilevel"/>
    <w:lvl w:ilvl="0">
      <w:lvlJc w:val="left"/>
      <w:lvlText w:val="•"/>
      <w:numFmt w:val="bullet"/>
      <w:start w:val="1"/>
    </w:lvl>
  </w:abstractNum>
  <w:abstractNum w:abstractNumId="71">
    <w:nsid w:val="2708C9AF"/>
    <w:multiLevelType w:val="hybridMultilevel"/>
    <w:lvl w:ilvl="0">
      <w:lvlJc w:val="left"/>
      <w:lvlText w:val="•"/>
      <w:numFmt w:val="bullet"/>
      <w:start w:val="1"/>
    </w:lvl>
  </w:abstractNum>
  <w:abstractNum w:abstractNumId="72">
    <w:nsid w:val="5B25ACE2"/>
    <w:multiLevelType w:val="hybridMultilevel"/>
    <w:lvl w:ilvl="0">
      <w:lvlJc w:val="left"/>
      <w:lvlText w:val="•"/>
      <w:numFmt w:val="bullet"/>
      <w:start w:val="1"/>
    </w:lvl>
  </w:abstractNum>
  <w:abstractNum w:abstractNumId="73">
    <w:nsid w:val="175DFCF0"/>
    <w:multiLevelType w:val="hybridMultilevel"/>
    <w:lvl w:ilvl="0">
      <w:lvlJc w:val="left"/>
      <w:lvlText w:val="•"/>
      <w:numFmt w:val="bullet"/>
      <w:start w:val="1"/>
    </w:lvl>
  </w:abstractNum>
  <w:abstractNum w:abstractNumId="74">
    <w:nsid w:val="4F97E3E4"/>
    <w:multiLevelType w:val="hybridMultilevel"/>
    <w:lvl w:ilvl="0">
      <w:lvlJc w:val="left"/>
      <w:lvlText w:val="•"/>
      <w:numFmt w:val="bullet"/>
      <w:start w:val="1"/>
    </w:lvl>
  </w:abstractNum>
  <w:abstractNum w:abstractNumId="75">
    <w:nsid w:val="53B0A9E"/>
    <w:multiLevelType w:val="hybridMultilevel"/>
    <w:lvl w:ilvl="0">
      <w:lvlJc w:val="left"/>
      <w:lvlText w:val="•"/>
      <w:numFmt w:val="bullet"/>
      <w:start w:val="1"/>
    </w:lvl>
  </w:abstractNum>
  <w:abstractNum w:abstractNumId="76">
    <w:nsid w:val="34FD6B4F"/>
    <w:multiLevelType w:val="hybridMultilevel"/>
    <w:lvl w:ilvl="0">
      <w:lvlJc w:val="left"/>
      <w:lvlText w:val="•"/>
      <w:numFmt w:val="bullet"/>
      <w:start w:val="1"/>
    </w:lvl>
  </w:abstractNum>
  <w:abstractNum w:abstractNumId="77">
    <w:nsid w:val="5915FF32"/>
    <w:multiLevelType w:val="hybridMultilevel"/>
    <w:lvl w:ilvl="0">
      <w:lvlJc w:val="left"/>
      <w:lvlText w:val="•"/>
      <w:numFmt w:val="bullet"/>
      <w:start w:val="1"/>
    </w:lvl>
  </w:abstractNum>
  <w:abstractNum w:abstractNumId="78">
    <w:nsid w:val="56438D15"/>
    <w:multiLevelType w:val="hybridMultilevel"/>
    <w:lvl w:ilvl="0">
      <w:lvlJc w:val="left"/>
      <w:lvlText w:val="•"/>
      <w:numFmt w:val="bullet"/>
      <w:start w:val="1"/>
    </w:lvl>
  </w:abstractNum>
  <w:abstractNum w:abstractNumId="79">
    <w:nsid w:val="519E3149"/>
    <w:multiLevelType w:val="hybridMultilevel"/>
    <w:lvl w:ilvl="0">
      <w:lvlJc w:val="left"/>
      <w:lvlText w:val="•"/>
      <w:numFmt w:val="bullet"/>
      <w:start w:val="1"/>
    </w:lvl>
  </w:abstractNum>
  <w:abstractNum w:abstractNumId="80">
    <w:nsid w:val="2C6E4AFD"/>
    <w:multiLevelType w:val="hybridMultilevel"/>
    <w:lvl w:ilvl="0">
      <w:lvlJc w:val="left"/>
      <w:lvlText w:val="•"/>
      <w:numFmt w:val="bullet"/>
      <w:start w:val="1"/>
    </w:lvl>
  </w:abstractNum>
  <w:abstractNum w:abstractNumId="81">
    <w:nsid w:val="17A1B582"/>
    <w:multiLevelType w:val="hybridMultilevel"/>
    <w:lvl w:ilvl="0">
      <w:lvlJc w:val="left"/>
      <w:lvlText w:val="•"/>
      <w:numFmt w:val="bullet"/>
      <w:start w:val="1"/>
    </w:lvl>
  </w:abstractNum>
  <w:abstractNum w:abstractNumId="82">
    <w:nsid w:val="4DF72E4E"/>
    <w:multiLevelType w:val="hybridMultilevel"/>
    <w:lvl w:ilvl="0">
      <w:lvlJc w:val="left"/>
      <w:lvlText w:val="•"/>
      <w:numFmt w:val="bullet"/>
      <w:start w:val="1"/>
    </w:lvl>
  </w:abstractNum>
  <w:abstractNum w:abstractNumId="83">
    <w:nsid w:val="5046B5A9"/>
    <w:multiLevelType w:val="hybridMultilevel"/>
    <w:lvl w:ilvl="0">
      <w:lvlJc w:val="left"/>
      <w:lvlText w:val="•"/>
      <w:numFmt w:val="bullet"/>
      <w:start w:val="1"/>
    </w:lvl>
  </w:abstractNum>
  <w:abstractNum w:abstractNumId="84">
    <w:nsid w:val="5D888A08"/>
    <w:multiLevelType w:val="hybridMultilevel"/>
    <w:lvl w:ilvl="0">
      <w:lvlJc w:val="left"/>
      <w:lvlText w:val="•"/>
      <w:numFmt w:val="bullet"/>
      <w:start w:val="1"/>
    </w:lvl>
  </w:abstractNum>
  <w:abstractNum w:abstractNumId="85">
    <w:nsid w:val="2A082C70"/>
    <w:multiLevelType w:val="hybridMultilevel"/>
    <w:lvl w:ilvl="0">
      <w:lvlJc w:val="left"/>
      <w:lvlText w:val="•"/>
      <w:numFmt w:val="bullet"/>
      <w:start w:val="1"/>
    </w:lvl>
  </w:abstractNum>
  <w:abstractNum w:abstractNumId="86">
    <w:nsid w:val="5EC6AFD4"/>
    <w:multiLevelType w:val="hybridMultilevel"/>
    <w:lvl w:ilvl="0">
      <w:lvlJc w:val="left"/>
      <w:lvlText w:val="•"/>
      <w:numFmt w:val="bullet"/>
      <w:start w:val="1"/>
    </w:lvl>
  </w:abstractNum>
  <w:abstractNum w:abstractNumId="87">
    <w:nsid w:val="19E21BB2"/>
    <w:multiLevelType w:val="hybridMultilevel"/>
    <w:lvl w:ilvl="0">
      <w:lvlJc w:val="left"/>
      <w:lvlText w:val="•"/>
      <w:numFmt w:val="bullet"/>
      <w:start w:val="1"/>
    </w:lvl>
  </w:abstractNum>
  <w:abstractNum w:abstractNumId="88">
    <w:nsid w:val="75E0858A"/>
    <w:multiLevelType w:val="hybridMultilevel"/>
    <w:lvl w:ilvl="0">
      <w:lvlJc w:val="left"/>
      <w:lvlText w:val="•"/>
      <w:numFmt w:val="bullet"/>
      <w:start w:val="1"/>
    </w:lvl>
  </w:abstractNum>
  <w:abstractNum w:abstractNumId="89">
    <w:nsid w:val="57A61A29"/>
    <w:multiLevelType w:val="hybridMultilevel"/>
    <w:lvl w:ilvl="0">
      <w:lvlJc w:val="left"/>
      <w:lvlText w:val="•"/>
      <w:numFmt w:val="bullet"/>
      <w:start w:val="1"/>
    </w:lvl>
  </w:abstractNum>
  <w:abstractNum w:abstractNumId="90">
    <w:nsid w:val="5399C654"/>
    <w:multiLevelType w:val="hybridMultilevel"/>
    <w:lvl w:ilvl="0">
      <w:lvlJc w:val="left"/>
      <w:lvlText w:val="•"/>
      <w:numFmt w:val="bullet"/>
      <w:start w:val="1"/>
    </w:lvl>
  </w:abstractNum>
  <w:abstractNum w:abstractNumId="91">
    <w:nsid w:val="20EE1348"/>
    <w:multiLevelType w:val="hybridMultilevel"/>
    <w:lvl w:ilvl="0">
      <w:lvlJc w:val="left"/>
      <w:lvlText w:val="•"/>
      <w:numFmt w:val="bullet"/>
      <w:start w:val="1"/>
    </w:lvl>
  </w:abstractNum>
  <w:abstractNum w:abstractNumId="92">
    <w:nsid w:val="4427069A"/>
    <w:multiLevelType w:val="hybridMultilevel"/>
    <w:lvl w:ilvl="0">
      <w:lvlJc w:val="left"/>
      <w:lvlText w:val="•"/>
      <w:numFmt w:val="bullet"/>
      <w:start w:val="1"/>
    </w:lvl>
  </w:abstractNum>
  <w:abstractNum w:abstractNumId="93">
    <w:nsid w:val="B37E80A"/>
    <w:multiLevelType w:val="hybridMultilevel"/>
    <w:lvl w:ilvl="0">
      <w:lvlJc w:val="left"/>
      <w:lvlText w:val="•"/>
      <w:numFmt w:val="bullet"/>
      <w:start w:val="1"/>
    </w:lvl>
  </w:abstractNum>
  <w:abstractNum w:abstractNumId="94">
    <w:nsid w:val="2157F6BC"/>
    <w:multiLevelType w:val="hybridMultilevel"/>
    <w:lvl w:ilvl="0">
      <w:lvlJc w:val="left"/>
      <w:lvlText w:val="(%1)"/>
      <w:numFmt w:val="decimal"/>
      <w:start w:val="1"/>
    </w:lvl>
  </w:abstractNum>
  <w:abstractNum w:abstractNumId="95">
    <w:nsid w:val="704E1DD5"/>
    <w:multiLevelType w:val="hybridMultilevel"/>
    <w:lvl w:ilvl="0">
      <w:lvlJc w:val="left"/>
      <w:lvlText w:val="•"/>
      <w:numFmt w:val="bullet"/>
      <w:start w:val="1"/>
    </w:lvl>
  </w:abstractNum>
  <w:abstractNum w:abstractNumId="96">
    <w:nsid w:val="57D2F10E"/>
    <w:multiLevelType w:val="hybridMultilevel"/>
    <w:lvl w:ilvl="0">
      <w:lvlJc w:val="left"/>
      <w:lvlText w:val="•"/>
      <w:numFmt w:val="bullet"/>
      <w:start w:val="1"/>
    </w:lvl>
  </w:abstractNum>
  <w:abstractNum w:abstractNumId="97">
    <w:nsid w:val="BFFAE18"/>
    <w:multiLevelType w:val="hybridMultilevel"/>
    <w:lvl w:ilvl="0">
      <w:lvlJc w:val="left"/>
      <w:lvlText w:val="•"/>
      <w:numFmt w:val="bullet"/>
      <w:start w:val="1"/>
    </w:lvl>
  </w:abstractNum>
  <w:abstractNum w:abstractNumId="98">
    <w:nsid w:val="E3E47A8"/>
    <w:multiLevelType w:val="hybridMultilevel"/>
    <w:lvl w:ilvl="0">
      <w:lvlJc w:val="left"/>
      <w:lvlText w:val="(%1)"/>
      <w:numFmt w:val="decimal"/>
      <w:start w:val="1"/>
    </w:lvl>
  </w:abstractNum>
  <w:abstractNum w:abstractNumId="99">
    <w:nsid w:val="2E48F044"/>
    <w:multiLevelType w:val="hybridMultilevel"/>
    <w:lvl w:ilvl="0">
      <w:lvlJc w:val="left"/>
      <w:lvlText w:val="(%1)"/>
      <w:numFmt w:val="decimal"/>
      <w:start w:val="3"/>
    </w:lvl>
  </w:abstractNum>
  <w:abstractNum w:abstractNumId="100">
    <w:nsid w:val="49D0FEAC"/>
    <w:multiLevelType w:val="hybridMultilevel"/>
    <w:lvl w:ilvl="0">
      <w:lvlJc w:val="left"/>
      <w:lvlText w:val="(%1)"/>
      <w:numFmt w:val="decimal"/>
      <w:start w:val="6"/>
    </w:lvl>
  </w:abstractNum>
  <w:abstractNum w:abstractNumId="101">
    <w:nsid w:val="4BEE5A5B"/>
    <w:multiLevelType w:val="hybridMultilevel"/>
    <w:lvl w:ilvl="0">
      <w:lvlJc w:val="left"/>
      <w:lvlText w:val="$"/>
      <w:numFmt w:val="bullet"/>
      <w:start w:val="1"/>
    </w:lvl>
  </w:abstractNum>
  <w:abstractNum w:abstractNumId="102">
    <w:nsid w:val="5551B9F3"/>
    <w:multiLevelType w:val="hybridMultilevel"/>
    <w:lvl w:ilvl="0">
      <w:lvlJc w:val="left"/>
      <w:lvlText w:val="•"/>
      <w:numFmt w:val="bullet"/>
      <w:start w:val="1"/>
    </w:lvl>
  </w:abstractNum>
  <w:abstractNum w:abstractNumId="103">
    <w:nsid w:val="24F6AB8E"/>
    <w:multiLevelType w:val="hybridMultilevel"/>
    <w:lvl w:ilvl="0">
      <w:lvlJc w:val="left"/>
      <w:lvlText w:val="•"/>
      <w:numFmt w:val="bullet"/>
      <w:start w:val="1"/>
    </w:lvl>
  </w:abstractNum>
  <w:abstractNum w:abstractNumId="104">
    <w:nsid w:val="634C574C"/>
    <w:multiLevelType w:val="hybridMultilevel"/>
    <w:lvl w:ilvl="0">
      <w:lvlJc w:val="left"/>
      <w:lvlText w:val="•"/>
      <w:numFmt w:val="bullet"/>
      <w:start w:val="1"/>
    </w:lvl>
  </w:abstractNum>
  <w:abstractNum w:abstractNumId="105">
    <w:nsid w:val="24E99DD7"/>
    <w:multiLevelType w:val="hybridMultilevel"/>
    <w:lvl w:ilvl="0">
      <w:lvlJc w:val="left"/>
      <w:lvlText w:val="•"/>
      <w:numFmt w:val="bullet"/>
      <w:start w:val="1"/>
    </w:lvl>
  </w:abstractNum>
  <w:abstractNum w:abstractNumId="106">
    <w:nsid w:val="2A31B62D"/>
    <w:multiLevelType w:val="hybridMultilevel"/>
    <w:lvl w:ilvl="0">
      <w:lvlJc w:val="left"/>
      <w:lvlText w:val="•"/>
      <w:numFmt w:val="bullet"/>
      <w:start w:val="1"/>
    </w:lvl>
  </w:abstractNum>
  <w:abstractNum w:abstractNumId="107">
    <w:nsid w:val="1849C29B"/>
    <w:multiLevelType w:val="hybridMultilevel"/>
    <w:lvl w:ilvl="0">
      <w:lvlJc w:val="left"/>
      <w:lvlText w:val="•"/>
      <w:numFmt w:val="bullet"/>
      <w:start w:val="1"/>
    </w:lvl>
  </w:abstractNum>
  <w:abstractNum w:abstractNumId="108">
    <w:nsid w:val="7DFF9D09"/>
    <w:multiLevelType w:val="hybridMultilevel"/>
    <w:lvl w:ilvl="0">
      <w:lvlJc w:val="left"/>
      <w:lvlText w:val="•"/>
      <w:numFmt w:val="bullet"/>
      <w:start w:val="1"/>
    </w:lvl>
  </w:abstractNum>
  <w:abstractNum w:abstractNumId="109">
    <w:nsid w:val="754342"/>
    <w:multiLevelType w:val="hybridMultilevel"/>
    <w:lvl w:ilvl="0">
      <w:lvlJc w:val="left"/>
      <w:lvlText w:val="•"/>
      <w:numFmt w:val="bullet"/>
      <w:start w:val="1"/>
    </w:lvl>
  </w:abstractNum>
  <w:abstractNum w:abstractNumId="110">
    <w:nsid w:val="69E7F3E5"/>
    <w:multiLevelType w:val="hybridMultilevel"/>
    <w:lvl w:ilvl="0">
      <w:lvlJc w:val="left"/>
      <w:lvlText w:val="•"/>
      <w:numFmt w:val="bullet"/>
      <w:start w:val="1"/>
    </w:lvl>
  </w:abstractNum>
  <w:abstractNum w:abstractNumId="111">
    <w:nsid w:val="2A6DE806"/>
    <w:multiLevelType w:val="hybridMultilevel"/>
    <w:lvl w:ilvl="0">
      <w:lvlJc w:val="left"/>
      <w:lvlText w:val="•"/>
      <w:numFmt w:val="bullet"/>
      <w:start w:val="1"/>
    </w:lvl>
  </w:abstractNum>
  <w:abstractNum w:abstractNumId="112">
    <w:nsid w:val="1816F8C4"/>
    <w:multiLevelType w:val="hybridMultilevel"/>
    <w:lvl w:ilvl="0">
      <w:lvlJc w:val="left"/>
      <w:lvlText w:val="•"/>
      <w:numFmt w:val="bullet"/>
      <w:start w:val="1"/>
    </w:lvl>
  </w:abstractNum>
  <w:abstractNum w:abstractNumId="113">
    <w:nsid w:val="37DF2233"/>
    <w:multiLevelType w:val="hybridMultilevel"/>
    <w:lvl w:ilvl="0">
      <w:lvlJc w:val="left"/>
      <w:lvlText w:val="•"/>
      <w:numFmt w:val="bullet"/>
      <w:start w:val="1"/>
    </w:lvl>
  </w:abstractNum>
  <w:abstractNum w:abstractNumId="114">
    <w:nsid w:val="7AB49DAF"/>
    <w:multiLevelType w:val="hybridMultilevel"/>
    <w:lvl w:ilvl="0">
      <w:lvlJc w:val="left"/>
      <w:lvlText w:val="•"/>
      <w:numFmt w:val="bullet"/>
      <w:start w:val="1"/>
    </w:lvl>
  </w:abstractNum>
  <w:abstractNum w:abstractNumId="115">
    <w:nsid w:val="759F82CD"/>
    <w:multiLevelType w:val="hybridMultilevel"/>
    <w:lvl w:ilvl="0">
      <w:lvlJc w:val="left"/>
      <w:lvlText w:val="•"/>
      <w:numFmt w:val="bullet"/>
      <w:start w:val="1"/>
    </w:lvl>
  </w:abstractNum>
  <w:abstractNum w:abstractNumId="116">
    <w:nsid w:val="61E74EA3"/>
    <w:multiLevelType w:val="hybridMultilevel"/>
    <w:lvl w:ilvl="0">
      <w:lvlJc w:val="left"/>
      <w:lvlText w:val="•"/>
      <w:numFmt w:val="bullet"/>
      <w:start w:val="1"/>
    </w:lvl>
    <w:lvl w:ilvl="1">
      <w:lvlJc w:val="left"/>
      <w:lvlText w:val="(%2)"/>
      <w:numFmt w:val="decimal"/>
      <w:start w:val="1"/>
    </w:lvl>
  </w:abstractNum>
  <w:abstractNum w:abstractNumId="117">
    <w:nsid w:val="597B4D84"/>
    <w:multiLevelType w:val="hybridMultilevel"/>
    <w:lvl w:ilvl="0">
      <w:lvlJc w:val="left"/>
      <w:lvlText w:val="(%1)"/>
      <w:numFmt w:val="decimal"/>
      <w:start w:val="3"/>
    </w:lvl>
  </w:abstractNum>
  <w:abstractNum w:abstractNumId="118">
    <w:nsid w:val="F819E7F"/>
    <w:multiLevelType w:val="hybridMultilevel"/>
    <w:lvl w:ilvl="0">
      <w:lvlJc w:val="left"/>
      <w:lvlText w:val="•"/>
      <w:numFmt w:val="bullet"/>
      <w:start w:val="1"/>
    </w:lvl>
    <w:lvl w:ilvl="1">
      <w:lvlJc w:val="left"/>
      <w:lvlText w:val="(%2)"/>
      <w:numFmt w:val="decimal"/>
      <w:start w:val="6"/>
    </w:lvl>
  </w:abstractNum>
  <w:abstractNum w:abstractNumId="119">
    <w:nsid w:val="57C7D42D"/>
    <w:multiLevelType w:val="hybridMultilevel"/>
    <w:lvl w:ilvl="0">
      <w:lvlJc w:val="left"/>
      <w:lvlText w:val="•"/>
      <w:numFmt w:val="bullet"/>
      <w:start w:val="1"/>
    </w:lvl>
  </w:abstractNum>
  <w:abstractNum w:abstractNumId="120">
    <w:nsid w:val="312167AD"/>
    <w:multiLevelType w:val="hybridMultilevel"/>
    <w:lvl w:ilvl="0">
      <w:lvlJc w:val="left"/>
      <w:lvlText w:val="•"/>
      <w:numFmt w:val="bullet"/>
      <w:start w:val="1"/>
    </w:lvl>
  </w:abstractNum>
  <w:abstractNum w:abstractNumId="121">
    <w:nsid w:val="631B64D4"/>
    <w:multiLevelType w:val="hybridMultilevel"/>
    <w:lvl w:ilvl="0">
      <w:lvlJc w:val="left"/>
      <w:lvlText w:val="•"/>
      <w:numFmt w:val="bullet"/>
      <w:start w:val="1"/>
    </w:lvl>
  </w:abstractNum>
  <w:abstractNum w:abstractNumId="122">
    <w:nsid w:val="78B5E776"/>
    <w:multiLevelType w:val="hybridMultilevel"/>
    <w:lvl w:ilvl="0">
      <w:lvlJc w:val="left"/>
      <w:lvlText w:val="•"/>
      <w:numFmt w:val="bullet"/>
      <w:start w:val="1"/>
    </w:lvl>
    <w:lvl w:ilvl="1">
      <w:lvlJc w:val="left"/>
      <w:lvlText w:val="(%2)"/>
      <w:numFmt w:val="decimal"/>
      <w:start w:val="1"/>
    </w:lvl>
  </w:abstractNum>
  <w:abstractNum w:abstractNumId="123">
    <w:nsid w:val="75486E47"/>
    <w:multiLevelType w:val="hybridMultilevel"/>
    <w:lvl w:ilvl="0">
      <w:lvlJc w:val="left"/>
      <w:lvlText w:val="•"/>
      <w:numFmt w:val="bullet"/>
      <w:start w:val="1"/>
    </w:lvl>
  </w:abstractNum>
  <w:abstractNum w:abstractNumId="124">
    <w:nsid w:val="6E534CDE"/>
    <w:multiLevelType w:val="hybridMultilevel"/>
    <w:lvl w:ilvl="0">
      <w:lvlJc w:val="left"/>
      <w:lvlText w:val="•"/>
      <w:numFmt w:val="bullet"/>
      <w:start w:val="1"/>
    </w:lvl>
  </w:abstractNum>
  <w:abstractNum w:abstractNumId="125">
    <w:nsid w:val="1A0DDE32"/>
    <w:multiLevelType w:val="hybridMultilevel"/>
    <w:lvl w:ilvl="0">
      <w:lvlJc w:val="left"/>
      <w:lvlText w:val="•"/>
      <w:numFmt w:val="bullet"/>
      <w:start w:val="1"/>
    </w:lvl>
  </w:abstractNum>
  <w:abstractNum w:abstractNumId="126">
    <w:nsid w:val="65968C1C"/>
    <w:multiLevelType w:val="hybridMultilevel"/>
    <w:lvl w:ilvl="0">
      <w:lvlJc w:val="left"/>
      <w:lvlText w:val="(%1)"/>
      <w:numFmt w:val="decimal"/>
      <w:start w:val="1"/>
    </w:lvl>
  </w:abstractNum>
  <w:abstractNum w:abstractNumId="127">
    <w:nsid w:val="46263DEC"/>
    <w:multiLevelType w:val="hybridMultilevel"/>
    <w:lvl w:ilvl="0">
      <w:lvlJc w:val="left"/>
      <w:lvlText w:val="(%1)"/>
      <w:numFmt w:val="decimal"/>
      <w:start w:val="3"/>
    </w:lvl>
  </w:abstractNum>
  <w:abstractNum w:abstractNumId="128">
    <w:nsid w:val="260D8C4A"/>
    <w:multiLevelType w:val="hybridMultilevel"/>
    <w:lvl w:ilvl="0">
      <w:lvlJc w:val="left"/>
      <w:lvlText w:val="(%1)"/>
      <w:numFmt w:val="decimal"/>
      <w:start w:val="2"/>
    </w:lvl>
  </w:abstractNum>
  <w:abstractNum w:abstractNumId="129">
    <w:nsid w:val="73D4D3C4"/>
    <w:multiLevelType w:val="hybridMultilevel"/>
    <w:lvl w:ilvl="0">
      <w:lvlJc w:val="left"/>
      <w:lvlText w:val="•"/>
      <w:numFmt w:val="bullet"/>
      <w:start w:val="1"/>
    </w:lvl>
  </w:abstractNum>
  <w:abstractNum w:abstractNumId="130">
    <w:nsid w:val="746F2E30"/>
    <w:multiLevelType w:val="hybridMultilevel"/>
    <w:lvl w:ilvl="0">
      <w:lvlJc w:val="left"/>
      <w:lvlText w:val="%1."/>
      <w:numFmt w:val="decimal"/>
      <w:start w:val="1"/>
    </w:lvl>
  </w:abstractNum>
  <w:abstractNum w:abstractNumId="131">
    <w:nsid w:val="6FDE8AF6"/>
    <w:multiLevelType w:val="hybridMultilevel"/>
    <w:lvl w:ilvl="0">
      <w:lvlJc w:val="left"/>
      <w:lvlText w:val="%1."/>
      <w:numFmt w:val="lowerLetter"/>
      <w:start w:val="1"/>
    </w:lvl>
  </w:abstractNum>
  <w:abstractNum w:abstractNumId="132">
    <w:nsid w:val="3FC32E20"/>
    <w:multiLevelType w:val="hybridMultilevel"/>
    <w:lvl w:ilvl="0">
      <w:lvlJc w:val="left"/>
      <w:lvlText w:val="%1."/>
      <w:numFmt w:val="lowerLetter"/>
      <w:start w:val="2"/>
    </w:lvl>
  </w:abstractNum>
  <w:abstractNum w:abstractNumId="133">
    <w:nsid w:val="49C0E823"/>
    <w:multiLevelType w:val="hybridMultilevel"/>
    <w:lvl w:ilvl="0">
      <w:lvlJc w:val="left"/>
      <w:lvlText w:val="%1."/>
      <w:numFmt w:val="lowerLetter"/>
      <w:start w:val="3"/>
    </w:lvl>
  </w:abstractNum>
  <w:abstractNum w:abstractNumId="134">
    <w:nsid w:val="14D53685"/>
    <w:multiLevelType w:val="hybridMultilevel"/>
    <w:lvl w:ilvl="0">
      <w:lvlJc w:val="left"/>
      <w:lvlText w:val="%1."/>
      <w:numFmt w:val="lowerLetter"/>
      <w:start w:val="4"/>
    </w:lvl>
  </w:abstractNum>
  <w:abstractNum w:abstractNumId="135">
    <w:nsid w:val="230F856C"/>
    <w:multiLevelType w:val="hybridMultilevel"/>
    <w:lvl w:ilvl="0">
      <w:lvlJc w:val="left"/>
      <w:lvlText w:val="%1."/>
      <w:numFmt w:val="lowerLetter"/>
      <w:start w:val="5"/>
    </w:lvl>
  </w:abstractNum>
  <w:abstractNum w:abstractNumId="136">
    <w:nsid w:val="6EAA85FB"/>
    <w:multiLevelType w:val="hybridMultilevel"/>
    <w:lvl w:ilvl="0">
      <w:lvlJc w:val="left"/>
      <w:lvlText w:val="%1."/>
      <w:numFmt w:val="lowerLetter"/>
      <w:start w:val="6"/>
    </w:lvl>
  </w:abstractNum>
  <w:abstractNum w:abstractNumId="137">
    <w:nsid w:val="3F06ECB2"/>
    <w:multiLevelType w:val="hybridMultilevel"/>
    <w:lvl w:ilvl="0">
      <w:lvlJc w:val="left"/>
      <w:lvlText w:val="%1."/>
      <w:numFmt w:val="lowerLetter"/>
      <w:start w:val="7"/>
    </w:lvl>
  </w:abstractNum>
  <w:abstractNum w:abstractNumId="138">
    <w:nsid w:val="3B594807"/>
    <w:multiLevelType w:val="hybridMultilevel"/>
    <w:lvl w:ilvl="0">
      <w:lvlJc w:val="left"/>
      <w:lvlText w:val="%1."/>
      <w:numFmt w:val="lowerLetter"/>
      <w:start w:val="8"/>
    </w:lvl>
  </w:abstractNum>
  <w:abstractNum w:abstractNumId="139">
    <w:nsid w:val="6CAA2304"/>
    <w:multiLevelType w:val="hybridMultilevel"/>
    <w:lvl w:ilvl="0">
      <w:lvlJc w:val="left"/>
      <w:lvlText w:val="%1."/>
      <w:numFmt w:val="lowerRoman"/>
      <w:start w:val="1"/>
    </w:lvl>
  </w:abstractNum>
  <w:abstractNum w:abstractNumId="140">
    <w:nsid w:val="3F7C2FF4"/>
    <w:multiLevelType w:val="hybridMultilevel"/>
    <w:lvl w:ilvl="0">
      <w:lvlJc w:val="left"/>
      <w:lvlText w:val="%1."/>
      <w:numFmt w:val="lowerLetter"/>
      <w:start w:val="10"/>
    </w:lvl>
  </w:abstractNum>
  <w:abstractNum w:abstractNumId="141">
    <w:nsid w:val="25413BEC"/>
    <w:multiLevelType w:val="hybridMultilevel"/>
    <w:lvl w:ilvl="0">
      <w:lvlJc w:val="left"/>
      <w:lvlText w:val="%1."/>
      <w:numFmt w:val="lowerLetter"/>
      <w:start w:val="11"/>
    </w:lvl>
  </w:abstractNum>
  <w:abstractNum w:abstractNumId="142">
    <w:nsid w:val="17180B0B"/>
    <w:multiLevelType w:val="hybridMultilevel"/>
    <w:lvl w:ilvl="0">
      <w:lvlJc w:val="left"/>
      <w:lvlText w:val="%1."/>
      <w:numFmt w:val="lowerLetter"/>
      <w:start w:val="12"/>
    </w:lvl>
  </w:abstractNum>
  <w:abstractNum w:abstractNumId="143">
    <w:nsid w:val="579328B9"/>
    <w:multiLevelType w:val="hybridMultilevel"/>
    <w:lvl w:ilvl="0">
      <w:lvlJc w:val="left"/>
      <w:lvlText w:val="%1."/>
      <w:numFmt w:val="lowerLetter"/>
      <w:start w:val="13"/>
    </w:lvl>
  </w:abstractNum>
  <w:abstractNum w:abstractNumId="144">
    <w:nsid w:val="5D205E20"/>
    <w:multiLevelType w:val="hybridMultilevel"/>
    <w:lvl w:ilvl="0">
      <w:lvlJc w:val="left"/>
      <w:lvlText w:val="%1."/>
      <w:numFmt w:val="lowerLetter"/>
      <w:start w:val="14"/>
    </w:lvl>
  </w:abstractNum>
  <w:abstractNum w:abstractNumId="145">
    <w:nsid w:val="11CCA8BA"/>
    <w:multiLevelType w:val="hybridMultilevel"/>
    <w:lvl w:ilvl="0">
      <w:lvlJc w:val="left"/>
      <w:lvlText w:val="%1."/>
      <w:numFmt w:val="lowerLetter"/>
      <w:start w:val="15"/>
    </w:lvl>
  </w:abstractNum>
  <w:abstractNum w:abstractNumId="146">
    <w:nsid w:val="4D32AB86"/>
    <w:multiLevelType w:val="hybridMultilevel"/>
    <w:lvl w:ilvl="0">
      <w:lvlJc w:val="left"/>
      <w:lvlText w:val="%1."/>
      <w:numFmt w:val="lowerLetter"/>
      <w:start w:val="16"/>
    </w:lvl>
  </w:abstractNum>
  <w:abstractNum w:abstractNumId="147">
    <w:nsid w:val="3F07ACC3"/>
    <w:multiLevelType w:val="hybridMultilevel"/>
    <w:lvl w:ilvl="0">
      <w:lvlJc w:val="left"/>
      <w:lvlText w:val="%1."/>
      <w:numFmt w:val="lowerLetter"/>
      <w:start w:val="17"/>
    </w:lvl>
  </w:abstractNum>
  <w:abstractNum w:abstractNumId="148">
    <w:nsid w:val="6B47F63E"/>
    <w:multiLevelType w:val="hybridMultilevel"/>
    <w:lvl w:ilvl="0">
      <w:lvlJc w:val="left"/>
      <w:lvlText w:val="%1."/>
      <w:numFmt w:val="lowerLetter"/>
      <w:start w:val="18"/>
    </w:lvl>
  </w:abstractNum>
  <w:abstractNum w:abstractNumId="149">
    <w:nsid w:val="5CB44A05"/>
    <w:multiLevelType w:val="hybridMultilevel"/>
    <w:lvl w:ilvl="0">
      <w:lvlJc w:val="left"/>
      <w:lvlText w:val="%1."/>
      <w:numFmt w:val="decimal"/>
      <w:start w:val="2"/>
    </w:lvl>
  </w:abstractNum>
  <w:abstractNum w:abstractNumId="150">
    <w:nsid w:val="16CF80F1"/>
    <w:multiLevelType w:val="hybridMultilevel"/>
    <w:lvl w:ilvl="0">
      <w:lvlJc w:val="left"/>
      <w:lvlText w:val="%1."/>
      <w:numFmt w:val="decimal"/>
      <w:start w:val="3"/>
    </w:lvl>
  </w:abstractNum>
  <w:abstractNum w:abstractNumId="151">
    <w:nsid w:val="1C695DEC"/>
    <w:multiLevelType w:val="hybridMultilevel"/>
    <w:lvl w:ilvl="0">
      <w:lvlJc w:val="left"/>
      <w:lvlText w:val="%1."/>
      <w:numFmt w:val="decimal"/>
      <w:start w:val="5"/>
    </w:lvl>
  </w:abstractNum>
  <w:abstractNum w:abstractNumId="152">
    <w:nsid w:val="3FCFAED9"/>
    <w:multiLevelType w:val="hybridMultilevel"/>
    <w:lvl w:ilvl="0">
      <w:lvlJc w:val="left"/>
      <w:lvlText w:val="%1."/>
      <w:numFmt w:val="decimal"/>
      <w:start w:val="6"/>
    </w:lvl>
  </w:abstractNum>
  <w:abstractNum w:abstractNumId="153">
    <w:nsid w:val="F856867"/>
    <w:multiLevelType w:val="hybridMultilevel"/>
    <w:lvl w:ilvl="0">
      <w:lvlJc w:val="left"/>
      <w:lvlText w:val="%1."/>
      <w:numFmt w:val="decimal"/>
      <w:start w:val="7"/>
    </w:lvl>
  </w:abstractNum>
  <w:abstractNum w:abstractNumId="154">
    <w:nsid w:val="11B1CC33"/>
    <w:multiLevelType w:val="hybridMultilevel"/>
    <w:lvl w:ilvl="0">
      <w:lvlJc w:val="left"/>
      <w:lvlText w:val="%1."/>
      <w:numFmt w:val="decimal"/>
      <w:start w:val="8"/>
    </w:lvl>
  </w:abstractNum>
  <w:abstractNum w:abstractNumId="155">
    <w:nsid w:val="2E22FBB7"/>
    <w:multiLevelType w:val="hybridMultilevel"/>
    <w:lvl w:ilvl="0">
      <w:lvlJc w:val="left"/>
      <w:lvlText w:val="%1."/>
      <w:numFmt w:val="lowerLetter"/>
      <w:start w:val="2"/>
    </w:lvl>
  </w:abstractNum>
  <w:abstractNum w:abstractNumId="156">
    <w:nsid w:val="29934699"/>
    <w:multiLevelType w:val="hybridMultilevel"/>
    <w:lvl w:ilvl="0">
      <w:lvlJc w:val="left"/>
      <w:lvlText w:val="%1."/>
      <w:numFmt w:val="lowerLetter"/>
      <w:start w:val="3"/>
    </w:lvl>
  </w:abstractNum>
  <w:abstractNum w:abstractNumId="157">
    <w:nsid w:val="77485850"/>
    <w:multiLevelType w:val="hybridMultilevel"/>
    <w:lvl w:ilvl="0">
      <w:lvlJc w:val="left"/>
      <w:lvlText w:val="%1."/>
      <w:numFmt w:val="lowerLetter"/>
      <w:start w:val="4"/>
    </w:lvl>
  </w:abstractNum>
  <w:abstractNum w:abstractNumId="158">
    <w:nsid w:val="744939A3"/>
    <w:multiLevelType w:val="hybridMultilevel"/>
    <w:lvl w:ilvl="0">
      <w:lvlJc w:val="left"/>
      <w:lvlText w:val="%1."/>
      <w:numFmt w:val="lowerLetter"/>
      <w:start w:val="5"/>
    </w:lvl>
  </w:abstractNum>
  <w:abstractNum w:abstractNumId="159">
    <w:nsid w:val="4FA0D2E3"/>
    <w:multiLevelType w:val="hybridMultilevel"/>
    <w:lvl w:ilvl="0">
      <w:lvlJc w:val="left"/>
      <w:lvlText w:val="%1."/>
      <w:numFmt w:val="lowerLetter"/>
      <w:start w:val="6"/>
    </w:lvl>
  </w:abstractNum>
  <w:abstractNum w:abstractNumId="160">
    <w:nsid w:val="6B1D2C14"/>
    <w:multiLevelType w:val="hybridMultilevel"/>
    <w:lvl w:ilvl="0">
      <w:lvlJc w:val="left"/>
      <w:lvlText w:val="%1."/>
      <w:numFmt w:val="decimal"/>
      <w:start w:val="9"/>
    </w:lvl>
  </w:abstractNum>
  <w:abstractNum w:abstractNumId="161">
    <w:nsid w:val="68B867D3"/>
    <w:multiLevelType w:val="hybridMultilevel"/>
    <w:lvl w:ilvl="0">
      <w:lvlJc w:val="left"/>
      <w:lvlText w:val="%1."/>
      <w:numFmt w:val="decimal"/>
      <w:start w:val="10"/>
    </w:lvl>
  </w:abstractNum>
  <w:abstractNum w:abstractNumId="162">
    <w:nsid w:val="3F7F5DD9"/>
    <w:multiLevelType w:val="hybridMultilevel"/>
    <w:lvl w:ilvl="0">
      <w:lvlJc w:val="left"/>
      <w:lvlText w:val="%1."/>
      <w:numFmt w:val="lowerLetter"/>
      <w:start w:val="1"/>
    </w:lvl>
  </w:abstractNum>
  <w:abstractNum w:abstractNumId="163">
    <w:nsid w:val="2AE05A34"/>
    <w:multiLevelType w:val="hybridMultilevel"/>
    <w:lvl w:ilvl="0">
      <w:lvlJc w:val="left"/>
      <w:lvlText w:val="%1."/>
      <w:numFmt w:val="lowerLetter"/>
      <w:start w:val="2"/>
    </w:lvl>
  </w:abstractNum>
  <w:abstractNum w:abstractNumId="164">
    <w:nsid w:val="32794FF7"/>
    <w:multiLevelType w:val="hybridMultilevel"/>
    <w:lvl w:ilvl="0">
      <w:lvlJc w:val="left"/>
      <w:lvlText w:val="%1."/>
      <w:numFmt w:val="lowerLetter"/>
      <w:start w:val="3"/>
    </w:lvl>
  </w:abstractNum>
  <w:abstractNum w:abstractNumId="165">
    <w:nsid w:val="5454945E"/>
    <w:multiLevelType w:val="hybridMultilevel"/>
    <w:lvl w:ilvl="0">
      <w:lvlJc w:val="left"/>
      <w:lvlText w:val="%1."/>
      <w:numFmt w:val="lowerLetter"/>
      <w:start w:val="4"/>
    </w:lvl>
  </w:abstractNum>
  <w:abstractNum w:abstractNumId="166">
    <w:nsid w:val="4DEFDFA0"/>
    <w:multiLevelType w:val="hybridMultilevel"/>
    <w:lvl w:ilvl="0">
      <w:lvlJc w:val="left"/>
      <w:lvlText w:val="%1."/>
      <w:numFmt w:val="decimal"/>
      <w:start w:val="11"/>
    </w:lvl>
  </w:abstractNum>
  <w:abstractNum w:abstractNumId="167">
    <w:nsid w:val="2123D5F2"/>
    <w:multiLevelType w:val="hybridMultilevel"/>
    <w:lvl w:ilvl="0">
      <w:lvlJc w:val="left"/>
      <w:lvlText w:val="*"/>
      <w:numFmt w:val="bullet"/>
      <w:start w:val="1"/>
    </w:lvl>
  </w:abstractNum>
  <w:abstractNum w:abstractNumId="168">
    <w:nsid w:val="135B8110"/>
    <w:multiLevelType w:val="hybridMultilevel"/>
    <w:lvl w:ilvl="0">
      <w:lvlJc w:val="left"/>
      <w:lvlText w:val="(%1)"/>
      <w:numFmt w:val="lowerLetter"/>
      <w:start w:val="1"/>
    </w:lvl>
  </w:abstractNum>
  <w:abstractNum w:abstractNumId="169">
    <w:nsid w:val="94927A8"/>
    <w:multiLevelType w:val="hybridMultilevel"/>
    <w:lvl w:ilvl="0">
      <w:lvlJc w:val="left"/>
      <w:lvlText w:val="(%1)"/>
      <w:numFmt w:val="lowerLetter"/>
      <w:start w:val="5"/>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2019-12-12T02:23:50Z</dcterms:created>
  <dcterms:modified xsi:type="dcterms:W3CDTF">2019-12-12T02:23:50Z</dcterms:modified>
</cp:coreProperties>
</file>