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875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875020"/>
                    </a:xfrm>
                    <a:prstGeom prst="rect">
                      <a:avLst/>
                    </a:prstGeom>
                    <a:noFill/>
                  </pic:spPr>
                </pic:pic>
              </a:graphicData>
            </a:graphic>
          </wp:anchor>
        </w:drawing>
      </w:r>
    </w:p>
    <w:p>
      <w:pPr>
        <w:spacing w:after="0" w:line="1239" w:lineRule="exact"/>
        <w:rPr>
          <w:sz w:val="24"/>
          <w:szCs w:val="24"/>
          <w:color w:val="auto"/>
        </w:rPr>
      </w:pPr>
    </w:p>
    <w:p>
      <w:pPr>
        <w:sectPr>
          <w:pgSz w:w="11900" w:h="1688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KRUM JACQUI</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680"/>
        <w:spacing w:after="0" w:line="327" w:lineRule="auto"/>
        <w:rPr>
          <w:sz w:val="20"/>
          <w:szCs w:val="20"/>
          <w:color w:val="auto"/>
        </w:rPr>
      </w:pPr>
      <w:r>
        <w:rPr>
          <w:rFonts w:ascii="Times New Roman" w:cs="Times New Roman" w:eastAsia="Times New Roman" w:hAnsi="Times New Roman"/>
          <w:sz w:val="16"/>
          <w:szCs w:val="16"/>
          <w:color w:val="0000FF"/>
        </w:rPr>
        <w:t>C/O WYNN RESORTS, LIMITED 3131 LAS VEGAS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35" w:lineRule="exact"/>
        <w:rPr>
          <w:sz w:val="24"/>
          <w:szCs w:val="24"/>
          <w:color w:val="auto"/>
        </w:rPr>
      </w:pPr>
    </w:p>
    <w:p>
      <w:pPr>
        <w:sectPr>
          <w:pgSz w:w="11900" w:h="16880"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NV</w:t>
            </w:r>
          </w:p>
        </w:tc>
        <w:tc>
          <w:tcPr>
            <w:tcW w:w="86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89109</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60" w:type="dxa"/>
            <w:vAlign w:val="bottom"/>
            <w:tcBorders>
              <w:bottom w:val="single" w:sz="8" w:color="2C2C2C"/>
            </w:tcBorders>
            <w:gridSpan w:val="8"/>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5,253</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37,650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2,451</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82.45</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35,199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6,079</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41,278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4,053</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45,331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13"/>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274</w:t>
            </w:r>
            <w:r>
              <w:rPr>
                <w:rFonts w:ascii="Times New Roman" w:cs="Times New Roman" w:eastAsia="Times New Roman" w:hAnsi="Times New Roman"/>
                <w:sz w:val="11"/>
                <w:szCs w:val="11"/>
                <w:color w:val="008000"/>
                <w:w w:val="82"/>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81.17</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45,057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1"/>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12"/>
                <w:szCs w:val="12"/>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01/07/2025</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3,378</w:t>
            </w:r>
          </w:p>
        </w:tc>
        <w:tc>
          <w:tcPr>
            <w:tcW w:w="28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01/01/2028</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01/01/2028</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3,378</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-2176780</wp:posOffset>
            </wp:positionV>
            <wp:extent cx="29210"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7, 2025.</w:t>
      </w:r>
    </w:p>
    <w:p>
      <w:pPr>
        <w:spacing w:after="0" w:line="43" w:lineRule="exact"/>
        <w:rPr>
          <w:rFonts w:ascii="Times New Roman" w:cs="Times New Roman" w:eastAsia="Times New Roman" w:hAnsi="Times New Roman"/>
          <w:sz w:val="13"/>
          <w:szCs w:val="13"/>
          <w:color w:val="008000"/>
        </w:rPr>
      </w:pPr>
    </w:p>
    <w:p>
      <w:pPr>
        <w:ind w:left="40" w:right="18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7, 2028, with 1/3 of the shares vesting on each of the three consecutive anniversary dates from the date of grant;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jc w:val="both"/>
        <w:ind w:left="40" w:right="1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for the trailing one-, two-, and three-year periods ended December 31, 2025, 2026 and 2027, respectively, and if met, 1/3 of the shares will vest on each of the dates of February 28, 2026, 2027 and 2028;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9,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2025 to January 1, 2028 (the "Vesting Date"), with such performance determined as the multiple of the volume-weighted average closing price of Company common stock over the 60 trading days preceding the Vesting Date, as adjusted to include dividends paid during the term of the PSU, to the volume-weighted average closing price of Company common stock over the 60 trading days preceding January 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Jacqui Krum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999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5912"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2025-01-10T19:20:10Z</dcterms:created>
  <dcterms:modified xsi:type="dcterms:W3CDTF">2025-01-10T19:20:10Z</dcterms:modified>
</cp:coreProperties>
</file>